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OR -</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180" w:space="620"/>
            <w:col w:w="4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8"/>
              </w:rPr>
              <w:t>Delaware</w:t>
            </w:r>
          </w:p>
        </w:tc>
        <w:tc>
          <w:tcPr>
            <w:tcW w:w="1740" w:type="dxa"/>
            <w:vAlign w:val="bottom"/>
          </w:tcPr>
          <w:p>
            <w:pPr>
              <w:jc w:val="right"/>
              <w:ind w:right="18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6280" w:type="dxa"/>
            <w:vAlign w:val="bottom"/>
          </w:tcPr>
          <w:p>
            <w:pPr>
              <w:jc w:val="center"/>
              <w:ind w:right="31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7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8"/>
              </w:rPr>
              <w:t>incorporation or organization)</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90"/>
              </w:rPr>
              <w:t>Identification Number)</w:t>
            </w:r>
          </w:p>
        </w:tc>
      </w:tr>
      <w:tr>
        <w:trPr>
          <w:trHeight w:val="420"/>
        </w:trPr>
        <w:tc>
          <w:tcPr>
            <w:tcW w:w="6280" w:type="dxa"/>
            <w:vAlign w:val="bottom"/>
          </w:tcPr>
          <w:p>
            <w:pPr>
              <w:jc w:val="center"/>
              <w:ind w:right="314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1740" w:type="dxa"/>
            <w:vAlign w:val="bottom"/>
          </w:tcPr>
          <w:p>
            <w:pPr>
              <w:jc w:val="right"/>
              <w:ind w:right="384"/>
              <w:spacing w:after="0"/>
              <w:rPr>
                <w:sz w:val="20"/>
                <w:szCs w:val="20"/>
                <w:color w:val="auto"/>
              </w:rPr>
            </w:pPr>
            <w:r>
              <w:rPr>
                <w:rFonts w:ascii="Arial" w:cs="Arial" w:eastAsia="Arial" w:hAnsi="Arial"/>
                <w:sz w:val="18"/>
                <w:szCs w:val="18"/>
                <w:b w:val="1"/>
                <w:bCs w:val="1"/>
                <w:color w:val="auto"/>
              </w:rPr>
              <w:t>60606</w:t>
            </w:r>
          </w:p>
        </w:tc>
      </w:tr>
      <w:tr>
        <w:trPr>
          <w:trHeight w:val="174"/>
        </w:trPr>
        <w:tc>
          <w:tcPr>
            <w:tcW w:w="6280" w:type="dxa"/>
            <w:vAlign w:val="bottom"/>
          </w:tcPr>
          <w:p>
            <w:pPr>
              <w:jc w:val="center"/>
              <w:ind w:right="31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74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80" w:type="dxa"/>
            <w:vAlign w:val="bottom"/>
          </w:tcPr>
          <w:p>
            <w:pPr>
              <w:jc w:val="right"/>
              <w:ind w:right="1284"/>
              <w:spacing w:after="0"/>
              <w:rPr>
                <w:sz w:val="20"/>
                <w:szCs w:val="20"/>
                <w:color w:val="auto"/>
              </w:rPr>
            </w:pPr>
            <w:r>
              <w:rPr>
                <w:rFonts w:ascii="Arial" w:cs="Arial" w:eastAsia="Arial" w:hAnsi="Arial"/>
                <w:sz w:val="18"/>
                <w:szCs w:val="18"/>
                <w:b w:val="1"/>
                <w:bCs w:val="1"/>
                <w:color w:val="auto"/>
              </w:rPr>
              <w:t>(312) 930-1000</w:t>
            </w:r>
          </w:p>
        </w:tc>
        <w:tc>
          <w:tcPr>
            <w:tcW w:w="1740" w:type="dxa"/>
            <w:vAlign w:val="bottom"/>
          </w:tcPr>
          <w:p>
            <w:pPr>
              <w:spacing w:after="0"/>
              <w:rPr>
                <w:sz w:val="24"/>
                <w:szCs w:val="24"/>
                <w:color w:val="auto"/>
              </w:rPr>
            </w:pPr>
          </w:p>
        </w:tc>
      </w:tr>
      <w:tr>
        <w:trPr>
          <w:trHeight w:val="174"/>
        </w:trPr>
        <w:tc>
          <w:tcPr>
            <w:tcW w:w="6280" w:type="dxa"/>
            <w:vAlign w:val="bottom"/>
          </w:tcPr>
          <w:p>
            <w:pPr>
              <w:jc w:val="center"/>
              <w:ind w:left="2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740" w:type="dxa"/>
            <w:vAlign w:val="bottom"/>
          </w:tcPr>
          <w:p>
            <w:pPr>
              <w:spacing w:after="0"/>
              <w:rPr>
                <w:sz w:val="15"/>
                <w:szCs w:val="15"/>
                <w:color w:val="auto"/>
              </w:rPr>
            </w:pP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38"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highlight w:val="black"/>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ind w:right="360"/>
        <w:spacing w:after="0" w:line="306" w:lineRule="auto"/>
        <w:rPr>
          <w:sz w:val="20"/>
          <w:szCs w:val="20"/>
          <w:color w:val="auto"/>
        </w:rPr>
      </w:pPr>
      <w:r>
        <w:rPr>
          <w:rFonts w:ascii="Arial" w:cs="Arial" w:eastAsia="Arial" w:hAnsi="Arial"/>
          <w:sz w:val="16"/>
          <w:szCs w:val="16"/>
          <w:color w:val="auto"/>
        </w:rPr>
        <w:t>The number of shares outstanding of each of the registrant’s classes of common stock as of October 21, 2009 was as follows: 66,519,078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8"/>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140" w:type="dxa"/>
            <w:vAlign w:val="bottom"/>
            <w:gridSpan w:val="9"/>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3000" w:type="dxa"/>
            <w:vAlign w:val="bottom"/>
            <w:tcBorders>
              <w:bottom w:val="single" w:sz="8" w:color="0000EE"/>
            </w:tcBorders>
            <w:gridSpan w:val="8"/>
            <w:vMerge w:val="continue"/>
          </w:tcPr>
          <w:p>
            <w:pPr>
              <w:spacing w:after="0"/>
              <w:rPr>
                <w:sz w:val="14"/>
                <w:szCs w:val="14"/>
                <w:color w:val="auto"/>
              </w:rPr>
            </w:pPr>
          </w:p>
        </w:tc>
        <w:tc>
          <w:tcPr>
            <w:tcW w:w="8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1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Balance Sheets at September 30, 2009 and December 31,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5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Consolidated Statements of Income for the Quarter and Nine Months Ended September 30, 2009 and 2008</w:t>
              </w:r>
            </w:hyperlink>
          </w:p>
        </w:tc>
        <w:tc>
          <w:tcPr>
            <w:tcW w:w="27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Consolidated Statements of Shareholders’ Equity for the Nine Months Ended September 30, 2009 and 2008</w:t>
              </w:r>
            </w:hyperlink>
          </w:p>
        </w:tc>
        <w:tc>
          <w:tcPr>
            <w:tcW w:w="26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9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Consolidated Statements of Cash Flows for the Nine Months Ended September 30, 2009 and 2008</w:t>
              </w:r>
            </w:hyperlink>
          </w:p>
        </w:tc>
        <w:tc>
          <w:tcPr>
            <w:tcW w:w="334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Notes to Unaudited Consolidated Financial Statements</w:t>
              </w:r>
            </w:hyperlink>
          </w:p>
        </w:tc>
        <w:tc>
          <w:tcPr>
            <w:tcW w:w="640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2"/>
          </w:tcPr>
          <w:p>
            <w:pPr>
              <w:spacing w:after="0"/>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Management’s Discussion and Analysis of Financial Condition and Results of Operations</w:t>
              </w:r>
            </w:hyperlink>
          </w:p>
        </w:tc>
        <w:tc>
          <w:tcPr>
            <w:tcW w:w="358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20" w:type="dxa"/>
            <w:vAlign w:val="bottom"/>
            <w:tcBorders>
              <w:bottom w:val="single" w:sz="8" w:color="0000EE"/>
            </w:tcBorders>
            <w:gridSpan w:val="10"/>
          </w:tcPr>
          <w:p>
            <w:pPr>
              <w:spacing w:after="0"/>
              <w:rPr>
                <w:rFonts w:ascii="Arial" w:cs="Arial" w:eastAsia="Arial" w:hAnsi="Arial"/>
                <w:sz w:val="18"/>
                <w:szCs w:val="18"/>
                <w:b w:val="1"/>
                <w:bCs w:val="1"/>
                <w:color w:val="0000EE"/>
                <w:w w:val="89"/>
              </w:rPr>
            </w:pPr>
            <w:hyperlink w:anchor="page36">
              <w:r>
                <w:rPr>
                  <w:rFonts w:ascii="Arial" w:cs="Arial" w:eastAsia="Arial" w:hAnsi="Arial"/>
                  <w:sz w:val="18"/>
                  <w:szCs w:val="18"/>
                  <w:b w:val="1"/>
                  <w:bCs w:val="1"/>
                  <w:color w:val="0000EE"/>
                  <w:w w:val="89"/>
                </w:rPr>
                <w:t>Quantitative and Qualitative Disclosures about Market Risk</w:t>
              </w:r>
            </w:hyperlink>
          </w:p>
        </w:tc>
        <w:tc>
          <w:tcPr>
            <w:tcW w:w="57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260" w:type="dxa"/>
            <w:vAlign w:val="bottom"/>
            <w:gridSpan w:val="1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4"/>
              </w:rPr>
            </w:pPr>
            <w:hyperlink w:anchor="page38">
              <w:r>
                <w:rPr>
                  <w:rFonts w:ascii="Arial" w:cs="Arial" w:eastAsia="Arial" w:hAnsi="Arial"/>
                  <w:sz w:val="18"/>
                  <w:szCs w:val="18"/>
                  <w:b w:val="1"/>
                  <w:bCs w:val="1"/>
                  <w:color w:val="0000EE"/>
                  <w:w w:val="84"/>
                </w:rPr>
                <w:t>Legal Proceedings</w:t>
              </w:r>
            </w:hyperlink>
          </w:p>
        </w:tc>
        <w:tc>
          <w:tcPr>
            <w:tcW w:w="480" w:type="dxa"/>
            <w:vAlign w:val="bottom"/>
            <w:tcBorders>
              <w:top w:val="single" w:sz="8" w:color="0000EE"/>
            </w:tcBorders>
            <w:gridSpan w:val="2"/>
          </w:tcPr>
          <w:p>
            <w:pPr>
              <w:spacing w:after="0"/>
              <w:rPr>
                <w:sz w:val="24"/>
                <w:szCs w:val="24"/>
                <w:color w:val="auto"/>
              </w:rPr>
            </w:pPr>
          </w:p>
        </w:tc>
        <w:tc>
          <w:tcPr>
            <w:tcW w:w="840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9">
              <w:r>
                <w:rPr>
                  <w:rFonts w:ascii="Arial" w:cs="Arial" w:eastAsia="Arial" w:hAnsi="Arial"/>
                  <w:sz w:val="18"/>
                  <w:szCs w:val="18"/>
                  <w:b w:val="1"/>
                  <w:bCs w:val="1"/>
                  <w:color w:val="0000EE"/>
                  <w:w w:val="86"/>
                </w:rPr>
                <w:t>Risk Factors</w:t>
              </w:r>
            </w:hyperlink>
          </w:p>
        </w:tc>
        <w:tc>
          <w:tcPr>
            <w:tcW w:w="930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16"/>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Exhibits</w:t>
              </w:r>
            </w:hyperlink>
          </w:p>
        </w:tc>
        <w:tc>
          <w:tcPr>
            <w:tcW w:w="3820" w:type="dxa"/>
            <w:vAlign w:val="bottom"/>
            <w:tcBorders>
              <w:top w:val="single" w:sz="8" w:color="0000EE"/>
            </w:tcBorders>
            <w:gridSpan w:val="7"/>
          </w:tcPr>
          <w:p>
            <w:pPr>
              <w:spacing w:after="0"/>
              <w:rPr>
                <w:sz w:val="24"/>
                <w:szCs w:val="24"/>
                <w:color w:val="auto"/>
              </w:rPr>
            </w:pPr>
          </w:p>
        </w:tc>
        <w:tc>
          <w:tcPr>
            <w:tcW w:w="580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1">
              <w:r>
                <w:rPr>
                  <w:rFonts w:ascii="Arial" w:cs="Arial" w:eastAsia="Arial" w:hAnsi="Arial"/>
                  <w:sz w:val="18"/>
                  <w:szCs w:val="18"/>
                  <w:b w:val="1"/>
                  <w:bCs w:val="1"/>
                  <w:color w:val="0000EE"/>
                  <w:w w:val="94"/>
                </w:rPr>
                <w:t>SIGNATURES</w:t>
              </w:r>
            </w:hyperlink>
          </w:p>
        </w:tc>
        <w:tc>
          <w:tcPr>
            <w:tcW w:w="1000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5380" w:type="dxa"/>
            <w:vAlign w:val="bottom"/>
            <w:gridSpan w:val="11"/>
          </w:tcPr>
          <w:p>
            <w:pPr>
              <w:ind w:left="480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22, 2008, NYMEX Holdings, Inc. (NYMEX Holdings) merged into CMEG NY Inc., a wholly-owned subsidiary of CME Group Inc. (CME Group). Unless otherwise noted, disclosures of trading volume, revenue and other statistical information include the results of NYMEX Holdings beginning on August 23,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unless otherwise specified or if the context otherwise requires:</w:t>
      </w:r>
    </w:p>
    <w:p>
      <w:pPr>
        <w:spacing w:after="0" w:line="90" w:lineRule="exact"/>
        <w:rPr>
          <w:sz w:val="20"/>
          <w:szCs w:val="20"/>
          <w:color w:val="auto"/>
        </w:rPr>
      </w:pPr>
    </w:p>
    <w:p>
      <w:pPr>
        <w:ind w:left="900" w:right="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Group” refers to CME Group Inc. comprised of (1) CME Holdings and its subsidiaries prior to the completion of the merger between CME Holdings and CBOT Holdings, which occurred on July 12, 2007, (2) the combined company of CME Holdings and CBOT Holdings and their respective subsidiaries after July 12, 2007 and (3) the combined company of CME Holdings, CBOT Holdings and NYMEX Holdings as well as their respective subsidiaries after August 22, 2008;</w:t>
      </w:r>
    </w:p>
    <w:p>
      <w:pPr>
        <w:spacing w:after="0" w:line="62"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refers to Chicago Mercantile Exchange Inc., a wholly-owned subsidiary of CME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Holdings” refers to CBOT Holdings, Inc.;</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refers to Board of Trade of the City of Chicago, Inc., which was a wholly-owned subsidiary of CBOT Holdings and became a wholly-owned subsidiary of CME Group on July 12,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“NYMEX Holdings” refers to NYMEX Holdings, Inc.;</w:t>
      </w:r>
    </w:p>
    <w:p>
      <w:pPr>
        <w:spacing w:after="0" w:line="90" w:lineRule="exact"/>
        <w:rPr>
          <w:rFonts w:ascii="Arial" w:cs="Arial" w:eastAsia="Arial" w:hAnsi="Arial"/>
          <w:sz w:val="18"/>
          <w:szCs w:val="18"/>
          <w:color w:val="auto"/>
        </w:rPr>
      </w:pPr>
    </w:p>
    <w:p>
      <w:pPr>
        <w:ind w:left="900" w:right="24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“NYMEX” refers to New York Mercantile Exchange, Inc. and, unless otherwise indicated also refers to its subsidiary, Commodity Exchange, Inc. (COMEX), which were wholly-owned subsidiaries of NYMEX Holdings and became subsidiaries of CME Group on August 22, 2008 when NYMEX Holdings merged into CMEG NY Inc., a wholly-owned subsidiary of CME Group, which was renamed CMEG NYMEX Holdings Inc.;</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refers to CME, CBOT and NYMEX, collectively;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refers to CME Group and its consolidated subsidiaries, collectively.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From time to time, in written reports and oral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and control the costs of our acquisition of NYMEX Holdings and our ability to successfully integrate the businesses of CME Group and NYMEX Holdings, including the fact that such integration may be more difficult, time consuming or costly than expected and revenues following the transaction may be lower than expected and expected cost savings from the transaction may not be fully realized within the expected time frames or at all;</w:t>
      </w:r>
    </w:p>
    <w:p>
      <w:pPr>
        <w:spacing w:after="0" w:line="62"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policy, including policies relating to common or directed clearing, changes as a result of a harmonization of the regulation of the Securities and Exchange Commission (SEC) and the U.S. Commodity Futures Trading Commission (CFTC), or changes relating to the enacted or proposed legislation relating to the current economic crisis;</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8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or declines in subscriptions;</w:t>
      </w:r>
    </w:p>
    <w:p>
      <w:pPr>
        <w:spacing w:after="0" w:line="50" w:lineRule="exact"/>
        <w:rPr>
          <w:rFonts w:ascii="Arial" w:cs="Arial" w:eastAsia="Arial" w:hAnsi="Arial"/>
          <w:sz w:val="18"/>
          <w:szCs w:val="18"/>
          <w:color w:val="auto"/>
        </w:rPr>
      </w:pPr>
    </w:p>
    <w:p>
      <w:pPr>
        <w:ind w:left="900" w:right="280" w:hanging="325"/>
        <w:spacing w:after="0" w:line="370"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 and the impact of current economic conditions on the trading activity of our current and potential customers;</w:t>
      </w:r>
    </w:p>
    <w:p>
      <w:pPr>
        <w:spacing w:after="0" w:line="5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imposition of a transaction tax on futures and options on futures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the futures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regulation of our industry with respect to speculative trading in commodity interests and derivative contracts.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as well as Item 1A. of our Annual Report on Form 10-K for the year ended December 31, 2008, filed with the SEC on March 2, 2009.</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 Further information about CME Group and its products can be found at </w:t>
      </w:r>
      <w:r>
        <w:rPr>
          <w:rFonts w:ascii="Arial" w:cs="Arial" w:eastAsia="Arial" w:hAnsi="Arial"/>
          <w:sz w:val="16"/>
          <w:szCs w:val="16"/>
          <w:u w:val="single" w:color="auto"/>
          <w:color w:val="auto"/>
        </w:rPr>
        <w:t>http://www.cmegroup.com</w:t>
      </w:r>
      <w:r>
        <w:rPr>
          <w:rFonts w:ascii="Arial" w:cs="Arial" w:eastAsia="Arial" w:hAnsi="Arial"/>
          <w:sz w:val="16"/>
          <w:szCs w:val="16"/>
          <w:color w:val="auto"/>
        </w:rPr>
        <w:t>. Information made available on our web site does not constitute a part of this Report.</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Disclosures of trading volume and average rate per contract exclude these products.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Hurricane Risk Landfall Options (HuRLOs) are European style call options on whether, and where, a hurricane first makes landfall on the U.S. Coast. Unless otherwise noted, disclosures of trading volume and average rate per contract exclude our HuRLO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Unless otherwise indicated, references to CME Group products include references to exchange-traded products on one of its regulated exchanges (CME, CBOT, NYMEX, COMEX). Products listed in these exchanges are subject to the rules and regulations of the particular exchange and the applicable rulebook should be consulted.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60" w:type="dxa"/>
            <w:vAlign w:val="bottom"/>
          </w:tcPr>
          <w:p>
            <w:pPr>
              <w:jc w:val="center"/>
              <w:ind w:left="1672"/>
              <w:spacing w:after="0"/>
              <w:rPr>
                <w:sz w:val="20"/>
                <w:szCs w:val="20"/>
                <w:color w:val="auto"/>
              </w:rPr>
            </w:pPr>
            <w:r>
              <w:rPr>
                <w:rFonts w:ascii="Arial" w:cs="Arial" w:eastAsia="Arial" w:hAnsi="Arial"/>
                <w:sz w:val="18"/>
                <w:szCs w:val="18"/>
                <w:b w:val="1"/>
                <w:bCs w:val="1"/>
                <w:color w:val="auto"/>
                <w:w w:val="97"/>
              </w:rPr>
              <w:t>CME GROUP INC. AND SUBSIDIARIES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60" w:type="dxa"/>
            <w:vAlign w:val="bottom"/>
          </w:tcPr>
          <w:p>
            <w:pPr>
              <w:jc w:val="center"/>
              <w:ind w:left="1672"/>
              <w:spacing w:after="0"/>
              <w:rPr>
                <w:sz w:val="20"/>
                <w:szCs w:val="20"/>
                <w:color w:val="auto"/>
              </w:rPr>
            </w:pPr>
            <w:r>
              <w:rPr>
                <w:rFonts w:ascii="Arial" w:cs="Arial" w:eastAsia="Arial" w:hAnsi="Arial"/>
                <w:sz w:val="18"/>
                <w:szCs w:val="18"/>
                <w:b w:val="1"/>
                <w:bCs w:val="1"/>
                <w:color w:val="auto"/>
                <w:w w:val="96"/>
              </w:rPr>
              <w:t>CONSOLIDATED BALANCE SHEETS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760" w:type="dxa"/>
            <w:vAlign w:val="bottom"/>
          </w:tcPr>
          <w:p>
            <w:pPr>
              <w:jc w:val="center"/>
              <w:ind w:left="1652"/>
              <w:spacing w:after="0"/>
              <w:rPr>
                <w:sz w:val="20"/>
                <w:szCs w:val="20"/>
                <w:color w:val="auto"/>
              </w:rPr>
            </w:pPr>
            <w:r>
              <w:rPr>
                <w:rFonts w:ascii="Arial" w:cs="Arial" w:eastAsia="Arial" w:hAnsi="Arial"/>
                <w:sz w:val="18"/>
                <w:szCs w:val="18"/>
                <w:color w:val="auto"/>
                <w:w w:val="87"/>
              </w:rPr>
              <w:t>(dollars in millions, except per share data; shares in thousands)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60" w:type="dxa"/>
            <w:vAlign w:val="bottom"/>
          </w:tcPr>
          <w:p>
            <w:pPr>
              <w:jc w:val="center"/>
              <w:ind w:left="1652"/>
              <w:spacing w:after="0"/>
              <w:rPr>
                <w:sz w:val="20"/>
                <w:szCs w:val="20"/>
                <w:color w:val="auto"/>
              </w:rPr>
            </w:pPr>
            <w:r>
              <w:rPr>
                <w:rFonts w:ascii="Arial" w:cs="Arial" w:eastAsia="Arial" w:hAnsi="Arial"/>
                <w:sz w:val="18"/>
                <w:szCs w:val="18"/>
                <w:color w:val="auto"/>
                <w:w w:val="90"/>
              </w:rPr>
              <w:t>(unaudited)</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 at fair value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including pledged securities of $50.0 and $283.8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$2.0 and $1.8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6,824.8</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19,111.5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$525.8 and $479.5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 trading products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16,982.0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Intangible assets – other, net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3,277.1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7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7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36,519.6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48,158.7</w:t>
            </w:r>
          </w:p>
        </w:tc>
        <w:tc>
          <w:tcPr>
            <w:tcW w:w="0" w:type="dxa"/>
            <w:vAlign w:val="bottom"/>
          </w:tcPr>
          <w:p>
            <w:pPr>
              <w:spacing w:after="0"/>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6,824.8</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2,239.3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17,389.3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29,470.1</w:t>
            </w:r>
          </w:p>
        </w:tc>
        <w:tc>
          <w:tcPr>
            <w:tcW w:w="0" w:type="dxa"/>
            <w:vAlign w:val="bottom"/>
          </w:tcPr>
          <w:p>
            <w:pPr>
              <w:spacing w:after="0"/>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72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w w:val="92"/>
              </w:rPr>
              <w:t>Series A junior participating preferred stock, $0.01 par value, 140 shares authorized, none issued or outstanding</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Class A common stock, $0.01 par value, 1,000,000 shares authorized, 66,400 and 66,417 shares issued and</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outstanding as of September 30, 2009 and December 31, 2008, respectively</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17,144.4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2,113.9</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872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19,130.3</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18,688.6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36,519.6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48,158.7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Clearing and transaction fees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540.6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1,605.2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Quotation data fees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Processing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 and communication fees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1,869.2</w:t>
            </w:r>
          </w:p>
        </w:tc>
        <w:tc>
          <w:tcPr>
            <w:tcW w:w="0" w:type="dxa"/>
            <w:vAlign w:val="bottom"/>
          </w:tcPr>
          <w:p>
            <w:pPr>
              <w:spacing w:after="0"/>
              <w:rPr>
                <w:sz w:val="1"/>
                <w:szCs w:val="1"/>
                <w:color w:val="auto"/>
              </w:rPr>
            </w:pPr>
          </w:p>
        </w:tc>
      </w:tr>
      <w:tr>
        <w:trPr>
          <w:trHeight w:val="330"/>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support services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building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420.7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1,186.6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long-term investment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Gains (losses) on derivative investments</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lending interest income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Securities lending interest and other costs</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borrowing costs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Non-Operating Income (Expense)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1,081.2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623.2</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3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66,384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59,870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66,339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56,054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66,573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60,086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66,514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56,302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Common</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Class A</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 and</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66,417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$17,129.2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18,688.6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Change in net unrealized loss on securities, net of tax of $16.3</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net actuarial loss on defined benefit plans, net of tax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$0.9</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w w:val="96"/>
              </w:rPr>
              <w:t>Change in net unrealized loss on derivatives, net of tax of $2.8</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654.8</w:t>
            </w: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$3.45 per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Repurchase of Class A common stock</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(27.0)</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Excess tax benefits from option exercises and restricted stock vesting</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Class A common stock</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Shares issued to Board of Directors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2009</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66,400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17,145.1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2,113.9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19,130.3</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1"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Common</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Class A</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B</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Stock and</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3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53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Paid-in</w:t>
            </w: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1"/>
              </w:rPr>
              <w:t>Retained</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r>
      <w:tr>
        <w:trPr>
          <w:trHeight w:val="161"/>
        </w:trPr>
        <w:tc>
          <w:tcPr>
            <w:tcW w:w="5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53,278</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$10,689.3</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$1,619.4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12,305.6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653.4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653.4</w:t>
            </w: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w w:val="98"/>
              </w:rPr>
              <w:t>Change in net unrealized gain on securities, net of tax of $7.7</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8"/>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Change in net actuarial loss on defined benefit plans, net of tax</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of $0.2</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Net unrealized loss on derivatives, net of tax of $0.5</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08"/>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Change in foreign currency translation adjustment, net of tax of</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21"/>
        </w:trPr>
        <w:tc>
          <w:tcPr>
            <w:tcW w:w="530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19"/>
                <w:szCs w:val="19"/>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$8.45 per share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(538.4)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(538.4)</w:t>
            </w:r>
          </w:p>
        </w:tc>
      </w:tr>
      <w:tr>
        <w:trPr>
          <w:trHeight w:val="208"/>
        </w:trPr>
        <w:tc>
          <w:tcPr>
            <w:tcW w:w="5300" w:type="dxa"/>
            <w:vAlign w:val="bottom"/>
          </w:tcPr>
          <w:p>
            <w:pPr>
              <w:spacing w:after="0"/>
              <w:rPr>
                <w:sz w:val="20"/>
                <w:szCs w:val="20"/>
                <w:color w:val="auto"/>
              </w:rPr>
            </w:pPr>
            <w:r>
              <w:rPr>
                <w:rFonts w:ascii="Arial" w:cs="Arial" w:eastAsia="Arial" w:hAnsi="Arial"/>
                <w:sz w:val="18"/>
                <w:szCs w:val="18"/>
                <w:color w:val="auto"/>
              </w:rPr>
              <w:t>Class A common stock issued in exchange for BM&amp;FBovespa SA</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300" w:type="dxa"/>
            <w:vAlign w:val="bottom"/>
          </w:tcPr>
          <w:p>
            <w:pPr>
              <w:ind w:left="220"/>
              <w:spacing w:after="0"/>
              <w:rPr>
                <w:sz w:val="20"/>
                <w:szCs w:val="20"/>
                <w:color w:val="auto"/>
              </w:rPr>
            </w:pPr>
            <w:r>
              <w:rPr>
                <w:rFonts w:ascii="Arial" w:cs="Arial" w:eastAsia="Arial" w:hAnsi="Arial"/>
                <w:sz w:val="18"/>
                <w:szCs w:val="18"/>
                <w:color w:val="auto"/>
              </w:rPr>
              <w:t>stock</w:t>
            </w:r>
          </w:p>
        </w:tc>
        <w:tc>
          <w:tcPr>
            <w:tcW w:w="540" w:type="dxa"/>
            <w:vAlign w:val="bottom"/>
          </w:tcPr>
          <w:p>
            <w:pPr>
              <w:jc w:val="right"/>
              <w:spacing w:after="0"/>
              <w:rPr>
                <w:sz w:val="20"/>
                <w:szCs w:val="20"/>
                <w:color w:val="auto"/>
              </w:rPr>
            </w:pPr>
            <w:r>
              <w:rPr>
                <w:rFonts w:ascii="Arial" w:cs="Arial" w:eastAsia="Arial" w:hAnsi="Arial"/>
                <w:sz w:val="18"/>
                <w:szCs w:val="18"/>
                <w:color w:val="auto"/>
              </w:rPr>
              <w:t>1,189</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631.4</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6"/>
              </w:rPr>
              <w:t>Class A common stock issued in NYMEX Holdings merger, including</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stock options, restricted stock units and issuance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12,566</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5,963.3</w:t>
            </w: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5,963.3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5"/>
              </w:rPr>
              <w:t>Tax benefit of stock issuance costs related to CBOT Holdings merger</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5"/>
              </w:rPr>
              <w:t>Excess tax benefits from option exercises and restricted stock vesting</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b w:val="1"/>
                <w:bCs w:val="1"/>
                <w:color w:val="auto"/>
              </w:rPr>
              <w:t>Balance at September 30, 2008</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67,090</w:t>
            </w:r>
          </w:p>
        </w:tc>
        <w:tc>
          <w:tcPr>
            <w:tcW w:w="4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17,314.9</w:t>
            </w:r>
          </w:p>
        </w:tc>
        <w:tc>
          <w:tcPr>
            <w:tcW w:w="4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1,734.4</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19,028.8</w:t>
            </w:r>
          </w:p>
        </w:tc>
      </w:tr>
      <w:tr>
        <w:trPr>
          <w:trHeight w:val="20"/>
        </w:trPr>
        <w:tc>
          <w:tcPr>
            <w:tcW w:w="5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5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$ 623.2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   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23.6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shares issued to Board of Directors</w:t>
            </w:r>
          </w:p>
        </w:tc>
        <w:tc>
          <w:tcPr>
            <w:tcW w:w="1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Amortization of purchased intangibles</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94.5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93.4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Recognition of in-process research and development acquired from Credit Market Analysis Limited</w:t>
            </w:r>
          </w:p>
        </w:tc>
        <w:tc>
          <w:tcPr>
            <w:tcW w:w="8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1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Net accretion of discounts and amortization of premiums on marketable securities</w:t>
            </w:r>
          </w:p>
        </w:tc>
        <w:tc>
          <w:tcPr>
            <w:tcW w:w="1860" w:type="dxa"/>
            <w:vAlign w:val="bottom"/>
            <w:gridSpan w:val="3"/>
          </w:tcPr>
          <w:p>
            <w:pPr>
              <w:jc w:val="right"/>
              <w:ind w:right="38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1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Loss on sale of metals trading products</w:t>
            </w:r>
          </w:p>
        </w:tc>
        <w:tc>
          <w:tcPr>
            <w:tcW w:w="8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on derivative investments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Impairment of securities lending assets</w:t>
            </w:r>
          </w:p>
        </w:tc>
        <w:tc>
          <w:tcPr>
            <w:tcW w:w="8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 and intangible assets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Impairment of long-term investment</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22.4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Guarantee of exercise right privileges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Equity in losses of unconsolidated subsidiaries</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280"/>
              <w:spacing w:after="0"/>
              <w:rPr>
                <w:sz w:val="20"/>
                <w:szCs w:val="20"/>
                <w:color w:val="auto"/>
              </w:rPr>
            </w:pPr>
            <w:r>
              <w:rPr>
                <w:rFonts w:ascii="Arial" w:cs="Arial" w:eastAsia="Arial" w:hAnsi="Arial"/>
                <w:sz w:val="18"/>
                <w:szCs w:val="18"/>
                <w:color w:val="auto"/>
              </w:rPr>
              <w:t>Other current assets</w:t>
            </w:r>
          </w:p>
        </w:tc>
        <w:tc>
          <w:tcPr>
            <w:tcW w:w="1860" w:type="dxa"/>
            <w:vAlign w:val="bottom"/>
            <w:gridSpan w:val="3"/>
          </w:tcPr>
          <w:p>
            <w:pPr>
              <w:jc w:val="right"/>
              <w:ind w:right="380"/>
              <w:spacing w:after="0"/>
              <w:rPr>
                <w:sz w:val="20"/>
                <w:szCs w:val="20"/>
                <w:color w:val="auto"/>
              </w:rPr>
            </w:pPr>
            <w:r>
              <w:rPr>
                <w:rFonts w:ascii="Arial" w:cs="Arial" w:eastAsia="Arial" w:hAnsi="Arial"/>
                <w:sz w:val="18"/>
                <w:szCs w:val="18"/>
                <w:color w:val="auto"/>
              </w:rPr>
              <w:t>(8.4)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1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860" w:type="dxa"/>
            <w:vAlign w:val="bottom"/>
            <w:gridSpan w:val="3"/>
          </w:tcPr>
          <w:p>
            <w:pPr>
              <w:jc w:val="right"/>
              <w:ind w:right="380"/>
              <w:spacing w:after="0"/>
              <w:rPr>
                <w:sz w:val="20"/>
                <w:szCs w:val="20"/>
                <w:color w:val="auto"/>
              </w:rPr>
            </w:pPr>
            <w:r>
              <w:rPr>
                <w:rFonts w:ascii="Arial" w:cs="Arial" w:eastAsia="Arial" w:hAnsi="Arial"/>
                <w:sz w:val="18"/>
                <w:szCs w:val="18"/>
                <w:color w:val="auto"/>
              </w:rPr>
              <w:t>(34.9)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w:t>
            </w:r>
          </w:p>
        </w:tc>
        <w:tc>
          <w:tcPr>
            <w:tcW w:w="1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1280"/>
              <w:spacing w:after="0"/>
              <w:rPr>
                <w:sz w:val="20"/>
                <w:szCs w:val="20"/>
                <w:color w:val="auto"/>
              </w:rPr>
            </w:pPr>
            <w:r>
              <w:rPr>
                <w:rFonts w:ascii="Arial" w:cs="Arial" w:eastAsia="Arial" w:hAnsi="Arial"/>
                <w:sz w:val="18"/>
                <w:szCs w:val="18"/>
                <w:color w:val="auto"/>
              </w:rPr>
              <w:t>Other current liabilities</w:t>
            </w:r>
          </w:p>
        </w:tc>
        <w:tc>
          <w:tcPr>
            <w:tcW w:w="1860" w:type="dxa"/>
            <w:vAlign w:val="bottom"/>
            <w:gridSpan w:val="3"/>
          </w:tcPr>
          <w:p>
            <w:pPr>
              <w:jc w:val="right"/>
              <w:ind w:right="380"/>
              <w:spacing w:after="0"/>
              <w:rPr>
                <w:sz w:val="20"/>
                <w:szCs w:val="20"/>
                <w:color w:val="auto"/>
              </w:rPr>
            </w:pPr>
            <w:r>
              <w:rPr>
                <w:rFonts w:ascii="Arial" w:cs="Arial" w:eastAsia="Arial" w:hAnsi="Arial"/>
                <w:sz w:val="18"/>
                <w:szCs w:val="18"/>
                <w:color w:val="auto"/>
              </w:rPr>
              <w:t>(56.2)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737.8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389.1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marketable securities</w:t>
            </w:r>
          </w:p>
        </w:tc>
        <w:tc>
          <w:tcPr>
            <w:tcW w:w="1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(159.9)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Net change in NYMEX securities lending program investments</w:t>
            </w:r>
          </w:p>
        </w:tc>
        <w:tc>
          <w:tcPr>
            <w:tcW w:w="1860" w:type="dxa"/>
            <w:vAlign w:val="bottom"/>
            <w:gridSpan w:val="3"/>
          </w:tcPr>
          <w:p>
            <w:pPr>
              <w:jc w:val="right"/>
              <w:ind w:right="420"/>
              <w:spacing w:after="0"/>
              <w:rPr>
                <w:sz w:val="20"/>
                <w:szCs w:val="20"/>
                <w:color w:val="auto"/>
              </w:rPr>
            </w:pPr>
            <w:r>
              <w:rPr>
                <w:rFonts w:ascii="Arial" w:cs="Arial" w:eastAsia="Arial" w:hAnsi="Arial"/>
                <w:sz w:val="18"/>
                <w:szCs w:val="18"/>
                <w:color w:val="auto"/>
              </w:rPr>
              <w:t>425.9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net</w:t>
            </w:r>
          </w:p>
        </w:tc>
        <w:tc>
          <w:tcPr>
            <w:tcW w:w="1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(112.9)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8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NYMEX Holdings, Inc., net of cash received</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NYMEX membership rights payments</w:t>
            </w:r>
          </w:p>
        </w:tc>
        <w:tc>
          <w:tcPr>
            <w:tcW w:w="8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Merger-related transaction costs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Purchase of derivative related to BM&amp;FBovespa SA investment</w:t>
            </w:r>
          </w:p>
        </w:tc>
        <w:tc>
          <w:tcPr>
            <w:tcW w:w="8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metals trading products</w:t>
            </w:r>
          </w:p>
        </w:tc>
        <w:tc>
          <w:tcPr>
            <w:tcW w:w="8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Capital contributions to FXMarketSpace Limited</w:t>
            </w:r>
          </w:p>
        </w:tc>
        <w:tc>
          <w:tcPr>
            <w:tcW w:w="8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(3,445.4)</w:t>
            </w:r>
          </w:p>
        </w:tc>
        <w:tc>
          <w:tcPr>
            <w:tcW w:w="0" w:type="dxa"/>
            <w:vAlign w:val="bottom"/>
          </w:tcPr>
          <w:p>
            <w:pPr>
              <w:spacing w:after="0"/>
              <w:rPr>
                <w:sz w:val="1"/>
                <w:szCs w:val="1"/>
                <w:color w:val="auto"/>
              </w:rPr>
            </w:pPr>
          </w:p>
        </w:tc>
      </w:tr>
      <w:tr>
        <w:trPr>
          <w:trHeight w:val="370"/>
        </w:trPr>
        <w:tc>
          <w:tcPr>
            <w:tcW w:w="8760" w:type="dxa"/>
            <w:vAlign w:val="bottom"/>
            <w:gridSpan w:val="2"/>
          </w:tcPr>
          <w:p>
            <w:pPr>
              <w:jc w:val="right"/>
              <w:ind w:right="2872"/>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Proceeds (repayments) of commercial paper, net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(1,168.8)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borrowings, net of issuance costs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Repayment of other borrowings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NYMEX securities lending program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Class A common stock, including costs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option exercises and restricted stock vesting</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(1,371.0)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2,319.8</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204.1</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469.6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 (excluding securities lending program)</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Non-cash investing activities: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net unrealized securities gains (losses)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Change in net unrealized derivatives gains (losses)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financing activities: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w w:val="94"/>
              </w:rPr>
              <w:t>Fair value of Class A common stock, stock options and restricted stock units issued in connection with NYMEX</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1060"/>
              <w:spacing w:after="0"/>
              <w:rPr>
                <w:sz w:val="20"/>
                <w:szCs w:val="20"/>
                <w:color w:val="auto"/>
              </w:rPr>
            </w:pPr>
            <w:r>
              <w:rPr>
                <w:rFonts w:ascii="Arial" w:cs="Arial" w:eastAsia="Arial" w:hAnsi="Arial"/>
                <w:sz w:val="18"/>
                <w:szCs w:val="18"/>
                <w:color w:val="auto"/>
              </w:rPr>
              <w:t>Holdings merger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5,963.3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value of Class A common stock issued in exchange for BM&amp;FBovespa SA stock</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Dividends declared but unpaid on Class A common stock</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CME Group Inc. (CME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14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On August 22, 2008, CME Group completed its merger with NYMEX Holdings, Inc. (NYMEX Holdings). The financial statements and accompanying notes presented in this report include the financial results of the former NYMEX Holdings and its subsidiaries beginning on August 23, 2008.</w:t>
      </w:r>
    </w:p>
    <w:p>
      <w:pPr>
        <w:spacing w:after="0" w:line="85"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w:t>
      </w:r>
    </w:p>
    <w:p>
      <w:pPr>
        <w:spacing w:after="0" w:line="6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consolidated financial statements consist of CME Group and its subsidiaries (collectively, the company), including Chicago Mercantile Exchange Inc. (CME), Board of Trade of the City of Chicago, Inc. (CBOT), New York Mercantile Exchange, Inc. (NYMEX) and their respective subsidiaries (collectively, the exchange). In the opinion of management, the accompanying consolidated financial statements include all normal recurring adjustments considered necessary to present fairly the financial position of the company at September 30, 2009 and December 31, 2008 and the results of operations and cash flows for the periods indicated. Quarterly results are not necessarily indicative of results for any subsequent period.</w:t>
      </w:r>
    </w:p>
    <w:p>
      <w:pPr>
        <w:spacing w:after="0" w:line="1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CME Group’s Annual Report on Form 10-K for the year ended December 31, 2008, filed with the Securities and Exchange Commission (SEC) on March 2,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August 22, 2008, CME Group completed its merger with NYMEX Holdings. The company entered into this merger primarily as a means to expand its product base, further leverage its existing operating model, extend its presence in the over-the-counter market and better position itself to compete on a global scale.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0" w:type="dxa"/>
            <w:vAlign w:val="bottom"/>
            <w:gridSpan w:val="2"/>
          </w:tcPr>
          <w:p>
            <w:pPr>
              <w:spacing w:after="0"/>
              <w:rPr>
                <w:sz w:val="20"/>
                <w:szCs w:val="20"/>
                <w:color w:val="auto"/>
              </w:rPr>
            </w:pPr>
            <w:r>
              <w:rPr>
                <w:rFonts w:ascii="Arial" w:cs="Arial" w:eastAsia="Arial" w:hAnsi="Arial"/>
                <w:sz w:val="18"/>
                <w:szCs w:val="18"/>
                <w:color w:val="auto"/>
                <w:w w:val="92"/>
              </w:rPr>
              <w:t>Under purchase accounting, CME Group is considered the acquirer of NYMEX Holdings. The purchase price consists of the following (in millions):</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NYMEX Holdings’ outstanding common stock:</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80" w:type="dxa"/>
            <w:vAlign w:val="bottom"/>
          </w:tcPr>
          <w:p>
            <w:pPr>
              <w:ind w:left="420"/>
              <w:spacing w:after="0"/>
              <w:rPr>
                <w:sz w:val="20"/>
                <w:szCs w:val="20"/>
                <w:color w:val="auto"/>
              </w:rPr>
            </w:pPr>
            <w:r>
              <w:rPr>
                <w:rFonts w:ascii="Arial" w:cs="Arial" w:eastAsia="Arial" w:hAnsi="Arial"/>
                <w:sz w:val="18"/>
                <w:szCs w:val="18"/>
                <w:color w:val="auto"/>
              </w:rPr>
              <w:t>In exchange for CME Group’s Class A common stock</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$5,931.2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exchange for cash</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80" w:type="dxa"/>
            <w:vAlign w:val="bottom"/>
          </w:tcPr>
          <w:p>
            <w:pPr>
              <w:spacing w:after="0"/>
              <w:rPr>
                <w:sz w:val="20"/>
                <w:szCs w:val="20"/>
                <w:color w:val="auto"/>
              </w:rPr>
            </w:pPr>
            <w:r>
              <w:rPr>
                <w:rFonts w:ascii="Arial" w:cs="Arial" w:eastAsia="Arial" w:hAnsi="Arial"/>
                <w:sz w:val="18"/>
                <w:szCs w:val="18"/>
                <w:color w:val="auto"/>
              </w:rPr>
              <w:t>Fair value of NYMEX Holdings’ stock options and restricted stock units assumed</w:t>
            </w:r>
          </w:p>
        </w:tc>
        <w:tc>
          <w:tcPr>
            <w:tcW w:w="62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2"/>
        </w:trPr>
        <w:tc>
          <w:tcPr>
            <w:tcW w:w="1080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9,439.3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Acquisition of common stock. </w:t>
      </w:r>
      <w:r>
        <w:rPr>
          <w:rFonts w:ascii="Arial" w:cs="Arial" w:eastAsia="Arial" w:hAnsi="Arial"/>
          <w:sz w:val="16"/>
          <w:szCs w:val="16"/>
          <w:color w:val="auto"/>
        </w:rPr>
        <w:t>Pursuant to the merger agreement, NYMEX Holdings’ shareholders elected to receive cash, stock or a combination thereof as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for their shares. The aggregate consideration included a mandatory cash component equal to the product of NYMEX Holdings’ common stock outstanding at August 22, 2008 and $36.00 per share. Based on the election for cash and stock as subject to the mandatory cash requirement, CME Group issued 12.5 million shares of Class A common stock to NYMEX Holdings’ shareholders. The share price of $473 used to calculate the fair value of stock issued was based on the average closing price of CME Group’s Class A common stock for the five-day period beginning two trading days before and ending two trading days after March 17, 2008 (the merger announcement date).</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Fair value of stock options and restricted stock units assumed. </w:t>
      </w:r>
      <w:r>
        <w:rPr>
          <w:rFonts w:ascii="Arial" w:cs="Arial" w:eastAsia="Arial" w:hAnsi="Arial"/>
          <w:sz w:val="18"/>
          <w:szCs w:val="18"/>
          <w:color w:val="auto"/>
        </w:rPr>
        <w:t>At the close of the merger, NYMEX Holdings had 1,412,000 stock options and 188,700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outstanding. Each stock option and restricted stock unit was converted using an exchange ratio of 0.2378 derived from the allocation of cash and stock consideration to the shareholders in accordance with the merger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fair value of the stock options was determined using a share price of $342, the closing price of CME Group’s Class A common stock on August 21, 2008. The fair value of stock options was calculated using a Black-Scholes valuation model with the following assumptions: expected lives of 0.1 to 4.9 years; risk-free interest rates of 1.7% to 3.0%; expected volatility of 45%; and a dividend yield of 1.3%. The portion of the fair value of unvested stock options related to future service was allocated to deferred stock-based compensation and is still being amortized over the remaining vesting period.</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Merger-related transaction costs. </w:t>
      </w:r>
      <w:r>
        <w:rPr>
          <w:rFonts w:ascii="Arial" w:cs="Arial" w:eastAsia="Arial" w:hAnsi="Arial"/>
          <w:sz w:val="18"/>
          <w:szCs w:val="18"/>
          <w:color w:val="auto"/>
        </w:rPr>
        <w:t>These include costs incurred by CME Group for investment banking fees, legal and accounting fees, and other external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merger.</w:t>
      </w:r>
    </w:p>
    <w:p>
      <w:pPr>
        <w:spacing w:after="0" w:line="13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 xml:space="preserve">Final purchase price allocation. </w:t>
      </w:r>
      <w:r>
        <w:rPr>
          <w:rFonts w:ascii="Arial" w:cs="Arial" w:eastAsia="Arial" w:hAnsi="Arial"/>
          <w:sz w:val="18"/>
          <w:szCs w:val="18"/>
          <w:color w:val="auto"/>
        </w:rPr>
        <w:t>The purchase price has been allocated to NYMEX Holdings’ net tangible and identifiable intangible assets based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values as of August 22,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10,664.6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Membership rights payments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tax liabilities,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(4,026.7)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600" w:type="dxa"/>
            <w:vAlign w:val="bottom"/>
            <w:gridSpan w:val="3"/>
          </w:tcPr>
          <w:p>
            <w:pPr>
              <w:spacing w:after="0"/>
              <w:rPr>
                <w:sz w:val="20"/>
                <w:szCs w:val="20"/>
                <w:color w:val="auto"/>
              </w:rPr>
            </w:pPr>
            <w:r>
              <w:rPr>
                <w:rFonts w:ascii="Arial" w:cs="Arial" w:eastAsia="Arial" w:hAnsi="Arial"/>
                <w:sz w:val="18"/>
                <w:szCs w:val="18"/>
                <w:color w:val="auto"/>
              </w:rPr>
              <w:t>Total Tangible and Intangible Assets and Liabilities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6,973.6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600" w:type="dxa"/>
            <w:vAlign w:val="bottom"/>
            <w:gridSpan w:val="3"/>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9,439.3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excess of the purchase price over the net tangible and identifiable intangible assets was recorded as goodwill. The intangible assets and goodwill acquired are not deductible for tax purposes except for a small portion of goodwill attributable to merger-related transaction costs.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Pre-merger contingencies. </w:t>
      </w:r>
      <w:r>
        <w:rPr>
          <w:rFonts w:ascii="Arial" w:cs="Arial" w:eastAsia="Arial" w:hAnsi="Arial"/>
          <w:sz w:val="16"/>
          <w:szCs w:val="16"/>
          <w:color w:val="auto"/>
        </w:rPr>
        <w:t>The company has not identified any material unrecorded pre-merger contingencies that are both probable and reasonably estimable.</w:t>
      </w:r>
    </w:p>
    <w:p>
      <w:pPr>
        <w:spacing w:after="0" w:line="194"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i w:val="1"/>
          <w:iCs w:val="1"/>
          <w:color w:val="auto"/>
        </w:rPr>
        <w:t xml:space="preserve">Pro forma results. </w:t>
      </w:r>
      <w:r>
        <w:rPr>
          <w:rFonts w:ascii="Arial" w:cs="Arial" w:eastAsia="Arial" w:hAnsi="Arial"/>
          <w:sz w:val="16"/>
          <w:szCs w:val="16"/>
          <w:color w:val="auto"/>
        </w:rPr>
        <w:t>The following unaudited condensed pro forma consolidated income statements assume that the NYMEX Holdings merger was completed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2007. Pro forma results have been prepared as of the beginning of the year prior to the date of the merger in accordance with SEC guidelines.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Quarter</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i w:val="1"/>
                <w:iCs w:val="1"/>
                <w:color w:val="auto"/>
              </w:rPr>
              <w:t>(in millions, expect per share data)</w:t>
            </w:r>
          </w:p>
        </w:tc>
        <w:tc>
          <w:tcPr>
            <w:tcW w:w="264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September 30, 2008</w:t>
            </w:r>
          </w:p>
        </w:tc>
        <w:tc>
          <w:tcPr>
            <w:tcW w:w="46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339.2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Non-Operating Income (Expense)</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168.1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2.51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pro forma information has been prepared for comparative purposes only and is not intended to be indicative of past or future results. The pro forma information for the periods presented includes purchase accounting effects on historical NYMEX Holdings’ operating results, amortization of purchased intangible assets, stock-based compensation expense for unvested stock options as well as the impact of NYMEX’s membership rights payments on investment income. Results for the quarter and nine months ended September 30, 2008 include NYMEX Holdings’ merger-related transaction costs of approximately $43.6 million and $52.7 million, respectively.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Security Deposits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CME maintains performance bond and security deposit requirements for futures and options traded on or cleared through CME, CBOT, NYMEX or other exchange marketplaces, as well as for over-the-counter (OTC) products listed for clearing only. Each firm that clears futures, options and OTC products is required to deposit acceptable collateral and maintain specified performance bonds and security deposits principally in the form of cash, funds deposited in the various Interest Earning Facility programs, U.S. government and certain foreign government securities, bank letters of credit, shares of specific U.S. equity securities or gold. Clearing firm positions executed in CME, CBOT and NYMEX exchange marketplaces and cleared-only contracts are subject to the guarantee of CME. Each clearing firm’s positions are separately accounted for in regulated and non-regulated accounts, for which performance bond and security deposit requirements are calculated. Performance bonds and security deposits are available to meet the financial obligations of that clearing firm to CME. In the event that performance bonds and security deposits of a defaulting clearing firm are inadequate to fulfill that clearing firm’s outstanding financial obligation, the entire security deposit fund is available to cover potential losses after first utilizing operating funds of CME in excess of amounts needed for normal operations. Cash performance bonds and security deposits may fluctuate due to the investment choices available to clearing firms and the change in the amount of deposit required. As a result, these offsetting liabilities may vary significantly over time.</w:t>
      </w:r>
    </w:p>
    <w:p>
      <w:pPr>
        <w:spacing w:after="0" w:line="127"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In addition, the rules and regulations of CBOT require certain minimum financial requirements for delivery of physical commodities. To satisfy these requirements, CBOT clearing firms must deposit collateral with CME in the form of cash, U.S. Treasury securities or letters of credit.</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CME accounts for its guarantee of contract settlement in accordance with current accounting guidance. CME marks to market all open positions at least twice a day and requires payment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CME’s guarantee would be approximately one half day of changes in fair value of all open positions, before considering CME’s ability to access defaulting firms’ performance bond and security deposit balances as well as other available resources. During the first nine months of 2009, CME transferred an average of approximately $3.1 billion a day through its clearing system for settlement from clearing firms whose positions have lost value to clearing firms whose positions have gained value. CME reduces its guarantee exposure through initial and maintenance performance bond requirements and mandatory security deposits. The company believes that the guarantee liability is immaterial and therefore has not recorded any liability at September 30,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2009 and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0"/>
              </w:rPr>
              <w:t>September 30, 2009</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2008</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Net Book</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64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4"/>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Amortizable Intangible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$2,842.5</w:t>
            </w:r>
          </w:p>
        </w:tc>
        <w:tc>
          <w:tcPr>
            <w:tcW w:w="12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2,680.6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$2,842.5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Dow Jones licensing agreement</w:t>
            </w:r>
          </w:p>
        </w:tc>
        <w:tc>
          <w:tcPr>
            <w:tcW w:w="62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59.1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Open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maker agreement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Other (a)</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2,830.7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3,054.0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3,046.6</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2,822.8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3,044.6</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2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products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16,982.0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16,982.0</w:t>
            </w:r>
          </w:p>
        </w:tc>
        <w:tc>
          <w:tcPr>
            <w:tcW w:w="0" w:type="dxa"/>
            <w:vAlign w:val="bottom"/>
          </w:tcPr>
          <w:p>
            <w:pPr>
              <w:spacing w:after="0"/>
              <w:rPr>
                <w:sz w:val="1"/>
                <w:szCs w:val="1"/>
                <w:color w:val="auto"/>
              </w:rPr>
            </w:pPr>
          </w:p>
        </w:tc>
      </w:tr>
      <w:tr>
        <w:trPr>
          <w:trHeight w:val="430"/>
        </w:trPr>
        <w:tc>
          <w:tcPr>
            <w:tcW w:w="552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452.1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17,436.7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17,436.7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520" w:type="dxa"/>
            <w:vAlign w:val="bottom"/>
            <w:gridSpan w:val="3"/>
          </w:tcPr>
          <w:p>
            <w:pPr>
              <w:spacing w:after="0"/>
              <w:rPr>
                <w:sz w:val="20"/>
                <w:szCs w:val="20"/>
                <w:color w:val="auto"/>
              </w:rPr>
            </w:pPr>
            <w:r>
              <w:rPr>
                <w:rFonts w:ascii="Arial" w:cs="Arial" w:eastAsia="Arial" w:hAnsi="Arial"/>
                <w:sz w:val="18"/>
                <w:szCs w:val="18"/>
                <w:color w:val="auto"/>
              </w:rPr>
              <w:t>Total Indefinite-Lived Intangible Assets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17,436.3</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17,436.1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20,259.1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20,351.4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September 30, 2009, other amortizable intangible assets consist of non-compete and service agreements. At December 31, 2008, other amortizable intangible assets consist primarily of non-compete and service agreements and trade names with limited lives.</w:t>
      </w:r>
    </w:p>
    <w:p>
      <w:pPr>
        <w:spacing w:after="0" w:line="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September 30, 2009, other indefinite-lived intangible assets consist of products in development. At December 31, 2008, other indefinite-lived intangible assets consist of products in development and a regulatory license.</w:t>
      </w:r>
    </w:p>
    <w:p>
      <w:pPr>
        <w:spacing w:after="0" w:line="132"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Total amortization expense for intangible assets was $30.7 million and $29.1 million for the quarters ended September 30, 2009 and 2008, respectively. Total amortization expense for intangible assets was $94.5 million and $63.2 million for the nine months ended September 30, 2009 and 2008, respectively. As of September 30, 2009, the future estimated amortization expense related to amortizable intangible assets is expected to be:</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6"/>
              </w:rPr>
              <w:t>(in millions)</w:t>
            </w:r>
          </w:p>
        </w:tc>
        <w:tc>
          <w:tcPr>
            <w:tcW w:w="234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210"/>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2010</w:t>
            </w:r>
          </w:p>
        </w:tc>
        <w:tc>
          <w:tcPr>
            <w:tcW w:w="2340" w:type="dxa"/>
            <w:vAlign w:val="bottom"/>
          </w:tcPr>
          <w:p>
            <w:pPr>
              <w:spacing w:after="0"/>
              <w:rPr>
                <w:sz w:val="18"/>
                <w:szCs w:val="18"/>
                <w:color w:val="auto"/>
              </w:rPr>
            </w:pPr>
          </w:p>
        </w:tc>
        <w:tc>
          <w:tcPr>
            <w:tcW w:w="65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340" w:type="dxa"/>
            <w:vAlign w:val="bottom"/>
            <w:shd w:val="clear" w:color="auto" w:fill="CCEEFF"/>
          </w:tcPr>
          <w:p>
            <w:pPr>
              <w:spacing w:after="0"/>
              <w:rPr>
                <w:sz w:val="18"/>
                <w:szCs w:val="18"/>
                <w:color w:val="auto"/>
              </w:rPr>
            </w:pP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2340" w:type="dxa"/>
            <w:vAlign w:val="bottom"/>
          </w:tcPr>
          <w:p>
            <w:pPr>
              <w:spacing w:after="0"/>
              <w:rPr>
                <w:sz w:val="18"/>
                <w:szCs w:val="18"/>
                <w:color w:val="auto"/>
              </w:rPr>
            </w:pPr>
          </w:p>
        </w:tc>
        <w:tc>
          <w:tcPr>
            <w:tcW w:w="654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340" w:type="dxa"/>
            <w:vAlign w:val="bottom"/>
            <w:shd w:val="clear" w:color="auto" w:fill="CCEEFF"/>
          </w:tcPr>
          <w:p>
            <w:pPr>
              <w:spacing w:after="0"/>
              <w:rPr>
                <w:sz w:val="18"/>
                <w:szCs w:val="18"/>
                <w:color w:val="auto"/>
              </w:rPr>
            </w:pP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2340" w:type="dxa"/>
            <w:vAlign w:val="bottom"/>
          </w:tcPr>
          <w:p>
            <w:pPr>
              <w:spacing w:after="0"/>
              <w:rPr>
                <w:sz w:val="18"/>
                <w:szCs w:val="18"/>
                <w:color w:val="auto"/>
              </w:rPr>
            </w:pPr>
          </w:p>
        </w:tc>
        <w:tc>
          <w:tcPr>
            <w:tcW w:w="654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6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r>
      <w:tr>
        <w:trPr>
          <w:trHeight w:val="363"/>
        </w:trPr>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40" w:type="dxa"/>
            <w:vAlign w:val="bottom"/>
          </w:tcPr>
          <w:p>
            <w:pPr>
              <w:jc w:val="right"/>
              <w:ind w:right="4612"/>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nine months ended September 30, 2009 and the year ended December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Balance at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3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Activity (c)</w:t>
            </w: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NYMEX Holdings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2,436.7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Total Goodwill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0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7,519.2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Balance at</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January 1,</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3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Activity (c)</w:t>
            </w: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Holdings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NYMEX Holdings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2,438.9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Swapstream</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5,049.2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2,499.5</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activity consists primarily of adjustments to restructuring costs and tax contingencies for CBOT Holdings and NYMEX Holdings, the recognition of excess tax benefits upon exercise of stock options assumed for CBOT Holdings and NYMEX Holdings, and foreign currency translation adjustments for CMA.</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2008, the company recorded a $3.2 million and an $11.9 million impairment charge to reduce the carrying amounts of Swapstream intangible assets and goodwill, respectively, to their estimated fair values based on the results of an annual impairment test.</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conducts goodwill and intangible asset impairment testing at least annually. The company is required to consider a market participant’s perspective when developing the assumptions used to estimate fair value for its impairment tests. It may be possible that the estimated fair value of certain intangible assets and goodwill may be less than net book value when impairment testing is performed in the future. As a result, the company would be required to record an impairment charge at that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Investments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its merger with NYMEX Holdings in August 2008, the company acquired an approximately 15% ownership interest in IMAREX ASA (IMAREX). The investment in IMAREX is accounted for as available for sale and is included in other assets in the consolidated balance sheets. At September 30, 2009, the company assessed its investment in IMAREX for other-than-temporary impairment and recognized an impairment charge of $22.4 million due to an extended and significant decline in the market value of IMAREX’s stock. At September 30, 2009, the carrying value of the investment after recognizing impairment was $19.0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60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6"/>
              </w:rPr>
              <w:t>$250 million floating rate notes due August 2009, interest equal to 3-month LIBOR plus 0.20%, reset quarterly</w:t>
            </w:r>
            <w:r>
              <w:rPr>
                <w:rFonts w:ascii="Arial" w:cs="Arial" w:eastAsia="Arial" w:hAnsi="Arial"/>
                <w:sz w:val="11"/>
                <w:szCs w:val="11"/>
                <w:color w:val="auto"/>
                <w:w w:val="96"/>
              </w:rPr>
              <w:t>(1)</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$300 million floating rate notes due August 2010, interest equal to 3-month LIBOR plus 0.65%, reset quarterly</w:t>
            </w:r>
            <w:r>
              <w:rPr>
                <w:rFonts w:ascii="Arial" w:cs="Arial" w:eastAsia="Arial" w:hAnsi="Arial"/>
                <w:sz w:val="11"/>
                <w:szCs w:val="11"/>
                <w:color w:val="auto"/>
                <w:w w:val="96"/>
              </w:rPr>
              <w:t>(2)</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3"/>
          </w:tcPr>
          <w:p>
            <w:pPr>
              <w:spacing w:after="0"/>
              <w:rPr>
                <w:sz w:val="20"/>
                <w:szCs w:val="20"/>
                <w:color w:val="auto"/>
              </w:rPr>
            </w:pPr>
            <w:r>
              <w:rPr>
                <w:rFonts w:ascii="Arial" w:cs="Arial" w:eastAsia="Arial" w:hAnsi="Arial"/>
                <w:sz w:val="18"/>
                <w:szCs w:val="18"/>
                <w:color w:val="auto"/>
              </w:rPr>
              <w:t>Total short-term debt</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299.7</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w w:val="96"/>
              </w:rPr>
              <w:t>$300 million floating rate notes due August 2010, interest equal to 3-month LIBOR plus 0.65%, reset quarterly</w:t>
            </w:r>
            <w:r>
              <w:rPr>
                <w:rFonts w:ascii="Arial" w:cs="Arial" w:eastAsia="Arial" w:hAnsi="Arial"/>
                <w:sz w:val="11"/>
                <w:szCs w:val="11"/>
                <w:color w:val="auto"/>
                <w:w w:val="96"/>
              </w:rPr>
              <w:t>(2)</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2011, interest equal to 3-month LIBOR plus 1%, reset quarterly</w:t>
            </w:r>
            <w:r>
              <w:rPr>
                <w:rFonts w:ascii="Arial" w:cs="Arial" w:eastAsia="Arial" w:hAnsi="Arial"/>
                <w:sz w:val="11"/>
                <w:szCs w:val="11"/>
                <w:color w:val="auto"/>
              </w:rPr>
              <w:t>(3)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$750 million fixed rate notes due August 2013, interest equal to 5.40%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747.9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 million fixed rate notes due February 2014, interest equal to 5.75%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1"/>
                <w:szCs w:val="11"/>
                <w:color w:val="auto"/>
              </w:rPr>
              <w:t>(4)</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October 2008, the company entered into an interest-rate swap agreement that modified the variable interest obligation associated with these notes so that the interest payable on the notes effectively became fixed at a rate of 3.12% beginning with the interest accrued after November 6, 2008.</w:t>
      </w:r>
    </w:p>
    <w:p>
      <w:pPr>
        <w:ind w:left="460" w:right="18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spacing w:after="0" w:line="1"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spacing w:after="0" w:line="1" w:lineRule="exact"/>
        <w:rPr>
          <w:rFonts w:ascii="Arial" w:cs="Arial" w:eastAsia="Arial" w:hAnsi="Arial"/>
          <w:sz w:val="16"/>
          <w:szCs w:val="16"/>
          <w:color w:val="auto"/>
        </w:rPr>
      </w:pPr>
    </w:p>
    <w:p>
      <w:pPr>
        <w:ind w:left="460" w:right="60" w:hanging="452"/>
        <w:spacing w:after="0" w:line="30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December 31, 2008, this was the portion of commercial paper backed by the three-year senior credit facility and the 364-day revolving bridge facility. Commercial paper backed by the revolving bridge facility was repaid in February 2009 with the net proceeds from the 5.75% fixed rate notes due February 2014. At September 30, 2009, this represented commercial paper backed by the three-year senior credit facility.</w:t>
      </w:r>
    </w:p>
    <w:p>
      <w:pPr>
        <w:spacing w:after="0" w:line="10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Commercial paper notes with an aggregate par value of $6.0 billion and maturities ranging from 1 to 94 days were issued during the nine months ended September 30, 2009. The weighted average discount rates for commercial paper outstanding at September 30, 2009 and December 31, 2008 were 0.22% and 2.61%, respectively. During the first nine</w:t>
      </w:r>
    </w:p>
    <w:p>
      <w:pPr>
        <w:sectPr>
          <w:pgSz w:w="11900" w:h="16838" w:orient="portrait"/>
          <w:cols w:equalWidth="0" w:num="1">
            <w:col w:w="11420"/>
          </w:cols>
          <w:pgMar w:left="240" w:top="459" w:right="239" w:bottom="333"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333"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months of 2009 and 2008, the weighted average balance, at par value, of commercial paper outstanding was $677.4 million and $271.0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September 30,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Arial" w:cs="Arial" w:eastAsia="Arial" w:hAnsi="Arial"/>
                <w:sz w:val="14"/>
                <w:szCs w:val="14"/>
                <w:i w:val="1"/>
                <w:iCs w:val="1"/>
                <w:color w:val="auto"/>
                <w:w w:val="98"/>
              </w:rPr>
              <w:t>(in millions)</w:t>
            </w:r>
          </w:p>
        </w:tc>
        <w:tc>
          <w:tcPr>
            <w:tcW w:w="107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10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10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10700" w:type="dxa"/>
            <w:vAlign w:val="bottom"/>
          </w:tcPr>
          <w:p>
            <w:pPr>
              <w:jc w:val="right"/>
              <w:spacing w:after="0"/>
              <w:rPr>
                <w:sz w:val="20"/>
                <w:szCs w:val="20"/>
                <w:color w:val="auto"/>
              </w:rPr>
            </w:pPr>
            <w:r>
              <w:rPr>
                <w:rFonts w:ascii="Arial" w:cs="Arial" w:eastAsia="Arial" w:hAnsi="Arial"/>
                <w:sz w:val="18"/>
                <w:szCs w:val="18"/>
                <w:color w:val="auto"/>
              </w:rPr>
              <w:t>750.0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Commercial paper is considered to mature in 2011 because it is backed by the three-year senior credit facility, which expires in 2011.</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September 30, 2009, the three-year senior credit facility was amended, at the company’s request, to reduce the aggregate amount of revolving commitments available from $995.0 million to $945.5 million and to reduce the minimum required amount of each request for an increase in revolving commitments from $25.0 million to $10.0 million.</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At September 30, 2009, the fair values of the $750.0 million fixed rate notes due 2013 and the $750.0 million fixed rate notes due 2014 were approximately $806.5 million and $822.7 million, respectively. Fair value was estimated using quoted market prices.</w:t>
      </w:r>
    </w:p>
    <w:p>
      <w:pPr>
        <w:spacing w:after="0" w:line="20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CBOT</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August 2007, subsequent to its merger with CBOT Holdings, the company approved and initiated plans to restructure its operations in order to eliminate redundant costs and improve operational efficiencies. Restructuring efforts include reductions in employee positions, the closure of duplicate facilities and consolidation of trading and other technologies. Total estimated restructuring costs of $29.6 million consist primarily of severance and transitional payments and contract termination penalties. Payments for restructuring costs related to the merger with CBOT Holdings were substantially complete by July 2008 from its inception. Through September 30, 2009, the company recorded restructuring expense of $11.2 million under this plan from its inception.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NYMEX</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October 2008, subsequent to its merger with NYMEX Holdings, the company approved and initiated plans to restructure its operations in order to eliminate redundant costs and improve operational efficiencies. Restructuring efforts include reductions in employee positions and consolidation of trading and other technologies.</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Total estimated restructuring costs of $47.3 million consist primarily of severance and transitional payments and contract termination payments. Payments for restructuring costs related to the merger with NYMEX Holdings were substantially complete by August 2009. Costs of $39.1 million were recognized as a liability in the allocation of NYMEX Holdings’ purchase price, and accordingly, have resulted in an increase to goodwill. In addition to costs recognized in purchase accounting, costs of $8.2 million have been or are expected to be recognized as restructuring expense over the service period required from transitional employees. Through September 30, 2009, the company recorded restructuring expense of $7.8 million under this plan from its inception.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Planned</w:t>
            </w:r>
          </w:p>
        </w:tc>
        <w:tc>
          <w:tcPr>
            <w:tcW w:w="3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on</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Liability at</w:t>
            </w:r>
          </w:p>
        </w:tc>
        <w:tc>
          <w:tcPr>
            <w:tcW w:w="1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Restructuring</w:t>
            </w:r>
          </w:p>
        </w:tc>
        <w:tc>
          <w:tcPr>
            <w:tcW w:w="380" w:type="dxa"/>
            <w:vAlign w:val="bottom"/>
          </w:tcPr>
          <w:p>
            <w:pPr>
              <w:spacing w:after="0"/>
              <w:rPr>
                <w:sz w:val="12"/>
                <w:szCs w:val="12"/>
                <w:color w:val="auto"/>
              </w:rPr>
            </w:pP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Deferred</w:t>
            </w: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Accrued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Cash</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7"/>
              <w:spacing w:after="0"/>
              <w:rPr>
                <w:sz w:val="20"/>
                <w:szCs w:val="20"/>
                <w:color w:val="auto"/>
              </w:rPr>
            </w:pPr>
            <w:r>
              <w:rPr>
                <w:rFonts w:ascii="Arial" w:cs="Arial" w:eastAsia="Arial" w:hAnsi="Arial"/>
                <w:sz w:val="14"/>
                <w:szCs w:val="14"/>
                <w:b w:val="1"/>
                <w:bCs w:val="1"/>
                <w:color w:val="auto"/>
              </w:rPr>
              <w:t>Costs</w:t>
            </w:r>
          </w:p>
        </w:tc>
        <w:tc>
          <w:tcPr>
            <w:tcW w:w="3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3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to Date</w:t>
            </w:r>
          </w:p>
        </w:tc>
        <w:tc>
          <w:tcPr>
            <w:tcW w:w="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8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related costs - CBOT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Severance and related costs - NYMEX</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terminations - CBOT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Contract terminations- NYMEX</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76.4</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437"/>
              <w:spacing w:after="0"/>
              <w:rPr>
                <w:sz w:val="20"/>
                <w:szCs w:val="20"/>
                <w:color w:val="auto"/>
              </w:rPr>
            </w:pPr>
            <w:r>
              <w:rPr>
                <w:rFonts w:ascii="Arial" w:cs="Arial" w:eastAsia="Arial" w:hAnsi="Arial"/>
                <w:sz w:val="18"/>
                <w:szCs w:val="18"/>
                <w:color w:val="auto"/>
                <w:w w:val="79"/>
              </w:rPr>
              <w:t>18</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Restructuring expense may change as the company executes its approved plans. Future increases in estimates will be recorded as an adjustment to operating expenses. Future decreases in estimates that were recognized as liabilities through the allocation of purchase price will continue to be recorded as adjustments to goodwill.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There were two purported class action complaints pending against the former NYMEX Holdings, the former NYMEX Holdings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CME Group in the Delaware Court of Chancery related to the merger between CME Group and NYMEX Holdings. One of the class actions was brought on behalf of the former NYMEX Holdings’ shareholders and the second class action was brought on behalf of the NYMEX Class A members. On September 30, 2009, the Delaware Court of Chancery granted the defendants’ motions to dismiss the shareholders’ and the NYMEX Class A members’ complaints. The court’s decision remains subject to appeal.</w:t>
      </w:r>
    </w:p>
    <w:p>
      <w:pPr>
        <w:spacing w:after="0" w:line="14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October 14,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On December 12, 2003, CBOT and CME filed separate motions to dismiss or, in the event the motion to dismiss is denied, to move the venue to the United States District Court for the Northern District of Illinois. On September 2, 2004, the judge granted CBOT’s and CME’s motions to transfer venue to the Northern District of Illinois. In light of that decision, the judge did not rule on the motions to dismiss. On March 25, 2005, Eurex U.S. filed a second amended complaint in the United States District Court for the Northern District of Illinois. On June 6, 2005, CME and CBOT filed a motion to dismiss the complaint. On August 25, 2005, the judge denied the joint CME/CBOT motion to dismiss. On April 9, 2007, CME and CBOT filed two joint motions for summary judgment. The parties continue to engage in discovery.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August 19,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effect on its consolidated financial position or results of operations.</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On August 5, 2009, the compensation committee and the board of directors of CME Group approved a revised employment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for Craig S. Donohue, the company’s Chief Executive Officer. In the event of a termination under certain circumstances, Mr. Donohue is entitled to a one-time lump sum severance payment equal to two times the sum of his then current base salary plus the amount of his threshold bonus (75% of his current base salary) under the company’s annual bonus incentive plan for that year. Under the terms of his agreement, Mr. Donohue will be entitled to receive a minimum annual base salary of $0.9 million for 2009 and of $1.0 million thereafter during the term of the agreement. This agreement expires on December 31, 2012, unless terminated sooner by the company or Mr. Donohue.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Guarantees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Guarantee of Exercise Rights Privileges. </w:t>
      </w:r>
      <w:r>
        <w:rPr>
          <w:rFonts w:ascii="Arial" w:cs="Arial" w:eastAsia="Arial" w:hAnsi="Arial"/>
          <w:sz w:val="18"/>
          <w:szCs w:val="18"/>
          <w:color w:val="auto"/>
        </w:rPr>
        <w:t>On August 23, 2006, CBOT Holdings and CBOT, along with a class consisting of certain CBOT full members,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lawsuit in the Court of Chancery of the State of Delaware against the Chicago Board Options Exchange, Inc. (CBOE). The lawsuit seeks to enforce and protect the exercise right privileges (ERP). The lawsuit alleges that these ERPs allow CBOT’s full members who hold them to become full members of CBOE and to participate on an equal basis with other members of CBOE in CBOE’s announced plans to demutualize. In July 2009, the court issued its final order approving the terms of the settlement. Pursuant to the terms of the settlement, holders of ERPs could submit a claim to participate in the settlement as a Class A or Class B settlement participant until October 14, 2008. Participating Class A members will share in an equity pool equal to 18% of the total common stock issued by CBOE in its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demutualization and will share in a cash pool of up to $300.0 million, subject to a cap of $600,000 per individual. Participating Class B members would be paid $250,000 per ERP. The settlement is in the process of being appealed. In connection with the CBOT Holdings merger, the company provided holders of ERPs the option of tendering their ERP to the company for $250,000 payable following the closing of the merger or to participate in the CBOE lawsuit with a guaranteed payment of up to $250,000 from the company if the lawsuit results in a recovery of less than that amount. The maximum possible aggregate payment under the company’s guarantee, assuming that all outstanding ERPs are paid $250,000 by the company, is $293.0 million. The liability under the guarantee, which is recorded at fair value in other liabilities in the consolidated balance sheets, was estimated at $1.2 million at September 30, 2009.</w:t>
      </w:r>
    </w:p>
    <w:p>
      <w:pPr>
        <w:spacing w:after="0" w:line="12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The original term of the renewed agreement was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October 2009. The term of the agreement will be successively renewed for one-year periods unless terminated in advance by either party. Pursuant to such renewals, the current term is through October 2010. Under this agreement, CME can maintain collateral in the form of U.S. Treasury securities or irrevocable letters of credit. At September 30, 2009, CME was contingently liable to SGX on irrevocable letters of credit totaling $33.0 million and had pledged securities with a fair value of $50.0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Payments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Total expense for stock-based payments, including shares issued to the board of directors, converted CBOT Holdings options and converted NYMEX Holdings options, was $25.5 million and $28.0 million for the nine months ended September 30, 2009 and 2008, respectively. The total income tax benefit recognized in the consolidated statements of income for stock-based payment arrangements was $10.2 million and $11.3 million for the nine months ended September 30, 2009 and 2008, respectively.</w:t>
      </w:r>
    </w:p>
    <w:p>
      <w:pPr>
        <w:spacing w:after="0" w:line="143"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the first nine months of 2009, the company granted employees stock options totaling 173,040 shares under the CME Group Omnibus Stock Plan. The options have a ten-year term with an exercise price ranging from $195 to $332 per share, the closing market prices on the dates of grant. The fair value of these options totaled $20.2 million, measured at the grant dates using the Black-Scholes valuation model, which is recognized as compensation expense on an accelerated basis over the vesting period. The Black-Scholes fair value of the option grant was calculated using the following assumptions: dividend yield ranging from 1.4% to</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2.4%; expected volatility ranging from 47% to 49%; risk-free interest rate ranging from 2.4% to 3.2% and expected life ranging from 6.2 to 6.5 years. The grant date weighted average fair value of options granted during the first nine months of 2009 was $117 per share.</w:t>
      </w:r>
    </w:p>
    <w:p>
      <w:pPr>
        <w:spacing w:after="0" w:line="13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the first nine months of 2009, the company also granted 81,629 shares of restricted Class A common stock which generally have a vesting period of two to five years. The fair value of these grants was $23.2 million, which is recognized as compensation expense on an accelerated basis over the vesting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Accounting guidance on fair value measurements and related disclosures provides direction for using fair value to measure assets and liabilities by defining fair value and establishing a framework for measuring fair value. The guidance creates a three-level hierarchy that establishes classification of fair value measurements for disclosure purposes.</w:t>
      </w:r>
    </w:p>
    <w:p>
      <w:pPr>
        <w:spacing w:after="0" w:line="59" w:lineRule="exact"/>
        <w:rPr>
          <w:sz w:val="20"/>
          <w:szCs w:val="20"/>
          <w:color w:val="auto"/>
        </w:rPr>
      </w:pPr>
    </w:p>
    <w:p>
      <w:pPr>
        <w:ind w:left="900" w:right="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In general, the company uses quoted prices in active markets for identical assets to determine the fair value of marketable securities, securities lending collateral and equity investments. Level 1 assets generally include U.S. Treasury securities, exchange-traded mutual funds, and publicly-traded equity securities. If quoted prices are not available to determine fair value, the company uses other inputs that are observable either directly or indirectly. Assets included in</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Level 2 consist primarily of U.S. Government agency securities, corporate bonds, municipal bonds, asset-backed securities and certain corporate bonds. Level 3 assets generally include certain corporate bonds and asset-backed securities. These assets have been valued using valuation models with inputs that are both observable and unobservable. The unobservable inputs used in these models are significant to the fair value of the assets and require management’s judgment.</w:t>
      </w:r>
    </w:p>
    <w:p>
      <w:pPr>
        <w:spacing w:after="0" w:line="8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determined the fair value of its interest rate swap contracts, considered Level 2 assets, using standard valuation models with market-based observable inputs including forward and spot exchange rates and interest rate curves.</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the fair value.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September 30, 2009 are classified in their entirety based on the lowest level of input that is significant to each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b w:val="1"/>
                <w:bCs w:val="1"/>
                <w:color w:val="auto"/>
                <w:w w:val="79"/>
              </w:rPr>
              <w:t>Level 2</w:t>
            </w:r>
          </w:p>
        </w:tc>
        <w:tc>
          <w:tcPr>
            <w:tcW w:w="2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nine months ended September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Asset-</w:t>
            </w:r>
          </w:p>
        </w:tc>
        <w:tc>
          <w:tcPr>
            <w:tcW w:w="3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4"/>
              </w:rPr>
              <w:t>Backed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ERP</w:t>
            </w:r>
          </w:p>
        </w:tc>
        <w:tc>
          <w:tcPr>
            <w:tcW w:w="0" w:type="dxa"/>
            <w:vAlign w:val="bottom"/>
          </w:tcPr>
          <w:p>
            <w:pPr>
              <w:spacing w:after="0"/>
              <w:rPr>
                <w:sz w:val="1"/>
                <w:szCs w:val="1"/>
                <w:color w:val="auto"/>
              </w:rPr>
            </w:pPr>
          </w:p>
        </w:tc>
      </w:tr>
      <w:tr>
        <w:trPr>
          <w:trHeight w:val="176"/>
        </w:trPr>
        <w:tc>
          <w:tcPr>
            <w:tcW w:w="93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Security </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 (liability)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 (liability) at September 30,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w w:val="95"/>
              </w:rPr>
              <w:t>Total unrealized gains (losses) related to financial assets and liabilities in the consolidated balance sheet at September 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3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2009</w:t>
            </w:r>
          </w:p>
        </w:tc>
        <w:tc>
          <w:tcPr>
            <w:tcW w:w="8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8"/>
        <w:spacing w:after="0" w:line="516" w:lineRule="auto"/>
        <w:tabs>
          <w:tab w:leader="none" w:pos="446"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This asset-backed security was transferred from the securities lending program investment portfolio to the marketable securities portfolio during June 2009. During the first nine months of 2009, CME Group did not record impairment on any assets or liabilities that are recorded at fair value on a nonrecurring basis.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earnings per common share is computed by dividing net income by the weighted average number of shares of all classes of common stock outstanding for each reporting period. Diluted earnings per common share reflects the increase in shares using the treasury stock method to reflect the impact of an equivalent number of shares of common stock if stock options were exercised and restricted stock awards were converted into common stock. Outstanding stock options and restricted stock awards of approximately 613,000 and 750,000 were anti-dilutive for the quarter and nine months ended September 30, 2009, respectively. Outstanding stock options of approximately 525,000 and 395,000 were anti-dilutive for the quarter and nine months ended September 30, 2008, respectively. There were no anti-dilutive restricted stock awards for the quarter and nine months ended September 30, 2008. These anti-dilutive shares were not included in the diluted earnings per common share calculations.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January 1, 2009, a change in accounting guidance requires the use of a two-class method to determine the impact of outstanding stock options and restricted stock awards on diluted earnings per common share. The company determined that the impact of using the two-class method is immaterial. If the impact becomes material, the company will change its application of the guidance.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(in thousands):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66,384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59,870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66,339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Effect of stock options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restricted stock awards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66,573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60,086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66,514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56,302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Basic</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9.39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has evaluated subsequent events through November 6, 2009, the date the financial statements were issued, and has determined that there are no subsequent events that require disclosure other than the following event:</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On October 9, 2009, CME amended its 364-day revolving line of credit, which may be used by its clearing house in certain situations. The amended credit agreement extends the termination date from October 9, 2009 to December 9,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Form 10-Q and CME Group’s Annual Report on Form 10-K for the year ended December 31, 2008.</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23, 2008, CME Group acquired Credit Market Analysis Limited and its wholly-owned subsidiaries (collectively, CMA). On August 22, 2008, NYMEX Holdings, Inc (NYMEX Holdings) merged with CME Group. The following Management’s Discussion and Analysis of Financial Condition and Results of Operations includes the financial results of CMA beginning on March 24, 2008, and the financial results of the former NYMEX Holdings beginning August 23, 2008.</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comparability of our operating results for the third quarter and first nine months of 2009 to the same periods in 2008 are significantly impacted by our merger with NYMEX Holdings. In the discussion and analysis that follows, we have quantified the incremental revenue and expense resulting from this transaction wherever such amounts were material and identifiable. While identifiable amounts may provide indications of general trends, the analysis cannot completely address the effects attributable to integration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 except per share data)</w:t>
            </w:r>
          </w:p>
        </w:tc>
        <w:tc>
          <w:tcPr>
            <w:tcW w:w="1780" w:type="dxa"/>
            <w:vAlign w:val="bottom"/>
          </w:tcPr>
          <w:p>
            <w:pPr>
              <w:spacing w:after="0"/>
              <w:rPr>
                <w:sz w:val="14"/>
                <w:szCs w:val="14"/>
                <w:color w:val="auto"/>
              </w:rPr>
            </w:pPr>
          </w:p>
        </w:tc>
        <w:tc>
          <w:tcPr>
            <w:tcW w:w="1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90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$650.4</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$680.9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1,945.3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1,869.2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540" w:type="dxa"/>
            <w:vAlign w:val="bottom"/>
            <w:gridSpan w:val="3"/>
          </w:tcPr>
          <w:p>
            <w:pPr>
              <w:jc w:val="right"/>
              <w:ind w:right="260"/>
              <w:spacing w:after="0"/>
              <w:rPr>
                <w:sz w:val="20"/>
                <w:szCs w:val="20"/>
                <w:color w:val="auto"/>
              </w:rPr>
            </w:pPr>
            <w:r>
              <w:rPr>
                <w:rFonts w:ascii="Arial" w:cs="Arial" w:eastAsia="Arial" w:hAnsi="Arial"/>
                <w:sz w:val="18"/>
                <w:szCs w:val="18"/>
                <w:color w:val="auto"/>
              </w:rPr>
              <w:t>249.0</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260.2</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758.7</w:t>
            </w: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704.9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540" w:type="dxa"/>
            <w:vAlign w:val="bottom"/>
            <w:gridSpan w:val="3"/>
          </w:tcPr>
          <w:p>
            <w:pPr>
              <w:jc w:val="right"/>
              <w:ind w:right="200"/>
              <w:spacing w:after="0"/>
              <w:rPr>
                <w:sz w:val="20"/>
                <w:szCs w:val="20"/>
                <w:color w:val="auto"/>
              </w:rPr>
            </w:pPr>
            <w:r>
              <w:rPr>
                <w:rFonts w:ascii="Arial" w:cs="Arial" w:eastAsia="Arial" w:hAnsi="Arial"/>
                <w:sz w:val="18"/>
                <w:szCs w:val="18"/>
                <w:color w:val="auto"/>
              </w:rPr>
              <w:t>$ (45.6)</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rPr>
              <w:t>$ (24.7)</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3"/>
          </w:tcPr>
          <w:p>
            <w:pPr>
              <w:jc w:val="right"/>
              <w:ind w:right="260"/>
              <w:spacing w:after="0"/>
              <w:rPr>
                <w:sz w:val="20"/>
                <w:szCs w:val="20"/>
                <w:color w:val="auto"/>
              </w:rPr>
            </w:pPr>
            <w:r>
              <w:rPr>
                <w:rFonts w:ascii="Arial" w:cs="Arial" w:eastAsia="Arial" w:hAnsi="Arial"/>
                <w:sz w:val="18"/>
                <w:szCs w:val="18"/>
                <w:color w:val="auto"/>
              </w:rPr>
              <w:t>$202.3</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$168.7</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623.2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653.4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3.04</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2.81</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737.8</w:t>
            </w: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862.7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90" w:lineRule="exact"/>
        <w:rPr>
          <w:sz w:val="20"/>
          <w:szCs w:val="20"/>
          <w:color w:val="auto"/>
        </w:rPr>
      </w:pPr>
    </w:p>
    <w:p>
      <w:pPr>
        <w:ind w:left="900" w:right="6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Incremental revenues generated by NYMEX products and services was the primary driver for the increase in operating revenues during the first nine months of 2009. Additional revenues were partially offset by a decrease in overall CME and CBOT trading volume as well as processing services. Our processing service agreement with NYMEX was terminated as a result of our merger. The decrease in operating revenue during the third quarter of 2009 was due to the overall decline in trading volumes. The decline was partially offset by a full quarter of revenue recognized for NYMEX in 2009.</w:t>
      </w:r>
    </w:p>
    <w:p>
      <w:pPr>
        <w:spacing w:after="0" w:line="61" w:lineRule="exact"/>
        <w:rPr>
          <w:rFonts w:ascii="Arial" w:cs="Arial" w:eastAsia="Arial" w:hAnsi="Arial"/>
          <w:sz w:val="18"/>
          <w:szCs w:val="18"/>
          <w:color w:val="auto"/>
        </w:rPr>
      </w:pPr>
    </w:p>
    <w:p>
      <w:pPr>
        <w:ind w:left="900" w:right="260" w:hanging="325"/>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first nine months of 2009, overall increases in operating expenses were attributable largely to increases in amortization of purchased intangibles, compensation and benefits costs as well as licensing and other fee agreements resulting from the merger with NYMEX Holdings. The overall decrease in operating expenses in the third quarter of 2009 was due primarily to the goodwill impairment charge related to our Swapsteam operations in the third quarter of 2008.</w:t>
      </w:r>
    </w:p>
    <w:p>
      <w:pPr>
        <w:spacing w:after="0" w:line="62"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non-operating expense was due primarily to an increase in interest expense and other borrowing costs resulting from debt issuances in August 2008 and February 2009 and an impairment loss on our investment in IMAREX ASA (IMAREX).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 to date, our effective tax rate in 2009 was consistent with the same period in 2008. We recorded a charge for the impact of our new combined state and local tax rates in the third quarter of 2008, which was offset by the favorable impact of an Illinois tax law change in the first quarter of 2008.</w:t>
      </w:r>
    </w:p>
    <w:p>
      <w:pPr>
        <w:spacing w:after="0" w:line="59"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first nine months of 2009, the decrease in diluted earnings per common share reflected the impact of common stock issuances made in conjunction with the NYMEX Holdings merger as well as the other impacts on net income discussed above.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decrease in revenues from CME and CBOT trading products also contributed to a decrease in cash flows from operating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7"/>
              </w:rPr>
              <w:t>Nine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1"/>
              </w:rPr>
              <w:t>Change</w:t>
            </w:r>
          </w:p>
        </w:tc>
        <w:tc>
          <w:tcPr>
            <w:tcW w:w="140" w:type="dxa"/>
            <w:vAlign w:val="bottom"/>
          </w:tcPr>
          <w:p>
            <w:pPr>
              <w:spacing w:after="0"/>
              <w:rPr>
                <w:sz w:val="14"/>
                <w:szCs w:val="14"/>
                <w:color w:val="auto"/>
              </w:rPr>
            </w:pPr>
          </w:p>
        </w:tc>
        <w:tc>
          <w:tcPr>
            <w:tcW w:w="14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 fees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$540.6</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$558.7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81.4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75.7</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192.3</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10.9</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6760" w:type="dxa"/>
            <w:vAlign w:val="bottom"/>
            <w:gridSpan w:val="3"/>
          </w:tcPr>
          <w:p>
            <w:pPr>
              <w:spacing w:after="0"/>
              <w:rPr>
                <w:sz w:val="20"/>
                <w:szCs w:val="20"/>
                <w:color w:val="auto"/>
              </w:rPr>
            </w:pPr>
            <w:r>
              <w:rPr>
                <w:rFonts w:ascii="Arial" w:cs="Arial" w:eastAsia="Arial" w:hAnsi="Arial"/>
                <w:sz w:val="18"/>
                <w:szCs w:val="18"/>
                <w:color w:val="auto"/>
              </w:rPr>
              <w:t>Total Operating Revenues</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650.4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680.9</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1,945.3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1,869.2</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u w:val="single" w:color="auto"/>
          <w:color w:val="auto"/>
        </w:rPr>
        <w:t>Clearing and Transaction Fees.</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revenues in the third quarter of 2009 was attributable primarily to an overall decline in trading volumes.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the decline in revenues was partially offset by an increase in the average rate per contract as well as incremental volume generated from NYMEX products and CME ClearPort services in the third quarter of 2009 when compared with the third quarter of 2008. During the first nine months of 2009, the increase in revenues is attributable to an increase in the average rate per contract and the incremental trading volume generated by NYMEX products and CME ClearPort services. This increase was partially offset by a decline in CME and CBOT product trading volume in the first nine months of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Volume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summarizes average daily volume. For comparative purposes, CME, CBOT and NYMEX products have been presented separately. The 2008 average daily volume for NYMEX products has been calculated for the period August 23 through September 30, 2008. All amounts exclude TRAKRS, Swapstream and Hurricane Risk Landfall Option (HuRLO) contracts.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Quarter Ended</w:t>
            </w: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(amounts in thousands)</w:t>
            </w: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1"/>
              </w:rPr>
              <w:t>Change</w:t>
            </w:r>
          </w:p>
        </w:tc>
        <w:tc>
          <w:tcPr>
            <w:tcW w:w="13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Products and Services Average Daily Volume:</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1,961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2,948</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(34)</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1,823</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3,224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3,596</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2,883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3,341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3"/>
        </w:trPr>
        <w:tc>
          <w:tcPr>
            <w:tcW w:w="654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3"/>
        </w:trPr>
        <w:tc>
          <w:tcPr>
            <w:tcW w:w="6540" w:type="dxa"/>
            <w:vAlign w:val="bottom"/>
            <w:gridSpan w:val="3"/>
          </w:tcPr>
          <w:p>
            <w:pPr>
              <w:spacing w:after="0"/>
              <w:rPr>
                <w:sz w:val="20"/>
                <w:szCs w:val="20"/>
                <w:color w:val="auto"/>
              </w:rPr>
            </w:pPr>
            <w:r>
              <w:rPr>
                <w:rFonts w:ascii="Arial" w:cs="Arial" w:eastAsia="Arial" w:hAnsi="Arial"/>
                <w:sz w:val="18"/>
                <w:szCs w:val="18"/>
                <w:color w:val="auto"/>
              </w:rPr>
              <w:t>Commodity and alternative investment:</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CBOT</w:t>
            </w:r>
          </w:p>
        </w:tc>
        <w:tc>
          <w:tcPr>
            <w:tcW w:w="400" w:type="dxa"/>
            <w:vAlign w:val="bottom"/>
          </w:tcPr>
          <w:p>
            <w:pPr>
              <w:jc w:val="right"/>
              <w:spacing w:after="0"/>
              <w:rPr>
                <w:sz w:val="20"/>
                <w:szCs w:val="20"/>
                <w:color w:val="auto"/>
              </w:rPr>
            </w:pPr>
            <w:r>
              <w:rPr>
                <w:rFonts w:ascii="Arial" w:cs="Arial" w:eastAsia="Arial" w:hAnsi="Arial"/>
                <w:sz w:val="18"/>
                <w:szCs w:val="18"/>
                <w:color w:val="auto"/>
              </w:rPr>
              <w:t>623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(14)</w:t>
            </w:r>
          </w:p>
        </w:tc>
        <w:tc>
          <w:tcPr>
            <w:tcW w:w="440" w:type="dxa"/>
            <w:vAlign w:val="bottom"/>
          </w:tcPr>
          <w:p>
            <w:pPr>
              <w:jc w:val="right"/>
              <w:spacing w:after="0"/>
              <w:rPr>
                <w:sz w:val="20"/>
                <w:szCs w:val="20"/>
                <w:color w:val="auto"/>
              </w:rPr>
            </w:pPr>
            <w:r>
              <w:rPr>
                <w:rFonts w:ascii="Arial" w:cs="Arial" w:eastAsia="Arial" w:hAnsi="Arial"/>
                <w:sz w:val="18"/>
                <w:szCs w:val="18"/>
                <w:color w:val="auto"/>
              </w:rPr>
              <w:t>655</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(including CME ClearPort):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NYMEX</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3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1,476</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 (including CME ClearPort):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NYMEX</w:t>
            </w: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(25)</w:t>
            </w:r>
          </w:p>
        </w:tc>
        <w:tc>
          <w:tcPr>
            <w:tcW w:w="440" w:type="dxa"/>
            <w:vAlign w:val="bottom"/>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5,723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7,489</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(24)</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5,946</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7,784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4,235</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NYMEX</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1,758</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1,680</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1,758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Volume:</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CME</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6,426</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(23)</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5,111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6,503</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CBOT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3,409</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NYMEX</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1,054</w:t>
            </w:r>
          </w:p>
        </w:tc>
        <w:tc>
          <w:tcPr>
            <w:tcW w:w="3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1,054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Electronic Volume as a Percentage of Total Average</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5220" w:type="dxa"/>
            <w:vAlign w:val="bottom"/>
          </w:tcPr>
          <w:p>
            <w:pPr>
              <w:ind w:left="440"/>
              <w:spacing w:after="0"/>
              <w:rPr>
                <w:sz w:val="20"/>
                <w:szCs w:val="20"/>
                <w:color w:val="auto"/>
              </w:rPr>
            </w:pPr>
            <w:r>
              <w:rPr>
                <w:rFonts w:ascii="Arial" w:cs="Arial" w:eastAsia="Arial" w:hAnsi="Arial"/>
                <w:sz w:val="18"/>
                <w:szCs w:val="18"/>
                <w:color w:val="auto"/>
              </w:rPr>
              <w:t>Daily Volume</w:t>
            </w:r>
          </w:p>
        </w:tc>
        <w:tc>
          <w:tcPr>
            <w:tcW w:w="2100" w:type="dxa"/>
            <w:vAlign w:val="bottom"/>
          </w:tcPr>
          <w:p>
            <w:pPr>
              <w:jc w:val="right"/>
              <w:ind w:right="152"/>
              <w:spacing w:after="0"/>
              <w:rPr>
                <w:sz w:val="20"/>
                <w:szCs w:val="20"/>
                <w:color w:val="auto"/>
              </w:rPr>
            </w:pPr>
            <w:r>
              <w:rPr>
                <w:rFonts w:ascii="Arial" w:cs="Arial" w:eastAsia="Arial" w:hAnsi="Arial"/>
                <w:sz w:val="18"/>
                <w:szCs w:val="18"/>
                <w:color w:val="auto"/>
              </w:rPr>
              <w:t>80%</w:t>
            </w:r>
          </w:p>
        </w:tc>
        <w:tc>
          <w:tcPr>
            <w:tcW w:w="1260" w:type="dxa"/>
            <w:vAlign w:val="bottom"/>
          </w:tcPr>
          <w:p>
            <w:pPr>
              <w:jc w:val="right"/>
              <w:ind w:right="612"/>
              <w:spacing w:after="0"/>
              <w:rPr>
                <w:sz w:val="20"/>
                <w:szCs w:val="20"/>
                <w:color w:val="auto"/>
              </w:rPr>
            </w:pPr>
            <w:r>
              <w:rPr>
                <w:rFonts w:ascii="Arial" w:cs="Arial" w:eastAsia="Arial" w:hAnsi="Arial"/>
                <w:sz w:val="18"/>
                <w:szCs w:val="18"/>
                <w:color w:val="auto"/>
              </w:rPr>
              <w:t>81%</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80%</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third quarter and first nine months of 2009, when compared with the same periods in 2008, a decrease in interest rate products volume contributed to a decline in overall volume. This decrease in overall volume was partially offset by the incremental volume generated from NYMEX products and CME ClearPort services. In the following discussion on volume, changes in NYMEX and CME ClearPort volumes are calculated using volume for the entire year in 2008. NYMEX and CME ClearPort volumes generated prior to the merger date do not correspond to revenues recognized by CME Group.</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overall decline in interest rate volume was due largely to the credit crisis and the Federal Reserve Bank’s zero interest rate policy for short-term interest rates. We expect to continue to see lower interest rate trading volume in 2009 when compared with 2008 as long as these conditions are present and there are no offsetting events or circumstances.</w:t>
      </w:r>
    </w:p>
    <w:p>
      <w:pPr>
        <w:spacing w:after="0" w:line="59"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following table summarizes average daily volume and changes in average daily volume relative to the same periods in 2008 for our key interest rate products.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1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Quarter Ended</w:t>
            </w:r>
          </w:p>
        </w:tc>
        <w:tc>
          <w:tcPr>
            <w:tcW w:w="178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18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5"/>
              </w:rPr>
              <w:t>September 30, 2009</w:t>
            </w:r>
          </w:p>
        </w:tc>
        <w:tc>
          <w:tcPr>
            <w:tcW w:w="178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Daily</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Daily</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40" w:type="dxa"/>
            <w:vAlign w:val="bottom"/>
            <w:gridSpan w:val="3"/>
          </w:tcPr>
          <w:p>
            <w:pPr>
              <w:spacing w:after="0"/>
              <w:rPr>
                <w:sz w:val="20"/>
                <w:szCs w:val="20"/>
                <w:color w:val="auto"/>
              </w:rPr>
            </w:pPr>
            <w:r>
              <w:rPr>
                <w:rFonts w:ascii="Arial" w:cs="Arial" w:eastAsia="Arial" w:hAnsi="Arial"/>
                <w:sz w:val="14"/>
                <w:szCs w:val="14"/>
                <w:i w:val="1"/>
                <w:iCs w:val="1"/>
                <w:color w:val="auto"/>
              </w:rPr>
              <w:t>(amounts in thousands)</w:t>
            </w: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Volume</w:t>
            </w: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Volume</w:t>
            </w:r>
          </w:p>
        </w:tc>
        <w:tc>
          <w:tcPr>
            <w:tcW w:w="4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2"/>
              </w:rPr>
              <w:t>Eurodollar futures</w:t>
            </w:r>
          </w:p>
        </w:tc>
        <w:tc>
          <w:tcPr>
            <w:tcW w:w="5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1,815</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Eurodollar options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645</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(14)</w:t>
            </w:r>
          </w:p>
        </w:tc>
        <w:tc>
          <w:tcPr>
            <w:tcW w:w="560" w:type="dxa"/>
            <w:vAlign w:val="bottom"/>
          </w:tcPr>
          <w:p>
            <w:pPr>
              <w:jc w:val="right"/>
              <w:spacing w:after="0"/>
              <w:rPr>
                <w:sz w:val="20"/>
                <w:szCs w:val="20"/>
                <w:color w:val="auto"/>
              </w:rPr>
            </w:pPr>
            <w:r>
              <w:rPr>
                <w:rFonts w:ascii="Arial" w:cs="Arial" w:eastAsia="Arial" w:hAnsi="Arial"/>
                <w:sz w:val="18"/>
                <w:szCs w:val="18"/>
                <w:color w:val="auto"/>
              </w:rPr>
              <w:t>655</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futures and options: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10-Year</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938</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(26)</w:t>
            </w:r>
          </w:p>
        </w:tc>
        <w:tc>
          <w:tcPr>
            <w:tcW w:w="560" w:type="dxa"/>
            <w:vAlign w:val="bottom"/>
          </w:tcPr>
          <w:p>
            <w:pPr>
              <w:jc w:val="right"/>
              <w:spacing w:after="0"/>
              <w:rPr>
                <w:sz w:val="20"/>
                <w:szCs w:val="20"/>
                <w:color w:val="auto"/>
              </w:rPr>
            </w:pPr>
            <w:r>
              <w:rPr>
                <w:rFonts w:ascii="Arial" w:cs="Arial" w:eastAsia="Arial" w:hAnsi="Arial"/>
                <w:sz w:val="18"/>
                <w:szCs w:val="18"/>
                <w:color w:val="auto"/>
              </w:rPr>
              <w:t>893</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5-Year</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30-Year</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299</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(30)</w:t>
            </w:r>
          </w:p>
        </w:tc>
        <w:tc>
          <w:tcPr>
            <w:tcW w:w="560" w:type="dxa"/>
            <w:vAlign w:val="bottom"/>
          </w:tcPr>
          <w:p>
            <w:pPr>
              <w:jc w:val="right"/>
              <w:spacing w:after="0"/>
              <w:rPr>
                <w:sz w:val="20"/>
                <w:szCs w:val="20"/>
                <w:color w:val="auto"/>
              </w:rPr>
            </w:pPr>
            <w:r>
              <w:rPr>
                <w:rFonts w:ascii="Arial" w:cs="Arial" w:eastAsia="Arial" w:hAnsi="Arial"/>
                <w:sz w:val="18"/>
                <w:szCs w:val="18"/>
                <w:color w:val="auto"/>
              </w:rPr>
              <w:t>287</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2-Year</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We believe the decrease in volume for Eurodollar futures and options is attributable to the zero interest rate policy and increased risk aversion following the credit crisis, which have reduced certain customers’ ability or need to assume and maintain positions.</w:t>
      </w:r>
    </w:p>
    <w:p>
      <w:pPr>
        <w:spacing w:after="0" w:line="51"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The overall decline in U.S. Treasury note futures and options volume is believed to be caused by the credit crisis, which has resulted in reduced corporate debt issuances, reduced mortgage issuances and refinancing activity, a slowdown in U.S. Treasury cash market trading in the third quarter of 2009 when compared with the third quarter 2008 as well as the Federal Reserve Bank’s purchase of U.S. Treasury securities. In addition, market participants’ need to hedge interest rate risk has been reduced by the current zero interest rate policy.</w:t>
      </w:r>
    </w:p>
    <w:p>
      <w:pPr>
        <w:spacing w:after="0" w:line="32"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During the second and third quarter of 2009, overall interest rate product volume has increased relative to the first quarter of 2009. We believe that these increases were due to increasing stability in the macroeconomic climate.</w:t>
      </w:r>
    </w:p>
    <w:p>
      <w:pPr>
        <w:sectPr>
          <w:pgSz w:w="11900" w:h="16838" w:orient="portrait"/>
          <w:cols w:equalWidth="0" w:num="1">
            <w:col w:w="11420"/>
          </w:cols>
          <w:pgMar w:left="240" w:top="459" w:right="239" w:bottom="441"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441"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jc w:val="both"/>
        <w:ind w:left="460" w:right="40"/>
        <w:spacing w:after="0" w:line="294" w:lineRule="auto"/>
        <w:rPr>
          <w:sz w:val="20"/>
          <w:szCs w:val="20"/>
          <w:color w:val="auto"/>
        </w:rPr>
      </w:pPr>
      <w:r>
        <w:rPr>
          <w:rFonts w:ascii="Arial" w:cs="Arial" w:eastAsia="Arial" w:hAnsi="Arial"/>
          <w:sz w:val="16"/>
          <w:szCs w:val="16"/>
          <w:color w:val="auto"/>
        </w:rPr>
        <w:t>During the third quarter of 2009, volume for E-mini S&amp;P 500 contracts decreased by 24% to 2.1 million contracts per day and average daily volume for E-mini NASDAQ 100 contracts declined 35% to 0.3 million contracts. Volumes in the third quarter of 2009 declined as a result of decreased levels of market volatility compared with previous quarters in 2009. Average volatility, as measured by the CBOE Volatility Index, decreased to 25% in the third quarter of 2009 compared with 39% in the first six months of 2009. Additionally, the decline in volume was attributable to the termination of Russell-based contracts. Trading volume for Russell-based contracts averaged 0.2 million per day in the third quarter of 2008.</w:t>
      </w:r>
    </w:p>
    <w:p>
      <w:pPr>
        <w:spacing w:after="0" w:line="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Year to date, average daily volume for E-mini equity products decreased by 13% to 2.8 million contracts when compared with the same period in 2008. The termination of our license to list Russell-based contracts contributed to the decline in overall E-mini equity volume. Russell-based contracts trading volume averaged 0.3 million contracts per day for the first nine months of 2008. In addition, volume for the E-mini NASDAQ 100 contracts decreased by 27% to an average of 0.3 million contracts per day during the first nine months of 2009. Trading volume for E-mini S&amp;P 500 contracts during the first nine months of 2009 remained consistent with the same period in 2008.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Exchange Products</w:t>
      </w:r>
    </w:p>
    <w:p>
      <w:pPr>
        <w:spacing w:after="0" w:line="90"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We believe that the decline in average daily volume for foreign exchange products during the first nine months of 2009, when compared with the same period in 2008, is due largely to extreme market volatility, convergence of global interest rates and increased risk aversion by market participants resulting from the credit crisis.</w:t>
      </w:r>
    </w:p>
    <w:p>
      <w:pPr>
        <w:spacing w:after="0" w:line="59"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The following table summarizes average daily volume and changes in average daily volume relative to the same period in 2008 for our top foreign exchange futures and options products.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1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Quarter Ended</w:t>
            </w: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7"/>
              </w:rPr>
              <w:t>September 30, 2009</w:t>
            </w: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September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Average</w:t>
            </w:r>
          </w:p>
        </w:tc>
        <w:tc>
          <w:tcPr>
            <w:tcW w:w="5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Daily</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Daily</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i w:val="1"/>
                <w:iCs w:val="1"/>
                <w:color w:val="auto"/>
              </w:rPr>
              <w:t>(amounts in thousands)</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Volume</w:t>
            </w:r>
          </w:p>
        </w:tc>
        <w:tc>
          <w:tcPr>
            <w:tcW w:w="12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Change</w:t>
            </w: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Volume</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5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British pound</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Japanese yen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Australian dollar</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We attribute the decline in average daily volume in the third quarter and first nine months of 2009 for our Euro and Japanese yen products to the convergence of interest rates towards zero between the European, United States and Japanese markets. The growth in trading volume of the British pound, Australian dollar and Canadian dollar is attributable to a divergence between interest rates in the United States and the interest rates in the British, Australian and Canadian markets.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and Alternative Investment Products</w:t>
      </w:r>
    </w:p>
    <w:p>
      <w:pPr>
        <w:spacing w:after="0" w:line="90" w:lineRule="exact"/>
        <w:rPr>
          <w:sz w:val="20"/>
          <w:szCs w:val="20"/>
          <w:color w:val="auto"/>
        </w:rPr>
      </w:pPr>
    </w:p>
    <w:p>
      <w:pPr>
        <w:jc w:val="both"/>
        <w:ind w:left="460" w:right="180"/>
        <w:spacing w:after="0" w:line="306" w:lineRule="auto"/>
        <w:rPr>
          <w:sz w:val="20"/>
          <w:szCs w:val="20"/>
          <w:color w:val="auto"/>
        </w:rPr>
      </w:pPr>
      <w:r>
        <w:rPr>
          <w:rFonts w:ascii="Arial" w:cs="Arial" w:eastAsia="Arial" w:hAnsi="Arial"/>
          <w:sz w:val="16"/>
          <w:szCs w:val="16"/>
          <w:color w:val="auto"/>
        </w:rPr>
        <w:t>We believe the overall average daily volume for commodity and alternative investments products decreased during the third quarter and first nine months of 2009 when compared with the same periods in 2008 due largely to a decrease in market volatility and decreased demand for commodity products as a result of the credit crisis. We believe the credit crisis has reduced certain customers’ ability or need to assume and maintain positions.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Energy (including CME ClearPort)</w:t>
      </w:r>
    </w:p>
    <w:p>
      <w:pPr>
        <w:spacing w:after="0" w:line="90" w:lineRule="exact"/>
        <w:rPr>
          <w:sz w:val="20"/>
          <w:szCs w:val="20"/>
          <w:color w:val="auto"/>
        </w:rPr>
      </w:pPr>
    </w:p>
    <w:p>
      <w:pPr>
        <w:ind w:left="460" w:right="280"/>
        <w:spacing w:after="0" w:line="298" w:lineRule="auto"/>
        <w:rPr>
          <w:sz w:val="20"/>
          <w:szCs w:val="20"/>
          <w:color w:val="auto"/>
        </w:rPr>
      </w:pPr>
      <w:r>
        <w:rPr>
          <w:rFonts w:ascii="Arial" w:cs="Arial" w:eastAsia="Arial" w:hAnsi="Arial"/>
          <w:sz w:val="16"/>
          <w:szCs w:val="16"/>
          <w:color w:val="auto"/>
        </w:rPr>
        <w:t>Energy products primarily consist of crude oil, natural gas, power and other energy-related exchange-traded contracts and over-the-counter contracts cleared through CME ClearPort. Average daily volume for energy contracts cleared through CME ClearPort increased by 1% and 18% to 0.5 million contracts in the third quarter and first nine months of 2009, respectively, when compared with the same periods in 2008 as market participants looked to mitigate counterparty risk on their over-the-counter exposures through central counterparty clearing.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Metal (including CME ClearPort)</w:t>
      </w:r>
    </w:p>
    <w:p>
      <w:pPr>
        <w:spacing w:after="0" w:line="90"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Metal products generally include gold, silver and other precious and base metals. During the third quarter and first nine months of 2009, we believe metal products volume decreased by 24% and 15% to 0.2 million contracts per day, respectively, when compared with the same periods in 2008 due primarily to lower volatility and decreased demand for metal products as a result of the credit crisis.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 increase in the average rate per contract favorably impacted revenues in the third quarter and first nine months of 2009 when compared with the same periods in 2008. All amounts in the following table exclude TRAKRS, Swapstream and HuRLO products.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57"/>
              <w:spacing w:after="0"/>
              <w:rPr>
                <w:sz w:val="20"/>
                <w:szCs w:val="20"/>
                <w:color w:val="auto"/>
              </w:rPr>
            </w:pPr>
            <w:r>
              <w:rPr>
                <w:rFonts w:ascii="Arial" w:cs="Arial" w:eastAsia="Arial" w:hAnsi="Arial"/>
                <w:sz w:val="14"/>
                <w:szCs w:val="14"/>
                <w:b w:val="1"/>
                <w:bCs w:val="1"/>
                <w:color w:val="auto"/>
                <w:w w:val="91"/>
              </w:rPr>
              <w:t>Nine Months Ended</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237"/>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2,317.3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$540.5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$558.6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1,605.1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1,541.9</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$0.834</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$0.720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During the third quarter of 2009, the average rate per contract increased when compared with the same periods in 2008 due to the incremental impact of NYMEX products and CME ClearPort services. The average rates per contract for NYMEX products and CME ClearPort services were $1.495 and $2.304, respectively, in the third quarter of 2009. The average rates per contract for NYMEX products and CME ClearPort services were $1.508 and $2.161, respectively, for the period August 23, 2008 through September 30, 2008. The increase in average rate per contract was partially offset by an increase in member and special program volume as a percentage of total volume to 84% from 82%. Member volume and special program volume earn a lower rate compared with non-member volume.</w:t>
      </w:r>
    </w:p>
    <w:p>
      <w:pPr>
        <w:spacing w:after="0" w:line="10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average rate per contract increased in the first nine months of 2009 due to the addition of NYMEX products and CME ClearPort services to our existing product line, which had an average rate per contract of $1.537 and $1.992, respectively, in the first nine months of 2009. Additionally, the average rate per contract increased due to a lower portion of CME and CBOT interest rate products as a percentage of total volume compared with CME and CBOT equity products, which have a higher rate per contract. As a percentage of volume, equity products trading volume increased by 6% in the first nine months of 2009, while interest rate products volume decreased by 8% when compared with the same periods in 2008. The increase in average rate per contract during the first nine months of 2009 was partially offset by a decrease in the average rate per contract for E-mini S&amp;P futures and options because incremental volume during the first nine months of 2009 exceeded the fee cap on volume traded on the CME Globex platform.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Volume/Rate Analysis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Average rate per contract is impacted by our rate structure, which includes volume-based incentives; product mix; trading venue, and the percentage of trading volume executed by customers who are members compared with non-member customers. Due to the relationship between average rate per contract and volume, the change in revenues attributable to changes in each is only an approximation. Using the total volume and average rate per contract data provided in the table above, we estimate that clearing and transaction fees revenue increased by $87.9 million due to the increase in average rate per contract and decreased by $106.0 million due to the decline in total volume, resulting in a net decrease in revenues in the third quarter of 2009 of $18.1 million. For the first nine months of 2009, we estimate that clearing and transaction fees revenue increased by $385.8 million due to the increase in average rate per contract and decreased by $322.6 million due to a decline in total volume, resulting in a net increase in revenues of $63.2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bill a substantial portion of our clearing and transaction fees to our clearing firms. The majority of clearing and transaction fees received from clearing firms represent charges for trades executed and cleared on behalf of their customers. As of September 30, 2009, we had approximately 130 clearing firms. Two firms represented 13% and 11% of our clearing and transaction fees revenue in the first nine months of 2009.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Quotation Data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revenue in the third quarter and first nine months of 2009 were due to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left="44"/>
              <w:spacing w:after="0"/>
              <w:rPr>
                <w:sz w:val="20"/>
                <w:szCs w:val="20"/>
                <w:color w:val="auto"/>
              </w:rPr>
            </w:pPr>
            <w:r>
              <w:rPr>
                <w:rFonts w:ascii="Arial" w:cs="Arial" w:eastAsia="Arial" w:hAnsi="Arial"/>
                <w:sz w:val="14"/>
                <w:szCs w:val="14"/>
                <w:b w:val="1"/>
                <w:bCs w:val="1"/>
                <w:color w:val="auto"/>
                <w:w w:val="88"/>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 except monthly fee per device)</w:t>
            </w:r>
          </w:p>
        </w:tc>
        <w:tc>
          <w:tcPr>
            <w:tcW w:w="100" w:type="dxa"/>
            <w:vAlign w:val="bottom"/>
          </w:tcPr>
          <w:p>
            <w:pPr>
              <w:spacing w:after="0"/>
              <w:rPr>
                <w:sz w:val="14"/>
                <w:szCs w:val="14"/>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left="24"/>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404,000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358,000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420,000</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319,000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Basic device monthly fee per device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Estimated increase in revenues due to an increase in screen 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Data feed surcharges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Vendor licensing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Vendor audit assessments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CBOT and NYMEX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CMA services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increase in revenues was attributable to incremental revenues of $12.5 million and $61.3 million generated from NYMEX services in the third quarter and first nine months of 2009, respectively, when compared with the same periods in 2008. Incremental revenues from NYMEX services were partially offset by a decrease in CME and CBOT revenues. Average basic device screen counts for existing CME and CBOT customers declined in the third quarter and first nine months of 2009 due primarily to cost-cutting initiatives at customer firms. The decrease in vendor audit assessments in the third quarter and first nine months of 2009 was due primarily to $4.4 million of assessments recognized in the third quarter of 2008 related to audits of customer-reported device counts. This represented revenue that would have otherwise been recognized in prior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2010, all users of our basic service will pay $61 per month for each basic device.</w:t>
      </w:r>
    </w:p>
    <w:p>
      <w:pPr>
        <w:spacing w:after="0" w:line="171"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The two largest resellers of our market data represented approximately 55% of our quotation data fees in the first nine months of 2009. However, we consider exposure to significant risk of revenue loss to be minimal despite this concentration.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the two largest resellers report usage and remit payment of quotation data fees directly to us.</w:t>
      </w:r>
    </w:p>
    <w:p>
      <w:pPr>
        <w:spacing w:after="0" w:line="11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u w:val="single" w:color="auto"/>
          <w:color w:val="auto"/>
        </w:rPr>
        <w:t>Processing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revenues in the third quarter and first nine months of 2009, when compared with the same periods in 2008, is attributable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termination of our prior service agreement with NYMEX as a result of our merger. Our trade matching agreement with NYMEX generated revenues of $10.7 million and $45.7 million in the third quarter and first nine months of 2008, respectively. In addition, we agreed to terminate the operations of FXMarketSpace Limited (FXMS), our joint venture with Reuters, during the third quarter of 2008. As a result, we recognized $6.6 million in the third quarter of 2008 for upfront fees paid by FXMS for clearing and trade matching services that would have otherwise been recognized through January 2012. For the quarter-to-date and year-to-date periods, revenue from services provided to FXMS totaled $7.1 million and $8.1 million, respectively, in 2008.</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u w:val="single" w:color="auto"/>
          <w:color w:val="auto"/>
        </w:rPr>
        <w:t>Access and Communication Fees.</w:t>
      </w:r>
      <w:r>
        <w:rPr>
          <w:rFonts w:ascii="Arial" w:cs="Arial" w:eastAsia="Arial" w:hAnsi="Arial"/>
          <w:sz w:val="16"/>
          <w:szCs w:val="16"/>
          <w:i w:val="1"/>
          <w:iCs w:val="1"/>
          <w:color w:val="auto"/>
        </w:rPr>
        <w:t xml:space="preserve"> </w:t>
      </w:r>
      <w:r>
        <w:rPr>
          <w:rFonts w:ascii="Arial" w:cs="Arial" w:eastAsia="Arial" w:hAnsi="Arial"/>
          <w:sz w:val="16"/>
          <w:szCs w:val="16"/>
          <w:color w:val="auto"/>
        </w:rPr>
        <w:t>The growth in revenues for the first nine months of 2009 when compared with the same period in the prior year was attributable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the ongoing upgrade of customer bandwidth connections and our co-location program. The increase in revenues was partially offset by a decrease in trading floor-related fees resulting from the consolidation of our Chicago trading floors in mid-2008.</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u w:val="single" w:color="auto"/>
          <w:color w:val="auto"/>
        </w:rPr>
        <w:t>Other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rental income and associated revenues generated from building operations acquired in our merger with NYMEX Holdings were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drivers of the increase in revenues in first nine months of 2009 when compared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with the same period in 2008. Total incremental revenues from NYMEX Holdings’ operations were $8.5 million for the first nine months of 2009. In addition, trading revenue generated by GFX Corporation (GFX) increased by $2.0 million in the first nine months of 2009 due to an increase in trading activity during the first quarter of 2009.</w:t>
      </w:r>
    </w:p>
    <w:p>
      <w:pPr>
        <w:spacing w:after="0" w:line="14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the first nine months of 2009, the increase in revenues was partially offset by a decrease in revenues generated from services provided to our joint ventures of $1.7 million. In the prior year, we recognized revenue for upfront fees received from FXMS for billing and regulatory services of $1.9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Quarter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Nine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rPr>
                <w:sz w:val="14"/>
                <w:szCs w:val="14"/>
                <w:color w:val="auto"/>
              </w:rPr>
            </w:pPr>
          </w:p>
        </w:tc>
        <w:tc>
          <w:tcPr>
            <w:tcW w:w="1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140" w:type="dxa"/>
            <w:vAlign w:val="bottom"/>
          </w:tcPr>
          <w:p>
            <w:pPr>
              <w:spacing w:after="0"/>
              <w:rPr>
                <w:sz w:val="14"/>
                <w:szCs w:val="14"/>
                <w:color w:val="auto"/>
              </w:rPr>
            </w:pPr>
          </w:p>
        </w:tc>
        <w:tc>
          <w:tcPr>
            <w:tcW w:w="1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$ 262.0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Professional fees and outside services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102.9</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Licensing and other fee agreements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73.7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260.2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$ 758.7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704.9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u w:val="single" w:color="auto"/>
          <w:color w:val="auto"/>
        </w:rPr>
        <w:t>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expenses for the third quarter and first nine months of 2009, when compared with the same periods in 2008,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6"/>
              </w:rPr>
              <w:t>Estimated Increase (Decrease)</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Quarter to Date</w:t>
            </w:r>
          </w:p>
        </w:tc>
        <w:tc>
          <w:tcPr>
            <w:tcW w:w="3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Year to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30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salaries, benefits and employer taxes</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Bonus</w:t>
            </w: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right="10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third quarter and first nine months of 2009, when compared with the same periods in 2008, average headcount increased by 9%, or about 180 employees, and 14%, or about 270 employees, respectively. The increases in headcount were due to the addition of approximately 400 employees in our merger with NYMEX Holdings in August 2008. The increases were partially offset by the impact of our restructuring initiatives. As of September 30, 2009 and 2008, we had approximately 2,250 and 2,340 employees, respectively.</w:t>
      </w:r>
    </w:p>
    <w:p>
      <w:pPr>
        <w:spacing w:after="0" w:line="31" w:lineRule="exact"/>
        <w:rPr>
          <w:rFonts w:ascii="Arial" w:cs="Arial" w:eastAsia="Arial" w:hAnsi="Arial"/>
          <w:sz w:val="16"/>
          <w:szCs w:val="16"/>
          <w:color w:val="auto"/>
        </w:rPr>
      </w:pPr>
    </w:p>
    <w:p>
      <w:pPr>
        <w:ind w:left="900" w:right="2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increase in our non-qualified deferred compensation plan liability for the third quarter and the first nine months of 2009 also contributed to an increase in expense. This impact does not affect net income because of an equal and offsetting change in investment income.</w:t>
      </w:r>
    </w:p>
    <w:p>
      <w:pPr>
        <w:spacing w:after="0" w:line="4" w:lineRule="exact"/>
        <w:rPr>
          <w:rFonts w:ascii="Arial" w:cs="Arial" w:eastAsia="Arial" w:hAnsi="Arial"/>
          <w:sz w:val="16"/>
          <w:szCs w:val="16"/>
          <w:color w:val="auto"/>
        </w:rPr>
      </w:pPr>
    </w:p>
    <w:p>
      <w:pPr>
        <w:ind w:left="900" w:right="5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increase in average salaries, benefits and employer taxes in the third quarter and first nine months of 2009, when compared with the same periods in 2008, were attributable primarily to salary increases related to promotions and rising pension and healthcare costs.</w:t>
      </w:r>
    </w:p>
    <w:p>
      <w:pPr>
        <w:spacing w:after="0" w:line="4" w:lineRule="exact"/>
        <w:rPr>
          <w:rFonts w:ascii="Arial" w:cs="Arial" w:eastAsia="Arial" w:hAnsi="Arial"/>
          <w:sz w:val="16"/>
          <w:szCs w:val="16"/>
          <w:color w:val="auto"/>
        </w:rPr>
      </w:pPr>
    </w:p>
    <w:p>
      <w:pPr>
        <w:jc w:val="both"/>
        <w:ind w:left="900" w:right="4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third quarter and first nine months of 2009, increases in expense were partially offset by a decrease in bonus expense, when compared with the same periods in 2008, due primarily to a decline in performance relative to our 2009 cash earnings target versus our 2008 performance relative to our 2008 cash earnings target.</w:t>
      </w:r>
    </w:p>
    <w:p>
      <w:pPr>
        <w:spacing w:after="0" w:line="59"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third quarter and first nine months of 2009, increases in expense were also offset by a decrease in stock-based compensation due primarily to our decision to delay annual stock grants for 2009 until the third quarter. The additional expense related to the June 2008 grant and the conversion of stock options previously granted to NYMEX Holdings’ employees partially offset the impact of this delay. We expect stock-based compensation expense to increase in the fourth quarter of 2009 due to the September 2009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u w:val="single" w:color="auto"/>
          <w:color w:val="auto"/>
        </w:rPr>
        <w:t>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elimination of costs incurred to support our CBOT metals trading products on e-CBOT, CBOT’s legacy electronic trading platform,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improved network efficiencies as a result of the consolidation of trading systems and floor operations in Chicago contributed to a decline in expenses in the third quarter and first nine months of 2009, when compared with the same periods in 2008. The decrease was offset by incremental expenses of $1.1 million and $3.9 million generated by NYMEX operations in the third quarter and first nine months of 2009, respectively.</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u w:val="single" w:color="auto"/>
          <w:color w:val="auto"/>
        </w:rPr>
        <w:t>Technology Support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decreases in expenses in the third quarter and first nine months of 2009, when compared with the same periods in 2008, were</w:t>
      </w:r>
      <w:r>
        <w:rPr>
          <w:rFonts w:ascii="Arial" w:cs="Arial" w:eastAsia="Arial" w:hAnsi="Arial"/>
          <w:sz w:val="18"/>
          <w:szCs w:val="18"/>
          <w:i w:val="1"/>
          <w:iCs w:val="1"/>
          <w:color w:val="auto"/>
        </w:rPr>
        <w:t xml:space="preserve"> </w:t>
      </w:r>
      <w:r>
        <w:rPr>
          <w:rFonts w:ascii="Arial" w:cs="Arial" w:eastAsia="Arial" w:hAnsi="Arial"/>
          <w:sz w:val="18"/>
          <w:szCs w:val="18"/>
          <w:color w:val="auto"/>
        </w:rPr>
        <w:t>due largely to the termination of maintenance and service agreements for e-CBOT in July 2008. The declines in expenses were partially offset by incremental expenses generated by NYMEX operations.</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u w:val="single" w:color="auto"/>
          <w:color w:val="auto"/>
        </w:rPr>
        <w:t>Professional Fees and Outside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to support various strategic initiatives, including our efforts to provide clearing services for credit default</w:t>
      </w:r>
      <w:r>
        <w:rPr>
          <w:rFonts w:ascii="Arial" w:cs="Arial" w:eastAsia="Arial" w:hAnsi="Arial"/>
          <w:sz w:val="16"/>
          <w:szCs w:val="16"/>
          <w:i w:val="1"/>
          <w:iCs w:val="1"/>
          <w:color w:val="auto"/>
        </w:rPr>
        <w:t xml:space="preserve"> </w:t>
      </w:r>
      <w:r>
        <w:rPr>
          <w:rFonts w:ascii="Arial" w:cs="Arial" w:eastAsia="Arial" w:hAnsi="Arial"/>
          <w:sz w:val="16"/>
          <w:szCs w:val="16"/>
          <w:color w:val="auto"/>
        </w:rPr>
        <w:t>swaps and other over-the-counter products, led to growth in expenses in the third quarter and first nine months of 2009. The increases in expenses were also attributable to legal fees and consulting services as well as other outside services associated with our merger integration efforts.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u w:val="single" w:color="auto"/>
          <w:color w:val="auto"/>
        </w:rPr>
        <w:t>Amortization of Purchased Intangibles.</w:t>
      </w:r>
      <w:r>
        <w:rPr>
          <w:rFonts w:ascii="Arial" w:cs="Arial" w:eastAsia="Arial" w:hAnsi="Arial"/>
          <w:sz w:val="18"/>
          <w:szCs w:val="18"/>
          <w:i w:val="1"/>
          <w:iCs w:val="1"/>
          <w:color w:val="auto"/>
        </w:rPr>
        <w:t xml:space="preserve"> </w:t>
      </w:r>
      <w:r>
        <w:rPr>
          <w:rFonts w:ascii="Arial" w:cs="Arial" w:eastAsia="Arial" w:hAnsi="Arial"/>
          <w:sz w:val="18"/>
          <w:szCs w:val="18"/>
          <w:color w:val="auto"/>
        </w:rPr>
        <w:t>The additional expenses in the third quarter and first nine months of 2009, when compared with the same periods in 2008,</w:t>
      </w:r>
      <w:r>
        <w:rPr>
          <w:rFonts w:ascii="Arial" w:cs="Arial" w:eastAsia="Arial" w:hAnsi="Arial"/>
          <w:sz w:val="18"/>
          <w:szCs w:val="18"/>
          <w:i w:val="1"/>
          <w:iCs w:val="1"/>
          <w:color w:val="auto"/>
        </w:rPr>
        <w:t xml:space="preserve"> </w:t>
      </w:r>
      <w:r>
        <w:rPr>
          <w:rFonts w:ascii="Arial" w:cs="Arial" w:eastAsia="Arial" w:hAnsi="Arial"/>
          <w:sz w:val="18"/>
          <w:szCs w:val="18"/>
          <w:color w:val="auto"/>
        </w:rPr>
        <w:t>were due to the amortization of intangible assets acquired in our merger with NYMEX Holdings, which was completed in August 2008. The increase was partially offset by the write-off of our Swapstream intangible assets in the third quarter of 2008, which resulted in less amortization expense in subsequent periods.</w:t>
      </w:r>
    </w:p>
    <w:p>
      <w:pPr>
        <w:spacing w:after="0" w:line="14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i w:val="1"/>
          <w:iCs w:val="1"/>
          <w:u w:val="single" w:color="auto"/>
          <w:color w:val="auto"/>
        </w:rPr>
        <w:t>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Declines in expenses in the third quarter and first nine months of 2009, when compared with the same periods in 2008, were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primarily to trading floor consolidation and systems integration in prior periods. The decreases were partially offset by incremental depreciation expense related to assets acquired in our merger with NYMEX Holdings in August 2008.</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Property additions are summarized below. Technology-related assets include purchases of computers and related equipment, software, the cost of developing internal use software and the build-out of our data centers. The decline in total property additions as well as technology-related assets as a percentage of total additions during the third quarter of 2009, when compared with the same period in 2008, is due primarily to completion of the initial phase of our new data center which was placed into service in August 2009. Approximately $82.1 million of assets related to the new data center were placed into service with estimated useful lives ranging from 10 to 39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4"/>
              </w:rPr>
              <w:t>Nine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540" w:type="dxa"/>
            <w:vAlign w:val="bottom"/>
            <w:gridSpan w:val="3"/>
            <w:vMerge w:val="continue"/>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additions, including landlord-funded leasehold improvements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$33.9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$119.5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additions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70%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Occupancy and Building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expenses in the third quarter and the first nine months of 2009, when compared with the same periods in 2008,</w:t>
      </w:r>
      <w:r>
        <w:rPr>
          <w:rFonts w:ascii="Arial" w:cs="Arial" w:eastAsia="Arial" w:hAnsi="Arial"/>
          <w:sz w:val="18"/>
          <w:szCs w:val="18"/>
          <w:i w:val="1"/>
          <w:iCs w:val="1"/>
          <w:color w:val="auto"/>
        </w:rPr>
        <w:t xml:space="preserve"> </w:t>
      </w:r>
      <w:r>
        <w:rPr>
          <w:rFonts w:ascii="Arial" w:cs="Arial" w:eastAsia="Arial" w:hAnsi="Arial"/>
          <w:sz w:val="18"/>
          <w:szCs w:val="18"/>
          <w:color w:val="auto"/>
        </w:rPr>
        <w:t>were attributable primarily to commercial real estate acquired in our merger with NYMEX Holdings. Expenses associated with the acquired property include utilities, maintenance, property taxes and insurance expenses. These increases were partially offset by a decrease resulting from a reduction in temporary space in our Chicago headquarters.</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i w:val="1"/>
          <w:iCs w:val="1"/>
          <w:u w:val="single" w:color="auto"/>
          <w:color w:val="auto"/>
        </w:rPr>
        <w:t>Licensing and Other Fee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incremental expense generated from royalty fees and broker rebates on NYMEX products, which totaled $5.8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$27.2 million in the third quarter and first nine months of 2009, respectively, contributed to the increases in the third quarter and first nine months of 2009 when compared with the same periods in 2008. Increases in both periods were partially offset by declines in licensing fees for E-mini and standard equity products of $4.1 million and $4.2 million in the third quarter and first nine months of 2009, respectively.</w:t>
      </w:r>
    </w:p>
    <w:p>
      <w:pPr>
        <w:spacing w:after="0" w:line="11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u w:val="single" w:color="auto"/>
          <w:color w:val="auto"/>
        </w:rPr>
        <w:t>Restructuring.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growth in expense for the third quarter and first nine months of 2009, when compared with the same periods in 2008, was attributable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program initiated in August 2008 subsequent to our merger with NYMEX Holdings. This program was substantially complete by August 2009.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u w:val="single" w:color="auto"/>
          <w:color w:val="auto"/>
        </w:rPr>
        <w:t>Other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decreased in the third quarter and first nine months when compared with the same periods in 2008 due primarily to the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charge of $10.9 million related to our Swapstream operations in the third quarter of 2008. Incremental foreign currency transaction gains of $1.5 million and $3.8 million in the third quarter and first nine months of 2009, respectively, and a $2.8 million loss on the sale of our metals trading products in the third quarter of 2008 also contributed to a decrease in expenses in the third quarter and first nine months of 2009. A $3.7 million write-off in 2008 related to in-process research and development acquired in the CMA acquisition contributed to a decrease in expenses in the first nine months of 2009. The company’s expense reduction efforts, partially offset by incremental expenses incurred as part of the NYMEX Holdings merger in 2008, also contributed to the decreases in expense for both the third quarter and first nine months of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Nine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6660" w:type="dxa"/>
            <w:vAlign w:val="bottom"/>
            <w:gridSpan w:val="3"/>
            <w:vMerge w:val="continue"/>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$ 10.5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$ 18.0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$ 41.4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Impairment of long-term investment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(22.4)</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32.2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and other costs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Interest and other borrowing costs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(103.2)</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(21.6)</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of exercise rights privileges</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Equity in losses of unconsolidated subsidiaries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(27.9)</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Total Non-Operating Income (Expense)</w:t>
            </w: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6660" w:type="dxa"/>
            <w:vAlign w:val="bottom"/>
            <w:gridSpan w:val="3"/>
            <w:vMerge w:val="continue"/>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(45.6)</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(24.7)</w:t>
            </w:r>
          </w:p>
        </w:tc>
        <w:tc>
          <w:tcPr>
            <w:tcW w:w="78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(105.4)</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(27.5)</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i w:val="1"/>
          <w:iCs w:val="1"/>
          <w:u w:val="single" w:color="auto"/>
          <w:color w:val="auto"/>
        </w:rPr>
        <w:t>Investment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third quarter and first nine months of 2009, when compared with the same periods in 2008, investment income declined due to</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decreases in market interest rates throughout 2008 resulting from rate reductions by the Federal Open Market Committee. The decline due to interest rates was partially offset by an increase in the invested portion of clearing firms’ cash from performance bonds and security deposits.</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Annualized average rates of return and average investment balances indicated in the table below include the portion of clearing firms’ cash performance bonds and security deposits we chose to invest and other short-term investments classified as either cash and cash equivalents or marketable securities in our 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9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42"/>
        </w:trPr>
        <w:tc>
          <w:tcPr>
            <w:tcW w:w="55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Invested portion of clearing firms’ cash:</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Annualized average rate of return</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investment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5,393.3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5,033.0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4,977.2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4,592.5</w:t>
            </w:r>
          </w:p>
        </w:tc>
        <w:tc>
          <w:tcPr>
            <w:tcW w:w="0" w:type="dxa"/>
            <w:vAlign w:val="bottom"/>
          </w:tcPr>
          <w:p>
            <w:pPr>
              <w:spacing w:after="0"/>
              <w:rPr>
                <w:sz w:val="1"/>
                <w:szCs w:val="1"/>
                <w:color w:val="auto"/>
              </w:rPr>
            </w:pPr>
          </w:p>
        </w:tc>
      </w:tr>
      <w:tr>
        <w:trPr>
          <w:trHeight w:val="322"/>
        </w:trPr>
        <w:tc>
          <w:tcPr>
            <w:tcW w:w="5500" w:type="dxa"/>
            <w:vAlign w:val="bottom"/>
            <w:gridSpan w:val="3"/>
          </w:tcPr>
          <w:p>
            <w:pPr>
              <w:spacing w:after="0"/>
              <w:rPr>
                <w:sz w:val="20"/>
                <w:szCs w:val="20"/>
                <w:color w:val="auto"/>
              </w:rPr>
            </w:pPr>
            <w:r>
              <w:rPr>
                <w:rFonts w:ascii="Arial" w:cs="Arial" w:eastAsia="Arial" w:hAnsi="Arial"/>
                <w:sz w:val="18"/>
                <w:szCs w:val="18"/>
                <w:color w:val="auto"/>
              </w:rPr>
              <w:t>Change in income due to rates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income due to balance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322"/>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Other short-term investments:</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Annualized average rate of return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443.0</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1,239.8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(796.8)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1,213.7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(680.6)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income due to rates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Change in income due to balance</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analysis presented in the table above does not include income (loss) on insurance contracts or gains (losses) on marketable securities related to our non-qualified deferred compensation plans. We experienced $5.7 million and $8.7 million increases in income on marketable securities associated with our deferred compensation plans in the third quarter and first nine months of 2009, respectively, when compared with the same periods in 2008. We exclude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impact of the marketable securities related to our non-qualified deferred compensation plan from this analysis because gains and losses from these securities are offset by an equal amount of compensation and benefits expense.</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Dividend income from our investments in BM&amp;FBovespa SA (BM&amp;F) and TMX Group Inc. stock is also excluded from the table above. Dividend income decreased by $3.6 million in the third quarter of 2009 when compared with the same period in 2008.</w:t>
      </w:r>
    </w:p>
    <w:p>
      <w:pPr>
        <w:spacing w:after="0" w:line="132"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i w:val="1"/>
          <w:iCs w:val="1"/>
          <w:u w:val="single" w:color="auto"/>
          <w:color w:val="auto"/>
        </w:rPr>
        <w:t>Impairment of Long-Term Investments.</w:t>
      </w:r>
      <w:r>
        <w:rPr>
          <w:rFonts w:ascii="Arial" w:cs="Arial" w:eastAsia="Arial" w:hAnsi="Arial"/>
          <w:sz w:val="15"/>
          <w:szCs w:val="15"/>
          <w:i w:val="1"/>
          <w:iCs w:val="1"/>
          <w:color w:val="auto"/>
        </w:rPr>
        <w:t xml:space="preserve"> </w:t>
      </w:r>
      <w:r>
        <w:rPr>
          <w:rFonts w:ascii="Arial" w:cs="Arial" w:eastAsia="Arial" w:hAnsi="Arial"/>
          <w:sz w:val="15"/>
          <w:szCs w:val="15"/>
          <w:color w:val="auto"/>
        </w:rPr>
        <w:t>We assess our equity investments for other-than-temporary impairment on a quarterly basis. As of September 30, 2009, we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that our investment in IMAREX was impaired due to an extended and significant decline in the market price of its stock. As a result, we recognized an impairment charge of $22.4 million. The carrying value of our investment, after recognizing the impairment, was $19.0 million at September 30, 2009.</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u w:val="single" w:color="auto"/>
          <w:color w:val="auto"/>
        </w:rPr>
        <w:t>Gains (Losses) on Derivative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and first nine months of 2008, the net gain (loss) on derivative investments was due to the gain on a</w:t>
      </w:r>
      <w:r>
        <w:rPr>
          <w:rFonts w:ascii="Arial" w:cs="Arial" w:eastAsia="Arial" w:hAnsi="Arial"/>
          <w:sz w:val="18"/>
          <w:szCs w:val="18"/>
          <w:i w:val="1"/>
          <w:iCs w:val="1"/>
          <w:color w:val="auto"/>
        </w:rPr>
        <w:t xml:space="preserve"> </w:t>
      </w:r>
      <w:r>
        <w:rPr>
          <w:rFonts w:ascii="Arial" w:cs="Arial" w:eastAsia="Arial" w:hAnsi="Arial"/>
          <w:sz w:val="18"/>
          <w:szCs w:val="18"/>
          <w:color w:val="auto"/>
        </w:rPr>
        <w:t>put option contract purchased to hedge our risk of changes in the fair value of BM&amp;F stock resulting from foreign currency exchange rate fluctuations between the U.S. dollar and the Brazilian real. We entered into the put option with Lehman Brothers Special Financing Inc. in February 2008 and we terminated the contract in September 2008 when Lehman Brothers Holdings Inc. filed for bankruptcy.</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u w:val="single" w:color="auto"/>
          <w:color w:val="auto"/>
        </w:rPr>
        <w:t>Securities Lending Income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first nine months of 2009, CME’s securities lending program remained suspended due to high volatility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markets and extreme demand for U.S. Treasury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gridSpan w:val="5"/>
          </w:tcPr>
          <w:p>
            <w:pPr>
              <w:ind w:left="8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Nine Months Ended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September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Change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of funds invested (in billions)</w:t>
            </w:r>
          </w:p>
        </w:tc>
        <w:tc>
          <w:tcPr>
            <w:tcW w:w="2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(1.2)</w:t>
            </w:r>
          </w:p>
        </w:tc>
        <w:tc>
          <w:tcPr>
            <w:tcW w:w="7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Annualized average rate earned</w:t>
            </w:r>
          </w:p>
        </w:tc>
        <w:tc>
          <w:tcPr>
            <w:tcW w:w="148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2.48%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3.47%</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Annualized average rate paid</w:t>
            </w:r>
          </w:p>
        </w:tc>
        <w:tc>
          <w:tcPr>
            <w:tcW w:w="1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0.37%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0.61%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Securities lending interest expense for the first nine months of 2009 included a $0.3 million recovery of a $6.0 million impairment charge previously recognized in the third quarter of 2008 related to CME’s securities lending program.</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table above does not include activity from the NYMEX securities lending program, which closed in June 2009. Under the program, securities lending interest income and expense totaled $2.8 million and $0.4 million, respectively, for the first nine months of 2009. For the third quarter and first nine months of 2008, securities lending interest income and expense totaled $1.3 million and $1.1 million, respectively. In the third quarter of 2008, we also recognized an impairment loss of $15.7 million on a corporate debt security held in the NYMEX securities lending portfolio.</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u w:val="single" w:color="auto"/>
          <w:color w:val="auto"/>
        </w:rPr>
        <w:t>Interest and Other Borrowing Costs.</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interest and other borrowing costs in the third quarter and first nine months of 2009 is due to higher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debt levels outstanding, which were the result of debt issued in August 2008. These borrowings consisted of commercial paper and short- and long-term notes. During the third quarter and first nine months of 2008, borrowings consisted of commercial paper until the debt issuance in August 2008.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Quarter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5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9"/>
                <w:szCs w:val="19"/>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9"/>
                <w:szCs w:val="19"/>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9"/>
                <w:szCs w:val="19"/>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borrowings outstanding (par value in millions)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$1,474.7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$2,987.2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$639.8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$2,347.4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4.51%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0.54%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4.08%</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4.68</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0.57</w:t>
            </w:r>
          </w:p>
        </w:tc>
      </w:tr>
    </w:tbl>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cost of borrowing includes interest, commitment fees, accretion of discounts on debt and debt issuance costs. In February 2009, we terminated our revolving bridge facility. Total debt issuance costs recognized for the bridge facility during the first quarter of 2009 were $7.6 million, including $4.6 million of accelerated costs resulting from the facility’s 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u w:val="single" w:color="auto"/>
          <w:color w:val="auto"/>
        </w:rPr>
        <w:t>Guarantee of Exercise Right Privileges.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terms of our merger with CBOT Holdings, holders that did not elect to sell their ERPs to us are entitled to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guaranteed payment of up to $250,000 if the resolution of the lawsuit between CBOT and CBOE results in payments of less than $250,000 to the ERP holders. In December 2008, a settlement hearing for the ERP litigation was held. In July 2009, the court approved the final terms of the settlement and permitted a 30-day window for appeals. In August 2009, the holders filed a notice of appeals with the court. Our liability under the guarantee, which is recorded at fair value in other liabilities in our consolidated balance sheets, was estimated at $1.2 million at September 30, 2009 and December 31, 2008. We will continue to reassess and, if necessary, adjust the fair value of the guarantee on a quarterly basis until the lawsuit is resolved.</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u w:val="single" w:color="auto"/>
          <w:color w:val="auto"/>
        </w:rPr>
        <w:t>Equity in Losses of Unconsolidated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termination of our investment in FXMS in the third quarter of 2008 contributed to the decreases in losses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and first nine months of 2009 when compared with the same periods in 2008. In 2008, we recognized losses from our investment in FXMS of $19.1 million and $26.5 million for the third quarter and first nine months, respectively. Losses in 2009 include losses from our investments in DME Holdings Limited, Green Exchange Holdings LLC and OneChicago LLC.</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u w:val="single" w:color="auto"/>
          <w:color w:val="auto"/>
        </w:rPr>
        <w:t>Other Non-Operating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The reduction in expense is attributable to transfer and other transaction fees related to our investment in BM&amp;F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effective tax rate decreased to 42.4% for the first nine months of 2009 from 42.5% in the same period of 2008. In the third quarter of 2008, we incurred a charge of $48.3 million to record the impact of the new combined state and local tax rate on our existing net deferred tax liability resulting from our merger with NYMEX Holdings. This increase in our effective tax rate was partially offset by the benefit from an Illinois tax law change that resulted in a $38.6 million reduction in the net deferred tax liability in the first quarter of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was $737.8 million for the first nine months of 2009, compared with $862.7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2008. For the first nine months of 2009, net cash provided by operating activities was $114.6 million higher than net income. The $114.6 million increase was due primarily to $94.5 million of amortization of purchased intangibles and $93.4 million of depreciation and amortization, offset by a $56.2 million decrease in other current liabilities, a $34.9 million decrease in accounts payable and a $30.2 million increase in accounts receivable. The decrease in other current liabilities was due primarily to a decrease in accrued bonus expense as well as accrued restructuring related to our merger with NYMEX Holdings. The decrease in accounts payable was due to the timing of large capital expenditure payments. Accounts receivable in any period result primarily from the clearing and transaction fees billed in the last month of the reporting period.</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investing activities was $539.4 million in the first nine months of 2009 compared with cash used of $3.4 billion in the same period of 2008. The increase in cash was due primarily to cash paid to shareholders in our merger with NYMEX Holdings in 2008 of $2.8 billion, net of cash received, and a payment of $612.0 million for the termination of certain NYMEX membership rights in conjunction with the merger. The increase in cash was also due to a $306.6 million net change in the NYMEX securities lending program investments and a $143.5 million increase in proceeds from maturities of marketable securities, net of purchases.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used in financing activities was $1.4 billion in the first nine months of 2009 compared with cash provided of $2.3 billion in the same period of 2008. The increase in cash used relative to the prior period was due primarily to new issuances of debt of $2.6 billion in 2008 in conjunction with our merger with NYMEX Holdings compared with net debt reductions of $675.3 million in 2009.</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u w:val="single" w:color="auto"/>
          <w:color w:val="auto"/>
        </w:rPr>
        <w:t>Debt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maintain public debt of $1.8 billion, consisting of $300.0 million of floating rate notes due in 2010, $750.0 million of 5.40% fixed rate</w:t>
      </w:r>
      <w:r>
        <w:rPr>
          <w:rFonts w:ascii="Arial" w:cs="Arial" w:eastAsia="Arial" w:hAnsi="Arial"/>
          <w:sz w:val="16"/>
          <w:szCs w:val="16"/>
          <w:i w:val="1"/>
          <w:iCs w:val="1"/>
          <w:color w:val="auto"/>
        </w:rPr>
        <w:t xml:space="preserve"> </w:t>
      </w:r>
      <w:r>
        <w:rPr>
          <w:rFonts w:ascii="Arial" w:cs="Arial" w:eastAsia="Arial" w:hAnsi="Arial"/>
          <w:sz w:val="16"/>
          <w:szCs w:val="16"/>
          <w:color w:val="auto"/>
        </w:rPr>
        <w:t>notes due in 2013 and $750.0 million of 5.75% fixed rate notes due in 2014. The floating rate notes due in 2010 accrue interest at the London Interbank Offered Rate (LIBOR) plus 0.65%. We entered into an interest-rate swap agreement that effectively fixed the rate at 3.92% for the floating rate notes due in 2010. The proceeds from the debt issuances were used to finance our merger with NYMEX Holdings and to repay any outstanding commercial paper borrowings that were backstopped by our 364-day revolving bridge facility as well as for general corporate purposes. We terminated the bridge facility on February 10,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maintain a $1.4 billion senior credit facility with various financial institutions, which includes a term loan of $420.5 million and a revolving credit facility of $945.5 million. On September 30, 2009, we amended this agreement to reduce the aggregate amount of revolving credit facility commitments to $945.5 million from $995.5 million and to reduce the minimum required amount of each request for an increase in revolving commitments from $25.0 million to $10.0 million. As long as we are not in default under the senior credit facility, we have the option to increase the facility from time to time by an aggregate amount of up to $1.1 billion, to a total of $2.5 billion of revolving loans, with only the consent of the agent and the lenders providing the additional funds. Proceeds from the senior credit facility were used to pay fees and expenses and finance our merger with NYMEX Holdings; to pay fees and expenses in connection with the refinancing of existing debt of NYMEX Holdings; to finance dividends and stock repurchases, and to support issuances of commercial paper. The revolving credit facility expires on August 21,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2009, we have excess borrowing capacity for general corporate purposes of approximately $620.5 million.</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a 364-day revolving line of credit with a consortium of banks to be used in certain situations by our clearing house. The line of credit, which was amended on October 9, 2009, provides for borrowings of up to $600.0 million. This line of credit is collateralized by clearing firm security deposits held by us in the form of U.S. Treasury or agency securities, as well as security deposit funds in the Interest Earning Facilities and any performance bond deposits of a clearing firm that has defaulted on its obligation. The line of credit can only be drawn on to the extent it is collateralized. At September 30, 2009, security deposit collateral available was $2.0 billion. We have the option to request an increase in the line from $600.0 million to $1.0 billion with the participating banks’ approval. The agreement was amended on October 9, 2009 to extend the termination date from October 9, 2009 to December 9, 2009.</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September 30, 2009, we maintained an AA long-term credit rating and an A1+ short-term credit rating with Standard &amp; Poor’s. We maintained an Aa3 long-term credit rating and a P1 short-term credit rating with Moody’s Investor Service (Moody’s). The outlook for our ratings is considered stable by Standard &amp; Poor’s and Moody’s. 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w:t>
      </w:r>
    </w:p>
    <w:p>
      <w:pPr>
        <w:spacing w:after="0" w:line="1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indentures governing our floating and fixed rate notes, our 364-day revolving line of credit for $600.0 million and our senior credit facility for $1.4 billion due 2011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0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example, under our senior credit facility, we are required to remain in compliance with a consolidated net worth test, defined as our consolidated shareholders’ equity as of June 30, 2008 on a pro forma basis to give effect to the NYMEX Holdings merger and to give effect to the share repurchases made and special dividends paid, but only up to the amount of such repurchases and dividends publicly announced and made or paid within 18 months after August 22, 2008 (and in no event greater than $1.5 billion in the aggregate for such repurchases and dividends), multiplied by 0.65.</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our 364-day revolving line of credit contains a requirement that CME remain in compliance with a consolidated tangible net worth test, defined as consolidated shareholder’s equity less intangible assets (as defined in the agreement), of not less than $96.0 million. In the event that CME elects to increase the facility, the minimum consolidated tangible net worth test will increase ratably up to $120.0 million. 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2009, we are in compliance with the various covenant requirements of all our debt facilities.</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CME Group and its subsidiaries are also required to comply with restrictions contained in the General Corporation Laws of its state of incorporation which could also limit its (or their) ability to declare and pay dividends. The decision to pay dividends is also subject to the discretion of each entity’s board of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satisfy our performance bond obligation with Singapore Exchange Limited, we pledge CME-owned U.S. Treasury securities in lieu of, or in combination with, irrevocable letters of credit. At September 30, 2009, the letters of credit totaled $33.0 million. In addition, we had pledged securities with a fair value of $50.0 million at September 30, 2009.</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CME also guarantees a $5.0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totaled $204.1 million at September 30, 2009 and $297.9 million at December 31, 2008.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 anticipated or possible short-term cash needs, prevailing interest rates, our investment policy and alternative investment choices. In June 2008, we approved a repurchase of up to $1.1 billion of CME Group Class A common stock over a period of 18 months. Effective January 2009, we suspended this program to devote our excess cash flows to debt reduction. With respect to short-term cash needs, we expect 2009 capital expenditures to total approximately $140.0 million.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Net current deferred tax assets of $16.5 million and $95.5 million are included in other current assets at September 30, 2009 and December 31, 2008,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include primarily unrealized losses and accrued expenses.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long-term deferred tax liabilities were $7.7 billion at September 30, 2009 and December 31, 2008. Total net deferred tax liabilities include deferred tax liabilities of $7.8 billion at September 30, 2009 and December 31, 2008 related to purchase accounting for intangible assets in our mergers with CBOT Holdings and NYMEX Holdings.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Within our domestic long-term deferred tax liability, we have a long-term deferred tax asset of $144.9 million for an unrealized capital loss incurred in Brazil related to our investment in BM&amp;F. As of September 30, 2009, we do not currently meet the more-likely-than-not threshold that would allow us to fully realize the value of the unrealized capital loss. As a result, a partial valuation allowance of $24.7 million was previously provided for the amount of the unrealized capital loss that exceeds potential capital gains that could be used to offset the capital loss in future periods. We also have a long-term deferred tax asset related to Brazilian taxes of $128.1 million for a net operating loss and an unrealized capital loss incurred in Brazil related to our investment in BM&amp;F. A full valuation allowance of $128.1 million was previously provided because we do not believe that we currently meet the more-likely-than-not threshold that would allow us to realize the value of the net operating loss or the unrealized capital loss in Brazil in the future.</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Net long-term deferred tax assets also include a $17.1 million deferred tax asset for net operating losses related to Swapstream. Our assessment at September 30, 2009 is that we do not currently meet the more-likely-than-not threshold that would allow us to realize the value of these foreign net operating losses in the future. As a result, the $17.1 million deferred tax asset arising from these net operating losses was fully reserved as the losses were incurred.</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use a three-level framework in order to determine the fair value of financial assets and liabilities. In general, we use quoted prices</w:t>
      </w:r>
      <w:r>
        <w:rPr>
          <w:rFonts w:ascii="Arial" w:cs="Arial" w:eastAsia="Arial" w:hAnsi="Arial"/>
          <w:sz w:val="16"/>
          <w:szCs w:val="16"/>
          <w:i w:val="1"/>
          <w:iCs w:val="1"/>
          <w:color w:val="auto"/>
        </w:rPr>
        <w:t xml:space="preserve"> </w:t>
      </w:r>
      <w:r>
        <w:rPr>
          <w:rFonts w:ascii="Arial" w:cs="Arial" w:eastAsia="Arial" w:hAnsi="Arial"/>
          <w:sz w:val="16"/>
          <w:szCs w:val="16"/>
          <w:color w:val="auto"/>
        </w:rPr>
        <w:t>in active markets for identical assets to determine fair values of marketable securities, securities lending collateral and equity investments. Level 1 assets include U.S. Treasury securities, exchange-traded mutual funds, repurchase agreements and publicly-traded equity securities. If quoted prices are not available to determine fair value, we use other inputs that are observable either directly or indirectly. Assets included in Level 2 consist primarily of U.S. Government agency securities, municipal bonds, asset-backed securities and certain corporate bonds. Level 3 assets include certain corporate bonds and asset-backed securities. These assets have been valued using valuation models with inputs that are both observable and unobservable. The unobservable inputs used in these models are significant to the fair value of the investments and require management’s judgment.</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determine the fair value of our interest rate swap contracts, considered Level 2 assets, using standard valuation models that are based on market-based observable inputs including forward and spot exchange rates and interest rate curves.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fair value of our liability for the guarantee of ERPs is derived using probability-weighted Black-Scholes option values for various scenarios. The liability is included in Level 3 because management uses significant unobservable inputs including probability, expected return and volatility factors to determine its fair value.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September 30, 2009 are classified in their entirety based on the lowest level of input that is significant to the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9"/>
              </w:rPr>
              <w:t>Level 2</w:t>
            </w:r>
          </w:p>
        </w:tc>
        <w:tc>
          <w:tcPr>
            <w:tcW w:w="2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$ 16.1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$ 16.1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$ 30.9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$ 30.9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is a reconciliation of assets and liabilities at fair value on a recurring basis using significant unobservable inputs (Level 3) during the nine months ended September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Asset-</w:t>
            </w:r>
          </w:p>
        </w:tc>
        <w:tc>
          <w:tcPr>
            <w:tcW w:w="3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4"/>
              </w:rPr>
              <w:t>Backed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ERP</w:t>
            </w:r>
          </w:p>
        </w:tc>
        <w:tc>
          <w:tcPr>
            <w:tcW w:w="0" w:type="dxa"/>
            <w:vAlign w:val="bottom"/>
          </w:tcPr>
          <w:p>
            <w:pPr>
              <w:spacing w:after="0"/>
              <w:rPr>
                <w:sz w:val="1"/>
                <w:szCs w:val="1"/>
                <w:color w:val="auto"/>
              </w:rPr>
            </w:pPr>
          </w:p>
        </w:tc>
      </w:tr>
      <w:tr>
        <w:trPr>
          <w:trHeight w:val="176"/>
        </w:trPr>
        <w:tc>
          <w:tcPr>
            <w:tcW w:w="93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0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Security </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 (liability)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 (liability) at September 30,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w w:val="95"/>
              </w:rPr>
              <w:t>Total unrealized gains (losses) related to financial assets and liabilities in the consolidated balance sheet at September 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3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2009</w:t>
            </w:r>
          </w:p>
        </w:tc>
        <w:tc>
          <w:tcPr>
            <w:tcW w:w="8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8"/>
        <w:spacing w:after="0" w:line="542" w:lineRule="auto"/>
        <w:tabs>
          <w:tab w:leader="none" w:pos="4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asset-backed security was transferred from the securities lending collateral assets portfolio to the marketable securities portfolio during June 2009. During the first nine months of 2009, we did not record impairment on any assets or liabilities that are recorded at fair value on a nonrecurring basis.</w:t>
      </w: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June 2009, the Financial Accounting Standards Board (FASB) issued guidance that changes the analysis required to determine whether a variable interest gives a company a controlling financial interest in a variable interest entity. This guidance may result in the consolidation of entities that we currently do not consolidate and requires an ongoing reassessment of the consolidation requirement. In addition, enhanced disclosures are required that will provide the readers of financial statements with more transparent information about a company’s involvement in a variable interest entity. This standard is effective for fiscal years beginning after November 15, 2009. We are currently assessing the impact of this standard’s adoption on our financial statements.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subject to various market risks, including those related to interest rates, credit, foreign currency exchange rates and equity prices. The following discussion addresses only material changes in our market risk exposure since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31, 2008. This discussion should be read in conjunction with Item 7A. of CME Group’s Annual Report on Form 10-K for the year ended December 31, 2008, filed with the Securities and Exchange Commission on March 2,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hold certain investments in equity securities for strategic purposes. Investments subject to equity price risks are generally recorded as available for sale at their fair value. Equity investments whose sale is restricted for greater than 12 months are carried at cost, net of impairment charges, until the restriction is within 12 months of expiration at which time they are recorded at fair value.</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Fair values for publicly-trade equity investments are based on quoted market prices.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table below summarizes our publicly-traded equity investments at September 30, 2009. Equity investments are included in other assets in our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8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Fair</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8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22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BM&amp;FBOVESPA S.A.</w:t>
            </w:r>
          </w:p>
        </w:tc>
        <w:tc>
          <w:tcPr>
            <w:tcW w:w="3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$631.4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$747.0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$ 262.9</w:t>
            </w: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xml:space="preserve">$ 293.7 </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xml:space="preserve">TMX Group Inc. </w:t>
            </w:r>
            <w:r>
              <w:rPr>
                <w:rFonts w:ascii="Arial" w:cs="Arial" w:eastAsia="Arial" w:hAnsi="Arial"/>
                <w:sz w:val="11"/>
                <w:szCs w:val="11"/>
                <w:color w:val="auto"/>
              </w:rPr>
              <w:t>(2)</w:t>
            </w:r>
          </w:p>
        </w:tc>
        <w:tc>
          <w:tcPr>
            <w:tcW w:w="3880" w:type="dxa"/>
            <w:vAlign w:val="bottom"/>
            <w:gridSpan w:val="3"/>
          </w:tcPr>
          <w:p>
            <w:pPr>
              <w:jc w:val="right"/>
              <w:ind w:right="160"/>
              <w:spacing w:after="0"/>
              <w:rPr>
                <w:sz w:val="20"/>
                <w:szCs w:val="20"/>
                <w:color w:val="auto"/>
              </w:rPr>
            </w:pPr>
            <w:r>
              <w:rPr>
                <w:rFonts w:ascii="Arial" w:cs="Arial" w:eastAsia="Arial" w:hAnsi="Arial"/>
                <w:sz w:val="18"/>
                <w:szCs w:val="18"/>
                <w:color w:val="auto"/>
              </w:rPr>
              <w:t>46.0</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46.5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IMAREX ASA </w:t>
            </w:r>
            <w:r>
              <w:rPr>
                <w:rFonts w:ascii="Arial" w:cs="Arial" w:eastAsia="Arial" w:hAnsi="Arial"/>
                <w:sz w:val="11"/>
                <w:szCs w:val="11"/>
                <w:color w:val="auto"/>
              </w:rPr>
              <w:t>(2)</w:t>
            </w:r>
          </w:p>
        </w:tc>
        <w:tc>
          <w:tcPr>
            <w:tcW w:w="3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4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February 2008, we exchanged 1.2 million shares of CME Group Class A common stock for 101.1 million shares in BM&amp;F. The company may not sell its shares in BM&amp;F for four years after the purchase date. As a result, BM&amp;F stock is reported in other assets at original cost less impairment loss until within 12 months of the restriction lapsing, after which time the stock will be accounted for as an available-for-sale security. The unrealized gain is currently not recorded. In addition, the unrealized gain does not take into account an unrealized loss of $63.3 million, net of tax, resulting from changes in foreign currency exchange rates, which has been recorded in accumulated other comprehensive income (loss) since recognizing impairment on the investment in December 2008.</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investment was acquired in August 2008 as part of our merger with NYMEX Holdings.</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do not currently hedge against equity price risk. Equity investments are assessed for other-than-temporary impairment on a quarterly basis. An assessment of whether an equity investment is other-than-temporarily impaired takes into consideration the magnitude and duration of the unrealized loss. On September 30, 2009, we determined that our investment in IMAREX ASA was other-than-temporarily impaired and recorded an impairment charge of $22.4 million.</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also exposed to foreign currency exchange rate risk related to these investments. Unrealized changes in value due to foreign currency exchange rates are reflected in the unrealized gain presented in the table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firstLine="8"/>
        <w:spacing w:after="0" w:line="298" w:lineRule="auto"/>
        <w:tabs>
          <w:tab w:leader="none" w:pos="239"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Chief Executive Officer and Chief Financial Officer, has evaluated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13" w:lineRule="exact"/>
        <w:rPr>
          <w:sz w:val="20"/>
          <w:szCs w:val="20"/>
          <w:color w:val="auto"/>
        </w:rPr>
      </w:pPr>
    </w:p>
    <w:p>
      <w:pPr>
        <w:ind w:firstLine="8"/>
        <w:spacing w:after="0" w:line="298" w:lineRule="auto"/>
        <w:tabs>
          <w:tab w:leader="none" w:pos="19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the company’s management,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August 22, 2008, CME Group completed its merger with NYMEX Holdings. In connection with the merger, NYMEX Holdings was merged into CMEG NY Inc., a wholly-owned subsidiary of CME Group, and the subsidiaries of NYMEX Holdings, including NYMEX and COMEX, became part of the consolidated group of subsidiaries of CME Group. During the third quarter of 2009, the company continued with its integration of the former NYMEX Holdings business into the business of CME Group, including the integration of the internal controls and procedures of the former NYMEX Holdings and its subsidiaries into CME Group’s internal controls over financial reporting. There were no other changes in the company’s internal control over financial reporting during the period covered by this quarterly report that have materially affected, or are reasonably likely to materially affect, internal control over financial reporting, other than the integration efforts relating to the merger with NYMEX Holdings.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is an update to the company’s Legal Proceedings as disclosed in the company’s Annual Report on Form 10-K for the year ended December 31, 2008, filed with the Securities and Exchange Commission (SEC) on March 2, 2009.</w:t>
      </w:r>
    </w:p>
    <w:p>
      <w:pPr>
        <w:spacing w:after="0" w:line="13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August 23, 2006, CBOT Holdings, Inc. and CBOT, along with a class consisting of certain CBOT full members, filed a lawsuit in the Court of Chancery of the State of Delaware against the Chicago Board Options Exchange (CBOE) seeking to enforce and protect the CBOE exercise right privileges (ERPs). In June 2008, the parties agreed to a settlement in principle. Pursuant to the terms of the settlement, participating Class A members will share in an equity pool equal to 18% of the total common stock issued by CBOE in its demutualization and will share in a cash pool of up to $300.0 million, subject to a cap of $600,000 per individual. Participating Class B members would be paid $250,000 per ERP. In July 2009, the court issued its final order approving the terms of the settlement, which was subsequently appealed in August 2009.</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There were two purported class action complaints pending against the former NYMEX Holdings, the former NYMEX Holdings board of directors and CME Group in the Delaware Court of Chancery related to the merger between CME Group and NYMEX Holdings. One of the class actions was brought on behalf of the former NYMEX Holdings’ shareholders and the second class action was brought on behalf of the NYMEX Class A members. On September 30, 2009, the Delaware Court of Chancery granted the defendants’ motions to dismiss the shareholders’ and the NYMEX Class A members’ complaints. The court’s decision remains subject to appeal.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under “Risk Factors” in our Annual Report on Form 10-K for the fiscal year ended December 31, 2008 as filed with the SEC on March 2, 2009. These risks could materially and adversely affect our business, financial condition and results of operations. The risks and uncertainties in our Form 10-K are not the only ones facing us. Additional risks and uncertainties not presently known to us or that we currently believe to be immaterial may also adversely affect our business.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Issuer Purchases of Equity Securities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(d) 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(c) Total Number of</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1"/>
              </w:rPr>
              <w:t>Shares Purchased as</w:t>
            </w: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 Total Number of</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12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spacing w:after="0"/>
              <w:rPr>
                <w:sz w:val="12"/>
                <w:szCs w:val="12"/>
                <w:color w:val="auto"/>
              </w:rPr>
            </w:pPr>
          </w:p>
        </w:tc>
        <w:tc>
          <w:tcPr>
            <w:tcW w:w="20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1"/>
              </w:rPr>
              <w:t>Class A</w:t>
            </w: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 Average Price</w:t>
            </w: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Announced</w:t>
            </w: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the Plans or Programs(2)</w:t>
            </w:r>
          </w:p>
        </w:tc>
        <w:tc>
          <w:tcPr>
            <w:tcW w:w="0" w:type="dxa"/>
            <w:vAlign w:val="bottom"/>
          </w:tcPr>
          <w:p>
            <w:pPr>
              <w:spacing w:after="0"/>
              <w:rPr>
                <w:sz w:val="1"/>
                <w:szCs w:val="1"/>
                <w:color w:val="auto"/>
              </w:rPr>
            </w:pPr>
          </w:p>
        </w:tc>
      </w:tr>
      <w:tr>
        <w:trPr>
          <w:trHeight w:val="161"/>
        </w:trPr>
        <w:tc>
          <w:tcPr>
            <w:tcW w:w="34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Shares Purchased (1)</w:t>
            </w: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Paid Per Share</w:t>
            </w:r>
          </w:p>
        </w:tc>
        <w:tc>
          <w:tcPr>
            <w:tcW w:w="19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Plans or Programs</w:t>
            </w: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27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282.06</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460" w:type="dxa"/>
            <w:vAlign w:val="bottom"/>
            <w:gridSpan w:val="2"/>
          </w:tcPr>
          <w:p>
            <w:pPr>
              <w:spacing w:after="0"/>
              <w:rPr>
                <w:sz w:val="20"/>
                <w:szCs w:val="20"/>
                <w:color w:val="auto"/>
              </w:rPr>
            </w:pPr>
            <w:r>
              <w:rPr>
                <w:rFonts w:ascii="Arial" w:cs="Arial" w:eastAsia="Arial" w:hAnsi="Arial"/>
                <w:sz w:val="18"/>
                <w:szCs w:val="18"/>
                <w:color w:val="auto"/>
              </w:rPr>
              <w:t>August 1 to August 31</w:t>
            </w:r>
          </w:p>
        </w:tc>
        <w:tc>
          <w:tcPr>
            <w:tcW w:w="2780" w:type="dxa"/>
            <w:vAlign w:val="bottom"/>
            <w:gridSpan w:val="3"/>
          </w:tcPr>
          <w:p>
            <w:pPr>
              <w:jc w:val="right"/>
              <w:ind w:right="780"/>
              <w:spacing w:after="0"/>
              <w:rPr>
                <w:sz w:val="20"/>
                <w:szCs w:val="20"/>
                <w:color w:val="auto"/>
              </w:rPr>
            </w:pPr>
            <w:r>
              <w:rPr>
                <w:rFonts w:ascii="Arial" w:cs="Arial" w:eastAsia="Arial" w:hAnsi="Arial"/>
                <w:sz w:val="18"/>
                <w:szCs w:val="18"/>
                <w:color w:val="auto"/>
              </w:rPr>
              <w:t>2,901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276.12</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27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2,188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277.96</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3"/>
          </w:tcPr>
          <w:p>
            <w:pPr>
              <w:jc w:val="right"/>
              <w:ind w:right="780"/>
              <w:spacing w:after="0"/>
              <w:rPr>
                <w:sz w:val="20"/>
                <w:szCs w:val="20"/>
                <w:color w:val="auto"/>
              </w:rPr>
            </w:pPr>
            <w:r>
              <w:rPr>
                <w:rFonts w:ascii="Arial" w:cs="Arial" w:eastAsia="Arial" w:hAnsi="Arial"/>
                <w:sz w:val="18"/>
                <w:szCs w:val="18"/>
                <w:color w:val="auto"/>
              </w:rPr>
              <w:t>5,104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276.93</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p>
      <w:pPr>
        <w:ind w:left="460" w:right="28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purchased consist of an aggregate of 5,104 shares of Class A common stock surrendered in the third quarter to satisfy employees’ tax obligations upon the vesting of restricted stock.</w:t>
      </w:r>
    </w:p>
    <w:p>
      <w:pPr>
        <w:ind w:left="460" w:right="60" w:hanging="452"/>
        <w:spacing w:after="0" w:line="25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terms of the share buyback program announced on June 23, 2008, the company is authorized to purchase shares of Class A common stock with a value of up to $1.1 billion, subject to market conditions. The buyback program is authorized to take place over a period of up to 18 months. The authorization of the board of directors permits the repurchase of shares through the open market, an accelerated program, a tender offer or privately negotiated transactions. The share buyback authorization remains in place; however, in the first quarter of 2009 the company suspended purchasing shares in order to focus on paying down debt.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Agreement, dated August 5, 2009, between CME Group Inc. and Craig S. Donohue (incorporated by reference to Exhibit 10.1 to CME Group</w:t>
            </w:r>
          </w:p>
        </w:tc>
      </w:tr>
      <w:tr>
        <w:trPr>
          <w:trHeight w:val="222"/>
        </w:trPr>
        <w:tc>
          <w:tcPr>
            <w:tcW w:w="86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Inc.’s Form 8-K, filed with the SEC on August 6, 2009).</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tcPr>
          <w:p>
            <w:pPr>
              <w:ind w:left="360"/>
              <w:spacing w:after="0"/>
              <w:rPr>
                <w:sz w:val="20"/>
                <w:szCs w:val="20"/>
                <w:color w:val="auto"/>
              </w:rPr>
            </w:pPr>
            <w:r>
              <w:rPr>
                <w:rFonts w:ascii="Arial" w:cs="Arial" w:eastAsia="Arial" w:hAnsi="Arial"/>
                <w:sz w:val="18"/>
                <w:szCs w:val="18"/>
                <w:color w:val="auto"/>
                <w:w w:val="88"/>
              </w:rPr>
              <w:t>Amended and Restated Agreement, dated August 5, 2009, between CME Group Inc. and Phupinder Gill (incorporated by reference to Exhibit</w:t>
            </w:r>
          </w:p>
        </w:tc>
      </w:tr>
      <w:tr>
        <w:trPr>
          <w:trHeight w:val="222"/>
        </w:trPr>
        <w:tc>
          <w:tcPr>
            <w:tcW w:w="86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10.2 to CME Group Inc.’s Form 8-K, filed with the SEC on August 6, 2009).</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tcPr>
          <w:p>
            <w:pPr>
              <w:ind w:left="360"/>
              <w:spacing w:after="0"/>
              <w:rPr>
                <w:sz w:val="20"/>
                <w:szCs w:val="20"/>
                <w:color w:val="auto"/>
              </w:rPr>
            </w:pPr>
            <w:r>
              <w:rPr>
                <w:rFonts w:ascii="Arial" w:cs="Arial" w:eastAsia="Arial" w:hAnsi="Arial"/>
                <w:sz w:val="18"/>
                <w:szCs w:val="18"/>
                <w:color w:val="auto"/>
              </w:rPr>
              <w:t>Agreement, dated September 24, 2009, between Chicago Mercantile Exchange Inc. and James Newsome.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tcPr>
          <w:p>
            <w:pPr>
              <w:ind w:left="360"/>
              <w:spacing w:after="0"/>
              <w:rPr>
                <w:sz w:val="20"/>
                <w:szCs w:val="20"/>
                <w:color w:val="auto"/>
              </w:rPr>
            </w:pPr>
            <w:r>
              <w:rPr>
                <w:rFonts w:ascii="Arial" w:cs="Arial" w:eastAsia="Arial" w:hAnsi="Arial"/>
                <w:sz w:val="18"/>
                <w:szCs w:val="18"/>
                <w:color w:val="auto"/>
              </w:rPr>
              <w:t>Amendment No. 1 and Limited Waiver to Credit Agreement, dated as of September 30, 2009.</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10380" w:type="dxa"/>
            <w:vAlign w:val="bottom"/>
          </w:tcPr>
          <w:p>
            <w:pPr>
              <w:ind w:left="360"/>
              <w:spacing w:after="0"/>
              <w:rPr>
                <w:sz w:val="20"/>
                <w:szCs w:val="20"/>
                <w:color w:val="auto"/>
              </w:rPr>
            </w:pPr>
            <w:r>
              <w:rPr>
                <w:rFonts w:ascii="Arial" w:cs="Arial" w:eastAsia="Arial" w:hAnsi="Arial"/>
                <w:sz w:val="18"/>
                <w:szCs w:val="18"/>
                <w:color w:val="auto"/>
                <w:w w:val="88"/>
              </w:rPr>
              <w:t>License Agreement Amendment No. 9, dated as of July 24, 2009, between Standard &amp; Poor’s Financial Services LLC and Chicago Mercantile</w:t>
            </w:r>
          </w:p>
        </w:tc>
      </w:tr>
      <w:tr>
        <w:trPr>
          <w:trHeight w:val="222"/>
        </w:trPr>
        <w:tc>
          <w:tcPr>
            <w:tcW w:w="86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Exchange Inc.</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360"/>
              <w:spacing w:after="0"/>
              <w:rPr>
                <w:sz w:val="20"/>
                <w:szCs w:val="20"/>
                <w:color w:val="auto"/>
              </w:rPr>
            </w:pPr>
            <w:r>
              <w:rPr>
                <w:rFonts w:ascii="Arial" w:cs="Arial" w:eastAsia="Arial" w:hAnsi="Arial"/>
                <w:sz w:val="18"/>
                <w:szCs w:val="18"/>
                <w:color w:val="auto"/>
              </w:rPr>
              <w:t>Section 302 Certification—Craig S. Donohue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360"/>
              <w:spacing w:after="0"/>
              <w:rPr>
                <w:sz w:val="20"/>
                <w:szCs w:val="20"/>
                <w:color w:val="auto"/>
              </w:rPr>
            </w:pPr>
            <w:r>
              <w:rPr>
                <w:rFonts w:ascii="Arial" w:cs="Arial" w:eastAsia="Arial" w:hAnsi="Arial"/>
                <w:sz w:val="18"/>
                <w:szCs w:val="18"/>
                <w:color w:val="auto"/>
              </w:rPr>
              <w:t>Section 302 Certification—James E. Parisi</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360"/>
              <w:spacing w:after="0"/>
              <w:rPr>
                <w:sz w:val="20"/>
                <w:szCs w:val="20"/>
                <w:color w:val="auto"/>
              </w:rPr>
            </w:pPr>
            <w:r>
              <w:rPr>
                <w:rFonts w:ascii="Arial" w:cs="Arial" w:eastAsia="Arial" w:hAnsi="Arial"/>
                <w:sz w:val="18"/>
                <w:szCs w:val="18"/>
                <w:color w:val="auto"/>
              </w:rPr>
              <w:t>Section 906 Certification</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Compensatory arrangement.</w:t>
      </w:r>
    </w:p>
    <w:p>
      <w:pPr>
        <w:spacing w:after="0" w:line="15" w:lineRule="exact"/>
        <w:rPr>
          <w:sz w:val="20"/>
          <w:szCs w:val="20"/>
          <w:color w:val="auto"/>
        </w:rPr>
      </w:pPr>
    </w:p>
    <w:p>
      <w:pPr>
        <w:ind w:left="46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request for confidential treatment pursuant to Rule 24b-2 of the Exchange Act.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3620" w:type="dxa"/>
            <w:vAlign w:val="bottom"/>
            <w:gridSpan w:val="2"/>
          </w:tcPr>
          <w:p>
            <w:pPr>
              <w:ind w:left="2100"/>
              <w:spacing w:after="0"/>
              <w:rPr>
                <w:sz w:val="20"/>
                <w:szCs w:val="20"/>
                <w:color w:val="auto"/>
              </w:rPr>
            </w:pPr>
            <w:r>
              <w:rPr>
                <w:rFonts w:ascii="Arial" w:cs="Arial" w:eastAsia="Arial" w:hAnsi="Arial"/>
                <w:sz w:val="18"/>
                <w:szCs w:val="18"/>
                <w:b w:val="1"/>
                <w:bCs w:val="1"/>
                <w:color w:val="auto"/>
              </w:rPr>
              <w:t>CME Group Inc.</w:t>
            </w:r>
          </w:p>
        </w:tc>
        <w:tc>
          <w:tcPr>
            <w:tcW w:w="4080" w:type="dxa"/>
            <w:vAlign w:val="bottom"/>
          </w:tcPr>
          <w:p>
            <w:pPr>
              <w:spacing w:after="0"/>
              <w:rPr>
                <w:sz w:val="19"/>
                <w:szCs w:val="19"/>
                <w:color w:val="auto"/>
              </w:rPr>
            </w:pPr>
          </w:p>
        </w:tc>
      </w:tr>
      <w:tr>
        <w:trPr>
          <w:trHeight w:val="222"/>
        </w:trPr>
        <w:tc>
          <w:tcPr>
            <w:tcW w:w="3720" w:type="dxa"/>
            <w:vAlign w:val="bottom"/>
          </w:tcPr>
          <w:p>
            <w:pPr>
              <w:spacing w:after="0"/>
              <w:rPr>
                <w:sz w:val="19"/>
                <w:szCs w:val="19"/>
                <w:color w:val="auto"/>
              </w:rPr>
            </w:pPr>
          </w:p>
        </w:tc>
        <w:tc>
          <w:tcPr>
            <w:tcW w:w="3620" w:type="dxa"/>
            <w:vAlign w:val="bottom"/>
            <w:gridSpan w:val="2"/>
          </w:tcPr>
          <w:p>
            <w:pPr>
              <w:ind w:left="2100"/>
              <w:spacing w:after="0"/>
              <w:rPr>
                <w:sz w:val="20"/>
                <w:szCs w:val="20"/>
                <w:color w:val="auto"/>
              </w:rPr>
            </w:pPr>
            <w:r>
              <w:rPr>
                <w:rFonts w:ascii="Arial" w:cs="Arial" w:eastAsia="Arial" w:hAnsi="Arial"/>
                <w:sz w:val="18"/>
                <w:szCs w:val="18"/>
                <w:color w:val="auto"/>
              </w:rPr>
              <w:t>(Registrant)</w:t>
            </w:r>
          </w:p>
        </w:tc>
        <w:tc>
          <w:tcPr>
            <w:tcW w:w="4080" w:type="dxa"/>
            <w:vAlign w:val="bottom"/>
          </w:tcPr>
          <w:p>
            <w:pPr>
              <w:spacing w:after="0"/>
              <w:rPr>
                <w:sz w:val="19"/>
                <w:szCs w:val="19"/>
                <w:color w:val="auto"/>
              </w:rPr>
            </w:pPr>
          </w:p>
        </w:tc>
      </w:tr>
      <w:tr>
        <w:trPr>
          <w:trHeight w:val="447"/>
        </w:trPr>
        <w:tc>
          <w:tcPr>
            <w:tcW w:w="3720" w:type="dxa"/>
            <w:vAlign w:val="bottom"/>
          </w:tcPr>
          <w:p>
            <w:pPr>
              <w:spacing w:after="0"/>
              <w:rPr>
                <w:sz w:val="20"/>
                <w:szCs w:val="20"/>
                <w:color w:val="auto"/>
              </w:rPr>
            </w:pPr>
            <w:r>
              <w:rPr>
                <w:rFonts w:ascii="Arial" w:cs="Arial" w:eastAsia="Arial" w:hAnsi="Arial"/>
                <w:sz w:val="18"/>
                <w:szCs w:val="18"/>
                <w:color w:val="auto"/>
              </w:rPr>
              <w:t>Dated: November 6, 2009</w:t>
            </w:r>
          </w:p>
        </w:tc>
        <w:tc>
          <w:tcPr>
            <w:tcW w:w="3620" w:type="dxa"/>
            <w:vAlign w:val="bottom"/>
            <w:gridSpan w:val="2"/>
          </w:tcPr>
          <w:p>
            <w:pPr>
              <w:ind w:left="2100"/>
              <w:spacing w:after="0"/>
              <w:rPr>
                <w:sz w:val="20"/>
                <w:szCs w:val="20"/>
                <w:color w:val="auto"/>
              </w:rPr>
            </w:pPr>
            <w:r>
              <w:rPr>
                <w:rFonts w:ascii="Arial" w:cs="Arial" w:eastAsia="Arial" w:hAnsi="Arial"/>
                <w:sz w:val="18"/>
                <w:szCs w:val="18"/>
                <w:color w:val="auto"/>
              </w:rPr>
              <w:t>By:</w:t>
            </w:r>
          </w:p>
        </w:tc>
        <w:tc>
          <w:tcPr>
            <w:tcW w:w="408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E. P</w:t>
            </w:r>
            <w:r>
              <w:rPr>
                <w:rFonts w:ascii="Arial" w:cs="Arial" w:eastAsia="Arial" w:hAnsi="Arial"/>
                <w:sz w:val="14"/>
                <w:szCs w:val="14"/>
                <w:color w:val="auto"/>
              </w:rPr>
              <w:t>ARISI</w:t>
            </w:r>
          </w:p>
        </w:tc>
      </w:tr>
      <w:tr>
        <w:trPr>
          <w:trHeight w:val="198"/>
        </w:trPr>
        <w:tc>
          <w:tcPr>
            <w:tcW w:w="3720" w:type="dxa"/>
            <w:vAlign w:val="bottom"/>
          </w:tcPr>
          <w:p>
            <w:pPr>
              <w:spacing w:after="0"/>
              <w:rPr>
                <w:sz w:val="17"/>
                <w:szCs w:val="17"/>
                <w:color w:val="auto"/>
              </w:rPr>
            </w:pPr>
          </w:p>
        </w:tc>
        <w:tc>
          <w:tcPr>
            <w:tcW w:w="2580" w:type="dxa"/>
            <w:vAlign w:val="bottom"/>
          </w:tcPr>
          <w:p>
            <w:pPr>
              <w:ind w:left="2100"/>
              <w:spacing w:after="0" w:line="198" w:lineRule="exact"/>
              <w:rPr>
                <w:sz w:val="20"/>
                <w:szCs w:val="20"/>
                <w:color w:val="auto"/>
              </w:rPr>
            </w:pPr>
            <w:r>
              <w:rPr>
                <w:rFonts w:ascii="Arial" w:cs="Arial" w:eastAsia="Arial" w:hAnsi="Arial"/>
                <w:sz w:val="18"/>
                <w:szCs w:val="18"/>
                <w:color w:val="auto"/>
                <w:w w:val="86"/>
              </w:rPr>
              <w:t>Name:</w:t>
            </w:r>
          </w:p>
        </w:tc>
        <w:tc>
          <w:tcPr>
            <w:tcW w:w="104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jc w:val="center"/>
              <w:ind w:right="846"/>
              <w:spacing w:after="0"/>
              <w:rPr>
                <w:sz w:val="20"/>
                <w:szCs w:val="20"/>
                <w:color w:val="auto"/>
              </w:rPr>
            </w:pPr>
            <w:r>
              <w:rPr>
                <w:rFonts w:ascii="Arial" w:cs="Arial" w:eastAsia="Arial" w:hAnsi="Arial"/>
                <w:sz w:val="14"/>
                <w:szCs w:val="14"/>
                <w:b w:val="1"/>
                <w:bCs w:val="1"/>
                <w:color w:val="auto"/>
                <w:w w:val="85"/>
              </w:rPr>
              <w:t>James E. Parisi</w:t>
            </w:r>
          </w:p>
        </w:tc>
      </w:tr>
      <w:tr>
        <w:trPr>
          <w:trHeight w:val="227"/>
        </w:trPr>
        <w:tc>
          <w:tcPr>
            <w:tcW w:w="3720" w:type="dxa"/>
            <w:vAlign w:val="bottom"/>
          </w:tcPr>
          <w:p>
            <w:pPr>
              <w:spacing w:after="0"/>
              <w:rPr>
                <w:sz w:val="19"/>
                <w:szCs w:val="19"/>
                <w:color w:val="auto"/>
              </w:rPr>
            </w:pPr>
          </w:p>
        </w:tc>
        <w:tc>
          <w:tcPr>
            <w:tcW w:w="3620" w:type="dxa"/>
            <w:vAlign w:val="bottom"/>
            <w:gridSpan w:val="2"/>
          </w:tcPr>
          <w:p>
            <w:pPr>
              <w:ind w:left="2100"/>
              <w:spacing w:after="0"/>
              <w:rPr>
                <w:sz w:val="20"/>
                <w:szCs w:val="20"/>
                <w:color w:val="auto"/>
              </w:rPr>
            </w:pPr>
            <w:r>
              <w:rPr>
                <w:rFonts w:ascii="Arial" w:cs="Arial" w:eastAsia="Arial" w:hAnsi="Arial"/>
                <w:sz w:val="18"/>
                <w:szCs w:val="18"/>
                <w:color w:val="auto"/>
              </w:rPr>
              <w:t>Title:</w:t>
            </w:r>
          </w:p>
        </w:tc>
        <w:tc>
          <w:tcPr>
            <w:tcW w:w="4080" w:type="dxa"/>
            <w:vAlign w:val="bottom"/>
          </w:tcPr>
          <w:p>
            <w:pPr>
              <w:jc w:val="center"/>
              <w:ind w:right="846"/>
              <w:spacing w:after="0"/>
              <w:rPr>
                <w:sz w:val="20"/>
                <w:szCs w:val="20"/>
                <w:color w:val="auto"/>
              </w:rPr>
            </w:pPr>
            <w:r>
              <w:rPr>
                <w:rFonts w:ascii="Arial" w:cs="Arial" w:eastAsia="Arial" w:hAnsi="Arial"/>
                <w:sz w:val="14"/>
                <w:szCs w:val="14"/>
                <w:b w:val="1"/>
                <w:bCs w:val="1"/>
                <w:color w:val="auto"/>
                <w:w w:val="89"/>
              </w:rPr>
              <w:t>Managing Director and Chief Financial Officer</w:t>
            </w:r>
          </w:p>
        </w:tc>
      </w:tr>
      <w:tr>
        <w:trPr>
          <w:trHeight w:val="365"/>
        </w:trPr>
        <w:tc>
          <w:tcPr>
            <w:tcW w:w="3720" w:type="dxa"/>
            <w:vAlign w:val="bottom"/>
          </w:tcPr>
          <w:p>
            <w:pPr>
              <w:spacing w:after="0"/>
              <w:rPr>
                <w:sz w:val="24"/>
                <w:szCs w:val="24"/>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09/24/2009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James Newsome</w:t>
      </w:r>
    </w:p>
    <w:p>
      <w:pPr>
        <w:spacing w:after="0" w:line="234" w:lineRule="auto"/>
        <w:rPr>
          <w:sz w:val="20"/>
          <w:szCs w:val="20"/>
          <w:color w:val="auto"/>
        </w:rPr>
      </w:pPr>
      <w:r>
        <w:rPr>
          <w:rFonts w:ascii="Arial" w:cs="Arial" w:eastAsia="Arial" w:hAnsi="Arial"/>
          <w:sz w:val="18"/>
          <w:szCs w:val="18"/>
          <w:color w:val="auto"/>
        </w:rPr>
        <w:t>5 Byram Court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Mendham, NJ 07945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Jim,</w:t>
      </w:r>
    </w:p>
    <w:p>
      <w:pPr>
        <w:spacing w:after="0" w:line="158"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Reference is made to that certain agreement, commencing on August 26, 2008 (the “Original Agreement”), with the undersigned Chicago Mercantile Exchange Inc. (“CME”), with respect to your performance of your duties as an advisor to CME and its parent, subsidiaries and affiliates (collectively with CME, “CME Group”). Both you and CME agree that it is desirable that you and CME enter into this letter agreement (this “Agreement”) with respect to the matters provided herein.</w:t>
      </w:r>
    </w:p>
    <w:p>
      <w:pPr>
        <w:spacing w:after="0" w:line="155" w:lineRule="exact"/>
        <w:rPr>
          <w:sz w:val="20"/>
          <w:szCs w:val="20"/>
          <w:color w:val="auto"/>
        </w:rPr>
      </w:pPr>
    </w:p>
    <w:p>
      <w:pPr>
        <w:ind w:left="920" w:right="40" w:firstLine="1"/>
        <w:spacing w:after="0" w:line="237" w:lineRule="auto"/>
        <w:tabs>
          <w:tab w:leader="none" w:pos="111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be for 12 months from August 26, 2009 (through August 25, 2010, the “Term”). This Agreement shall terminate upon your death or “permanent disability.” For purposes of this Agreement, “permanent disability” shall mean any mental or physical disability or illness which results in your being unable to substantially perform your duties for a continuous period of 150 days or for periods aggregating 180 days of any 365 day period.</w:t>
      </w:r>
    </w:p>
    <w:p>
      <w:pPr>
        <w:spacing w:after="0" w:line="154" w:lineRule="exact"/>
        <w:rPr>
          <w:rFonts w:ascii="Arial" w:cs="Arial" w:eastAsia="Arial" w:hAnsi="Arial"/>
          <w:sz w:val="18"/>
          <w:szCs w:val="18"/>
          <w:color w:val="auto"/>
        </w:rPr>
      </w:pPr>
    </w:p>
    <w:p>
      <w:pPr>
        <w:ind w:left="920" w:right="40" w:firstLine="1"/>
        <w:spacing w:after="0" w:line="269" w:lineRule="auto"/>
        <w:tabs>
          <w:tab w:leader="none" w:pos="111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Scope of Services</w:t>
      </w:r>
      <w:r>
        <w:rPr>
          <w:rFonts w:ascii="Arial" w:cs="Arial" w:eastAsia="Arial" w:hAnsi="Arial"/>
          <w:sz w:val="16"/>
          <w:szCs w:val="16"/>
          <w:color w:val="auto"/>
        </w:rPr>
        <w:t>. During the Term, you will render services to CME Group as provided for in Annex A and such other services reasonably requested by CME Group’s Executive Chairman or other authorized officer of CME Group with respect to business and regulatory matters pertaining to CME Group. In providing such services, you shall comply with all applicable laws, statutes, regulations, orders, codes and other acts of any applicable governmental authority and the policies, standards and regulations of CME Group. Insofar as reasonably practicable, CME Group shall consider your convenience in the timing of requests to perform services under this Agreement, and your failure or inability, by reason of temporary illness or other cause beyond your control to respond to requests during any such temporary period shall not be deemed to constitute a default on your part in the performance of your services under this Agreement. Your services under this Agreement shall not exceed 33.33 hours per month of services hereunder.</w:t>
      </w:r>
    </w:p>
    <w:p>
      <w:pPr>
        <w:spacing w:after="0" w:line="132" w:lineRule="exact"/>
        <w:rPr>
          <w:rFonts w:ascii="Arial" w:cs="Arial" w:eastAsia="Arial" w:hAnsi="Arial"/>
          <w:sz w:val="16"/>
          <w:szCs w:val="16"/>
          <w:color w:val="auto"/>
        </w:rPr>
      </w:pPr>
    </w:p>
    <w:p>
      <w:pPr>
        <w:ind w:left="920" w:right="60" w:firstLine="1"/>
        <w:spacing w:after="0" w:line="229" w:lineRule="auto"/>
        <w:tabs>
          <w:tab w:leader="none" w:pos="111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Advisor Fee and Non-Compete and Release Payment</w:t>
      </w:r>
      <w:r>
        <w:rPr>
          <w:rFonts w:ascii="Arial" w:cs="Arial" w:eastAsia="Arial" w:hAnsi="Arial"/>
          <w:sz w:val="18"/>
          <w:szCs w:val="18"/>
          <w:color w:val="auto"/>
        </w:rPr>
        <w:t>. In consideration for your services as an advisor and the confidentiality and other provisions of this Agreement, CME shall pay to you $500,000 per annum during the Term, and in consideration for the non-compete and release provisions of this Agreement, CME shall pay to you $500,000 per annum during the Term, for an aggregate of $1,000,000 (the “Total Payments”) payable in 11 installments during the Term. The first installment of $166,667 shall be made on or before October 20. Following the month of October, the remaining 10 equal installments of $83,333.30 shall be processed on the Friday of the week in which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month falls, which will result in the deposit to your account on the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business day following that Friday. CME shall have the right to deduct from the Total Payments payable to you under this Agreement for any documented debt or judgment which any CME Group company may have against you (collectively, “Debts”).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20 South Wacker Drive Chicago, Illinois 60606 T312 930 1000 F312 466 4410 cmegroup.com</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Newsome</w:t>
      </w:r>
    </w:p>
    <w:p>
      <w:pPr>
        <w:spacing w:after="0" w:line="234" w:lineRule="auto"/>
        <w:rPr>
          <w:sz w:val="20"/>
          <w:szCs w:val="20"/>
          <w:color w:val="auto"/>
        </w:rPr>
      </w:pPr>
      <w:r>
        <w:rPr>
          <w:rFonts w:ascii="Arial" w:cs="Arial" w:eastAsia="Arial" w:hAnsi="Arial"/>
          <w:sz w:val="18"/>
          <w:szCs w:val="18"/>
          <w:color w:val="auto"/>
        </w:rPr>
        <w:t>September 24,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4" w:lineRule="exact"/>
        <w:rPr>
          <w:sz w:val="20"/>
          <w:szCs w:val="20"/>
          <w:color w:val="auto"/>
        </w:rPr>
      </w:pPr>
    </w:p>
    <w:p>
      <w:pPr>
        <w:ind w:left="920" w:right="100" w:firstLine="1"/>
        <w:spacing w:after="0" w:line="236" w:lineRule="auto"/>
        <w:tabs>
          <w:tab w:leader="none" w:pos="111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Expense Reimbursement /Other Benefits</w:t>
      </w:r>
      <w:r>
        <w:rPr>
          <w:rFonts w:ascii="Arial" w:cs="Arial" w:eastAsia="Arial" w:hAnsi="Arial"/>
          <w:sz w:val="18"/>
          <w:szCs w:val="18"/>
          <w:color w:val="auto"/>
        </w:rPr>
        <w:t>. CME shall reimburse you for all reasonable and necessary out-of-pocket travel and other expenses incurred by you at the specific request of CME Group to the extent such reimbursement is consistent with CME Group’s expense reimbursement policies from time to time in effect in connection with your performance of services as an advisor hereunder. Such expenses shall be reimbursed promptly after your submission to CME of expense statements, including copies of receipts and other documents verifying the amounts included therein, in such reasonable detail as CME may require.</w:t>
      </w:r>
    </w:p>
    <w:p>
      <w:pPr>
        <w:spacing w:after="0" w:line="157" w:lineRule="exact"/>
        <w:rPr>
          <w:rFonts w:ascii="Arial" w:cs="Arial" w:eastAsia="Arial" w:hAnsi="Arial"/>
          <w:sz w:val="18"/>
          <w:szCs w:val="18"/>
          <w:color w:val="auto"/>
        </w:rPr>
      </w:pPr>
    </w:p>
    <w:p>
      <w:pPr>
        <w:ind w:left="920" w:firstLine="1"/>
        <w:spacing w:after="0" w:line="236" w:lineRule="auto"/>
        <w:tabs>
          <w:tab w:leader="none" w:pos="111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Nature of the Advisor Relationship</w:t>
      </w:r>
      <w:r>
        <w:rPr>
          <w:rFonts w:ascii="Arial" w:cs="Arial" w:eastAsia="Arial" w:hAnsi="Arial"/>
          <w:sz w:val="18"/>
          <w:szCs w:val="18"/>
          <w:color w:val="auto"/>
        </w:rPr>
        <w:t>. You will perform the services required under this Agreement as an independent contractor to, and not as an agent or employee of CME or any other CME Group company. Except as and to the extent that CME or another CME Group company, as the case may be, may otherwise prescribe in writing, you shall not have any authority to negotiate or to conclude any contracts on behalf of, or otherwise bind, CME or any other CME Group company. You shall be solely responsible for and shall pay all amounts of applicable federal and state income and self employment taxes. You shall not be eligible to participate in any employee benefit, group insurance or compensation plans or programs maintained by CME or any CME Group company. Neither CME nor any other CME Group company shall provide Social Security, unemployment compensation, disability insurance, workers’ compensation or similar coverage, or any other statutory employment benefit, to you.</w:t>
      </w:r>
    </w:p>
    <w:p>
      <w:pPr>
        <w:spacing w:after="0" w:line="154" w:lineRule="exact"/>
        <w:rPr>
          <w:rFonts w:ascii="Arial" w:cs="Arial" w:eastAsia="Arial" w:hAnsi="Arial"/>
          <w:sz w:val="18"/>
          <w:szCs w:val="18"/>
          <w:color w:val="auto"/>
        </w:rPr>
      </w:pPr>
    </w:p>
    <w:p>
      <w:pPr>
        <w:ind w:left="920" w:right="100" w:firstLine="1"/>
        <w:spacing w:after="0" w:line="236" w:lineRule="auto"/>
        <w:tabs>
          <w:tab w:leader="none" w:pos="111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Assisting Competitors</w:t>
      </w:r>
      <w:r>
        <w:rPr>
          <w:rFonts w:ascii="Arial" w:cs="Arial" w:eastAsia="Arial" w:hAnsi="Arial"/>
          <w:sz w:val="18"/>
          <w:szCs w:val="18"/>
          <w:color w:val="auto"/>
        </w:rPr>
        <w:t>. During the Term and for a period of one (1) year following the Term, you will not, without the prior written consent of CME Group, (a) render any services whether or not for compensation, to other individuals, firms, corporations or entities in connection with any matter that involves material interests adverse to any CME Group company, (b) directly or indirectly compete with any CME Group company anywhere in the world or (c) engage in any business or activity that you reasonably believe to be materially detrimental to the business or interests of any CME Group company.</w:t>
      </w:r>
    </w:p>
    <w:p>
      <w:pPr>
        <w:spacing w:after="0" w:line="157" w:lineRule="exact"/>
        <w:rPr>
          <w:rFonts w:ascii="Arial" w:cs="Arial" w:eastAsia="Arial" w:hAnsi="Arial"/>
          <w:sz w:val="18"/>
          <w:szCs w:val="18"/>
          <w:color w:val="auto"/>
        </w:rPr>
      </w:pPr>
    </w:p>
    <w:p>
      <w:pPr>
        <w:ind w:left="920" w:firstLine="1"/>
        <w:spacing w:after="0" w:line="235" w:lineRule="auto"/>
        <w:tabs>
          <w:tab w:leader="none" w:pos="111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In connection with your service to CME Group pursuant to this Agreement you will acquire confidential information with respect to the business, plans, strategies, finances, technology, markets, operations, customers, members, employees, suppliers and vendors and other matters of or related to CME Group (“Confidential Information”). In that regard, you should presume that any information you receive about CME Group or its customers, members or others through your work pursuant to this Agreement is confidential and, therefore, should not be disclosed or made public, except when disclosure is authorized or legally required. Unless disclosure is required by law, you shall not, without the prior written consent of CME Group, at any time, whether during or after the Term, communicate or divulge any Confidential Information to anyone other than those persons or entities designated by CME Group. All records, files, documents, notes, data and the like relating to the business or activities of any CME Group company which you shall prepare, develop, use, compile or receive shall be and remain the sole property of CME, or such other CME Group company as the case may be, and shall be returned upon CME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20 South Wacker Drive Chicago, Illinois 60606 T312 930 1000 F312 466 4410 cmegroup.com</w:t>
      </w:r>
    </w:p>
    <w:p>
      <w:pPr>
        <w:sectPr>
          <w:pgSz w:w="11900" w:h="16838" w:orient="portrait"/>
          <w:cols w:equalWidth="0" w:num="1">
            <w:col w:w="11400"/>
          </w:cols>
          <w:pgMar w:left="240" w:top="1165"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Newsome</w:t>
      </w:r>
    </w:p>
    <w:p>
      <w:pPr>
        <w:spacing w:after="0" w:line="234" w:lineRule="auto"/>
        <w:rPr>
          <w:sz w:val="20"/>
          <w:szCs w:val="20"/>
          <w:color w:val="auto"/>
        </w:rPr>
      </w:pPr>
      <w:r>
        <w:rPr>
          <w:rFonts w:ascii="Arial" w:cs="Arial" w:eastAsia="Arial" w:hAnsi="Arial"/>
          <w:sz w:val="18"/>
          <w:szCs w:val="18"/>
          <w:color w:val="auto"/>
        </w:rPr>
        <w:t>September 24,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4" w:lineRule="exact"/>
        <w:rPr>
          <w:sz w:val="20"/>
          <w:szCs w:val="20"/>
          <w:color w:val="auto"/>
        </w:rPr>
      </w:pPr>
    </w:p>
    <w:p>
      <w:pPr>
        <w:ind w:left="920" w:right="80"/>
        <w:spacing w:after="0" w:line="238" w:lineRule="auto"/>
        <w:rPr>
          <w:sz w:val="20"/>
          <w:szCs w:val="20"/>
          <w:color w:val="auto"/>
        </w:rPr>
      </w:pPr>
      <w:r>
        <w:rPr>
          <w:rFonts w:ascii="Arial" w:cs="Arial" w:eastAsia="Arial" w:hAnsi="Arial"/>
          <w:sz w:val="18"/>
          <w:szCs w:val="18"/>
          <w:color w:val="auto"/>
        </w:rPr>
        <w:t>Group’s request. “Confidential Information” shall exclude information (a) readily available in the public domain other than as a result of your act or omission or (b) obtained from third parties rightfully in possession of such information and having no direct or indirect confidentiality obligation to any CME Group company.</w:t>
      </w:r>
    </w:p>
    <w:p>
      <w:pPr>
        <w:spacing w:after="0" w:line="154" w:lineRule="exact"/>
        <w:rPr>
          <w:sz w:val="20"/>
          <w:szCs w:val="20"/>
          <w:color w:val="auto"/>
        </w:rPr>
      </w:pPr>
    </w:p>
    <w:p>
      <w:pPr>
        <w:ind w:left="920" w:firstLine="1"/>
        <w:spacing w:after="0" w:line="236" w:lineRule="auto"/>
        <w:tabs>
          <w:tab w:leader="none" w:pos="111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To the extent permitted by law, CME agrees to indemnify you if you are a party or are threatened to be made a party to any threatened, pending or completed action, suit or proceeding, whether civil, criminal, administrative or investigative by reason of the services you provide to CME Group under this Agreement. The indemnification shall be from and against expenses (including attorney’s fees), judgments, fines and amounts paid in settlement actually and reasonably incurred by you or on your behalf in connection with such threatened or actual action, suit or proceeding and any appeal therefrom, but shall only be provided if you acted in good faith and in a manner you reasonably believed to be in or not opposed to the best interest of CME Group and, with respect to any criminal action, suit or proceeding, had no reasonable cause to believe your conduct was unlawful.</w:t>
      </w:r>
    </w:p>
    <w:p>
      <w:pPr>
        <w:spacing w:after="0" w:line="155" w:lineRule="exact"/>
        <w:rPr>
          <w:rFonts w:ascii="Arial" w:cs="Arial" w:eastAsia="Arial" w:hAnsi="Arial"/>
          <w:sz w:val="18"/>
          <w:szCs w:val="18"/>
          <w:color w:val="auto"/>
        </w:rPr>
      </w:pPr>
    </w:p>
    <w:p>
      <w:pPr>
        <w:ind w:left="920" w:right="300" w:firstLine="1"/>
        <w:spacing w:after="0" w:line="238" w:lineRule="auto"/>
        <w:tabs>
          <w:tab w:leader="none" w:pos="111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The failure by either party to exercise any of its or his rights in the event of a breach of this Agreement by the other party shall not be construed as a waiver of such breach or any subsequent breach, or prevent either party from later enforcing strict compliance with this Agreement as to such breach or any subsequent breach.</w:t>
      </w:r>
    </w:p>
    <w:p>
      <w:pPr>
        <w:spacing w:after="0" w:line="154" w:lineRule="exact"/>
        <w:rPr>
          <w:rFonts w:ascii="Arial" w:cs="Arial" w:eastAsia="Arial" w:hAnsi="Arial"/>
          <w:sz w:val="18"/>
          <w:szCs w:val="18"/>
          <w:color w:val="auto"/>
        </w:rPr>
      </w:pPr>
    </w:p>
    <w:p>
      <w:pPr>
        <w:ind w:left="920" w:right="40" w:firstLine="1"/>
        <w:spacing w:after="0" w:line="236" w:lineRule="auto"/>
        <w:tabs>
          <w:tab w:leader="none" w:pos="121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void or unenforceable for any reason, such provision shall be modified or deleted in such manner so as to make this Agreement, as modified, legal and enforceable, and the remaining provisions hereof shall continue in full force and effect. In addition to the foregoing, if a court holds that the restrictions stated herein are unreasonable, the parties hereto agree that the maximum period, scope or geographical area reasonable under the circumstances shall be substituted for the stated period, scope or area and that the court shall be allowed to revise the restrictions contained herein to cover the maximum period, scope or area permitted by law.</w:t>
      </w:r>
    </w:p>
    <w:p>
      <w:pPr>
        <w:spacing w:after="0" w:line="156" w:lineRule="exact"/>
        <w:rPr>
          <w:rFonts w:ascii="Arial" w:cs="Arial" w:eastAsia="Arial" w:hAnsi="Arial"/>
          <w:sz w:val="18"/>
          <w:szCs w:val="18"/>
          <w:color w:val="auto"/>
        </w:rPr>
      </w:pPr>
    </w:p>
    <w:p>
      <w:pPr>
        <w:ind w:left="920" w:right="660" w:firstLine="1"/>
        <w:spacing w:after="0" w:line="239" w:lineRule="auto"/>
        <w:tabs>
          <w:tab w:leader="none" w:pos="121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This paragraph 11 and paragraphs 6, 7, 8, 9, 10, 12, 13, 14, 15 and 16 shall survive and continue in full force and effecting accordance with their respective terms, notwithstanding any termination of this Agreement.</w:t>
      </w:r>
    </w:p>
    <w:p>
      <w:pPr>
        <w:spacing w:after="0" w:line="154" w:lineRule="exact"/>
        <w:rPr>
          <w:rFonts w:ascii="Arial" w:cs="Arial" w:eastAsia="Arial" w:hAnsi="Arial"/>
          <w:sz w:val="18"/>
          <w:szCs w:val="18"/>
          <w:color w:val="auto"/>
        </w:rPr>
      </w:pPr>
    </w:p>
    <w:p>
      <w:pPr>
        <w:ind w:left="1220" w:hanging="299"/>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920" w:right="260" w:hanging="440"/>
        <w:spacing w:after="0" w:line="236" w:lineRule="auto"/>
        <w:tabs>
          <w:tab w:leader="none" w:pos="1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used in this Agreement, “CME Parties” means (i) CME and each CME Group company, (ii) all of CME’s and CME Group company’s predecessors, successors, parents, subsidiaries and affiliates and (iii) all past and present officers, directors, agents, employees, officials, employee benefit plans (and their sponsors, fiduciaries and administrators), insurers and attorneys of the entities described in parts (i) and (ii) of this sentence. In exchange for the Total Payments and the payments from CME described in paragraph 4, you, on behalf of yourself and your agents, representatives, attorneys, heirs, executors, administrators, spouse, children, successors and assigns, and any other person (natural or otherwise) acting or purporting to act on behalf of any of the foregoing,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20 South Wacker Drive Chicago, Illinois 60606 T312 930 1000 F312 466 4410 cmegroup.com</w:t>
      </w:r>
    </w:p>
    <w:p>
      <w:pPr>
        <w:sectPr>
          <w:pgSz w:w="11900" w:h="16838" w:orient="portrait"/>
          <w:cols w:equalWidth="0" w:num="1">
            <w:col w:w="11380"/>
          </w:cols>
          <w:pgMar w:left="240" w:top="1165"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James Newsome</w:t>
      </w:r>
    </w:p>
    <w:p>
      <w:pPr>
        <w:spacing w:after="0" w:line="234" w:lineRule="auto"/>
        <w:rPr>
          <w:sz w:val="20"/>
          <w:szCs w:val="20"/>
          <w:color w:val="auto"/>
        </w:rPr>
      </w:pPr>
      <w:r>
        <w:rPr>
          <w:rFonts w:ascii="Arial" w:cs="Arial" w:eastAsia="Arial" w:hAnsi="Arial"/>
          <w:sz w:val="18"/>
          <w:szCs w:val="18"/>
          <w:color w:val="auto"/>
        </w:rPr>
        <w:t>September 24,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4" w:lineRule="exact"/>
        <w:rPr>
          <w:sz w:val="20"/>
          <w:szCs w:val="20"/>
          <w:color w:val="auto"/>
        </w:rPr>
      </w:pPr>
    </w:p>
    <w:p>
      <w:pPr>
        <w:ind w:left="1940"/>
        <w:spacing w:after="0" w:line="235" w:lineRule="auto"/>
        <w:rPr>
          <w:sz w:val="20"/>
          <w:szCs w:val="20"/>
          <w:color w:val="auto"/>
        </w:rPr>
      </w:pPr>
      <w:r>
        <w:rPr>
          <w:rFonts w:ascii="Arial" w:cs="Arial" w:eastAsia="Arial" w:hAnsi="Arial"/>
          <w:sz w:val="18"/>
          <w:szCs w:val="18"/>
          <w:color w:val="auto"/>
        </w:rPr>
        <w:t>fully release each of the CME Parties regarding all known, unknown, suspected, absolute or contingent claims, causes of action, liabilities, damages, fees, remunerations, obligations, promises, judgments or demands of any nature whatsoever, in law or in equity, of every kind and description (“Claims”) regarding any act or failure to act that occurred up to and including the date on which you sign this Agreement, including, without limitation, any and all Claims asserted with respect to fraud, promissory estoppel, unjust enrichment, conversion or otherwise by you or your counsel, representatives or agents regarding the waiver of severance payments or any other waiver made to you in connection with the merger between CME Group Inc. and NYMEX Holdings, Inc (the “Merger”). Notwithstanding anything contained in this paragraph 12(a) to the contrary, you do not release or otherwise waive (i) any rights to indemnification pursuant to Section 6.9 of the Agreement and Plan of Merger made and entered into among CME Group Inc., CMEG NY Inc., NYMEX Holdings, Inc. and New York Mercantile Exchange, Inc. (collectively, the “Merger Entities”), which rights shall survive the termination of this Agreement, or (ii) any rights to indemnification pursuant to the respective by-laws or certificates of incorporation of the Merger Entities, the NYMEX Holdings, Inc. Change in Control Severance Plan dated January 9, 2008, or any other surviving plan(s) of the Merger Entities.</w:t>
      </w:r>
    </w:p>
    <w:p>
      <w:pPr>
        <w:spacing w:after="0" w:line="201" w:lineRule="exact"/>
        <w:rPr>
          <w:sz w:val="20"/>
          <w:szCs w:val="20"/>
          <w:color w:val="auto"/>
        </w:rPr>
      </w:pPr>
    </w:p>
    <w:p>
      <w:pPr>
        <w:ind w:left="1920" w:right="120" w:hanging="440"/>
        <w:spacing w:after="0" w:line="236"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CME, each CME Group company and all of CME’s and CME Group company’s predecessors, successors, parents, subsidiaries and corporate affiliates, on behalf of themselves and their attorneys and assigns, fully release you regarding all Claims regarding any act or failure to act that occurred up to and including the date on which you sign this Agreement relating to any violation of that certain separation agreement and general release, dated as of September, 2008, between you and CME Group Inc. (the “Separation Agreement and General Release”).</w:t>
      </w:r>
    </w:p>
    <w:p>
      <w:pPr>
        <w:spacing w:after="0" w:line="157" w:lineRule="exact"/>
        <w:rPr>
          <w:rFonts w:ascii="Arial" w:cs="Arial" w:eastAsia="Arial" w:hAnsi="Arial"/>
          <w:sz w:val="18"/>
          <w:szCs w:val="18"/>
          <w:color w:val="auto"/>
        </w:rPr>
      </w:pPr>
    </w:p>
    <w:p>
      <w:pPr>
        <w:ind w:left="920" w:right="20" w:firstLine="1"/>
        <w:spacing w:after="0" w:line="235" w:lineRule="auto"/>
        <w:tabs>
          <w:tab w:leader="none" w:pos="121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required communications under this Agreement (“Notices”) shall be in writing, and shall be sent to a party at the address set forth below such party’s signature block below. A party may change its address by sending Notice to the other party of the new address. Notices shall be given: (a) by personal delivery to the other party; (b) by facsimile, with a confirmation sent by registered or certified mail, return receipt requested; (c) by registered or certified mail, return receipt requested; or (d) by express courier (e.g. DHL, Federal Express, etc.). Notices shall be effective and shall be deemed delivered: (i) if by personal delivery, on the date of the personal delivery; (ii) if by facsimile, on the date stated in the electronic confirmation, delivered during normal business hours (8:00 a.m. to 5:00 p.m. at recipient’s location), and, if not delivered during normal business hours, on the next business day following delivery; (iii) if solely by mail, on the date of receipt as stated on the return receipt; or (iv) if by express courier, on the date signed for or rejected as reflected in the courier’s delivery log.</w:t>
      </w:r>
    </w:p>
    <w:p>
      <w:pPr>
        <w:spacing w:after="0" w:line="161" w:lineRule="exact"/>
        <w:rPr>
          <w:rFonts w:ascii="Arial" w:cs="Arial" w:eastAsia="Arial" w:hAnsi="Arial"/>
          <w:sz w:val="18"/>
          <w:szCs w:val="18"/>
          <w:color w:val="auto"/>
        </w:rPr>
      </w:pPr>
    </w:p>
    <w:p>
      <w:pPr>
        <w:ind w:left="920" w:right="240" w:firstLine="1"/>
        <w:spacing w:after="0" w:line="238" w:lineRule="auto"/>
        <w:tabs>
          <w:tab w:leader="none" w:pos="121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You recognize and agree that given the nature of CME Group’s business, the scope and duration of the restrictions in this paragraph 14 and in paragraphs 6, 7, 12(a) and 15 are reasonable and necessary to protect the legitimate business interests of CME Group and do not unduly interfere with your career or economic pursuits. You recognize and agree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20 South Wacker Drive Chicago, Illinois 60606 T312 930 1000 F312 466 4410 cmegroup.com</w:t>
      </w:r>
    </w:p>
    <w:p>
      <w:pPr>
        <w:sectPr>
          <w:pgSz w:w="11900" w:h="16838" w:orient="portrait"/>
          <w:cols w:equalWidth="0" w:num="1">
            <w:col w:w="11420"/>
          </w:cols>
          <w:pgMar w:left="240" w:top="116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Newsome</w:t>
      </w:r>
    </w:p>
    <w:p>
      <w:pPr>
        <w:spacing w:after="0" w:line="234" w:lineRule="auto"/>
        <w:rPr>
          <w:sz w:val="20"/>
          <w:szCs w:val="20"/>
          <w:color w:val="auto"/>
        </w:rPr>
      </w:pPr>
      <w:r>
        <w:rPr>
          <w:rFonts w:ascii="Arial" w:cs="Arial" w:eastAsia="Arial" w:hAnsi="Arial"/>
          <w:sz w:val="18"/>
          <w:szCs w:val="18"/>
          <w:color w:val="auto"/>
        </w:rPr>
        <w:t>September 24,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4" w:lineRule="exact"/>
        <w:rPr>
          <w:sz w:val="20"/>
          <w:szCs w:val="20"/>
          <w:color w:val="auto"/>
        </w:rPr>
      </w:pPr>
    </w:p>
    <w:p>
      <w:pPr>
        <w:ind w:left="920"/>
        <w:spacing w:after="0" w:line="268" w:lineRule="auto"/>
        <w:rPr>
          <w:sz w:val="20"/>
          <w:szCs w:val="20"/>
          <w:color w:val="auto"/>
        </w:rPr>
      </w:pPr>
      <w:r>
        <w:rPr>
          <w:rFonts w:ascii="Arial" w:cs="Arial" w:eastAsia="Arial" w:hAnsi="Arial"/>
          <w:sz w:val="16"/>
          <w:szCs w:val="16"/>
          <w:color w:val="auto"/>
        </w:rPr>
        <w:t>that a breach of any or all of the provisions of this paragraph 14 or paragraphs 6, 7, 12(a) or 15 shall constitute immediate and irreparable harm to CME Group’s business, for which damages cannot be readily calculated and for which damages is an inadequate remedy. Accordingly, without limiting any remedies available to CME Group, you acknowledge and agree that CME Group shall therefore be entitled to seek an injunction or injunctions to prevent any breach or threatened breach of any such paragraphs. You further acknowledge and agree that in any action for breach of such paragraphs, including, without limitation, an action seeking injunctive or other equitable relief, you will not assert or contend that any of such paragraphs are facially unreasonable or otherwise facially unenforceable. Furthermore, without limiting any remedies available to CME Group, you agree that if a final judicial determination is made by a court of competent jurisdiction that you have breached any or all of the provisions contained in this paragraph 14 or paragraphs 6, 7, 12(a) or 15, you shall, within two (2) business days of such final judicial determination, pay or deliver to CME any and all payments, including, without limitation, the Total Payments, made to you by CME pursuant to this Agreement, which payment by you to CME shall be paid by wire transfer of immediately-available U.S. funds to an account designated by CME.</w:t>
      </w:r>
    </w:p>
    <w:p>
      <w:pPr>
        <w:spacing w:after="0" w:line="336" w:lineRule="exact"/>
        <w:rPr>
          <w:sz w:val="20"/>
          <w:szCs w:val="20"/>
          <w:color w:val="auto"/>
        </w:rPr>
      </w:pPr>
    </w:p>
    <w:p>
      <w:pPr>
        <w:ind w:left="920" w:right="80" w:firstLine="1"/>
        <w:spacing w:after="0" w:line="238" w:lineRule="auto"/>
        <w:tabs>
          <w:tab w:leader="none" w:pos="121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Covenant Not to Sue</w:t>
      </w:r>
      <w:r>
        <w:rPr>
          <w:rFonts w:ascii="Arial" w:cs="Arial" w:eastAsia="Arial" w:hAnsi="Arial"/>
          <w:sz w:val="18"/>
          <w:szCs w:val="18"/>
          <w:color w:val="auto"/>
        </w:rPr>
        <w:t>. You acknowledge and agree that you shall not, directly or indirectly, institute or file any suit or proceeding, make or prosecute any claim or otherwise make any assertion that any provisions of this Agreement, including, without limitation, this paragraph 15, are unenforceable against you or otherwise invalid in any manner.</w:t>
      </w:r>
    </w:p>
    <w:p>
      <w:pPr>
        <w:spacing w:after="0" w:line="154" w:lineRule="exact"/>
        <w:rPr>
          <w:rFonts w:ascii="Arial" w:cs="Arial" w:eastAsia="Arial" w:hAnsi="Arial"/>
          <w:sz w:val="18"/>
          <w:szCs w:val="18"/>
          <w:color w:val="auto"/>
        </w:rPr>
      </w:pPr>
    </w:p>
    <w:p>
      <w:pPr>
        <w:ind w:left="920" w:firstLine="1"/>
        <w:spacing w:after="0" w:line="268" w:lineRule="auto"/>
        <w:tabs>
          <w:tab w:leader="none" w:pos="121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This Agreement is personal to you, and you shall not assign this Agreement without CME’s prior written consent. This Agreement shall be governed by and construed in accordance with the laws of the State of New York without regard to choice of law rules. This Agreement contains the entire understanding between CME and yourself with respect to the subject matter hereof and supersedes and voids all prior negotiations, discussions, and agreements, whether written or oral, including, without limitation, the Original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previous release or waiver, including, without limitation, the release contained in the Separation Agreement and General Release and any release or waiver executed by you in connection with the Merger, shall survive pursuant to their terms and not be in any manner be amended, modified, altered, voided or otherwise affected by this Agreement. This Agreement may not be amended, modified or extended other than by a written agreement executed by the parties hereto. This Agreement may be executed and delivered (including by facsimile or electronic transmission) in counterparts, each of which shall be deemed an original, but all of which together shall constitute one and the same instrument.</w:t>
      </w:r>
    </w:p>
    <w:p>
      <w:pPr>
        <w:spacing w:after="0" w:line="32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20 South Wacker Drive Chicago, Illinois 60606 T312 930 1000 F312 466 4410 cmegroup.com</w:t>
      </w:r>
    </w:p>
    <w:p>
      <w:pPr>
        <w:sectPr>
          <w:pgSz w:w="11900" w:h="16838" w:orient="portrait"/>
          <w:cols w:equalWidth="0" w:num="1">
            <w:col w:w="11320"/>
          </w:cols>
          <w:pgMar w:left="240" w:top="11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Newsome</w:t>
      </w:r>
    </w:p>
    <w:p>
      <w:pPr>
        <w:spacing w:after="0" w:line="234" w:lineRule="auto"/>
        <w:rPr>
          <w:sz w:val="20"/>
          <w:szCs w:val="20"/>
          <w:color w:val="auto"/>
        </w:rPr>
      </w:pPr>
      <w:r>
        <w:rPr>
          <w:rFonts w:ascii="Arial" w:cs="Arial" w:eastAsia="Arial" w:hAnsi="Arial"/>
          <w:sz w:val="18"/>
          <w:szCs w:val="18"/>
          <w:color w:val="auto"/>
        </w:rPr>
        <w:t>September 24,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4"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Please confirm that the foregoing Agreement correctly sets forth the agreement between CME and yourself by signing and returning this Agreement to CME.</w:t>
      </w:r>
    </w:p>
    <w:p>
      <w:pPr>
        <w:sectPr>
          <w:pgSz w:w="11900" w:h="16838" w:orient="portrait"/>
          <w:cols w:equalWidth="0" w:num="1">
            <w:col w:w="11020"/>
          </w:cols>
          <w:pgMar w:left="240" w:top="1165" w:right="6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CHICAGO MERCANTILE EXCHANGE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41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Craig S. Donohue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Chicago Mercantile Exchange Inc.</w:t>
      </w:r>
    </w:p>
    <w:p>
      <w:pPr>
        <w:spacing w:after="0" w:line="234" w:lineRule="auto"/>
        <w:rPr>
          <w:sz w:val="20"/>
          <w:szCs w:val="20"/>
          <w:color w:val="auto"/>
        </w:rPr>
      </w:pPr>
      <w:r>
        <w:rPr>
          <w:rFonts w:ascii="Arial" w:cs="Arial" w:eastAsia="Arial" w:hAnsi="Arial"/>
          <w:sz w:val="18"/>
          <w:szCs w:val="18"/>
          <w:color w:val="auto"/>
        </w:rPr>
        <w:t>20 South Wacker Drive</w:t>
      </w:r>
    </w:p>
    <w:p>
      <w:pPr>
        <w:spacing w:after="0" w:line="235" w:lineRule="auto"/>
        <w:rPr>
          <w:sz w:val="20"/>
          <w:szCs w:val="20"/>
          <w:color w:val="auto"/>
        </w:rPr>
      </w:pPr>
      <w:r>
        <w:rPr>
          <w:rFonts w:ascii="Arial" w:cs="Arial" w:eastAsia="Arial" w:hAnsi="Arial"/>
          <w:sz w:val="18"/>
          <w:szCs w:val="18"/>
          <w:color w:val="auto"/>
        </w:rPr>
        <w:t>Chicago, IL 60606</w:t>
      </w:r>
    </w:p>
    <w:p>
      <w:pPr>
        <w:spacing w:after="0" w:line="1" w:lineRule="exact"/>
        <w:rPr>
          <w:sz w:val="20"/>
          <w:szCs w:val="20"/>
          <w:color w:val="auto"/>
        </w:rPr>
      </w:pPr>
    </w:p>
    <w:p>
      <w:pPr>
        <w:ind w:right="1620"/>
        <w:spacing w:after="0" w:line="238" w:lineRule="auto"/>
        <w:rPr>
          <w:sz w:val="20"/>
          <w:szCs w:val="20"/>
          <w:color w:val="auto"/>
        </w:rPr>
      </w:pPr>
      <w:r>
        <w:rPr>
          <w:rFonts w:ascii="Arial" w:cs="Arial" w:eastAsia="Arial" w:hAnsi="Arial"/>
          <w:sz w:val="18"/>
          <w:szCs w:val="18"/>
          <w:color w:val="auto"/>
        </w:rPr>
        <w:t>Attention: Kathleen Cronin, Managing Director, General Counsel &amp; Corporate Secretary facsimile: 312-930-4556</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Agreed and Accepted as of this 24 day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September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Newsome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347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Newsome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Purposes:</w:t>
      </w:r>
    </w:p>
    <w:p>
      <w:pPr>
        <w:spacing w:after="0" w:line="234" w:lineRule="auto"/>
        <w:rPr>
          <w:sz w:val="20"/>
          <w:szCs w:val="20"/>
          <w:color w:val="auto"/>
        </w:rPr>
      </w:pPr>
      <w:r>
        <w:rPr>
          <w:rFonts w:ascii="Arial" w:cs="Arial" w:eastAsia="Arial" w:hAnsi="Arial"/>
          <w:sz w:val="18"/>
          <w:szCs w:val="18"/>
          <w:color w:val="auto"/>
        </w:rPr>
        <w:t>5 Byram Court</w:t>
      </w:r>
    </w:p>
    <w:p>
      <w:pPr>
        <w:spacing w:after="0" w:line="235" w:lineRule="auto"/>
        <w:rPr>
          <w:sz w:val="20"/>
          <w:szCs w:val="20"/>
          <w:color w:val="auto"/>
        </w:rPr>
      </w:pPr>
      <w:r>
        <w:rPr>
          <w:rFonts w:ascii="Arial" w:cs="Arial" w:eastAsia="Arial" w:hAnsi="Arial"/>
          <w:sz w:val="18"/>
          <w:szCs w:val="18"/>
          <w:color w:val="auto"/>
        </w:rPr>
        <w:t>Mendham, NJ 07945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facsimile: 212-301-4600</w:t>
      </w:r>
    </w:p>
    <w:p>
      <w:pPr>
        <w:spacing w:after="0" w:line="963" w:lineRule="exact"/>
        <w:rPr>
          <w:sz w:val="20"/>
          <w:szCs w:val="20"/>
          <w:color w:val="auto"/>
        </w:rPr>
      </w:pPr>
    </w:p>
    <w:p>
      <w:pPr>
        <w:sectPr>
          <w:pgSz w:w="11900" w:h="16838" w:orient="portrait"/>
          <w:cols w:equalWidth="0" w:num="2">
            <w:col w:w="5240" w:space="720"/>
            <w:col w:w="5060"/>
          </w:cols>
          <w:pgMar w:left="240" w:top="1165" w:right="639" w:bottom="1440" w:gutter="0" w:footer="0" w:header="0"/>
          <w:type w:val="continuous"/>
        </w:sectPr>
      </w:pPr>
    </w:p>
    <w:p>
      <w:pPr>
        <w:spacing w:after="0"/>
        <w:rPr>
          <w:sz w:val="20"/>
          <w:szCs w:val="20"/>
          <w:color w:val="auto"/>
        </w:rPr>
      </w:pPr>
      <w:r>
        <w:rPr>
          <w:rFonts w:ascii="Arial" w:cs="Arial" w:eastAsia="Arial" w:hAnsi="Arial"/>
          <w:sz w:val="12"/>
          <w:szCs w:val="12"/>
          <w:color w:val="auto"/>
        </w:rPr>
        <w:t>20 South Wacker Drive Chicago, Illinois 60606 T312 930 1000 F312 466 4410 cmegroup.com</w:t>
      </w:r>
    </w:p>
    <w:p>
      <w:pPr>
        <w:sectPr>
          <w:pgSz w:w="11900" w:h="16838" w:orient="portrait"/>
          <w:cols w:equalWidth="0" w:num="1">
            <w:col w:w="11020"/>
          </w:cols>
          <w:pgMar w:left="240" w:top="1165" w:right="6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Newsome</w:t>
      </w:r>
    </w:p>
    <w:p>
      <w:pPr>
        <w:spacing w:after="0" w:line="234" w:lineRule="auto"/>
        <w:rPr>
          <w:sz w:val="20"/>
          <w:szCs w:val="20"/>
          <w:color w:val="auto"/>
        </w:rPr>
      </w:pPr>
      <w:r>
        <w:rPr>
          <w:rFonts w:ascii="Arial" w:cs="Arial" w:eastAsia="Arial" w:hAnsi="Arial"/>
          <w:sz w:val="18"/>
          <w:szCs w:val="18"/>
          <w:color w:val="auto"/>
        </w:rPr>
        <w:t>September 24,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Annex A</w:t>
      </w:r>
    </w:p>
    <w:p>
      <w:pPr>
        <w:spacing w:after="0" w:line="198" w:lineRule="exact"/>
        <w:rPr>
          <w:sz w:val="20"/>
          <w:szCs w:val="20"/>
          <w:color w:val="auto"/>
        </w:rPr>
      </w:pPr>
    </w:p>
    <w:p>
      <w:pPr>
        <w:ind w:left="900" w:hanging="325"/>
        <w:spacing w:after="0" w:line="23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direction of CME Group’s Executive Chairman or other authorized officer of CME Group, travel to Washington D.C. a minimum of once every two (2) months for the purpose of attending meetings organized by CME Group’s Executive Chairman or other authorized officer of CME Group with members of Congress and the staff of the U.S. Commodity Futures Trading Commission as relates to matters affecting CME Group and provide a detailed written summary of all such meetings. Such meetings and the content thereof shall be developed in consultation with CME Group’s Executive Chairman or other authorized officer of CME Group.</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20 South Wacker Drive Chicago, Illinois 60606 T312 930 1000 F312 466 4410 cmegroup.com</w:t>
      </w:r>
    </w:p>
    <w:p>
      <w:pPr>
        <w:sectPr>
          <w:pgSz w:w="11900" w:h="16838" w:orient="portrait"/>
          <w:cols w:equalWidth="0" w:num="1">
            <w:col w:w="11400"/>
          </w:cols>
          <w:pgMar w:left="240" w:top="1165"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AND LIMITED WAIVER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CREDIT AGREEMENT</w:t>
      </w:r>
    </w:p>
    <w:p>
      <w:pPr>
        <w:spacing w:after="0" w:line="128" w:lineRule="exact"/>
        <w:rPr>
          <w:sz w:val="20"/>
          <w:szCs w:val="20"/>
          <w:color w:val="auto"/>
        </w:rPr>
      </w:pPr>
    </w:p>
    <w:p>
      <w:pPr>
        <w:ind w:right="60" w:firstLine="571"/>
        <w:spacing w:after="0" w:line="23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AMENDMENT NO. 1 AND LIMITED WAIVER TO CREDIT AGREEMENT</w:t>
      </w:r>
      <w:r>
        <w:rPr>
          <w:rFonts w:ascii="Arial" w:cs="Arial" w:eastAsia="Arial" w:hAnsi="Arial"/>
          <w:sz w:val="22"/>
          <w:szCs w:val="22"/>
          <w:color w:val="auto"/>
        </w:rPr>
        <w:t xml:space="preserve">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xml:space="preserve">”) dated as of September 30, 2009, is made by and among </w:t>
      </w:r>
      <w:r>
        <w:rPr>
          <w:rFonts w:ascii="Arial" w:cs="Arial" w:eastAsia="Arial" w:hAnsi="Arial"/>
          <w:sz w:val="22"/>
          <w:szCs w:val="22"/>
          <w:b w:val="1"/>
          <w:bCs w:val="1"/>
          <w:color w:val="auto"/>
        </w:rPr>
        <w:t>CME GROUP INC</w:t>
      </w:r>
      <w:r>
        <w:rPr>
          <w:rFonts w:ascii="Arial" w:cs="Arial" w:eastAsia="Arial" w:hAnsi="Arial"/>
          <w:sz w:val="22"/>
          <w:szCs w:val="22"/>
          <w:color w:val="auto"/>
        </w:rPr>
        <w:t>., a Delaware corporation (the “</w:t>
      </w:r>
      <w:r>
        <w:rPr>
          <w:rFonts w:ascii="Arial" w:cs="Arial" w:eastAsia="Arial" w:hAnsi="Arial"/>
          <w:sz w:val="22"/>
          <w:szCs w:val="22"/>
          <w:b w:val="1"/>
          <w:bCs w:val="1"/>
          <w:i w:val="1"/>
          <w:iCs w:val="1"/>
          <w:color w:val="auto"/>
        </w:rPr>
        <w:t>Borrower</w:t>
      </w:r>
      <w:r>
        <w:rPr>
          <w:rFonts w:ascii="Arial" w:cs="Arial" w:eastAsia="Arial" w:hAnsi="Arial"/>
          <w:sz w:val="22"/>
          <w:szCs w:val="22"/>
          <w:color w:val="auto"/>
        </w:rPr>
        <w:t xml:space="preserve">”), </w:t>
      </w:r>
      <w:r>
        <w:rPr>
          <w:rFonts w:ascii="Arial" w:cs="Arial" w:eastAsia="Arial" w:hAnsi="Arial"/>
          <w:sz w:val="22"/>
          <w:szCs w:val="22"/>
          <w:b w:val="1"/>
          <w:bCs w:val="1"/>
          <w:color w:val="auto"/>
        </w:rPr>
        <w:t>BANK OF</w:t>
      </w:r>
      <w:r>
        <w:rPr>
          <w:rFonts w:ascii="Arial" w:cs="Arial" w:eastAsia="Arial" w:hAnsi="Arial"/>
          <w:sz w:val="22"/>
          <w:szCs w:val="22"/>
          <w:color w:val="auto"/>
        </w:rPr>
        <w:t xml:space="preserve"> </w:t>
      </w:r>
      <w:r>
        <w:rPr>
          <w:rFonts w:ascii="Arial" w:cs="Arial" w:eastAsia="Arial" w:hAnsi="Arial"/>
          <w:sz w:val="22"/>
          <w:szCs w:val="22"/>
          <w:b w:val="1"/>
          <w:bCs w:val="1"/>
          <w:color w:val="auto"/>
        </w:rPr>
        <w:t>AMERICA, N.A.</w:t>
      </w:r>
      <w:r>
        <w:rPr>
          <w:rFonts w:ascii="Arial" w:cs="Arial" w:eastAsia="Arial" w:hAnsi="Arial"/>
          <w:sz w:val="22"/>
          <w:szCs w:val="22"/>
          <w:color w:val="auto"/>
        </w:rPr>
        <w:t>, a national banking association organized and existing under the laws of the United States (“</w:t>
      </w:r>
      <w:r>
        <w:rPr>
          <w:rFonts w:ascii="Arial" w:cs="Arial" w:eastAsia="Arial" w:hAnsi="Arial"/>
          <w:sz w:val="22"/>
          <w:szCs w:val="22"/>
          <w:b w:val="1"/>
          <w:bCs w:val="1"/>
          <w:i w:val="1"/>
          <w:iCs w:val="1"/>
          <w:color w:val="auto"/>
        </w:rPr>
        <w:t>Bank of America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its capacity as administrative agent for the Lenders (as defined in the Credit Agreement described below) (in such capacity, the “</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 and each of the Lenders party 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52" w:lineRule="exact"/>
        <w:rPr>
          <w:sz w:val="20"/>
          <w:szCs w:val="20"/>
          <w:color w:val="auto"/>
        </w:rPr>
      </w:pPr>
    </w:p>
    <w:p>
      <w:pPr>
        <w:ind w:right="60" w:firstLine="571"/>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the Administrative Agent and the Lenders have entered into that certain Credit Agreement dated</w:t>
      </w:r>
      <w:r>
        <w:rPr>
          <w:rFonts w:ascii="Arial" w:cs="Arial" w:eastAsia="Arial" w:hAnsi="Arial"/>
          <w:sz w:val="22"/>
          <w:szCs w:val="22"/>
          <w:b w:val="1"/>
          <w:bCs w:val="1"/>
          <w:color w:val="auto"/>
        </w:rPr>
        <w:t xml:space="preserve"> </w:t>
      </w:r>
      <w:r>
        <w:rPr>
          <w:rFonts w:ascii="Arial" w:cs="Arial" w:eastAsia="Arial" w:hAnsi="Arial"/>
          <w:sz w:val="22"/>
          <w:szCs w:val="22"/>
          <w:color w:val="auto"/>
        </w:rPr>
        <w:t>as of August 22, 2008 (the “</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 capitalized terms used in this Amendment not otherwise defined herein shall have the respective meanings given thereto in the Credit Agreement), pursuant to which the Lenders have made available to the Borrower a term loan facility and a revolving credit facility; and</w:t>
      </w:r>
    </w:p>
    <w:p>
      <w:pPr>
        <w:spacing w:after="0" w:line="127" w:lineRule="exact"/>
        <w:rPr>
          <w:sz w:val="20"/>
          <w:szCs w:val="20"/>
          <w:color w:val="auto"/>
        </w:rPr>
      </w:pPr>
    </w:p>
    <w:p>
      <w:pPr>
        <w:ind w:right="40" w:firstLine="571"/>
        <w:spacing w:after="0" w:line="24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Borrower has advised the Administrative Agent and the Lenders that it desires to amend certain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the Credit Agreement to, among other things, (i) reduce the aggregate amount of the Revolving Commitments by $50,000,000, and apply the entirety of such reduction to (and thereby terminate the Revolving Commitment of) Woodlands Commercial Bank </w:t>
      </w:r>
      <w:r>
        <w:rPr>
          <w:rFonts w:ascii="Arial" w:cs="Arial" w:eastAsia="Arial" w:hAnsi="Arial"/>
          <w:sz w:val="21"/>
          <w:szCs w:val="21"/>
          <w:i w:val="1"/>
          <w:iCs w:val="1"/>
          <w:color w:val="auto"/>
        </w:rPr>
        <w:t xml:space="preserve">(f/k/a Lehman Brothers Commercial Bank) </w:t>
      </w:r>
      <w:r>
        <w:rPr>
          <w:rFonts w:ascii="Arial" w:cs="Arial" w:eastAsia="Arial" w:hAnsi="Arial"/>
          <w:sz w:val="21"/>
          <w:szCs w:val="21"/>
          <w:color w:val="auto"/>
        </w:rPr>
        <w:t>(collectively, the “</w:t>
      </w:r>
      <w:r>
        <w:rPr>
          <w:rFonts w:ascii="Arial" w:cs="Arial" w:eastAsia="Arial" w:hAnsi="Arial"/>
          <w:sz w:val="21"/>
          <w:szCs w:val="21"/>
          <w:b w:val="1"/>
          <w:bCs w:val="1"/>
          <w:i w:val="1"/>
          <w:iCs w:val="1"/>
          <w:color w:val="auto"/>
        </w:rPr>
        <w:t>Woodlands Commitment Reduction</w:t>
      </w:r>
      <w:r>
        <w:rPr>
          <w:rFonts w:ascii="Arial" w:cs="Arial" w:eastAsia="Arial" w:hAnsi="Arial"/>
          <w:sz w:val="21"/>
          <w:szCs w:val="21"/>
          <w:color w:val="auto"/>
        </w:rPr>
        <w:t>”), and waive certain terms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Credit Agreement related thereto, and (ii) reduce the minimum required amount of each request under the Revolving Commitments increase option set forth in </w:t>
      </w:r>
      <w:r>
        <w:rPr>
          <w:rFonts w:ascii="Arial" w:cs="Arial" w:eastAsia="Arial" w:hAnsi="Arial"/>
          <w:sz w:val="21"/>
          <w:szCs w:val="21"/>
          <w:u w:val="single" w:color="auto"/>
          <w:color w:val="auto"/>
        </w:rPr>
        <w:t>Section 2.19</w:t>
      </w:r>
      <w:r>
        <w:rPr>
          <w:rFonts w:ascii="Arial" w:cs="Arial" w:eastAsia="Arial" w:hAnsi="Arial"/>
          <w:sz w:val="21"/>
          <w:szCs w:val="21"/>
          <w:color w:val="auto"/>
        </w:rPr>
        <w:t xml:space="preserve"> of the Credit Agreement to $10,000,000, in each case as more particularly set forth below, and the Lenders signatory hereto are willing to effect such amendments and waivers on the terms and conditions contained in this Amendment;</w:t>
      </w:r>
    </w:p>
    <w:p>
      <w:pPr>
        <w:spacing w:after="0" w:line="119" w:lineRule="exact"/>
        <w:rPr>
          <w:sz w:val="20"/>
          <w:szCs w:val="20"/>
          <w:color w:val="auto"/>
        </w:rPr>
      </w:pPr>
    </w:p>
    <w:p>
      <w:pPr>
        <w:ind w:right="360" w:firstLine="571"/>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 sufficiency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hereby acknowledged, the parties hereto agree as follows:</w:t>
      </w:r>
    </w:p>
    <w:p>
      <w:pPr>
        <w:spacing w:after="0" w:line="115" w:lineRule="exact"/>
        <w:rPr>
          <w:sz w:val="20"/>
          <w:szCs w:val="20"/>
          <w:color w:val="auto"/>
        </w:rPr>
      </w:pPr>
    </w:p>
    <w:p>
      <w:pPr>
        <w:ind w:right="1020" w:firstLine="579"/>
        <w:spacing w:after="0" w:line="251" w:lineRule="auto"/>
        <w:tabs>
          <w:tab w:leader="none" w:pos="787"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Limited Waivers</w:t>
      </w:r>
      <w:r>
        <w:rPr>
          <w:rFonts w:ascii="Arial" w:cs="Arial" w:eastAsia="Arial" w:hAnsi="Arial"/>
          <w:sz w:val="22"/>
          <w:szCs w:val="22"/>
          <w:color w:val="auto"/>
        </w:rPr>
        <w:t>. Subject to the terms and conditions set forth herein, and solely with respect to the Woodlands Commitment Reduction,</w:t>
      </w:r>
    </w:p>
    <w:p>
      <w:pPr>
        <w:spacing w:after="0" w:line="119" w:lineRule="exact"/>
        <w:rPr>
          <w:rFonts w:ascii="Arial" w:cs="Arial" w:eastAsia="Arial" w:hAnsi="Arial"/>
          <w:sz w:val="22"/>
          <w:szCs w:val="22"/>
          <w:color w:val="auto"/>
        </w:rPr>
      </w:pPr>
    </w:p>
    <w:p>
      <w:pPr>
        <w:ind w:left="580" w:firstLine="541"/>
        <w:spacing w:after="0" w:line="328" w:lineRule="auto"/>
        <w:tabs>
          <w:tab w:leader="none" w:pos="1416"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the Lenders signatory hereto hereby waive the requirement set forth in </w:t>
      </w:r>
      <w:r>
        <w:rPr>
          <w:rFonts w:ascii="Arial" w:cs="Arial" w:eastAsia="Arial" w:hAnsi="Arial"/>
          <w:sz w:val="19"/>
          <w:szCs w:val="19"/>
          <w:u w:val="single" w:color="auto"/>
          <w:color w:val="auto"/>
        </w:rPr>
        <w:t>Section 2.07(c)</w:t>
      </w:r>
      <w:r>
        <w:rPr>
          <w:rFonts w:ascii="Arial" w:cs="Arial" w:eastAsia="Arial" w:hAnsi="Arial"/>
          <w:sz w:val="19"/>
          <w:szCs w:val="19"/>
          <w:color w:val="auto"/>
        </w:rPr>
        <w:t xml:space="preserve"> of the Credit Agreement that the Borrower provide prior notice to the Administrative Agent of the Woodlands Commitment Reduction; and</w:t>
      </w:r>
    </w:p>
    <w:p>
      <w:pPr>
        <w:spacing w:after="0" w:line="51" w:lineRule="exact"/>
        <w:rPr>
          <w:rFonts w:ascii="Arial" w:cs="Arial" w:eastAsia="Arial" w:hAnsi="Arial"/>
          <w:sz w:val="19"/>
          <w:szCs w:val="19"/>
          <w:color w:val="auto"/>
        </w:rPr>
      </w:pPr>
    </w:p>
    <w:p>
      <w:pPr>
        <w:ind w:left="580" w:right="60" w:firstLine="541"/>
        <w:spacing w:after="0" w:line="236" w:lineRule="auto"/>
        <w:tabs>
          <w:tab w:leader="none" w:pos="1428" w:val="left"/>
        </w:tabs>
        <w:numPr>
          <w:ilvl w:val="1"/>
          <w:numId w:val="30"/>
        </w:numPr>
        <w:rPr>
          <w:rFonts w:ascii="Arial" w:cs="Arial" w:eastAsia="Arial" w:hAnsi="Arial"/>
          <w:sz w:val="22"/>
          <w:szCs w:val="22"/>
          <w:color w:val="auto"/>
        </w:rPr>
      </w:pPr>
      <w:r>
        <w:rPr>
          <w:rFonts w:ascii="Arial" w:cs="Arial" w:eastAsia="Arial" w:hAnsi="Arial"/>
          <w:sz w:val="22"/>
          <w:szCs w:val="22"/>
          <w:color w:val="auto"/>
        </w:rPr>
        <w:t xml:space="preserve">the Lenders signatory hereto hereby (i) waive the requirement set forth in </w:t>
      </w:r>
      <w:r>
        <w:rPr>
          <w:rFonts w:ascii="Arial" w:cs="Arial" w:eastAsia="Arial" w:hAnsi="Arial"/>
          <w:sz w:val="22"/>
          <w:szCs w:val="22"/>
          <w:u w:val="single" w:color="auto"/>
          <w:color w:val="auto"/>
        </w:rPr>
        <w:t>Section 2.07(c)</w:t>
      </w:r>
      <w:r>
        <w:rPr>
          <w:rFonts w:ascii="Arial" w:cs="Arial" w:eastAsia="Arial" w:hAnsi="Arial"/>
          <w:sz w:val="22"/>
          <w:szCs w:val="22"/>
          <w:color w:val="auto"/>
        </w:rPr>
        <w:t xml:space="preserve"> of the Credit Agreement that the reduction in the Revolving Commitments described in this Amendment be applied among the Revolving Lenders on a ratable basis in accordance with their respective Revolving Commitments, and (ii) acknowledge that immediately upon the effectiveness of this Amendment, Woodlands Commercial Bank </w:t>
      </w:r>
      <w:r>
        <w:rPr>
          <w:rFonts w:ascii="Arial" w:cs="Arial" w:eastAsia="Arial" w:hAnsi="Arial"/>
          <w:sz w:val="22"/>
          <w:szCs w:val="22"/>
          <w:i w:val="1"/>
          <w:iCs w:val="1"/>
          <w:color w:val="auto"/>
        </w:rPr>
        <w:t>(f/k/a Lehman Brothers Commercial Bank)</w:t>
      </w:r>
      <w:r>
        <w:rPr>
          <w:rFonts w:ascii="Arial" w:cs="Arial" w:eastAsia="Arial" w:hAnsi="Arial"/>
          <w:sz w:val="22"/>
          <w:szCs w:val="22"/>
          <w:color w:val="auto"/>
        </w:rPr>
        <w:t xml:space="preserve"> shall no longer be a</w:t>
      </w:r>
    </w:p>
    <w:p>
      <w:pPr>
        <w:sectPr>
          <w:pgSz w:w="11900" w:h="16838" w:orient="portrait"/>
          <w:cols w:equalWidth="0" w:num="1">
            <w:col w:w="11420"/>
          </w:cols>
          <w:pgMar w:left="240" w:top="112" w:right="239" w:bottom="1440" w:gutter="0" w:footer="0" w:header="0"/>
        </w:sectPr>
      </w:pPr>
    </w:p>
    <w:bookmarkStart w:id="49" w:name="page50"/>
    <w:bookmarkEnd w:id="49"/>
    <w:p>
      <w:pPr>
        <w:ind w:left="580" w:right="40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under the Credit Agreement unless and until such time as it becomes a “Lender” pursuant to and in accordance with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of the Credit Agreement.</w:t>
      </w:r>
    </w:p>
    <w:p>
      <w:pPr>
        <w:spacing w:after="0" w:line="119" w:lineRule="exact"/>
        <w:rPr>
          <w:sz w:val="20"/>
          <w:szCs w:val="20"/>
          <w:color w:val="auto"/>
        </w:rPr>
      </w:pPr>
    </w:p>
    <w:p>
      <w:pPr>
        <w:ind w:right="760"/>
        <w:spacing w:after="0" w:line="274" w:lineRule="auto"/>
        <w:rPr>
          <w:sz w:val="20"/>
          <w:szCs w:val="20"/>
          <w:color w:val="auto"/>
        </w:rPr>
      </w:pPr>
      <w:r>
        <w:rPr>
          <w:rFonts w:ascii="Arial" w:cs="Arial" w:eastAsia="Arial" w:hAnsi="Arial"/>
          <w:sz w:val="21"/>
          <w:szCs w:val="21"/>
          <w:color w:val="auto"/>
        </w:rPr>
        <w:t xml:space="preserve">The waivers set forth in this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are limited to the extent specifically set forth above and no other terms, covenants or provisions of the Credit Agreement or any other Loan Document are intended to be effected hereby.</w:t>
      </w:r>
    </w:p>
    <w:p>
      <w:pPr>
        <w:spacing w:after="0" w:line="97" w:lineRule="exact"/>
        <w:rPr>
          <w:sz w:val="20"/>
          <w:szCs w:val="20"/>
          <w:color w:val="auto"/>
        </w:rPr>
      </w:pPr>
    </w:p>
    <w:p>
      <w:pPr>
        <w:ind w:right="300" w:firstLine="579"/>
        <w:spacing w:after="0" w:line="251" w:lineRule="auto"/>
        <w:tabs>
          <w:tab w:leader="none" w:pos="787"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Subject to the terms and conditions set forth herein, the Credit Agreement is hereby amended as follows:</w:t>
      </w:r>
    </w:p>
    <w:p>
      <w:pPr>
        <w:spacing w:after="0" w:line="119" w:lineRule="exact"/>
        <w:rPr>
          <w:rFonts w:ascii="Arial" w:cs="Arial" w:eastAsia="Arial" w:hAnsi="Arial"/>
          <w:sz w:val="22"/>
          <w:szCs w:val="22"/>
          <w:color w:val="auto"/>
        </w:rPr>
      </w:pPr>
    </w:p>
    <w:p>
      <w:pPr>
        <w:ind w:left="580" w:right="800" w:firstLine="541"/>
        <w:spacing w:after="0" w:line="251" w:lineRule="auto"/>
        <w:tabs>
          <w:tab w:leader="none" w:pos="1416"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Section 2.19(a)</w:t>
      </w:r>
      <w:r>
        <w:rPr>
          <w:rFonts w:ascii="Arial" w:cs="Arial" w:eastAsia="Arial" w:hAnsi="Arial"/>
          <w:sz w:val="22"/>
          <w:szCs w:val="22"/>
          <w:color w:val="auto"/>
        </w:rPr>
        <w:t xml:space="preserve"> of the Credit Agreement is hereby amended by deleting “$25,000,000” in the fifth line and inserting “$10,000,000” in lieu thereof.</w:t>
      </w:r>
    </w:p>
    <w:p>
      <w:pPr>
        <w:spacing w:after="0" w:line="119" w:lineRule="exact"/>
        <w:rPr>
          <w:rFonts w:ascii="Arial" w:cs="Arial" w:eastAsia="Arial" w:hAnsi="Arial"/>
          <w:sz w:val="22"/>
          <w:szCs w:val="22"/>
          <w:color w:val="auto"/>
        </w:rPr>
      </w:pPr>
    </w:p>
    <w:p>
      <w:pPr>
        <w:ind w:left="580" w:right="40" w:firstLine="541"/>
        <w:spacing w:after="0" w:line="276" w:lineRule="auto"/>
        <w:tabs>
          <w:tab w:leader="none" w:pos="1428"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of the Credit Agreement is hereby amended by deleting “(other than a payment or conversion made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in the third and fourth line and inserting “(other than a payment made pursuant to</w:t>
      </w:r>
    </w:p>
    <w:p>
      <w:pPr>
        <w:spacing w:after="0" w:line="1"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u w:val="single" w:color="auto"/>
          <w:color w:val="auto"/>
        </w:rPr>
        <w:t>Section 2.12(b)</w:t>
      </w:r>
      <w:r>
        <w:rPr>
          <w:rFonts w:ascii="Arial" w:cs="Arial" w:eastAsia="Arial" w:hAnsi="Arial"/>
          <w:sz w:val="22"/>
          <w:szCs w:val="22"/>
          <w:color w:val="auto"/>
        </w:rPr>
        <w:t>)” in lieu thereof.</w:t>
      </w:r>
    </w:p>
    <w:p>
      <w:pPr>
        <w:spacing w:after="0" w:line="134" w:lineRule="exact"/>
        <w:rPr>
          <w:rFonts w:ascii="Arial" w:cs="Arial" w:eastAsia="Arial" w:hAnsi="Arial"/>
          <w:sz w:val="19"/>
          <w:szCs w:val="19"/>
          <w:color w:val="auto"/>
        </w:rPr>
      </w:pPr>
    </w:p>
    <w:p>
      <w:pPr>
        <w:ind w:left="580" w:firstLine="541"/>
        <w:spacing w:after="0"/>
        <w:tabs>
          <w:tab w:leader="none" w:pos="1416"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The portion of the existing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entitled “(1) Revolving Lenders and Commitment Amounts:” is deleted it in its entirety and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(1) Revolving Lenders and Commitments Amounts:” attached as Exhibit A hereto is inserted in lieu thereof.</w:t>
      </w:r>
    </w:p>
    <w:p>
      <w:pPr>
        <w:spacing w:after="0" w:line="132" w:lineRule="exact"/>
        <w:rPr>
          <w:rFonts w:ascii="Arial" w:cs="Arial" w:eastAsia="Arial" w:hAnsi="Arial"/>
          <w:sz w:val="22"/>
          <w:szCs w:val="22"/>
          <w:color w:val="auto"/>
        </w:rPr>
      </w:pPr>
    </w:p>
    <w:p>
      <w:pPr>
        <w:ind w:left="580" w:right="660" w:firstLine="541"/>
        <w:spacing w:after="0" w:line="251" w:lineRule="auto"/>
        <w:tabs>
          <w:tab w:leader="none" w:pos="1428" w:val="left"/>
        </w:tabs>
        <w:numPr>
          <w:ilvl w:val="1"/>
          <w:numId w:val="31"/>
        </w:numPr>
        <w:rPr>
          <w:rFonts w:ascii="Arial" w:cs="Arial" w:eastAsia="Arial" w:hAnsi="Arial"/>
          <w:sz w:val="22"/>
          <w:szCs w:val="22"/>
          <w:color w:val="auto"/>
        </w:rPr>
      </w:pPr>
      <w:r>
        <w:rPr>
          <w:rFonts w:ascii="Arial" w:cs="Arial" w:eastAsia="Arial" w:hAnsi="Arial"/>
          <w:sz w:val="22"/>
          <w:szCs w:val="22"/>
          <w:color w:val="auto"/>
        </w:rPr>
        <w:t>Exhibit A of the Credit Agreement is hereby amended by deleting Sections 3 and 5 therein and inserting the following, respectively, in lieu thereof:</w:t>
      </w:r>
    </w:p>
    <w:p>
      <w:pPr>
        <w:spacing w:after="0" w:line="159" w:lineRule="exact"/>
        <w:rPr>
          <w:rFonts w:ascii="Arial" w:cs="Arial" w:eastAsia="Arial" w:hAnsi="Arial"/>
          <w:sz w:val="22"/>
          <w:szCs w:val="22"/>
          <w:color w:val="auto"/>
        </w:rPr>
      </w:pPr>
    </w:p>
    <w:p>
      <w:pPr>
        <w:ind w:left="1700" w:hanging="558"/>
        <w:spacing w:after="0"/>
        <w:tabs>
          <w:tab w:leader="none" w:pos="1700" w:val="left"/>
        </w:tabs>
        <w:numPr>
          <w:ilvl w:val="2"/>
          <w:numId w:val="31"/>
        </w:numPr>
        <w:rPr>
          <w:rFonts w:ascii="Arial" w:cs="Arial" w:eastAsia="Arial" w:hAnsi="Arial"/>
          <w:sz w:val="22"/>
          <w:szCs w:val="22"/>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 CME Group Inc.</w:t>
      </w:r>
    </w:p>
    <w:p>
      <w:pPr>
        <w:spacing w:after="0" w:line="193" w:lineRule="exact"/>
        <w:rPr>
          <w:sz w:val="20"/>
          <w:szCs w:val="20"/>
          <w:color w:val="auto"/>
        </w:rPr>
      </w:pPr>
    </w:p>
    <w:p>
      <w:pPr>
        <w:ind w:left="1700" w:right="160" w:hanging="558"/>
        <w:spacing w:after="0" w:line="238" w:lineRule="auto"/>
        <w:tabs>
          <w:tab w:leader="none" w:pos="1700"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Credit Agreement, dated as of August 22, 2008, among CME Group Inc., the Lenders from time to time party thereto, Bank of America, N.A., as Administrative Agent, and UBS Securities LLC, BMO Capital Markets and The Bank of Tokyo-Mitsubishi UFJ, Ltd., as Co-Syndication Agents, as amended from time to time.</w:t>
      </w:r>
    </w:p>
    <w:p>
      <w:pPr>
        <w:spacing w:after="0" w:line="131" w:lineRule="exact"/>
        <w:rPr>
          <w:rFonts w:ascii="Arial" w:cs="Arial" w:eastAsia="Arial" w:hAnsi="Arial"/>
          <w:sz w:val="22"/>
          <w:szCs w:val="22"/>
          <w:color w:val="auto"/>
        </w:rPr>
      </w:pPr>
    </w:p>
    <w:p>
      <w:pPr>
        <w:ind w:right="20" w:firstLine="579"/>
        <w:spacing w:after="0" w:line="245" w:lineRule="auto"/>
        <w:tabs>
          <w:tab w:leader="none" w:pos="787"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Each of the Borrower and the Administrative Agent hereby unconditionally and irrevocably waive all claims, suits, debts, liens, losses, causes of action, demands, rights, damages or costs, or expenses of any kind, character or nature whatsoever, known or unknown, fixed or contingent, which any of them may have or claim to have against Woodlands Commercial Bank </w:t>
      </w:r>
      <w:r>
        <w:rPr>
          <w:rFonts w:ascii="Arial" w:cs="Arial" w:eastAsia="Arial" w:hAnsi="Arial"/>
          <w:sz w:val="21"/>
          <w:szCs w:val="21"/>
          <w:i w:val="1"/>
          <w:iCs w:val="1"/>
          <w:color w:val="auto"/>
        </w:rPr>
        <w:t>(f/k/a Lehman Brothers Commercial Bank)</w:t>
      </w:r>
      <w:r>
        <w:rPr>
          <w:rFonts w:ascii="Arial" w:cs="Arial" w:eastAsia="Arial" w:hAnsi="Arial"/>
          <w:sz w:val="21"/>
          <w:szCs w:val="21"/>
          <w:color w:val="auto"/>
        </w:rPr>
        <w:t xml:space="preserve"> solely in its capacity as a lender under the Credit Agreement (including without limitation, a failure by Woodlands Commercial Bank to fund any Loan required to be funded by it under the Credit Agreement and specifically excluding its capacity as a dealer in connection with any commercial paper transaction, its capacity as a counterparty under any Swap Transaction or its capacity as an investment banker or financial advisor) or its agents, employees, officers, affiliates, directors, representatives, successors and assigns in each case acting in the same capacity (collectively, the “</w:t>
      </w:r>
      <w:r>
        <w:rPr>
          <w:rFonts w:ascii="Arial" w:cs="Arial" w:eastAsia="Arial" w:hAnsi="Arial"/>
          <w:sz w:val="21"/>
          <w:szCs w:val="21"/>
          <w:u w:val="single" w:color="auto"/>
          <w:color w:val="auto"/>
        </w:rPr>
        <w:t>Released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 originating in whole or in part on or before the date this Amendment is executed to the extent arising out of or as a direct result of the Credit Agreement (including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7" w:right="239" w:bottom="1440" w:gutter="0" w:footer="0" w:header="0"/>
        </w:sectPr>
      </w:pPr>
    </w:p>
    <w:bookmarkStart w:id="50" w:name="page51"/>
    <w:bookmarkEnd w:id="50"/>
    <w:p>
      <w:pPr>
        <w:ind w:right="40"/>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limitation, a failure by Woodlands Commercial Bank to fund any Loan required to be funded by it under the Credit Agreement but specifically excluding any issuance of commercial paper, Swap Transaction or other transaction other than the Credit Agreement) (collectively, the “</w:t>
      </w:r>
      <w:r>
        <w:rPr>
          <w:rFonts w:ascii="Arial" w:cs="Arial" w:eastAsia="Arial" w:hAnsi="Arial"/>
          <w:sz w:val="21"/>
          <w:szCs w:val="21"/>
          <w:u w:val="single" w:color="auto"/>
          <w:color w:val="auto"/>
        </w:rPr>
        <w:t>Claims</w:t>
      </w:r>
      <w:r>
        <w:rPr>
          <w:rFonts w:ascii="Arial" w:cs="Arial" w:eastAsia="Arial" w:hAnsi="Arial"/>
          <w:sz w:val="21"/>
          <w:szCs w:val="21"/>
          <w:color w:val="auto"/>
        </w:rPr>
        <w:t>”). Each of the Borrower and the Administrative Agent further agree forever to refrain from commencing, instituting or prosecuting any lawsuit, action or other proceeding against any Released Parties with respect to such Claims. Each of the Released Parties shall be a third party beneficiary of this Amendment.</w:t>
      </w:r>
    </w:p>
    <w:p>
      <w:pPr>
        <w:spacing w:after="0" w:line="125" w:lineRule="exact"/>
        <w:rPr>
          <w:sz w:val="20"/>
          <w:szCs w:val="20"/>
          <w:color w:val="auto"/>
        </w:rPr>
      </w:pPr>
    </w:p>
    <w:p>
      <w:pPr>
        <w:ind w:right="60" w:firstLine="579"/>
        <w:spacing w:after="0" w:line="274" w:lineRule="auto"/>
        <w:tabs>
          <w:tab w:leader="none" w:pos="787"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Effectiveness; Conditions Precedent</w:t>
      </w:r>
      <w:r>
        <w:rPr>
          <w:rFonts w:ascii="Arial" w:cs="Arial" w:eastAsia="Arial" w:hAnsi="Arial"/>
          <w:sz w:val="21"/>
          <w:szCs w:val="21"/>
          <w:color w:val="auto"/>
        </w:rPr>
        <w:t>. The effectiveness of this Amendment and the amendments and waivers to the Credit Agreement contained herein are subject to the satisfaction of the following conditions precedent:</w:t>
      </w:r>
    </w:p>
    <w:p>
      <w:pPr>
        <w:spacing w:after="0" w:line="96" w:lineRule="exact"/>
        <w:rPr>
          <w:rFonts w:ascii="Arial" w:cs="Arial" w:eastAsia="Arial" w:hAnsi="Arial"/>
          <w:sz w:val="21"/>
          <w:szCs w:val="21"/>
          <w:color w:val="auto"/>
        </w:rPr>
      </w:pPr>
    </w:p>
    <w:p>
      <w:pPr>
        <w:ind w:left="580" w:right="820" w:firstLine="541"/>
        <w:spacing w:after="0" w:line="251" w:lineRule="auto"/>
        <w:tabs>
          <w:tab w:leader="none" w:pos="1416"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Administrative Agent shall have received each of the following documents or instruments in form and substance reasonably acceptable to the Administrative Agent:</w:t>
      </w:r>
    </w:p>
    <w:p>
      <w:pPr>
        <w:spacing w:after="0" w:line="119" w:lineRule="exact"/>
        <w:rPr>
          <w:rFonts w:ascii="Arial" w:cs="Arial" w:eastAsia="Arial" w:hAnsi="Arial"/>
          <w:sz w:val="22"/>
          <w:szCs w:val="22"/>
          <w:color w:val="auto"/>
        </w:rPr>
      </w:pPr>
    </w:p>
    <w:p>
      <w:pPr>
        <w:ind w:left="1140" w:right="460" w:firstLine="523"/>
        <w:spacing w:after="0" w:line="251" w:lineRule="auto"/>
        <w:tabs>
          <w:tab w:leader="none" w:pos="1911" w:val="left"/>
        </w:tabs>
        <w:numPr>
          <w:ilvl w:val="2"/>
          <w:numId w:val="34"/>
        </w:numPr>
        <w:rPr>
          <w:rFonts w:ascii="Arial" w:cs="Arial" w:eastAsia="Arial" w:hAnsi="Arial"/>
          <w:sz w:val="22"/>
          <w:szCs w:val="22"/>
          <w:color w:val="auto"/>
        </w:rPr>
      </w:pPr>
      <w:r>
        <w:rPr>
          <w:rFonts w:ascii="Arial" w:cs="Arial" w:eastAsia="Arial" w:hAnsi="Arial"/>
          <w:sz w:val="22"/>
          <w:szCs w:val="22"/>
          <w:color w:val="auto"/>
        </w:rPr>
        <w:t>counterparts of this Amendment duly executed by the Borrower, and Lenders which constitute Required Lenders, and acknowledged by the Administrative Agent;</w:t>
      </w:r>
    </w:p>
    <w:p>
      <w:pPr>
        <w:spacing w:after="0" w:line="119" w:lineRule="exact"/>
        <w:rPr>
          <w:rFonts w:ascii="Arial" w:cs="Arial" w:eastAsia="Arial" w:hAnsi="Arial"/>
          <w:sz w:val="22"/>
          <w:szCs w:val="22"/>
          <w:color w:val="auto"/>
        </w:rPr>
      </w:pPr>
    </w:p>
    <w:p>
      <w:pPr>
        <w:ind w:left="1140" w:right="220" w:firstLine="523"/>
        <w:spacing w:after="0" w:line="236" w:lineRule="auto"/>
        <w:tabs>
          <w:tab w:leader="none" w:pos="1972" w:val="left"/>
        </w:tabs>
        <w:numPr>
          <w:ilvl w:val="2"/>
          <w:numId w:val="34"/>
        </w:numPr>
        <w:rPr>
          <w:rFonts w:ascii="Arial" w:cs="Arial" w:eastAsia="Arial" w:hAnsi="Arial"/>
          <w:sz w:val="22"/>
          <w:szCs w:val="22"/>
          <w:color w:val="auto"/>
        </w:rPr>
      </w:pPr>
      <w:r>
        <w:rPr>
          <w:rFonts w:ascii="Arial" w:cs="Arial" w:eastAsia="Arial" w:hAnsi="Arial"/>
          <w:sz w:val="22"/>
          <w:szCs w:val="22"/>
          <w:color w:val="auto"/>
        </w:rPr>
        <w:t>(x) a true and complete copy of resolutions for the Borrower authorizing the amendments contemplated hereby, (y) a certification that each of the certificate of incorporation and by-laws of the Borrower has not been amended or otherwise modified since the effective date of the Credit Agreement or, in the alternative, attaching true and complete copies of all amendments and modifications thereto and (z) evidence of the good standing of the Borrower; and</w:t>
      </w:r>
    </w:p>
    <w:p>
      <w:pPr>
        <w:spacing w:after="0" w:line="133" w:lineRule="exact"/>
        <w:rPr>
          <w:rFonts w:ascii="Arial" w:cs="Arial" w:eastAsia="Arial" w:hAnsi="Arial"/>
          <w:sz w:val="22"/>
          <w:szCs w:val="22"/>
          <w:color w:val="auto"/>
        </w:rPr>
      </w:pPr>
    </w:p>
    <w:p>
      <w:pPr>
        <w:ind w:left="1140" w:right="220" w:firstLine="523"/>
        <w:spacing w:after="0" w:line="251" w:lineRule="auto"/>
        <w:tabs>
          <w:tab w:leader="none" w:pos="2032" w:val="left"/>
        </w:tabs>
        <w:numPr>
          <w:ilvl w:val="2"/>
          <w:numId w:val="34"/>
        </w:numPr>
        <w:rPr>
          <w:rFonts w:ascii="Arial" w:cs="Arial" w:eastAsia="Arial" w:hAnsi="Arial"/>
          <w:sz w:val="22"/>
          <w:szCs w:val="22"/>
          <w:color w:val="auto"/>
        </w:rPr>
      </w:pPr>
      <w:r>
        <w:rPr>
          <w:rFonts w:ascii="Arial" w:cs="Arial" w:eastAsia="Arial" w:hAnsi="Arial"/>
          <w:sz w:val="22"/>
          <w:szCs w:val="22"/>
          <w:color w:val="auto"/>
        </w:rPr>
        <w:t xml:space="preserve">a certificate signed by a Senior Officer of the Borrower certifying as to the representations and warranties set forth in </w:t>
      </w:r>
      <w:r>
        <w:rPr>
          <w:rFonts w:ascii="Arial" w:cs="Arial" w:eastAsia="Arial" w:hAnsi="Arial"/>
          <w:sz w:val="22"/>
          <w:szCs w:val="22"/>
          <w:u w:val="single" w:color="auto"/>
          <w:color w:val="auto"/>
        </w:rPr>
        <w:t>Section 5(a)</w:t>
      </w:r>
      <w:r>
        <w:rPr>
          <w:rFonts w:ascii="Arial" w:cs="Arial" w:eastAsia="Arial" w:hAnsi="Arial"/>
          <w:sz w:val="22"/>
          <w:szCs w:val="22"/>
          <w:color w:val="auto"/>
        </w:rPr>
        <w:t>.</w:t>
      </w:r>
    </w:p>
    <w:p>
      <w:pPr>
        <w:spacing w:after="0" w:line="119" w:lineRule="exact"/>
        <w:rPr>
          <w:rFonts w:ascii="Arial" w:cs="Arial" w:eastAsia="Arial" w:hAnsi="Arial"/>
          <w:sz w:val="22"/>
          <w:szCs w:val="22"/>
          <w:color w:val="auto"/>
        </w:rPr>
      </w:pPr>
    </w:p>
    <w:p>
      <w:pPr>
        <w:jc w:val="both"/>
        <w:ind w:left="580" w:right="100" w:firstLine="541"/>
        <w:spacing w:after="0"/>
        <w:tabs>
          <w:tab w:leader="none" w:pos="1428"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unless waived by the Administrative Agent, all accrued reasonable and documented out-of-pocket expenses of the Arrangers and the Administrative Agent required to be paid pursuant to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of the Credit Agreement on or prior to the closing of the Amendment shall have been paid.</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color w:val="auto"/>
        </w:rPr>
        <w:t>This Agreement shall become effective as of the date hereof upon satisfaction of the conditions set forth in clauses (a) and</w:t>
      </w:r>
    </w:p>
    <w:p>
      <w:pPr>
        <w:spacing w:after="0" w:line="20"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above and the Administrative Agent shall give notice to the Borrower of the effectiveness of this Amendment.</w:t>
      </w:r>
    </w:p>
    <w:p>
      <w:pPr>
        <w:spacing w:after="0" w:line="134" w:lineRule="exact"/>
        <w:rPr>
          <w:rFonts w:ascii="Arial" w:cs="Arial" w:eastAsia="Arial" w:hAnsi="Arial"/>
          <w:sz w:val="22"/>
          <w:szCs w:val="22"/>
          <w:color w:val="auto"/>
        </w:rPr>
      </w:pPr>
    </w:p>
    <w:p>
      <w:pPr>
        <w:ind w:firstLine="579"/>
        <w:spacing w:after="0" w:line="251" w:lineRule="auto"/>
        <w:tabs>
          <w:tab w:leader="none" w:pos="787"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In order to induce the Lenders to enter into this Amendment, the Borrower represents and warrants to the Lenders as follows:</w:t>
      </w:r>
    </w:p>
    <w:p>
      <w:pPr>
        <w:spacing w:after="0" w:line="119" w:lineRule="exact"/>
        <w:rPr>
          <w:sz w:val="20"/>
          <w:szCs w:val="20"/>
          <w:color w:val="auto"/>
        </w:rPr>
      </w:pPr>
    </w:p>
    <w:p>
      <w:pPr>
        <w:ind w:left="580" w:right="80" w:firstLine="541"/>
        <w:spacing w:after="0" w:line="258" w:lineRule="auto"/>
        <w:tabs>
          <w:tab w:leader="none" w:pos="1416" w:val="left"/>
        </w:tabs>
        <w:numPr>
          <w:ilvl w:val="0"/>
          <w:numId w:val="36"/>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this Amendment, (i) the representations and warranties of the Borrower set forth in Article III of the Credit Agreement shall be true and correct in all material respects on and as of the date hereof, and (ii) no Default or Event of Default has occurred and is continuing.</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67" w:right="279" w:bottom="1440" w:gutter="0" w:footer="0" w:header="0"/>
        </w:sectPr>
      </w:pPr>
    </w:p>
    <w:bookmarkStart w:id="51" w:name="page52"/>
    <w:bookmarkEnd w:id="51"/>
    <w:p>
      <w:pPr>
        <w:jc w:val="both"/>
        <w:ind w:left="540" w:right="100" w:firstLine="541"/>
        <w:spacing w:after="0" w:line="287" w:lineRule="auto"/>
        <w:tabs>
          <w:tab w:leader="none" w:pos="1388" w:val="left"/>
        </w:tabs>
        <w:numPr>
          <w:ilvl w:val="1"/>
          <w:numId w:val="37"/>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Amendment has been duly executed and delivered by the Borrower and constitutes a legal, valid and binding obligation of the Borrower, enforceable against the Borrower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89" w:lineRule="exact"/>
        <w:rPr>
          <w:rFonts w:ascii="Arial" w:cs="Arial" w:eastAsia="Arial" w:hAnsi="Arial"/>
          <w:sz w:val="19"/>
          <w:szCs w:val="19"/>
          <w:color w:val="auto"/>
        </w:rPr>
      </w:pPr>
    </w:p>
    <w:p>
      <w:pPr>
        <w:ind w:left="-40" w:right="180" w:firstLine="579"/>
        <w:spacing w:after="0" w:line="245" w:lineRule="auto"/>
        <w:tabs>
          <w:tab w:leader="none" w:pos="747"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Amendment, together with the Credit Agreement (collectively, the “</w:t>
      </w:r>
      <w:r>
        <w:rPr>
          <w:rFonts w:ascii="Arial" w:cs="Arial" w:eastAsia="Arial" w:hAnsi="Arial"/>
          <w:sz w:val="21"/>
          <w:szCs w:val="21"/>
          <w:b w:val="1"/>
          <w:bCs w:val="1"/>
          <w:i w:val="1"/>
          <w:iCs w:val="1"/>
          <w:color w:val="auto"/>
        </w:rPr>
        <w:t>Relevant Documents</w:t>
      </w:r>
      <w:r>
        <w:rPr>
          <w:rFonts w:ascii="Arial" w:cs="Arial" w:eastAsia="Arial" w:hAnsi="Arial"/>
          <w:sz w:val="21"/>
          <w:szCs w:val="21"/>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any other party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21"/>
          <w:szCs w:val="21"/>
          <w:u w:val="single" w:color="auto"/>
          <w:color w:val="auto"/>
        </w:rPr>
        <w:t>Section 9.02</w:t>
      </w:r>
      <w:r>
        <w:rPr>
          <w:rFonts w:ascii="Arial" w:cs="Arial" w:eastAsia="Arial" w:hAnsi="Arial"/>
          <w:sz w:val="21"/>
          <w:szCs w:val="21"/>
          <w:color w:val="auto"/>
        </w:rPr>
        <w:t xml:space="preserve"> of the Credit Agreement.</w:t>
      </w:r>
    </w:p>
    <w:p>
      <w:pPr>
        <w:spacing w:after="0" w:line="131" w:lineRule="exact"/>
        <w:rPr>
          <w:rFonts w:ascii="Arial" w:cs="Arial" w:eastAsia="Arial" w:hAnsi="Arial"/>
          <w:sz w:val="21"/>
          <w:szCs w:val="21"/>
          <w:color w:val="auto"/>
        </w:rPr>
      </w:pPr>
    </w:p>
    <w:p>
      <w:pPr>
        <w:ind w:left="-40" w:right="300" w:firstLine="579"/>
        <w:spacing w:after="0" w:line="328" w:lineRule="auto"/>
        <w:tabs>
          <w:tab w:leader="none" w:pos="74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Full Force and Effect of Agreement</w:t>
      </w:r>
      <w:r>
        <w:rPr>
          <w:rFonts w:ascii="Arial" w:cs="Arial" w:eastAsia="Arial" w:hAnsi="Arial"/>
          <w:sz w:val="19"/>
          <w:szCs w:val="19"/>
          <w:color w:val="auto"/>
        </w:rPr>
        <w:t>. Except as hereby specifically amended, modified or supplemented, the Credit Agreement is hereby confirmed and ratified in all respects and shall be and remain in full force and effect according to its terms.</w:t>
      </w:r>
    </w:p>
    <w:p>
      <w:pPr>
        <w:spacing w:after="0" w:line="51" w:lineRule="exact"/>
        <w:rPr>
          <w:rFonts w:ascii="Arial" w:cs="Arial" w:eastAsia="Arial" w:hAnsi="Arial"/>
          <w:sz w:val="19"/>
          <w:szCs w:val="19"/>
          <w:color w:val="auto"/>
        </w:rPr>
      </w:pPr>
    </w:p>
    <w:p>
      <w:pPr>
        <w:ind w:left="-40" w:firstLine="579"/>
        <w:spacing w:after="0" w:line="287" w:lineRule="auto"/>
        <w:tabs>
          <w:tab w:leader="none" w:pos="74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or other electronic transmission (e.g. pdf or electronic mail) shall be effective as a manually executed counterpart of this Amendment.</w:t>
      </w:r>
    </w:p>
    <w:p>
      <w:pPr>
        <w:spacing w:after="0" w:line="89" w:lineRule="exact"/>
        <w:rPr>
          <w:rFonts w:ascii="Arial" w:cs="Arial" w:eastAsia="Arial" w:hAnsi="Arial"/>
          <w:sz w:val="19"/>
          <w:szCs w:val="19"/>
          <w:color w:val="auto"/>
        </w:rPr>
      </w:pPr>
    </w:p>
    <w:p>
      <w:pPr>
        <w:ind w:left="-40" w:right="80" w:firstLine="579"/>
        <w:spacing w:after="0" w:line="275" w:lineRule="auto"/>
        <w:tabs>
          <w:tab w:leader="none" w:pos="747"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THIS AMENDMENT SHALL IN ALL RESPECTS BE GOVERNED BY, AND CONSTRUED IN ACCORDANCE WITH, THE LAWS OF THE STATE OF NEW YORK. 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This Amendment shall be further subject to the provisions of </w:t>
      </w:r>
      <w:r>
        <w:rPr>
          <w:rFonts w:ascii="Arial" w:cs="Arial" w:eastAsia="Arial" w:hAnsi="Arial"/>
          <w:sz w:val="19"/>
          <w:szCs w:val="19"/>
          <w:u w:val="single" w:color="auto"/>
          <w:color w:val="auto"/>
        </w:rPr>
        <w:t>Sections 9.09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9.10</w:t>
      </w:r>
      <w:r>
        <w:rPr>
          <w:rFonts w:ascii="Arial" w:cs="Arial" w:eastAsia="Arial" w:hAnsi="Arial"/>
          <w:sz w:val="19"/>
          <w:szCs w:val="19"/>
          <w:color w:val="auto"/>
        </w:rPr>
        <w:t xml:space="preserve"> of the Credit Agreement.</w:t>
      </w:r>
    </w:p>
    <w:p>
      <w:pPr>
        <w:spacing w:after="0" w:line="104" w:lineRule="exact"/>
        <w:rPr>
          <w:rFonts w:ascii="Arial" w:cs="Arial" w:eastAsia="Arial" w:hAnsi="Arial"/>
          <w:sz w:val="19"/>
          <w:szCs w:val="19"/>
          <w:color w:val="auto"/>
        </w:rPr>
      </w:pPr>
    </w:p>
    <w:p>
      <w:pPr>
        <w:jc w:val="both"/>
        <w:ind w:left="-40" w:right="100" w:firstLine="579"/>
        <w:spacing w:after="0" w:line="238" w:lineRule="auto"/>
        <w:tabs>
          <w:tab w:leader="none" w:pos="855"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Any provision of this Amendment held to be invalid, illegal or unenforceable in any jurisdiction shall, as to such jurisdiction, be ineffective to the extent of such invalidity, illegality or 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67" w:right="259" w:bottom="1440" w:gutter="0" w:footer="0" w:header="0"/>
        </w:sectPr>
      </w:pPr>
    </w:p>
    <w:bookmarkStart w:id="52" w:name="page53"/>
    <w:bookmarkEnd w:id="52"/>
    <w:p>
      <w:pPr>
        <w:ind w:left="800" w:hanging="321"/>
        <w:spacing w:after="0"/>
        <w:tabs>
          <w:tab w:leader="none" w:pos="80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w:t>
      </w:r>
      <w:r>
        <w:rPr>
          <w:rFonts w:ascii="Arial" w:cs="Arial" w:eastAsia="Arial" w:hAnsi="Arial"/>
          <w:sz w:val="21"/>
          <w:szCs w:val="21"/>
          <w:color w:val="auto"/>
        </w:rPr>
        <w:t>. All references to the “Credit Agreement” shall mean the Credit Agreement, as amended hereby.</w:t>
      </w:r>
    </w:p>
    <w:p>
      <w:pPr>
        <w:spacing w:after="0" w:line="163" w:lineRule="exact"/>
        <w:rPr>
          <w:rFonts w:ascii="Arial" w:cs="Arial" w:eastAsia="Arial" w:hAnsi="Arial"/>
          <w:sz w:val="21"/>
          <w:szCs w:val="21"/>
          <w:color w:val="auto"/>
        </w:rPr>
      </w:pPr>
    </w:p>
    <w:p>
      <w:pPr>
        <w:ind w:left="-100" w:firstLine="579"/>
        <w:spacing w:after="0"/>
        <w:tabs>
          <w:tab w:leader="none" w:pos="795"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Amendment shall be binding upon and inure to the benefit of the Borrower, the Administrative Agent, the Lenders and their respective successors, legal representatives, and assignees to the extent such assignees are permitted assignees as provided in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of the Credit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40" w:top="267" w:right="319" w:bottom="1440" w:gutter="0" w:footer="0" w:header="0"/>
        </w:sectPr>
      </w:pPr>
    </w:p>
    <w:bookmarkStart w:id="53" w:name="page54"/>
    <w:bookmarkEnd w:id="53"/>
    <w:p>
      <w:pPr>
        <w:ind w:firstLine="571"/>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22"/>
          <w:szCs w:val="22"/>
          <w:color w:val="auto"/>
        </w:rPr>
        <w:t>, the parties hereto have caused this instrument to be made, executed and delivered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as of the day and year first above written.</w:t>
      </w:r>
    </w:p>
    <w:p>
      <w:pPr>
        <w:spacing w:after="0" w:line="149" w:lineRule="exact"/>
        <w:rPr>
          <w:sz w:val="20"/>
          <w:szCs w:val="20"/>
          <w:color w:val="auto"/>
        </w:rPr>
      </w:pPr>
    </w:p>
    <w:p>
      <w:pPr>
        <w:ind w:left="6860"/>
        <w:spacing w:after="0"/>
        <w:rPr>
          <w:sz w:val="20"/>
          <w:szCs w:val="20"/>
          <w:color w:val="auto"/>
        </w:rPr>
      </w:pPr>
      <w:r>
        <w:rPr>
          <w:rFonts w:ascii="Arial" w:cs="Arial" w:eastAsia="Arial" w:hAnsi="Arial"/>
          <w:sz w:val="22"/>
          <w:szCs w:val="22"/>
          <w:b w:val="1"/>
          <w:bCs w:val="1"/>
          <w:u w:val="single" w:color="auto"/>
          <w:color w:val="auto"/>
        </w:rPr>
        <w:t>BORROWER:</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22"/>
          <w:szCs w:val="22"/>
          <w:b w:val="1"/>
          <w:bCs w:val="1"/>
          <w:color w:val="auto"/>
        </w:rPr>
        <w:t>CME GROUP INC.</w:t>
      </w:r>
    </w:p>
    <w:p>
      <w:pPr>
        <w:spacing w:after="0" w:line="21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James A. Pribel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7620</wp:posOffset>
            </wp:positionV>
            <wp:extent cx="24269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James A. Pribel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4445</wp:posOffset>
            </wp:positionV>
            <wp:extent cx="24269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6860"/>
        <w:spacing w:after="0"/>
        <w:tabs>
          <w:tab w:leader="none" w:pos="7580" w:val="left"/>
        </w:tabs>
        <w:rPr>
          <w:sz w:val="20"/>
          <w:szCs w:val="20"/>
          <w:color w:val="auto"/>
        </w:rPr>
      </w:pPr>
      <w:r>
        <w:rPr>
          <w:rFonts w:ascii="Arial" w:cs="Arial" w:eastAsia="Arial" w:hAnsi="Arial"/>
          <w:sz w:val="22"/>
          <w:szCs w:val="22"/>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4445</wp:posOffset>
            </wp:positionV>
            <wp:extent cx="24269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ectPr>
          <w:pgSz w:w="11900" w:h="16838" w:orient="portrait"/>
          <w:cols w:equalWidth="0" w:num="1">
            <w:col w:w="11340"/>
          </w:cols>
          <w:pgMar w:left="240" w:top="261" w:right="319" w:bottom="1440" w:gutter="0" w:footer="0" w:header="0"/>
        </w:sectPr>
      </w:pPr>
    </w:p>
    <w:bookmarkStart w:id="54" w:name="page55"/>
    <w:bookmarkEnd w:id="54"/>
    <w:p>
      <w:pPr>
        <w:ind w:left="5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BY THE</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22"/>
          <w:szCs w:val="22"/>
          <w:b w:val="1"/>
          <w:bCs w:val="1"/>
          <w:u w:val="single" w:color="auto"/>
          <w:color w:val="auto"/>
        </w:rPr>
        <w:t>ADMINISTRATIVE AGENT:</w:t>
      </w:r>
    </w:p>
    <w:p>
      <w:pPr>
        <w:spacing w:after="0" w:line="88"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Administrative</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Agent</w:t>
      </w:r>
    </w:p>
    <w:p>
      <w:pPr>
        <w:spacing w:after="0" w:line="202" w:lineRule="exact"/>
        <w:rPr>
          <w:sz w:val="20"/>
          <w:szCs w:val="20"/>
          <w:color w:val="auto"/>
        </w:rPr>
      </w:pPr>
    </w:p>
    <w:tbl>
      <w:tblPr>
        <w:tblLayout w:type="fixed"/>
        <w:tblInd w:w="5660" w:type="dxa"/>
        <w:tblCellMar>
          <w:top w:w="0" w:type="dxa"/>
          <w:left w:w="0" w:type="dxa"/>
          <w:bottom w:w="0" w:type="dxa"/>
          <w:right w:w="0" w:type="dxa"/>
        </w:tblCellMar>
      </w:tblPr>
      <w:tr>
        <w:trPr>
          <w:trHeight w:val="26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Maryanne Fitzmaurice</w:t>
            </w:r>
          </w:p>
        </w:tc>
      </w:tr>
      <w:tr>
        <w:trPr>
          <w:trHeight w:val="250"/>
        </w:trPr>
        <w:tc>
          <w:tcPr>
            <w:tcW w:w="920" w:type="dxa"/>
            <w:vAlign w:val="bottom"/>
          </w:tcPr>
          <w:p>
            <w:pPr>
              <w:spacing w:after="0" w:line="250" w:lineRule="exact"/>
              <w:rPr>
                <w:sz w:val="20"/>
                <w:szCs w:val="20"/>
                <w:color w:val="auto"/>
              </w:rPr>
            </w:pPr>
            <w:r>
              <w:rPr>
                <w:rFonts w:ascii="Arial" w:cs="Arial" w:eastAsia="Arial" w:hAnsi="Arial"/>
                <w:sz w:val="22"/>
                <w:szCs w:val="22"/>
                <w:color w:val="auto"/>
              </w:rPr>
              <w:t>Name:</w:t>
            </w:r>
          </w:p>
        </w:tc>
        <w:tc>
          <w:tcPr>
            <w:tcW w:w="36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Maryanne Fitzmaurice</w:t>
            </w:r>
          </w:p>
        </w:tc>
      </w:tr>
      <w:tr>
        <w:trPr>
          <w:trHeight w:val="250"/>
        </w:trPr>
        <w:tc>
          <w:tcPr>
            <w:tcW w:w="920" w:type="dxa"/>
            <w:vAlign w:val="bottom"/>
          </w:tcPr>
          <w:p>
            <w:pPr>
              <w:spacing w:after="0" w:line="250" w:lineRule="exact"/>
              <w:rPr>
                <w:sz w:val="20"/>
                <w:szCs w:val="20"/>
                <w:color w:val="auto"/>
              </w:rPr>
            </w:pPr>
            <w:r>
              <w:rPr>
                <w:rFonts w:ascii="Arial" w:cs="Arial" w:eastAsia="Arial" w:hAnsi="Arial"/>
                <w:sz w:val="22"/>
                <w:szCs w:val="22"/>
                <w:color w:val="auto"/>
              </w:rPr>
              <w:t>Title:</w:t>
            </w:r>
          </w:p>
        </w:tc>
        <w:tc>
          <w:tcPr>
            <w:tcW w:w="36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Senior Vice President</w:t>
            </w:r>
          </w:p>
        </w:tc>
      </w:tr>
    </w:tbl>
    <w:p>
      <w:pPr>
        <w:sectPr>
          <w:pgSz w:w="11900" w:h="16838" w:orient="portrait"/>
          <w:cols w:equalWidth="0" w:num="1">
            <w:col w:w="10220"/>
          </w:cols>
          <w:pgMar w:left="1440" w:top="261" w:right="239" w:bottom="1440" w:gutter="0" w:footer="0" w:header="0"/>
        </w:sectPr>
      </w:pPr>
    </w:p>
    <w:bookmarkStart w:id="55" w:name="page56"/>
    <w:bookmarkEnd w:id="55"/>
    <w:p>
      <w:pPr>
        <w:ind w:left="5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AMERICA, N.A., </w:t>
      </w:r>
      <w:r>
        <w:rPr>
          <w:rFonts w:ascii="Arial" w:cs="Arial" w:eastAsia="Arial" w:hAnsi="Arial"/>
          <w:sz w:val="22"/>
          <w:szCs w:val="22"/>
          <w:color w:val="auto"/>
        </w:rPr>
        <w:t>as a Lender</w:t>
      </w:r>
    </w:p>
    <w:p>
      <w:pPr>
        <w:spacing w:after="0" w:line="212" w:lineRule="exact"/>
        <w:rPr>
          <w:sz w:val="20"/>
          <w:szCs w:val="20"/>
          <w:color w:val="auto"/>
        </w:rPr>
      </w:pPr>
    </w:p>
    <w:tbl>
      <w:tblPr>
        <w:tblLayout w:type="fixed"/>
        <w:tblInd w:w="56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Maryanne Fitzmaurice</w:t>
            </w:r>
          </w:p>
        </w:tc>
      </w:tr>
      <w:tr>
        <w:trPr>
          <w:trHeight w:val="250"/>
        </w:trPr>
        <w:tc>
          <w:tcPr>
            <w:tcW w:w="740" w:type="dxa"/>
            <w:vAlign w:val="bottom"/>
          </w:tcPr>
          <w:p>
            <w:pPr>
              <w:spacing w:after="0" w:line="250" w:lineRule="exact"/>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Maryanne Fitzmaurice</w:t>
            </w:r>
          </w:p>
        </w:tc>
      </w:tr>
      <w:tr>
        <w:trPr>
          <w:trHeight w:val="250"/>
        </w:trPr>
        <w:tc>
          <w:tcPr>
            <w:tcW w:w="740" w:type="dxa"/>
            <w:vAlign w:val="bottom"/>
          </w:tcPr>
          <w:p>
            <w:pPr>
              <w:spacing w:after="0" w:line="250" w:lineRule="exact"/>
              <w:rPr>
                <w:sz w:val="20"/>
                <w:szCs w:val="20"/>
                <w:color w:val="auto"/>
              </w:rPr>
            </w:pPr>
            <w:r>
              <w:rPr>
                <w:rFonts w:ascii="Arial" w:cs="Arial" w:eastAsia="Arial" w:hAnsi="Arial"/>
                <w:sz w:val="22"/>
                <w:szCs w:val="22"/>
                <w:color w:val="auto"/>
              </w:rPr>
              <w:t>Title:</w:t>
            </w:r>
          </w:p>
        </w:tc>
        <w:tc>
          <w:tcPr>
            <w:tcW w:w="38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Senior Vice President</w:t>
            </w:r>
          </w:p>
        </w:tc>
      </w:tr>
    </w:tbl>
    <w:p>
      <w:pPr>
        <w:sectPr>
          <w:pgSz w:w="11900" w:h="16838" w:orient="portrait"/>
          <w:cols w:equalWidth="0" w:num="1">
            <w:col w:w="10220"/>
          </w:cols>
          <w:pgMar w:left="1440" w:top="261" w:right="239" w:bottom="1440" w:gutter="0" w:footer="0" w:header="0"/>
        </w:sectPr>
      </w:pPr>
    </w:p>
    <w:bookmarkStart w:id="56" w:name="page57"/>
    <w:bookmarkEnd w:id="56"/>
    <w:p>
      <w:pPr>
        <w:ind w:left="5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UBS LOAN FINANCE LLC, </w:t>
      </w:r>
      <w:r>
        <w:rPr>
          <w:rFonts w:ascii="Arial" w:cs="Arial" w:eastAsia="Arial" w:hAnsi="Arial"/>
          <w:sz w:val="22"/>
          <w:szCs w:val="22"/>
          <w:color w:val="auto"/>
        </w:rPr>
        <w:t>as a Lender</w:t>
      </w:r>
    </w:p>
    <w:p>
      <w:pPr>
        <w:spacing w:after="0" w:line="212" w:lineRule="exact"/>
        <w:rPr>
          <w:sz w:val="20"/>
          <w:szCs w:val="20"/>
          <w:color w:val="auto"/>
        </w:rPr>
      </w:pPr>
    </w:p>
    <w:tbl>
      <w:tblPr>
        <w:tblLayout w:type="fixed"/>
        <w:tblInd w:w="5660" w:type="dxa"/>
        <w:tblCellMar>
          <w:top w:w="0" w:type="dxa"/>
          <w:left w:w="0" w:type="dxa"/>
          <w:bottom w:w="0" w:type="dxa"/>
          <w:right w:w="0" w:type="dxa"/>
        </w:tblCellMar>
      </w:tblPr>
      <w:tr>
        <w:trPr>
          <w:trHeight w:val="26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Marie Haddad</w:t>
            </w:r>
          </w:p>
        </w:tc>
      </w:tr>
      <w:tr>
        <w:trPr>
          <w:trHeight w:val="250"/>
        </w:trPr>
        <w:tc>
          <w:tcPr>
            <w:tcW w:w="740" w:type="dxa"/>
            <w:vAlign w:val="bottom"/>
          </w:tcPr>
          <w:p>
            <w:pPr>
              <w:spacing w:after="0" w:line="250" w:lineRule="exact"/>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Marie Haddad</w:t>
            </w:r>
          </w:p>
        </w:tc>
      </w:tr>
      <w:tr>
        <w:trPr>
          <w:trHeight w:val="250"/>
        </w:trPr>
        <w:tc>
          <w:tcPr>
            <w:tcW w:w="740" w:type="dxa"/>
            <w:vAlign w:val="bottom"/>
          </w:tcPr>
          <w:p>
            <w:pPr>
              <w:spacing w:after="0" w:line="250" w:lineRule="exact"/>
              <w:rPr>
                <w:sz w:val="20"/>
                <w:szCs w:val="20"/>
                <w:color w:val="auto"/>
              </w:rPr>
            </w:pPr>
            <w:r>
              <w:rPr>
                <w:rFonts w:ascii="Arial" w:cs="Arial" w:eastAsia="Arial" w:hAnsi="Arial"/>
                <w:sz w:val="22"/>
                <w:szCs w:val="22"/>
                <w:color w:val="auto"/>
              </w:rPr>
              <w:t>Title:</w:t>
            </w:r>
          </w:p>
        </w:tc>
        <w:tc>
          <w:tcPr>
            <w:tcW w:w="38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Associate Director</w:t>
            </w:r>
          </w:p>
        </w:tc>
      </w:tr>
      <w:tr>
        <w:trPr>
          <w:trHeight w:val="466"/>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Mary E. Evans</w:t>
            </w:r>
          </w:p>
        </w:tc>
      </w:tr>
      <w:tr>
        <w:trPr>
          <w:trHeight w:val="250"/>
        </w:trPr>
        <w:tc>
          <w:tcPr>
            <w:tcW w:w="740" w:type="dxa"/>
            <w:vAlign w:val="bottom"/>
          </w:tcPr>
          <w:p>
            <w:pPr>
              <w:spacing w:after="0" w:line="250" w:lineRule="exact"/>
              <w:rPr>
                <w:sz w:val="20"/>
                <w:szCs w:val="20"/>
                <w:color w:val="auto"/>
              </w:rPr>
            </w:pPr>
            <w:r>
              <w:rPr>
                <w:rFonts w:ascii="Arial" w:cs="Arial" w:eastAsia="Arial" w:hAnsi="Arial"/>
                <w:sz w:val="22"/>
                <w:szCs w:val="22"/>
                <w:color w:val="auto"/>
              </w:rPr>
              <w:t>Name:</w:t>
            </w:r>
          </w:p>
        </w:tc>
        <w:tc>
          <w:tcPr>
            <w:tcW w:w="38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Mary E. Evans</w:t>
            </w:r>
          </w:p>
        </w:tc>
      </w:tr>
      <w:tr>
        <w:trPr>
          <w:trHeight w:val="250"/>
        </w:trPr>
        <w:tc>
          <w:tcPr>
            <w:tcW w:w="740" w:type="dxa"/>
            <w:vAlign w:val="bottom"/>
          </w:tcPr>
          <w:p>
            <w:pPr>
              <w:spacing w:after="0" w:line="250" w:lineRule="exact"/>
              <w:rPr>
                <w:sz w:val="20"/>
                <w:szCs w:val="20"/>
                <w:color w:val="auto"/>
              </w:rPr>
            </w:pPr>
            <w:r>
              <w:rPr>
                <w:rFonts w:ascii="Arial" w:cs="Arial" w:eastAsia="Arial" w:hAnsi="Arial"/>
                <w:sz w:val="22"/>
                <w:szCs w:val="22"/>
                <w:color w:val="auto"/>
              </w:rPr>
              <w:t>Title:</w:t>
            </w:r>
          </w:p>
        </w:tc>
        <w:tc>
          <w:tcPr>
            <w:tcW w:w="382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rPr>
              <w:t>Associate Director</w:t>
            </w:r>
          </w:p>
        </w:tc>
      </w:tr>
    </w:tbl>
    <w:p>
      <w:pPr>
        <w:sectPr>
          <w:pgSz w:w="11900" w:h="16838" w:orient="portrait"/>
          <w:cols w:equalWidth="0" w:num="1">
            <w:col w:w="10220"/>
          </w:cols>
          <w:pgMar w:left="1440" w:top="261" w:right="239" w:bottom="1440" w:gutter="0" w:footer="0" w:header="0"/>
        </w:sectPr>
      </w:pPr>
    </w:p>
    <w:bookmarkStart w:id="57" w:name="page58"/>
    <w:bookmarkEnd w:id="57"/>
    <w:p>
      <w:pPr>
        <w:ind w:left="56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BANK OF NOVA SCOTIA, </w:t>
      </w:r>
      <w:r>
        <w:rPr>
          <w:rFonts w:ascii="Arial" w:cs="Arial" w:eastAsia="Arial" w:hAnsi="Arial"/>
          <w:sz w:val="19"/>
          <w:szCs w:val="19"/>
          <w:color w:val="auto"/>
        </w:rPr>
        <w:t>as a Lender</w:t>
      </w:r>
    </w:p>
    <w:p>
      <w:pPr>
        <w:spacing w:after="0" w:line="260"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David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David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800"/>
          </w:cols>
          <w:pgMar w:left="1440" w:top="261" w:right="659" w:bottom="1440" w:gutter="0" w:footer="0" w:header="0"/>
        </w:sectPr>
      </w:pPr>
    </w:p>
    <w:bookmarkStart w:id="58" w:name="page59"/>
    <w:bookmarkEnd w:id="58"/>
    <w:p>
      <w:pPr>
        <w:ind w:left="56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U.S. BANK NATIONAL ASSOCIATION, </w:t>
      </w:r>
      <w:r>
        <w:rPr>
          <w:rFonts w:ascii="Arial" w:cs="Arial" w:eastAsia="Arial" w:hAnsi="Arial"/>
          <w:sz w:val="19"/>
          <w:szCs w:val="19"/>
          <w:color w:val="auto"/>
        </w:rPr>
        <w:t>as a</w:t>
      </w:r>
    </w:p>
    <w:p>
      <w:pPr>
        <w:spacing w:after="0" w:line="4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James N.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James N.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900"/>
          </w:cols>
          <w:pgMar w:left="1440" w:top="261" w:right="559" w:bottom="1440" w:gutter="0" w:footer="0" w:header="0"/>
        </w:sectPr>
      </w:pPr>
    </w:p>
    <w:bookmarkStart w:id="59" w:name="page60"/>
    <w:bookmarkEnd w:id="59"/>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BMO CAPITAL MARKETS FINANCING,</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 xml:space="preserve">INC., </w:t>
      </w:r>
      <w:r>
        <w:rPr>
          <w:rFonts w:ascii="Arial" w:cs="Arial" w:eastAsia="Arial" w:hAnsi="Arial"/>
          <w:sz w:val="22"/>
          <w:szCs w:val="22"/>
          <w:color w:val="auto"/>
        </w:rPr>
        <w:t>as a 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Linda Haven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Linda Haven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680"/>
          </w:cols>
          <w:pgMar w:left="1440" w:top="261" w:right="779" w:bottom="1440" w:gutter="0" w:footer="0" w:header="0"/>
        </w:sectPr>
      </w:pPr>
    </w:p>
    <w:bookmarkStart w:id="60" w:name="page61"/>
    <w:bookmarkEnd w:id="60"/>
    <w:p>
      <w:pPr>
        <w:ind w:left="5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COMMONWEALTH BANK OF AUSTRAILIA,</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as a 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John Raftopoulos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John Raftopoulos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Risk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10160"/>
          </w:cols>
          <w:pgMar w:left="1440" w:top="261" w:right="299" w:bottom="1440" w:gutter="0" w:footer="0" w:header="0"/>
        </w:sectPr>
      </w:pPr>
    </w:p>
    <w:bookmarkStart w:id="61" w:name="page62"/>
    <w:bookmarkEnd w:id="61"/>
    <w:p>
      <w:pPr>
        <w:ind w:left="56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SVENSKA HANDELSBANKEN, </w:t>
      </w:r>
      <w:r>
        <w:rPr>
          <w:rFonts w:ascii="Arial" w:cs="Arial" w:eastAsia="Arial" w:hAnsi="Arial"/>
          <w:sz w:val="19"/>
          <w:szCs w:val="19"/>
          <w:color w:val="auto"/>
        </w:rPr>
        <w:t>as a Lender</w:t>
      </w:r>
    </w:p>
    <w:p>
      <w:pPr>
        <w:spacing w:after="0" w:line="260"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Richard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Richard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9"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Mieko Miyamoto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Mieko Miyamoto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800"/>
          </w:cols>
          <w:pgMar w:left="1440" w:top="261" w:right="659" w:bottom="1440" w:gutter="0" w:footer="0" w:header="0"/>
        </w:sectPr>
      </w:pPr>
    </w:p>
    <w:bookmarkStart w:id="62" w:name="page63"/>
    <w:bookmarkEnd w:id="62"/>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TD BANK, NA, </w:t>
      </w:r>
      <w:r>
        <w:rPr>
          <w:rFonts w:ascii="Arial" w:cs="Arial" w:eastAsia="Arial" w:hAnsi="Arial"/>
          <w:sz w:val="21"/>
          <w:szCs w:val="21"/>
          <w:color w:val="auto"/>
        </w:rPr>
        <w:t>as a Lender</w:t>
      </w:r>
    </w:p>
    <w:p>
      <w:pPr>
        <w:spacing w:after="0" w:line="237"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Todd S. Sturza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/s/ Todd S. Sturza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9"/>
          <w:szCs w:val="19"/>
          <w:color w:val="auto"/>
        </w:rPr>
        <w:t>Title:  Regional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26670</wp:posOffset>
            </wp:positionV>
            <wp:extent cx="25044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63" w:name="page64"/>
    <w:bookmarkEnd w:id="63"/>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BANK OF NEW YORK MELLON, </w:t>
      </w:r>
      <w:r>
        <w:rPr>
          <w:rFonts w:ascii="Arial" w:cs="Arial" w:eastAsia="Arial" w:hAnsi="Arial"/>
          <w:sz w:val="21"/>
          <w:szCs w:val="21"/>
          <w:color w:val="auto"/>
        </w:rPr>
        <w:t>as a</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Thomas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/s/ Thomas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860"/>
          </w:cols>
          <w:pgMar w:left="1440" w:top="261" w:right="599" w:bottom="1440" w:gutter="0" w:footer="0" w:header="0"/>
        </w:sectPr>
      </w:pPr>
    </w:p>
    <w:bookmarkStart w:id="64" w:name="page65"/>
    <w:bookmarkEnd w:id="64"/>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WILLIAM STREET LLC, </w:t>
      </w:r>
      <w:r>
        <w:rPr>
          <w:rFonts w:ascii="Arial" w:cs="Arial" w:eastAsia="Arial" w:hAnsi="Arial"/>
          <w:sz w:val="21"/>
          <w:szCs w:val="21"/>
          <w:color w:val="auto"/>
        </w:rPr>
        <w:t>as a Lender</w:t>
      </w:r>
    </w:p>
    <w:p>
      <w:pPr>
        <w:spacing w:after="0" w:line="237"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John Makrinos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John Makrinos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200"/>
          </w:cols>
          <w:pgMar w:left="1440" w:top="261" w:right="1259" w:bottom="1440" w:gutter="0" w:footer="0" w:header="0"/>
        </w:sectPr>
      </w:pPr>
    </w:p>
    <w:bookmarkStart w:id="65" w:name="page66"/>
    <w:bookmarkEnd w:id="65"/>
    <w:p>
      <w:pPr>
        <w:ind w:left="5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LLOYDS TSB BANK PLC, </w:t>
      </w:r>
      <w:r>
        <w:rPr>
          <w:rFonts w:ascii="Arial" w:cs="Arial" w:eastAsia="Arial" w:hAnsi="Arial"/>
          <w:sz w:val="22"/>
          <w:szCs w:val="22"/>
          <w:color w:val="auto"/>
        </w:rPr>
        <w:t>as a Lender</w:t>
      </w:r>
    </w:p>
    <w:p>
      <w:pPr>
        <w:spacing w:after="0" w:line="226"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Candi Obrentz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Candi Obrentz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9"/>
          <w:szCs w:val="19"/>
          <w:color w:val="auto"/>
        </w:rPr>
        <w:t>Title:  Associate Director, Financial Institutions,</w:t>
      </w:r>
    </w:p>
    <w:p>
      <w:pPr>
        <w:spacing w:after="0" w:line="38"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-3175</wp:posOffset>
            </wp:positionV>
            <wp:extent cx="25044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95"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Shane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Shane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Director,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880"/>
          </w:cols>
          <w:pgMar w:left="1440" w:top="261" w:right="579" w:bottom="1440" w:gutter="0" w:footer="0" w:header="0"/>
        </w:sectPr>
      </w:pPr>
    </w:p>
    <w:bookmarkStart w:id="66" w:name="page67"/>
    <w:bookmarkEnd w:id="66"/>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PNC BANK NATIONAL ASSOCIATION, </w:t>
      </w:r>
      <w:r>
        <w:rPr>
          <w:rFonts w:ascii="Arial" w:cs="Arial" w:eastAsia="Arial" w:hAnsi="Arial"/>
          <w:sz w:val="21"/>
          <w:szCs w:val="21"/>
          <w:color w:val="auto"/>
        </w:rPr>
        <w:t>as a</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Reginald H. Imamura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Reginald Imamura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960"/>
          </w:cols>
          <w:pgMar w:left="1440" w:top="261" w:right="499" w:bottom="1440" w:gutter="0" w:footer="0" w:header="0"/>
        </w:sectPr>
      </w:pPr>
    </w:p>
    <w:bookmarkStart w:id="67" w:name="page68"/>
    <w:bookmarkEnd w:id="67"/>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CHINA, NEW YORK BRANCH, </w:t>
      </w:r>
      <w:r>
        <w:rPr>
          <w:rFonts w:ascii="Arial" w:cs="Arial" w:eastAsia="Arial" w:hAnsi="Arial"/>
          <w:sz w:val="21"/>
          <w:szCs w:val="21"/>
          <w:color w:val="auto"/>
        </w:rPr>
        <w:t>as a</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Xio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Xio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Assistant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10160"/>
          </w:cols>
          <w:pgMar w:left="1440" w:top="261" w:right="299" w:bottom="1440" w:gutter="0" w:footer="0" w:header="0"/>
        </w:sectPr>
      </w:pPr>
    </w:p>
    <w:bookmarkStart w:id="68" w:name="page69"/>
    <w:bookmarkEnd w:id="68"/>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NORTHERN TRUST COMPANY, </w:t>
      </w:r>
      <w:r>
        <w:rPr>
          <w:rFonts w:ascii="Arial" w:cs="Arial" w:eastAsia="Arial" w:hAnsi="Arial"/>
          <w:sz w:val="21"/>
          <w:szCs w:val="21"/>
          <w:color w:val="auto"/>
        </w:rPr>
        <w:t>as a</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Tamara M. Dowd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Tamara M. Dowd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760"/>
          </w:cols>
          <w:pgMar w:left="1440" w:top="261" w:right="699" w:bottom="1440" w:gutter="0" w:footer="0" w:header="0"/>
        </w:sectPr>
      </w:pPr>
    </w:p>
    <w:bookmarkStart w:id="69" w:name="page70"/>
    <w:bookmarkEnd w:id="69"/>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COMMUNICATIONS CO., LTD.,</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 xml:space="preserve">NEW YORK BRANCH, </w:t>
      </w:r>
      <w:r>
        <w:rPr>
          <w:rFonts w:ascii="Arial" w:cs="Arial" w:eastAsia="Arial" w:hAnsi="Arial"/>
          <w:sz w:val="22"/>
          <w:szCs w:val="22"/>
          <w:color w:val="auto"/>
        </w:rPr>
        <w:t>as a 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Shelley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Shelley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Deputy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860"/>
          </w:cols>
          <w:pgMar w:left="1440" w:top="261" w:right="599" w:bottom="1440" w:gutter="0" w:footer="0" w:header="0"/>
        </w:sectPr>
      </w:pPr>
    </w:p>
    <w:bookmarkStart w:id="70" w:name="page71"/>
    <w:bookmarkEnd w:id="70"/>
    <w:p>
      <w:pPr>
        <w:ind w:left="5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MEGA INTERNATIONAL COMMERCIAL</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21"/>
          <w:szCs w:val="21"/>
          <w:b w:val="1"/>
          <w:bCs w:val="1"/>
          <w:color w:val="auto"/>
        </w:rPr>
        <w:t xml:space="preserve">BANK CO., LTD. NEW YORK BRANCH, </w:t>
      </w:r>
      <w:r>
        <w:rPr>
          <w:rFonts w:ascii="Arial" w:cs="Arial" w:eastAsia="Arial" w:hAnsi="Arial"/>
          <w:sz w:val="21"/>
          <w:szCs w:val="21"/>
          <w:color w:val="auto"/>
        </w:rPr>
        <w:t>as a</w:t>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Priscilla H.T. Hsing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Priscilla H.T. Hsing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VP &amp; DGM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10000"/>
          </w:cols>
          <w:pgMar w:left="1440" w:top="261" w:right="459" w:bottom="1440" w:gutter="0" w:footer="0" w:header="0"/>
        </w:sectPr>
      </w:pPr>
    </w:p>
    <w:bookmarkStart w:id="71" w:name="page72"/>
    <w:bookmarkEnd w:id="71"/>
    <w:p>
      <w:pPr>
        <w:ind w:left="5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CHIBA BANK, LTD., NEW YORK</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 xml:space="preserve">BRANCH, </w:t>
      </w:r>
      <w:r>
        <w:rPr>
          <w:rFonts w:ascii="Arial" w:cs="Arial" w:eastAsia="Arial" w:hAnsi="Arial"/>
          <w:sz w:val="22"/>
          <w:szCs w:val="22"/>
          <w:color w:val="auto"/>
        </w:rPr>
        <w:t>as a 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Yukihito Inamura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Yukihito Inamura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460"/>
          </w:cols>
          <w:pgMar w:left="1440" w:top="261" w:right="999" w:bottom="1440" w:gutter="0" w:footer="0" w:header="0"/>
        </w:sectPr>
      </w:pPr>
    </w:p>
    <w:bookmarkStart w:id="72" w:name="page73"/>
    <w:bookmarkEnd w:id="72"/>
    <w:p>
      <w:pPr>
        <w:ind w:left="5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WOODLANDS COMMERCIAL BANK</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(f/k/a LEHMAN BROTHERS COMMERCIAL</w:t>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BANK), as a Lender</w:t>
      </w:r>
    </w:p>
    <w:p>
      <w:pPr>
        <w:spacing w:after="0" w:line="202" w:lineRule="exact"/>
        <w:rPr>
          <w:sz w:val="20"/>
          <w:szCs w:val="20"/>
          <w:color w:val="auto"/>
        </w:rPr>
      </w:pPr>
    </w:p>
    <w:p>
      <w:pPr>
        <w:ind w:left="5660"/>
        <w:spacing w:after="0"/>
        <w:tabs>
          <w:tab w:leader="none" w:pos="6260" w:val="left"/>
        </w:tabs>
        <w:rPr>
          <w:sz w:val="20"/>
          <w:szCs w:val="20"/>
          <w:color w:val="auto"/>
        </w:rPr>
      </w:pPr>
      <w:r>
        <w:rPr>
          <w:rFonts w:ascii="Arial" w:cs="Arial" w:eastAsia="Arial" w:hAnsi="Arial"/>
          <w:sz w:val="22"/>
          <w:szCs w:val="22"/>
          <w:color w:val="auto"/>
        </w:rPr>
        <w:t>By:</w:t>
        <w:tab/>
        <w:t>/s/ Gary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7620</wp:posOffset>
            </wp:positionV>
            <wp:extent cx="25044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Gary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2"/>
          <w:szCs w:val="22"/>
          <w:color w:val="auto"/>
        </w:rPr>
        <w:t>Title:  Chief Credit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3985260</wp:posOffset>
            </wp:positionH>
            <wp:positionV relativeFrom="paragraph">
              <wp:posOffset>4445</wp:posOffset>
            </wp:positionV>
            <wp:extent cx="25044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9800"/>
          </w:cols>
          <w:pgMar w:left="1440" w:top="261" w:right="65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SCHEDULE 2.01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LENDER COMMITMENTS</w:t>
      </w:r>
    </w:p>
    <w:p>
      <w:pPr>
        <w:spacing w:after="0" w:line="193"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Revolving Lenders and Commitment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Revolving</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Applicable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Lender</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0"/>
              </w:rPr>
              <w:t>Commitment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8"/>
              </w:rPr>
              <w:t>Percentage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15.864621893%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UBS Loan Finance LLC</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150,000,000.00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15.864621893%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The Bank of Nova Scotia</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13.220518245%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75,000,000.00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7.932310947%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BMO Capital Markets Financing, Inc.</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6.610259122%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The Bank of Tokyo-Mitsubishi UFJ, Ltd.</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62,500,000.00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6.610259122%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Lloyds TSB Bank plc</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62,500,000.00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6.610259122%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Commonwealth Bank of Australia</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37,500,000.00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3.966155473%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Svenska Handelsbanken</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3.966155473%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TD Bank, NA</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25,000,000.00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2.644103649%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2.644103649%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William Street LLC</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25,000,000.00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2.644103649%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2.115282919%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Bank of China, New York Branch</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17,500,000.00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1.850872554%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The Northern Trust Company</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1.850872554%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Bank of Communications Co., Ltd., New York Branch</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15,000,000.00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1.586462189%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Chang Hwa Commercial Bank, Ltd., New York Branch</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1.586462189%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First Commercial Bank New York Agency</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10,000,000.00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rPr>
              <w:t>1.057641460%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Mega International Commercial Bank Co., Ltd. New York Branch</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8,000,000.00</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.846113168%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The Chiba Bank, Ltd., New York Branch</w:t>
            </w:r>
          </w:p>
        </w:tc>
        <w:tc>
          <w:tcPr>
            <w:tcW w:w="2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5,000,000.00</w:t>
            </w:r>
          </w:p>
        </w:tc>
        <w:tc>
          <w:tcPr>
            <w:tcW w:w="240" w:type="dxa"/>
            <w:vAlign w:val="bottom"/>
            <w:gridSpan w:val="2"/>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.528820730%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945,500,000.00</w:t>
            </w:r>
          </w:p>
        </w:tc>
        <w:tc>
          <w:tcPr>
            <w:tcW w:w="2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1" w:right="239" w:bottom="1440" w:gutter="0" w:footer="0" w:header="0"/>
        </w:sectPr>
      </w:pPr>
    </w:p>
    <w:bookmarkStart w:id="74" w:name="page75"/>
    <w:bookmarkEnd w:id="74"/>
    <w:p>
      <w:pPr>
        <w:ind w:left="10440"/>
        <w:spacing w:after="0"/>
        <w:rPr>
          <w:sz w:val="20"/>
          <w:szCs w:val="20"/>
          <w:color w:val="auto"/>
        </w:rPr>
      </w:pPr>
      <w:r>
        <w:rPr>
          <w:rFonts w:ascii="Arial" w:cs="Arial" w:eastAsia="Arial" w:hAnsi="Arial"/>
          <w:sz w:val="16"/>
          <w:szCs w:val="16"/>
          <w:b w:val="1"/>
          <w:bCs w:val="1"/>
          <w:color w:val="auto"/>
        </w:rPr>
        <w:t>Exhibit 10.5</w:t>
      </w:r>
    </w:p>
    <w:p>
      <w:pPr>
        <w:spacing w:after="0" w:line="203" w:lineRule="exact"/>
        <w:rPr>
          <w:sz w:val="20"/>
          <w:szCs w:val="20"/>
          <w:color w:val="auto"/>
        </w:rPr>
      </w:pPr>
    </w:p>
    <w:p>
      <w:pPr>
        <w:jc w:val="both"/>
        <w:ind w:right="60"/>
        <w:spacing w:after="0" w:line="299" w:lineRule="auto"/>
        <w:rPr>
          <w:sz w:val="20"/>
          <w:szCs w:val="20"/>
          <w:color w:val="auto"/>
        </w:rPr>
      </w:pPr>
      <w:r>
        <w:rPr>
          <w:rFonts w:ascii="Arial" w:cs="Arial" w:eastAsia="Arial" w:hAnsi="Arial"/>
          <w:sz w:val="16"/>
          <w:szCs w:val="16"/>
          <w:color w:val="auto"/>
        </w:rPr>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LICENSE AGREEMENT</w:t>
      </w:r>
    </w:p>
    <w:p>
      <w:pPr>
        <w:jc w:val="center"/>
        <w:spacing w:after="0"/>
        <w:rPr>
          <w:sz w:val="20"/>
          <w:szCs w:val="20"/>
          <w:color w:val="auto"/>
        </w:rPr>
      </w:pPr>
      <w:r>
        <w:rPr>
          <w:rFonts w:ascii="Arial" w:cs="Arial" w:eastAsia="Arial" w:hAnsi="Arial"/>
          <w:sz w:val="22"/>
          <w:szCs w:val="22"/>
          <w:u w:val="single" w:color="auto"/>
          <w:color w:val="auto"/>
        </w:rPr>
        <w:t>AMENDMENT No. 9</w:t>
      </w:r>
    </w:p>
    <w:p>
      <w:pPr>
        <w:spacing w:after="0" w:line="162"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This License Agreement Amendment No. 9 (the “Amendment No. 9”) executed and delivered as of July 24, 2009 amends the License Agreement dated September 20, 2005, as later amended (the "Agreement") by and between Standard &amp; Poor’s Financial Services LLC (“S&amp;P”), as assignee and successor in interest to Standard &amp; Poor’s Standard &amp; Poor’s, a division of The McGraw-Hill Companies, and Chicago Mercantile Exchange Inc. (“</w:t>
      </w:r>
      <w:r>
        <w:rPr>
          <w:rFonts w:ascii="Arial" w:cs="Arial" w:eastAsia="Arial" w:hAnsi="Arial"/>
          <w:sz w:val="18"/>
          <w:szCs w:val="18"/>
          <w:u w:val="single" w:color="auto"/>
          <w:color w:val="auto"/>
        </w:rPr>
        <w:t>CME</w:t>
      </w:r>
      <w:r>
        <w:rPr>
          <w:rFonts w:ascii="Arial" w:cs="Arial" w:eastAsia="Arial" w:hAnsi="Arial"/>
          <w:sz w:val="18"/>
          <w:szCs w:val="18"/>
          <w:color w:val="auto"/>
        </w:rPr>
        <w:t>”).</w:t>
      </w:r>
    </w:p>
    <w:p>
      <w:pPr>
        <w:spacing w:after="0" w:line="155"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S&amp;P and CME are parties to the Agreement, and now mutually desire to amend certain terms of the same.</w:t>
      </w:r>
    </w:p>
    <w:p>
      <w:pPr>
        <w:spacing w:after="0" w:line="158"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NOW, THEREFORE, in consideration of the premises and the covenants and conditions contained herein, the sufficiency of which is hereby acknowledged, the parties, intending to be legally bound, hereby agree as follows. All capitalized terms used but not defined in this Amendment No. 9 shall have the meaning assigned to such terms in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1. Section 2(a) of the Agreement shall be amended by replacing the last sentence of the existing Section 2(a) with the following:</w:t>
      </w:r>
    </w:p>
    <w:p>
      <w:pPr>
        <w:spacing w:after="0" w:line="158" w:lineRule="exact"/>
        <w:rPr>
          <w:sz w:val="20"/>
          <w:szCs w:val="20"/>
          <w:color w:val="auto"/>
        </w:rPr>
      </w:pPr>
    </w:p>
    <w:p>
      <w:pPr>
        <w:ind w:left="460" w:right="60"/>
        <w:spacing w:after="0" w:line="236" w:lineRule="auto"/>
        <w:rPr>
          <w:sz w:val="20"/>
          <w:szCs w:val="20"/>
          <w:color w:val="auto"/>
        </w:rPr>
      </w:pPr>
      <w:r>
        <w:rPr>
          <w:rFonts w:ascii="Arial" w:cs="Arial" w:eastAsia="Arial" w:hAnsi="Arial"/>
          <w:sz w:val="18"/>
          <w:szCs w:val="18"/>
          <w:color w:val="auto"/>
        </w:rPr>
        <w:t>In addition, S&amp;P hereby further grants to CME worldwide licenses: (1) to use the S&amp;P-GSCI Excess Return Index, S&amp;P-GSCI Crude Oil Excess Return Index, and S&amp;P-GSCI Gold Excess Return Index in connection with clearing, marketing, and promoting Cleared OTC Swaps; and (2) to use and refer to the S&amp;P-GSCI Excess Return Index, S&amp;P-GSCI Crude Oil Excess Return Index, and S&amp;P-GSCI Gold Excess Return Index marks in connection with clearing, marketing, and promoting Indexed Contracts and with making such disclosures about such Cleared OTC Swap as CME deems necessary or desirable under any applicable federal or state laws, rules or regulations or under this Agreement in order to indicate the source of the S&amp;P Stock Indices.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3. Section 5 of the Agreement shall be amended by adding the following language after Section 5(k):</w:t>
      </w:r>
    </w:p>
    <w:p>
      <w:pPr>
        <w:sectPr>
          <w:pgSz w:w="11900" w:h="16838" w:orient="portrait"/>
          <w:cols w:equalWidth="0" w:num="1">
            <w:col w:w="11420"/>
          </w:cols>
          <w:pgMar w:left="240" w:top="121" w:right="239" w:bottom="1440" w:gutter="0" w:footer="0" w:header="0"/>
        </w:sectPr>
      </w:pPr>
    </w:p>
    <w:bookmarkStart w:id="75" w:name="page76"/>
    <w:bookmarkEnd w:id="75"/>
    <w:p>
      <w:pPr>
        <w:jc w:val="both"/>
        <w:ind w:right="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95" w:lineRule="exact"/>
        <w:rPr>
          <w:sz w:val="20"/>
          <w:szCs w:val="20"/>
          <w:color w:val="auto"/>
        </w:rPr>
      </w:pPr>
    </w:p>
    <w:p>
      <w:pPr>
        <w:ind w:left="460" w:firstLine="443"/>
        <w:spacing w:after="0" w:line="235" w:lineRule="auto"/>
        <w:tabs>
          <w:tab w:leader="none" w:pos="118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Cleared OTC Swap License Fee - Oil and Gold</w:t>
      </w:r>
      <w:r>
        <w:rPr>
          <w:rFonts w:ascii="Arial" w:cs="Arial" w:eastAsia="Arial" w:hAnsi="Arial"/>
          <w:sz w:val="18"/>
          <w:szCs w:val="18"/>
          <w:color w:val="auto"/>
        </w:rPr>
        <w:t>. In addition to all other fees and royalties payable by CME in this Agreement, CME shall pay S&amp;P an annual OTC payment each year for the right to clear, market and promote the Cleared OTC Swaps based on the S&amp;P-GSCI Crude Oil Excess Return Index, and S&amp;P-GSCI Gold Excess Return Index. The first such payment is due sixty (60) days after execution of this Amendment No. 9. Subsequent payments shall be due on the anniversaries of this Amendment No. 9 during the Term. The payments shall be $***** in the first year, $***** in the second and third years. Either party, in its sole discretion, may propose an adjustment of the annual payment for the Cleared OTC Swaps based on the S&amp;P-GSCI Crude Oil Excess Return Index, and S&amp;P-GSCI Gold Excess Return Index by providing written notice of such at least 180 days prior to the third anniversary of this Amendment No. 9. Such adjusted payment shall apply to the remainder of the Term. The parties agree to negotiate in good faith any proposed adjustment. If the parties do not agree on the adjustment prior to 30 days before the third anniversary, this Agreement shall terminate on the third anniversary solely with respect to the Cleared OTC Swaps based on the S&amp;P-GSCI Crude Oil Excess Return Index, and S&amp;P-GSCI Gold Excess Return Index. If no such written notice is received, the payment shall remain at $***** per year for the remainder of the Term.</w:t>
      </w:r>
    </w:p>
    <w:p>
      <w:pPr>
        <w:spacing w:after="0" w:line="20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10(h) of the Agreement shall be amended by replacing the existing language with the following:</w:t>
      </w:r>
    </w:p>
    <w:p>
      <w:pPr>
        <w:spacing w:after="0" w:line="158" w:lineRule="exact"/>
        <w:rPr>
          <w:sz w:val="20"/>
          <w:szCs w:val="20"/>
          <w:color w:val="auto"/>
        </w:rPr>
      </w:pPr>
    </w:p>
    <w:p>
      <w:pPr>
        <w:ind w:left="460" w:firstLine="443"/>
        <w:spacing w:after="0" w:line="236"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Cleared OTC Swap Report</w:t>
      </w:r>
      <w:r>
        <w:rPr>
          <w:rFonts w:ascii="Arial" w:cs="Arial" w:eastAsia="Arial" w:hAnsi="Arial"/>
          <w:sz w:val="18"/>
          <w:szCs w:val="18"/>
          <w:color w:val="auto"/>
        </w:rPr>
        <w:t>. CME shall provide to S&amp;P a quarterly report within thirty (30) days of the end of each calendar quarter. The format and contents of such report shall be in CME’s sole discretion but it shall at a minimum include the number of Cleared OTC Swaps based on the S&amp;P-GSCI Excess Return Index, S&amp;P-GSCI Crude Oil Excess Return Index, and S&amp;P-GSCI Gold Excess Return Index licensed hereunder and cleared by CME during the quarter. Further, CME shall provide S&amp;P an annual report within thirty (30) days of the end of each calendar year that includes the identities of all parties to transactions in Cleared OTC Swaps based on the S&amp;P-GSCI Excess Return Index, S&amp;P-GSCI Crude Oil Excess Return Index, and S&amp;P-GSCI Gold Excess Return Index. S&amp;P shall treat such reports as confidential information and shall use the annual report sole for the purpose of determining such parties’ licensed rights to participate in the Cleared OTC Swaps market at CME.</w:t>
      </w:r>
    </w:p>
    <w:p>
      <w:pPr>
        <w:spacing w:after="0" w:line="154" w:lineRule="exact"/>
        <w:rPr>
          <w:rFonts w:ascii="Arial" w:cs="Arial" w:eastAsia="Arial" w:hAnsi="Arial"/>
          <w:sz w:val="18"/>
          <w:szCs w:val="18"/>
          <w:color w:val="auto"/>
        </w:rPr>
      </w:pPr>
    </w:p>
    <w:p>
      <w:pPr>
        <w:ind w:right="40" w:firstLine="8"/>
        <w:spacing w:after="0" w:line="239" w:lineRule="auto"/>
        <w:tabs>
          <w:tab w:leader="none" w:pos="1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of any conflict, ambiguity or inconsistency between the terms and conditions of this Amendment No. 9 and the terms and conditions of the Agreement, the terms and conditions of this Amendment No. 9 shall govern and control.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291" w:right="259" w:bottom="1440" w:gutter="0" w:footer="0" w:header="0"/>
        </w:sectPr>
      </w:pPr>
    </w:p>
    <w:bookmarkStart w:id="76" w:name="page77"/>
    <w:bookmarkEnd w:id="76"/>
    <w:p>
      <w:pPr>
        <w:jc w:val="both"/>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Except as modified hereby, all of the terms and conditions of the Agreement shall remain in full force and effect.</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291" w:right="299" w:bottom="1440" w:gutter="0" w:footer="0" w:header="0"/>
        </w:sectPr>
      </w:pPr>
    </w:p>
    <w:bookmarkStart w:id="77" w:name="page78"/>
    <w:bookmarkEnd w:id="77"/>
    <w:p>
      <w:pPr>
        <w:jc w:val="both"/>
        <w:ind w:right="6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Portions of this exhibit have been omitted pursuant to a request for confidential treatment filed with the Securities and Exchange Commission. The omissions have been indicated by asterisks (“*****”), and the omitted text has been filed separately with the Securities and Exchange Commission.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No. 9 to be executed as of the date specified above.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Arial" w:cs="Arial" w:eastAsia="Arial" w:hAnsi="Arial"/>
                <w:sz w:val="18"/>
                <w:szCs w:val="18"/>
                <w:color w:val="auto"/>
              </w:rPr>
              <w:t>STANDARD &amp; POOR’S FINANCIAL SERVICES</w:t>
            </w:r>
          </w:p>
        </w:tc>
        <w:tc>
          <w:tcPr>
            <w:tcW w:w="6060" w:type="dxa"/>
            <w:vAlign w:val="bottom"/>
            <w:gridSpan w:val="3"/>
          </w:tcPr>
          <w:p>
            <w:pPr>
              <w:ind w:left="800"/>
              <w:spacing w:after="0"/>
              <w:rPr>
                <w:sz w:val="20"/>
                <w:szCs w:val="20"/>
                <w:color w:val="auto"/>
              </w:rPr>
            </w:pPr>
            <w:r>
              <w:rPr>
                <w:rFonts w:ascii="Arial" w:cs="Arial" w:eastAsia="Arial" w:hAnsi="Arial"/>
                <w:sz w:val="18"/>
                <w:szCs w:val="18"/>
                <w:color w:val="auto"/>
              </w:rPr>
              <w:t>CHICAGO MERCANTILE EXCHANGE INC.</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LLC, assignee and successor in interest to</w:t>
            </w: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Standard &amp; Poor’s, a division of The McGraw-Hill</w:t>
            </w: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11"/>
        </w:trPr>
        <w:tc>
          <w:tcPr>
            <w:tcW w:w="5360" w:type="dxa"/>
            <w:vAlign w:val="bottom"/>
            <w:gridSpan w:val="2"/>
          </w:tcPr>
          <w:p>
            <w:pPr>
              <w:spacing w:after="0"/>
              <w:rPr>
                <w:sz w:val="20"/>
                <w:szCs w:val="20"/>
                <w:color w:val="auto"/>
              </w:rPr>
            </w:pPr>
            <w:r>
              <w:rPr>
                <w:rFonts w:ascii="Arial" w:cs="Arial" w:eastAsia="Arial" w:hAnsi="Arial"/>
                <w:sz w:val="18"/>
                <w:szCs w:val="18"/>
                <w:color w:val="auto"/>
              </w:rPr>
              <w:t>Companies, Inc.</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42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Shakotko</w:t>
            </w:r>
          </w:p>
        </w:tc>
        <w:tc>
          <w:tcPr>
            <w:tcW w:w="1360" w:type="dxa"/>
            <w:vAlign w:val="bottom"/>
          </w:tcPr>
          <w:p>
            <w:pPr>
              <w:ind w:left="80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Redding</w:t>
            </w:r>
          </w:p>
        </w:tc>
      </w:tr>
      <w:tr>
        <w:trPr>
          <w:trHeight w:val="42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Robert Shakotko</w:t>
            </w:r>
          </w:p>
        </w:tc>
        <w:tc>
          <w:tcPr>
            <w:tcW w:w="1360" w:type="dxa"/>
            <w:vAlign w:val="bottom"/>
          </w:tcPr>
          <w:p>
            <w:pPr>
              <w:ind w:left="800"/>
              <w:spacing w:after="0"/>
              <w:rPr>
                <w:sz w:val="20"/>
                <w:szCs w:val="20"/>
                <w:color w:val="auto"/>
              </w:rPr>
            </w:pPr>
            <w:r>
              <w:rPr>
                <w:rFonts w:ascii="Arial" w:cs="Arial" w:eastAsia="Arial" w:hAnsi="Arial"/>
                <w:sz w:val="18"/>
                <w:szCs w:val="18"/>
                <w:color w:val="auto"/>
              </w:rPr>
              <w:t>Name: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Rick Redding</w:t>
            </w:r>
          </w:p>
        </w:tc>
      </w:tr>
      <w:tr>
        <w:trPr>
          <w:trHeight w:val="21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Managing Director, Index Services</w:t>
            </w:r>
          </w:p>
        </w:tc>
        <w:tc>
          <w:tcPr>
            <w:tcW w:w="1360" w:type="dxa"/>
            <w:vAlign w:val="bottom"/>
          </w:tcPr>
          <w:p>
            <w:pPr>
              <w:ind w:left="800"/>
              <w:spacing w:after="0"/>
              <w:rPr>
                <w:sz w:val="20"/>
                <w:szCs w:val="20"/>
                <w:color w:val="auto"/>
              </w:rPr>
            </w:pPr>
            <w:r>
              <w:rPr>
                <w:rFonts w:ascii="Arial" w:cs="Arial" w:eastAsia="Arial" w:hAnsi="Arial"/>
                <w:sz w:val="18"/>
                <w:szCs w:val="18"/>
                <w:color w:val="auto"/>
              </w:rPr>
              <w:t>Title:</w:t>
            </w: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Managing Director Products and Services Development</w:t>
            </w: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29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58" w:lineRule="exact"/>
        <w:rPr>
          <w:sz w:val="20"/>
          <w:szCs w:val="20"/>
          <w:color w:val="auto"/>
        </w:rPr>
      </w:pPr>
    </w:p>
    <w:p>
      <w:pPr>
        <w:ind w:left="660" w:hanging="19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57" w:lineRule="exact"/>
        <w:rPr>
          <w:rFonts w:ascii="Arial" w:cs="Arial" w:eastAsia="Arial" w:hAnsi="Arial"/>
          <w:sz w:val="18"/>
          <w:szCs w:val="18"/>
          <w:color w:val="auto"/>
        </w:rPr>
      </w:pPr>
    </w:p>
    <w:p>
      <w:pPr>
        <w:ind w:right="180" w:firstLine="464"/>
        <w:spacing w:after="0" w:line="238" w:lineRule="auto"/>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60" w:firstLine="464"/>
        <w:spacing w:after="0" w:line="299" w:lineRule="auto"/>
        <w:tabs>
          <w:tab w:leader="none" w:pos="6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6"/>
          <w:szCs w:val="16"/>
          <w:color w:val="auto"/>
        </w:rPr>
      </w:pPr>
    </w:p>
    <w:p>
      <w:pPr>
        <w:ind w:right="140" w:firstLine="464"/>
        <w:spacing w:after="0" w:line="238" w:lineRule="auto"/>
        <w:tabs>
          <w:tab w:leader="none" w:pos="6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ind w:right="380" w:firstLine="464"/>
        <w:spacing w:after="0" w:line="238" w:lineRule="auto"/>
        <w:tabs>
          <w:tab w:leader="none" w:pos="6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right="140" w:firstLine="464"/>
        <w:spacing w:after="0" w:line="238" w:lineRule="auto"/>
        <w:tabs>
          <w:tab w:leader="none" w:pos="6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right="220" w:firstLine="464"/>
        <w:spacing w:after="0" w:line="239"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right="380" w:firstLine="464"/>
        <w:spacing w:after="0" w:line="238" w:lineRule="auto"/>
        <w:tabs>
          <w:tab w:leader="none" w:pos="6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440" w:firstLine="464"/>
        <w:spacing w:after="0" w:line="299" w:lineRule="auto"/>
        <w:tabs>
          <w:tab w:leader="none" w:pos="6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9" w:lineRule="exact"/>
        <w:rPr>
          <w:sz w:val="20"/>
          <w:szCs w:val="20"/>
          <w:color w:val="auto"/>
        </w:rPr>
      </w:pPr>
    </w:p>
    <w:p>
      <w:pPr>
        <w:ind w:right="680" w:firstLine="464"/>
        <w:spacing w:after="0" w:line="239" w:lineRule="auto"/>
        <w:tabs>
          <w:tab w:leader="none" w:pos="6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right="280" w:firstLine="464"/>
        <w:spacing w:after="0" w:line="239" w:lineRule="auto"/>
        <w:tabs>
          <w:tab w:leader="none" w:pos="6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2009</w:t>
      </w:r>
    </w:p>
    <w:p>
      <w:pPr>
        <w:spacing w:after="0" w:line="198"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Craig S. Donohue</w:t>
      </w: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58" w:lineRule="exact"/>
        <w:rPr>
          <w:sz w:val="20"/>
          <w:szCs w:val="20"/>
          <w:color w:val="auto"/>
        </w:rPr>
      </w:pPr>
    </w:p>
    <w:p>
      <w:pPr>
        <w:ind w:left="660" w:hanging="19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57" w:lineRule="exact"/>
        <w:rPr>
          <w:rFonts w:ascii="Arial" w:cs="Arial" w:eastAsia="Arial" w:hAnsi="Arial"/>
          <w:sz w:val="18"/>
          <w:szCs w:val="18"/>
          <w:color w:val="auto"/>
        </w:rPr>
      </w:pPr>
    </w:p>
    <w:p>
      <w:pPr>
        <w:ind w:right="180" w:firstLine="464"/>
        <w:spacing w:after="0" w:line="238"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60" w:firstLine="464"/>
        <w:spacing w:after="0" w:line="299" w:lineRule="auto"/>
        <w:tabs>
          <w:tab w:leader="none" w:pos="6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6"/>
          <w:szCs w:val="16"/>
          <w:color w:val="auto"/>
        </w:rPr>
      </w:pPr>
    </w:p>
    <w:p>
      <w:pPr>
        <w:ind w:right="140" w:firstLine="464"/>
        <w:spacing w:after="0" w:line="238"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sz w:val="20"/>
          <w:szCs w:val="20"/>
          <w:color w:val="auto"/>
        </w:rPr>
      </w:pPr>
    </w:p>
    <w:p>
      <w:pPr>
        <w:ind w:right="380" w:firstLine="464"/>
        <w:spacing w:after="0" w:line="238" w:lineRule="auto"/>
        <w:tabs>
          <w:tab w:leader="none" w:pos="6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right="140" w:firstLine="464"/>
        <w:spacing w:after="0" w:line="238" w:lineRule="auto"/>
        <w:tabs>
          <w:tab w:leader="none" w:pos="6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right="220" w:firstLine="464"/>
        <w:spacing w:after="0" w:line="239"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right="380" w:firstLine="464"/>
        <w:spacing w:after="0" w:line="238" w:lineRule="auto"/>
        <w:tabs>
          <w:tab w:leader="none" w:pos="6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440" w:firstLine="464"/>
        <w:spacing w:after="0" w:line="299" w:lineRule="auto"/>
        <w:tabs>
          <w:tab w:leader="none" w:pos="6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9" w:lineRule="exact"/>
        <w:rPr>
          <w:sz w:val="20"/>
          <w:szCs w:val="20"/>
          <w:color w:val="auto"/>
        </w:rPr>
      </w:pPr>
    </w:p>
    <w:p>
      <w:pPr>
        <w:ind w:right="680" w:firstLine="464"/>
        <w:spacing w:after="0" w:line="239" w:lineRule="auto"/>
        <w:tabs>
          <w:tab w:leader="none" w:pos="6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right="280" w:firstLine="464"/>
        <w:spacing w:after="0" w:line="239" w:lineRule="auto"/>
        <w:tabs>
          <w:tab w:leader="none" w:pos="66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2009</w:t>
      </w:r>
    </w:p>
    <w:p>
      <w:pPr>
        <w:spacing w:after="0" w:line="198"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James E. Parisi</w:t>
      </w: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ind w:left="472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2009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55" w:lineRule="exact"/>
        <w:rPr>
          <w:sz w:val="20"/>
          <w:szCs w:val="20"/>
          <w:color w:val="auto"/>
        </w:rPr>
      </w:pPr>
    </w:p>
    <w:p>
      <w:pPr>
        <w:ind w:left="1160" w:hanging="257"/>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460" w:right="240" w:firstLine="443"/>
        <w:spacing w:after="0" w:line="239"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/s/ Craig S. Donohue</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120"/>
              <w:spacing w:after="0"/>
              <w:rPr>
                <w:sz w:val="20"/>
                <w:szCs w:val="20"/>
                <w:color w:val="auto"/>
              </w:rPr>
            </w:pPr>
            <w:r>
              <w:rPr>
                <w:rFonts w:ascii="Arial" w:cs="Arial" w:eastAsia="Arial" w:hAnsi="Arial"/>
                <w:sz w:val="18"/>
                <w:szCs w:val="18"/>
                <w:color w:val="auto"/>
              </w:rPr>
              <w:t>Craig S. Donohue</w:t>
            </w:r>
          </w:p>
        </w:tc>
      </w:tr>
      <w:tr>
        <w:trPr>
          <w:trHeight w:val="21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446"/>
        </w:trPr>
        <w:tc>
          <w:tcPr>
            <w:tcW w:w="4580" w:type="dxa"/>
            <w:vAlign w:val="bottom"/>
            <w:gridSpan w:val="2"/>
          </w:tcPr>
          <w:p>
            <w:pPr>
              <w:spacing w:after="0"/>
              <w:rPr>
                <w:sz w:val="20"/>
                <w:szCs w:val="20"/>
                <w:color w:val="auto"/>
              </w:rPr>
            </w:pPr>
            <w:r>
              <w:rPr>
                <w:rFonts w:ascii="Arial" w:cs="Arial" w:eastAsia="Arial" w:hAnsi="Arial"/>
                <w:sz w:val="18"/>
                <w:szCs w:val="18"/>
                <w:color w:val="auto"/>
              </w:rPr>
              <w:t>Date: November 6, 2009</w:t>
            </w:r>
          </w:p>
        </w:tc>
      </w:tr>
      <w:tr>
        <w:trPr>
          <w:trHeight w:val="394"/>
        </w:trPr>
        <w:tc>
          <w:tcPr>
            <w:tcW w:w="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James E. Parisi</w:t>
            </w:r>
          </w:p>
        </w:tc>
      </w:tr>
      <w:tr>
        <w:trPr>
          <w:trHeight w:val="213"/>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120"/>
              <w:spacing w:after="0"/>
              <w:rPr>
                <w:sz w:val="20"/>
                <w:szCs w:val="20"/>
                <w:color w:val="auto"/>
              </w:rPr>
            </w:pPr>
            <w:r>
              <w:rPr>
                <w:rFonts w:ascii="Arial" w:cs="Arial" w:eastAsia="Arial" w:hAnsi="Arial"/>
                <w:sz w:val="18"/>
                <w:szCs w:val="18"/>
                <w:color w:val="auto"/>
              </w:rPr>
              <w:t>James E. Parisi</w:t>
            </w:r>
          </w:p>
        </w:tc>
      </w:tr>
      <w:tr>
        <w:trPr>
          <w:trHeight w:val="211"/>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2009</w:t>
      </w:r>
    </w:p>
    <w:p>
      <w:pPr>
        <w:spacing w:after="0" w:line="158" w:lineRule="exact"/>
        <w:rPr>
          <w:sz w:val="20"/>
          <w:szCs w:val="20"/>
          <w:color w:val="auto"/>
        </w:rPr>
      </w:pPr>
    </w:p>
    <w:p>
      <w:pPr>
        <w:jc w:val="both"/>
        <w:ind w:right="220" w:firstLine="456"/>
        <w:spacing w:after="0" w:line="299"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10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lowerLetter"/>
      <w:start w:val="3"/>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7"/>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lowerLetter"/>
      <w:start w:val="2"/>
    </w:lvl>
  </w:abstractNum>
  <w:abstractNum w:abstractNumId="18">
    <w:nsid w:val="5072367"/>
    <w:multiLevelType w:val="hybridMultilevel"/>
    <w:lvl w:ilvl="0">
      <w:lvlJc w:val="left"/>
      <w:lvlText w:val="(%1)"/>
      <w:numFmt w:val="lowerLetter"/>
      <w:start w:val="3"/>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4"/>
    </w:lvl>
  </w:abstractNum>
  <w:abstractNum w:abstractNumId="24">
    <w:nsid w:val="5E884ADC"/>
    <w:multiLevelType w:val="hybridMultilevel"/>
    <w:lvl w:ilvl="0">
      <w:lvlJc w:val="left"/>
      <w:lvlText w:val="%1."/>
      <w:numFmt w:val="decimal"/>
      <w:start w:val="8"/>
    </w:lvl>
    <w:lvl w:ilvl="1">
      <w:lvlJc w:val="left"/>
      <w:lvlText w:val="%2."/>
      <w:numFmt w:val="lowerLetter"/>
      <w:start w:val="1"/>
    </w:lvl>
  </w:abstractNum>
  <w:abstractNum w:abstractNumId="25">
    <w:nsid w:val="51EAD36B"/>
    <w:multiLevelType w:val="hybridMultilevel"/>
    <w:lvl w:ilvl="0">
      <w:lvlJc w:val="left"/>
      <w:lvlText w:val="%1"/>
      <w:numFmt w:val="decimal"/>
      <w:start w:val="1"/>
    </w:lvl>
    <w:lvl w:ilvl="1">
      <w:lvlJc w:val="left"/>
      <w:lvlText w:val="%2."/>
      <w:numFmt w:val="lowerLetter"/>
      <w:start w:val="2"/>
    </w:lvl>
  </w:abstractNum>
  <w:abstractNum w:abstractNumId="26">
    <w:nsid w:val="2D517796"/>
    <w:multiLevelType w:val="hybridMultilevel"/>
    <w:lvl w:ilvl="0">
      <w:lvlJc w:val="left"/>
      <w:lvlText w:val="%1."/>
      <w:numFmt w:val="decimal"/>
      <w:start w:val="13"/>
    </w:lvl>
    <w:lvl w:ilvl="1">
      <w:lvlJc w:val="left"/>
      <w:lvlText w:val="%2"/>
      <w:numFmt w:val="lowerLetter"/>
      <w:start w:val="1"/>
    </w:lvl>
  </w:abstractNum>
  <w:abstractNum w:abstractNumId="27">
    <w:nsid w:val="580BD78F"/>
    <w:multiLevelType w:val="hybridMultilevel"/>
    <w:lvl w:ilvl="0">
      <w:lvlJc w:val="left"/>
      <w:lvlText w:val="%1."/>
      <w:numFmt w:val="decimal"/>
      <w:start w:val="15"/>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1."/>
      <w:numFmt w:val="decimal"/>
      <w:start w:val="1"/>
    </w:lvl>
    <w:lvl w:ilvl="1">
      <w:lvlJc w:val="left"/>
      <w:lvlText w:val="(%2)"/>
      <w:numFmt w:val="lowerLetter"/>
      <w:start w:val="1"/>
    </w:lvl>
  </w:abstractNum>
  <w:abstractNum w:abstractNumId="30">
    <w:nsid w:val="70A64E2A"/>
    <w:multiLevelType w:val="hybridMultilevel"/>
    <w:lvl w:ilvl="0">
      <w:lvlJc w:val="left"/>
      <w:lvlText w:val="%1."/>
      <w:numFmt w:val="decimal"/>
      <w:start w:val="2"/>
    </w:lvl>
    <w:lvl w:ilvl="1">
      <w:lvlJc w:val="left"/>
      <w:lvlText w:val="(%2)"/>
      <w:numFmt w:val="lowerLetter"/>
      <w:start w:val="1"/>
    </w:lvl>
    <w:lvl w:ilvl="2">
      <w:lvlJc w:val="left"/>
      <w:lvlText w:val="%3."/>
      <w:numFmt w:val="decimal"/>
      <w:start w:val="3"/>
    </w:lvl>
  </w:abstractNum>
  <w:abstractNum w:abstractNumId="31">
    <w:nsid w:val="6A2342EC"/>
    <w:multiLevelType w:val="hybridMultilevel"/>
    <w:lvl w:ilvl="0">
      <w:lvlJc w:val="left"/>
      <w:lvlText w:val="%1"/>
      <w:numFmt w:val="decimal"/>
      <w:start w:val="1"/>
    </w:lvl>
    <w:lvl w:ilvl="1">
      <w:lvlJc w:val="left"/>
      <w:lvlText w:val="%2."/>
      <w:numFmt w:val="decimal"/>
      <w:start w:val="5"/>
    </w:lvl>
  </w:abstractNum>
  <w:abstractNum w:abstractNumId="32">
    <w:nsid w:val="2A487CB0"/>
    <w:multiLevelType w:val="hybridMultilevel"/>
    <w:lvl w:ilvl="0">
      <w:lvlJc w:val="left"/>
      <w:lvlText w:val="%1."/>
      <w:numFmt w:val="decimal"/>
      <w:start w:val="3"/>
    </w:lvl>
    <w:lvl w:ilvl="1">
      <w:lvlJc w:val="left"/>
      <w:lvlText w:val="%2"/>
      <w:numFmt w:val="decimal"/>
      <w:start w:val="1"/>
    </w:lvl>
  </w:abstractNum>
  <w:abstractNum w:abstractNumId="33">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
    <w:nsid w:val="725A06FB"/>
    <w:multiLevelType w:val="hybridMultilevel"/>
    <w:lvl w:ilvl="0">
      <w:lvlJc w:val="left"/>
      <w:lvlText w:val="(%1)"/>
      <w:numFmt w:val="lowerLetter"/>
      <w:start w:val="2"/>
    </w:lvl>
    <w:lvl w:ilvl="1">
      <w:lvlJc w:val="left"/>
      <w:lvlText w:val="%2."/>
      <w:numFmt w:val="decimal"/>
      <w:start w:val="5"/>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decimal"/>
      <w:start w:val="1"/>
    </w:lvl>
    <w:lvl w:ilvl="1">
      <w:lvlJc w:val="left"/>
      <w:lvlText w:val="(%2)"/>
      <w:numFmt w:val="lowerLetter"/>
      <w:start w:val="2"/>
    </w:lvl>
  </w:abstractNum>
  <w:abstractNum w:abstractNumId="37">
    <w:nsid w:val="7A6D8D3C"/>
    <w:multiLevelType w:val="hybridMultilevel"/>
    <w:lvl w:ilvl="0">
      <w:lvlJc w:val="left"/>
      <w:lvlText w:val="%1."/>
      <w:numFmt w:val="decimal"/>
      <w:start w:val="6"/>
    </w:lvl>
    <w:lvl w:ilvl="1">
      <w:lvlJc w:val="left"/>
      <w:lvlText w:val="%2"/>
      <w:numFmt w:val="lowerLetter"/>
      <w:start w:val="1"/>
    </w:lvl>
  </w:abstractNum>
  <w:abstractNum w:abstractNumId="38">
    <w:nsid w:val="4B588F54"/>
    <w:multiLevelType w:val="hybridMultilevel"/>
    <w:lvl w:ilvl="0">
      <w:lvlJc w:val="left"/>
      <w:lvlText w:val="%1."/>
      <w:numFmt w:val="decimal"/>
      <w:start w:val="1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lvl w:ilvl="1">
      <w:lvlJc w:val="left"/>
      <w:lvlText w:val="(%2)"/>
      <w:numFmt w:val="upperLetter"/>
      <w:start w:val="11"/>
    </w:lvl>
  </w:abstractNum>
  <w:abstractNum w:abstractNumId="41">
    <w:nsid w:val="38437FDB"/>
    <w:multiLevelType w:val="hybridMultilevel"/>
    <w:lvl w:ilvl="0">
      <w:lvlJc w:val="left"/>
      <w:lvlText w:val="%1."/>
      <w:numFmt w:val="decimal"/>
      <w:start w:val="4"/>
    </w:lvl>
    <w:lvl w:ilvl="1">
      <w:lvlJc w:val="left"/>
      <w:lvlText w:val="%2"/>
      <w:numFmt w:val="upperLetter"/>
      <w:start w:val="1"/>
    </w:lvl>
  </w:abstractNum>
  <w:abstractNum w:abstractNumId="42">
    <w:nsid w:val="7644A45C"/>
    <w:multiLevelType w:val="hybridMultilevel"/>
    <w:lvl w:ilvl="0">
      <w:lvlJc w:val="left"/>
      <w:lvlText w:val="%1"/>
      <w:numFmt w:val="decimal"/>
      <w:start w:val="1"/>
    </w:lvl>
    <w:lvl w:ilvl="1">
      <w:lvlJc w:val="left"/>
      <w:lvlText w:val="(%2)"/>
      <w:numFmt w:val="lowerLetter"/>
      <w:start w:val="8"/>
    </w:lvl>
  </w:abstractNum>
  <w:abstractNum w:abstractNumId="43">
    <w:nsid w:val="32FFF902"/>
    <w:multiLevelType w:val="hybridMultilevel"/>
    <w:lvl w:ilvl="0">
      <w:lvlJc w:val="left"/>
      <w:lvlText w:val="%1."/>
      <w:numFmt w:val="decimal"/>
      <w:start w:val="5"/>
    </w:lvl>
    <w:lvl w:ilvl="1">
      <w:lvlJc w:val="left"/>
      <w:lvlText w:val="%2"/>
      <w:numFmt w:val="lowerLetter"/>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5"/>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2019-12-10T21:19:39Z</dcterms:created>
  <dcterms:modified xsi:type="dcterms:W3CDTF">2019-12-10T21:19:39Z</dcterms:modified>
</cp:coreProperties>
</file>