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9" w:lineRule="exact"/>
        <w:rPr>
          <w:rFonts w:ascii="MS PGothic" w:cs="MS PGothic" w:eastAsia="MS PGothic" w:hAnsi="MS PGothic"/>
          <w:sz w:val="21"/>
          <w:szCs w:val="21"/>
          <w:color w:val="auto"/>
        </w:rPr>
      </w:pPr>
    </w:p>
    <w:p>
      <w:pPr>
        <w:ind w:left="390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March 31, 2016</w:t>
      </w:r>
    </w:p>
    <w:p>
      <w:pPr>
        <w:spacing w:after="0" w:line="198" w:lineRule="exact"/>
        <w:rPr>
          <w:rFonts w:ascii="MS PGothic" w:cs="MS PGothic" w:eastAsia="MS PGothic" w:hAnsi="MS PGothic"/>
          <w:sz w:val="21"/>
          <w:szCs w:val="21"/>
          <w:color w:val="auto"/>
        </w:rPr>
      </w:pPr>
    </w:p>
    <w:p>
      <w:pPr>
        <w:ind w:left="5580" w:hanging="106"/>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340"/>
          </w:cols>
          <w:pgMar w:left="240" w:top="233" w:right="319" w:bottom="1440" w:gutter="0" w:footer="0" w:header="0"/>
        </w:sectPr>
      </w:pPr>
    </w:p>
    <w:p>
      <w:pPr>
        <w:spacing w:after="0" w:line="121"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6080" w:space="720"/>
            <w:col w:w="4540"/>
          </w:cols>
          <w:pgMar w:left="240" w:top="233" w:right="31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Commission file number 001-31553</w:t>
      </w:r>
    </w:p>
    <w:p>
      <w:pPr>
        <w:sectPr>
          <w:pgSz w:w="11900" w:h="16838" w:orient="portrait"/>
          <w:cols w:equalWidth="0" w:num="1">
            <w:col w:w="11340"/>
          </w:cols>
          <w:pgMar w:left="240" w:top="233" w:right="319" w:bottom="1440" w:gutter="0" w:footer="0" w:header="0"/>
          <w:type w:val="continuous"/>
        </w:sectPr>
      </w:pPr>
    </w:p>
    <w:p>
      <w:pPr>
        <w:spacing w:after="0" w:line="12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471"/>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8"/>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0"/>
              </w:rPr>
              <w:t>(312) 930-1000</w:t>
            </w:r>
          </w:p>
        </w:tc>
        <w:tc>
          <w:tcPr>
            <w:tcW w:w="1540" w:type="dxa"/>
            <w:vAlign w:val="bottom"/>
          </w:tcPr>
          <w:p>
            <w:pPr>
              <w:spacing w:after="0"/>
              <w:rPr>
                <w:sz w:val="24"/>
                <w:szCs w:val="24"/>
                <w:color w:val="auto"/>
              </w:rPr>
            </w:pPr>
          </w:p>
        </w:tc>
      </w:tr>
      <w:tr>
        <w:trPr>
          <w:trHeight w:val="272"/>
        </w:trPr>
        <w:tc>
          <w:tcPr>
            <w:tcW w:w="6520" w:type="dxa"/>
            <w:vAlign w:val="bottom"/>
          </w:tcPr>
          <w:p>
            <w:pPr>
              <w:jc w:val="center"/>
              <w:ind w:left="23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23"/>
                <w:szCs w:val="23"/>
                <w:color w:val="auto"/>
              </w:rPr>
            </w:pPr>
          </w:p>
        </w:tc>
      </w:tr>
      <w:tr>
        <w:trPr>
          <w:trHeight w:val="323"/>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2"/>
              </w:rPr>
              <w:t>Not Applicable</w:t>
            </w:r>
          </w:p>
        </w:tc>
        <w:tc>
          <w:tcPr>
            <w:tcW w:w="1540" w:type="dxa"/>
            <w:vAlign w:val="bottom"/>
          </w:tcPr>
          <w:p>
            <w:pPr>
              <w:spacing w:after="0"/>
              <w:rPr>
                <w:sz w:val="24"/>
                <w:szCs w:val="24"/>
                <w:color w:val="auto"/>
              </w:rPr>
            </w:pPr>
          </w:p>
        </w:tc>
      </w:tr>
    </w:tbl>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5" w:lineRule="exact"/>
        <w:rPr>
          <w:sz w:val="24"/>
          <w:szCs w:val="24"/>
          <w:color w:val="auto"/>
        </w:rPr>
      </w:pPr>
    </w:p>
    <w:p>
      <w:pPr>
        <w:ind w:right="6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center"/>
        <w:ind w:right="1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1" w:lineRule="exact"/>
        <w:rPr>
          <w:sz w:val="24"/>
          <w:szCs w:val="24"/>
          <w:color w:val="auto"/>
        </w:rPr>
      </w:pPr>
    </w:p>
    <w:p>
      <w:pPr>
        <w:spacing w:after="0" w:line="207" w:lineRule="exact"/>
        <w:tabs>
          <w:tab w:leader="none" w:pos="7260" w:val="left"/>
          <w:tab w:leader="none" w:pos="7960" w:val="left"/>
        </w:tabs>
        <w:rPr>
          <w:sz w:val="20"/>
          <w:szCs w:val="20"/>
          <w:color w:val="auto"/>
        </w:rPr>
      </w:pPr>
      <w:r>
        <w:rPr>
          <w:rFonts w:ascii="Arial" w:cs="Arial" w:eastAsia="Arial" w:hAnsi="Arial"/>
          <w:sz w:val="18"/>
          <w:szCs w:val="18"/>
          <w:color w:val="auto"/>
        </w:rPr>
        <w:t>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219" w:lineRule="exact"/>
        <w:rPr>
          <w:sz w:val="24"/>
          <w:szCs w:val="24"/>
          <w:color w:val="auto"/>
        </w:rPr>
      </w:pPr>
    </w:p>
    <w:p>
      <w:pPr>
        <w:ind w:left="112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tabs>
          <w:tab w:leader="none" w:pos="126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7120" w:space="720"/>
            <w:col w:w="3500"/>
          </w:cols>
          <w:pgMar w:left="240" w:top="233" w:right="319" w:bottom="1440" w:gutter="0" w:footer="0" w:header="0"/>
          <w:type w:val="continuous"/>
        </w:sectPr>
      </w:pPr>
    </w:p>
    <w:p>
      <w:pPr>
        <w:spacing w:after="0" w:line="8"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72" w:lineRule="exact"/>
        <w:rPr>
          <w:sz w:val="24"/>
          <w:szCs w:val="24"/>
          <w:color w:val="auto"/>
        </w:rPr>
      </w:pPr>
    </w:p>
    <w:p>
      <w:pPr>
        <w:sectPr>
          <w:pgSz w:w="11900" w:h="16838" w:orient="portrait"/>
          <w:cols w:equalWidth="0" w:num="3">
            <w:col w:w="2500" w:space="160"/>
            <w:col w:w="4460" w:space="720"/>
            <w:col w:w="3500"/>
          </w:cols>
          <w:pgMar w:left="240" w:top="233" w:right="3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ind w:left="7780"/>
        <w:spacing w:after="0" w:line="207" w:lineRule="exact"/>
        <w:tabs>
          <w:tab w:leader="none" w:pos="8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jc w:val="both"/>
        <w:ind w:right="280"/>
        <w:spacing w:after="0" w:line="286" w:lineRule="auto"/>
        <w:rPr>
          <w:sz w:val="20"/>
          <w:szCs w:val="20"/>
          <w:color w:val="auto"/>
        </w:rPr>
      </w:pPr>
      <w:r>
        <w:rPr>
          <w:rFonts w:ascii="Arial" w:cs="Arial" w:eastAsia="Arial" w:hAnsi="Arial"/>
          <w:sz w:val="17"/>
          <w:szCs w:val="17"/>
          <w:color w:val="auto"/>
        </w:rPr>
        <w:t>The number of shares outstanding of each of the registrant’s classes of common stock as of April 13, 2016 was as follows: 338,639,819 shares of Class A common stock, $0.01 par value; 625 shares of Class B-1 common stock, $0.01 par value; 813 shares of Class B-2 common stock, $0.01 par value; 1,287 shares of Class B-3 common stock, $0.01 par value; and 413 shares of Class B-4 common stock, $0.01 par value.</w:t>
      </w:r>
    </w:p>
    <w:p>
      <w:pPr>
        <w:spacing w:after="0" w:line="24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513"/>
        </w:trPr>
        <w:tc>
          <w:tcPr>
            <w:tcW w:w="2760" w:type="dxa"/>
            <w:vAlign w:val="bottom"/>
            <w:tcBorders>
              <w:bottom w:val="single" w:sz="8" w:color="0000EE"/>
            </w:tcBorders>
            <w:gridSpan w:val="10"/>
          </w:tcPr>
          <w:p>
            <w:pPr>
              <w:spacing w:after="0"/>
              <w:rPr>
                <w:rFonts w:ascii="Arial" w:cs="Arial" w:eastAsia="Arial" w:hAnsi="Arial"/>
                <w:sz w:val="16"/>
                <w:szCs w:val="16"/>
                <w:b w:val="1"/>
                <w:bCs w:val="1"/>
                <w:color w:val="0000EE"/>
              </w:rPr>
            </w:pPr>
            <w:hyperlink w:anchor="page3">
              <w:r>
                <w:rPr>
                  <w:rFonts w:ascii="Arial" w:cs="Arial" w:eastAsia="Arial" w:hAnsi="Arial"/>
                  <w:sz w:val="16"/>
                  <w:szCs w:val="16"/>
                  <w:b w:val="1"/>
                  <w:bCs w:val="1"/>
                  <w:color w:val="0000EE"/>
                </w:rPr>
                <w:t>PART I. FINANCIAL INFORMATION</w:t>
              </w:r>
            </w:hyperlink>
          </w:p>
        </w:tc>
        <w:tc>
          <w:tcPr>
            <w:tcW w:w="7940" w:type="dxa"/>
            <w:vAlign w:val="bottom"/>
            <w:gridSpan w:val="10"/>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780" w:type="dxa"/>
            <w:vAlign w:val="bottom"/>
            <w:gridSpan w:val="19"/>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Financial Statements</w:t>
              </w:r>
            </w:hyperlink>
          </w:p>
        </w:tc>
        <w:tc>
          <w:tcPr>
            <w:tcW w:w="6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4700" w:type="dxa"/>
            <w:vAlign w:val="bottom"/>
            <w:tcBorders>
              <w:bottom w:val="single" w:sz="8" w:color="0000EE"/>
            </w:tcBorders>
            <w:gridSpan w:val="13"/>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Balance Sheets at March 31, 2016 and December 31, 2015</w:t>
              </w:r>
            </w:hyperlink>
          </w:p>
        </w:tc>
        <w:tc>
          <w:tcPr>
            <w:tcW w:w="5080" w:type="dxa"/>
            <w:vAlign w:val="bottom"/>
            <w:gridSpan w:val="6"/>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5540" w:type="dxa"/>
            <w:vAlign w:val="bottom"/>
            <w:tcBorders>
              <w:bottom w:val="single" w:sz="8" w:color="0000EE"/>
            </w:tcBorders>
            <w:gridSpan w:val="15"/>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Income for the Quarters Ended March 31, 2016 and 2015</w:t>
              </w:r>
            </w:hyperlink>
          </w:p>
        </w:tc>
        <w:tc>
          <w:tcPr>
            <w:tcW w:w="4240" w:type="dxa"/>
            <w:vAlign w:val="bottom"/>
            <w:gridSpan w:val="4"/>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6600" w:type="dxa"/>
            <w:vAlign w:val="bottom"/>
            <w:tcBorders>
              <w:bottom w:val="single" w:sz="8" w:color="0000EE"/>
            </w:tcBorders>
            <w:gridSpan w:val="18"/>
          </w:tcPr>
          <w:p>
            <w:pPr>
              <w:spacing w:after="0"/>
              <w:rPr>
                <w:rFonts w:ascii="Arial" w:cs="Arial" w:eastAsia="Arial" w:hAnsi="Arial"/>
                <w:sz w:val="16"/>
                <w:szCs w:val="16"/>
                <w:color w:val="0000EE"/>
                <w:w w:val="90"/>
              </w:rPr>
            </w:pPr>
            <w:hyperlink w:anchor="page7">
              <w:r>
                <w:rPr>
                  <w:rFonts w:ascii="Arial" w:cs="Arial" w:eastAsia="Arial" w:hAnsi="Arial"/>
                  <w:sz w:val="16"/>
                  <w:szCs w:val="16"/>
                  <w:color w:val="0000EE"/>
                  <w:w w:val="90"/>
                </w:rPr>
                <w:t>Consolidated Statements of Comprehensive Income for the Quarters Ended March 31, 2016 and 2015</w:t>
              </w:r>
            </w:hyperlink>
          </w:p>
        </w:tc>
        <w:tc>
          <w:tcPr>
            <w:tcW w:w="318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8">
              <w:r>
                <w:rPr>
                  <w:rFonts w:ascii="Arial" w:cs="Arial" w:eastAsia="Arial" w:hAnsi="Arial"/>
                  <w:sz w:val="16"/>
                  <w:szCs w:val="16"/>
                  <w:color w:val="0000EE"/>
                </w:rPr>
                <w:t>Consolidated Statements of Equity for the Quarters Ended March 31, 2016 and 2015</w:t>
              </w:r>
            </w:hyperlink>
          </w:p>
        </w:tc>
        <w:tc>
          <w:tcPr>
            <w:tcW w:w="68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c>
          <w:tcPr>
            <w:tcW w:w="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780" w:type="dxa"/>
            <w:vAlign w:val="bottom"/>
            <w:gridSpan w:val="19"/>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Consolidated Statements of Cash Flows for the Quarters Ended March 31, 2016 and 2015</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4"/>
                <w:szCs w:val="24"/>
                <w:color w:val="auto"/>
              </w:rPr>
            </w:pPr>
          </w:p>
        </w:tc>
        <w:tc>
          <w:tcPr>
            <w:tcW w:w="5800" w:type="dxa"/>
            <w:vAlign w:val="bottom"/>
            <w:tcBorders>
              <w:top w:val="single" w:sz="8" w:color="0000EE"/>
            </w:tcBorders>
            <w:gridSpan w:val="16"/>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Notes to Unaudited Consolidated Financial Statements</w:t>
              </w:r>
            </w:hyperlink>
          </w:p>
        </w:tc>
        <w:tc>
          <w:tcPr>
            <w:tcW w:w="3980" w:type="dxa"/>
            <w:vAlign w:val="bottom"/>
            <w:gridSpan w:val="3"/>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11">
              <w:r>
                <w:rPr>
                  <w:rFonts w:ascii="Arial" w:cs="Arial" w:eastAsia="Arial" w:hAnsi="Arial"/>
                  <w:sz w:val="18"/>
                  <w:szCs w:val="18"/>
                  <w:color w:val="auto"/>
                </w:rPr>
                <w:t>11</w:t>
              </w:r>
            </w:hyperlink>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6"/>
                <w:szCs w:val="16"/>
                <w:b w:val="1"/>
                <w:bCs w:val="1"/>
                <w:color w:val="auto"/>
              </w:rPr>
              <w:t>Item 2.</w:t>
            </w: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c>
          <w:tcPr>
            <w:tcW w:w="0" w:type="dxa"/>
            <w:vAlign w:val="bottom"/>
          </w:tcPr>
          <w:p>
            <w:pPr>
              <w:spacing w:after="0" w:line="20" w:lineRule="exact"/>
              <w:rPr>
                <w:sz w:val="1"/>
                <w:szCs w:val="1"/>
                <w:color w:val="auto"/>
              </w:rPr>
            </w:pPr>
          </w:p>
        </w:tc>
      </w:tr>
      <w:tr>
        <w:trPr>
          <w:trHeight w:val="372"/>
        </w:trPr>
        <w:tc>
          <w:tcPr>
            <w:tcW w:w="920" w:type="dxa"/>
            <w:vAlign w:val="bottom"/>
            <w:vMerge w:val="continue"/>
          </w:tcPr>
          <w:p>
            <w:pPr>
              <w:spacing w:after="0"/>
              <w:rPr>
                <w:sz w:val="24"/>
                <w:szCs w:val="24"/>
                <w:color w:val="auto"/>
              </w:rPr>
            </w:pPr>
          </w:p>
        </w:tc>
        <w:tc>
          <w:tcPr>
            <w:tcW w:w="9780" w:type="dxa"/>
            <w:vAlign w:val="bottom"/>
            <w:gridSpan w:val="19"/>
          </w:tcPr>
          <w:p>
            <w:pPr>
              <w:spacing w:after="0"/>
              <w:rPr>
                <w:rFonts w:ascii="Arial" w:cs="Arial" w:eastAsia="Arial" w:hAnsi="Arial"/>
                <w:sz w:val="16"/>
                <w:szCs w:val="16"/>
                <w:b w:val="1"/>
                <w:bCs w:val="1"/>
                <w:color w:val="0000EE"/>
              </w:rPr>
            </w:pPr>
            <w:hyperlink w:anchor="page18">
              <w:r>
                <w:rPr>
                  <w:rFonts w:ascii="Arial" w:cs="Arial" w:eastAsia="Arial" w:hAnsi="Arial"/>
                  <w:sz w:val="16"/>
                  <w:szCs w:val="16"/>
                  <w:b w:val="1"/>
                  <w:bCs w:val="1"/>
                  <w:color w:val="0000EE"/>
                </w:rPr>
                <w:t>Management’s Discussion and Analysis of Financial Condition and Results of Operations</w:t>
              </w:r>
            </w:hyperlink>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tcBorders>
              <w:top w:val="single" w:sz="8" w:color="0000EE"/>
              <w:bottom w:val="single" w:sz="8" w:color="0000EE"/>
            </w:tcBorders>
            <w:gridSpan w:val="12"/>
          </w:tcPr>
          <w:p>
            <w:pPr>
              <w:spacing w:after="0"/>
              <w:rPr>
                <w:rFonts w:ascii="Arial" w:cs="Arial" w:eastAsia="Arial" w:hAnsi="Arial"/>
                <w:sz w:val="16"/>
                <w:szCs w:val="16"/>
                <w:b w:val="1"/>
                <w:bCs w:val="1"/>
                <w:color w:val="0000EE"/>
                <w:w w:val="92"/>
              </w:rPr>
            </w:pPr>
            <w:hyperlink w:anchor="page26">
              <w:r>
                <w:rPr>
                  <w:rFonts w:ascii="Arial" w:cs="Arial" w:eastAsia="Arial" w:hAnsi="Arial"/>
                  <w:sz w:val="16"/>
                  <w:szCs w:val="16"/>
                  <w:b w:val="1"/>
                  <w:bCs w:val="1"/>
                  <w:color w:val="0000EE"/>
                  <w:w w:val="92"/>
                </w:rPr>
                <w:t>Quantitative and Qualitative Disclosures About Market Risk</w:t>
              </w:r>
            </w:hyperlink>
          </w:p>
        </w:tc>
        <w:tc>
          <w:tcPr>
            <w:tcW w:w="1940" w:type="dxa"/>
            <w:vAlign w:val="bottom"/>
            <w:tcBorders>
              <w:top w:val="single" w:sz="8" w:color="0000EE"/>
            </w:tcBorders>
            <w:gridSpan w:val="5"/>
          </w:tcPr>
          <w:p>
            <w:pPr>
              <w:spacing w:after="0"/>
              <w:rPr>
                <w:sz w:val="24"/>
                <w:szCs w:val="24"/>
                <w:color w:val="auto"/>
              </w:rPr>
            </w:pPr>
          </w:p>
        </w:tc>
        <w:tc>
          <w:tcPr>
            <w:tcW w:w="3640" w:type="dxa"/>
            <w:vAlign w:val="bottom"/>
            <w:gridSpan w:val="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tcBorders>
              <w:bottom w:val="single" w:sz="8" w:color="0000EE"/>
            </w:tcBorders>
            <w:gridSpan w:val="8"/>
          </w:tcPr>
          <w:p>
            <w:pPr>
              <w:spacing w:after="0"/>
              <w:rPr>
                <w:rFonts w:ascii="Arial" w:cs="Arial" w:eastAsia="Arial" w:hAnsi="Arial"/>
                <w:sz w:val="16"/>
                <w:szCs w:val="16"/>
                <w:b w:val="1"/>
                <w:bCs w:val="1"/>
                <w:color w:val="0000EE"/>
                <w:w w:val="88"/>
              </w:rPr>
            </w:pPr>
            <w:hyperlink w:anchor="page26">
              <w:r>
                <w:rPr>
                  <w:rFonts w:ascii="Arial" w:cs="Arial" w:eastAsia="Arial" w:hAnsi="Arial"/>
                  <w:sz w:val="16"/>
                  <w:szCs w:val="16"/>
                  <w:b w:val="1"/>
                  <w:bCs w:val="1"/>
                  <w:color w:val="0000EE"/>
                  <w:w w:val="88"/>
                </w:rPr>
                <w:t>Controls and Procedures</w:t>
              </w:r>
            </w:hyperlink>
          </w:p>
        </w:tc>
        <w:tc>
          <w:tcPr>
            <w:tcW w:w="8060" w:type="dxa"/>
            <w:vAlign w:val="bottom"/>
            <w:gridSpan w:val="11"/>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358"/>
        </w:trPr>
        <w:tc>
          <w:tcPr>
            <w:tcW w:w="10700" w:type="dxa"/>
            <w:vAlign w:val="bottom"/>
            <w:gridSpan w:val="20"/>
          </w:tcPr>
          <w:p>
            <w:pPr>
              <w:spacing w:after="0"/>
              <w:rPr>
                <w:rFonts w:ascii="Arial" w:cs="Arial" w:eastAsia="Arial" w:hAnsi="Arial"/>
                <w:sz w:val="16"/>
                <w:szCs w:val="16"/>
                <w:b w:val="1"/>
                <w:bCs w:val="1"/>
                <w:color w:val="0000EE"/>
              </w:rPr>
            </w:pPr>
            <w:hyperlink w:anchor="page26">
              <w:r>
                <w:rPr>
                  <w:rFonts w:ascii="Arial" w:cs="Arial" w:eastAsia="Arial" w:hAnsi="Arial"/>
                  <w:sz w:val="16"/>
                  <w:szCs w:val="16"/>
                  <w:b w:val="1"/>
                  <w:bCs w:val="1"/>
                  <w:color w:val="0000EE"/>
                </w:rPr>
                <w:t>PART II. OTHER INFORMATION</w:t>
              </w:r>
            </w:hyperlink>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385"/>
        </w:trPr>
        <w:tc>
          <w:tcPr>
            <w:tcW w:w="920" w:type="dxa"/>
            <w:vAlign w:val="bottom"/>
            <w:tcBorders>
              <w:top w:val="single" w:sz="8" w:color="0000EE"/>
            </w:tcBorders>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tcBorders>
              <w:top w:val="single" w:sz="8" w:color="0000EE"/>
              <w:bottom w:val="single" w:sz="8" w:color="0000EE"/>
            </w:tcBorders>
            <w:gridSpan w:val="4"/>
          </w:tcPr>
          <w:p>
            <w:pPr>
              <w:spacing w:after="0"/>
              <w:rPr>
                <w:rFonts w:ascii="Arial" w:cs="Arial" w:eastAsia="Arial" w:hAnsi="Arial"/>
                <w:sz w:val="16"/>
                <w:szCs w:val="16"/>
                <w:b w:val="1"/>
                <w:bCs w:val="1"/>
                <w:color w:val="0000EE"/>
                <w:w w:val="87"/>
              </w:rPr>
            </w:pPr>
            <w:hyperlink w:anchor="page26">
              <w:r>
                <w:rPr>
                  <w:rFonts w:ascii="Arial" w:cs="Arial" w:eastAsia="Arial" w:hAnsi="Arial"/>
                  <w:sz w:val="16"/>
                  <w:szCs w:val="16"/>
                  <w:b w:val="1"/>
                  <w:bCs w:val="1"/>
                  <w:color w:val="0000EE"/>
                  <w:w w:val="87"/>
                </w:rPr>
                <w:t>Legal Proceedings</w:t>
              </w:r>
            </w:hyperlink>
          </w:p>
        </w:tc>
        <w:tc>
          <w:tcPr>
            <w:tcW w:w="300" w:type="dxa"/>
            <w:vAlign w:val="bottom"/>
            <w:tcBorders>
              <w:top w:val="single" w:sz="8" w:color="0000EE"/>
            </w:tcBorders>
            <w:gridSpan w:val="2"/>
          </w:tcPr>
          <w:p>
            <w:pPr>
              <w:spacing w:after="0"/>
              <w:rPr>
                <w:sz w:val="24"/>
                <w:szCs w:val="24"/>
                <w:color w:val="auto"/>
              </w:rPr>
            </w:pPr>
          </w:p>
        </w:tc>
        <w:tc>
          <w:tcPr>
            <w:tcW w:w="8220" w:type="dxa"/>
            <w:vAlign w:val="bottom"/>
            <w:gridSpan w:val="13"/>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b w:val="1"/>
                <w:bCs w:val="1"/>
                <w:color w:val="0000EE"/>
                <w:w w:val="89"/>
              </w:rPr>
            </w:pPr>
            <w:hyperlink w:anchor="page27">
              <w:r>
                <w:rPr>
                  <w:rFonts w:ascii="Arial" w:cs="Arial" w:eastAsia="Arial" w:hAnsi="Arial"/>
                  <w:sz w:val="16"/>
                  <w:szCs w:val="16"/>
                  <w:b w:val="1"/>
                  <w:bCs w:val="1"/>
                  <w:color w:val="0000EE"/>
                  <w:w w:val="89"/>
                </w:rPr>
                <w:t>Risk Factors</w:t>
              </w:r>
            </w:hyperlink>
          </w:p>
        </w:tc>
        <w:tc>
          <w:tcPr>
            <w:tcW w:w="8900" w:type="dxa"/>
            <w:vAlign w:val="bottom"/>
            <w:gridSpan w:val="16"/>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780" w:type="dxa"/>
            <w:vAlign w:val="bottom"/>
            <w:gridSpan w:val="19"/>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Unregistered Sales of Equity Securities and Use of Proceeds</w:t>
              </w:r>
            </w:hyperlink>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tcBorders>
              <w:top w:val="single" w:sz="8" w:color="0000EE"/>
            </w:tcBorders>
            <w:gridSpan w:val="11"/>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Mine Safety Disclosures</w:t>
              </w:r>
            </w:hyperlink>
          </w:p>
        </w:tc>
        <w:tc>
          <w:tcPr>
            <w:tcW w:w="5680" w:type="dxa"/>
            <w:vAlign w:val="bottom"/>
            <w:gridSpan w:val="8"/>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c>
          <w:tcPr>
            <w:tcW w:w="0" w:type="dxa"/>
            <w:vAlign w:val="bottom"/>
          </w:tcPr>
          <w:p>
            <w:pPr>
              <w:spacing w:after="0"/>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tcBorders>
              <w:top w:val="single" w:sz="8" w:color="0000EE"/>
            </w:tcBorders>
            <w:gridSpan w:val="7"/>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Exhibits</w:t>
              </w:r>
            </w:hyperlink>
          </w:p>
        </w:tc>
        <w:tc>
          <w:tcPr>
            <w:tcW w:w="8140" w:type="dxa"/>
            <w:vAlign w:val="bottom"/>
            <w:gridSpan w:val="12"/>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20" w:type="dxa"/>
            <w:vAlign w:val="bottom"/>
            <w:gridSpan w:val="17"/>
          </w:tcPr>
          <w:p>
            <w:pPr>
              <w:spacing w:after="0" w:line="20" w:lineRule="exact"/>
              <w:rPr>
                <w:sz w:val="1"/>
                <w:szCs w:val="1"/>
                <w:color w:val="auto"/>
              </w:rPr>
            </w:pPr>
          </w:p>
        </w:tc>
        <w:tc>
          <w:tcPr>
            <w:tcW w:w="680" w:type="dxa"/>
            <w:vAlign w:val="bottom"/>
            <w:vMerge w:val="restart"/>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0" w:type="dxa"/>
            <w:vAlign w:val="bottom"/>
          </w:tcPr>
          <w:p>
            <w:pPr>
              <w:spacing w:after="0" w:line="20" w:lineRule="exact"/>
              <w:rPr>
                <w:sz w:val="1"/>
                <w:szCs w:val="1"/>
                <w:color w:val="auto"/>
              </w:rPr>
            </w:pPr>
          </w:p>
        </w:tc>
      </w:tr>
      <w:tr>
        <w:trPr>
          <w:trHeight w:val="358"/>
        </w:trPr>
        <w:tc>
          <w:tcPr>
            <w:tcW w:w="1040" w:type="dxa"/>
            <w:vAlign w:val="bottom"/>
            <w:tcBorders>
              <w:bottom w:val="single" w:sz="8" w:color="0000EE"/>
            </w:tcBorders>
            <w:gridSpan w:val="2"/>
          </w:tcPr>
          <w:p>
            <w:pPr>
              <w:spacing w:after="0"/>
              <w:rPr>
                <w:rFonts w:ascii="Arial" w:cs="Arial" w:eastAsia="Arial" w:hAnsi="Arial"/>
                <w:sz w:val="16"/>
                <w:szCs w:val="16"/>
                <w:b w:val="1"/>
                <w:bCs w:val="1"/>
                <w:color w:val="0000EE"/>
                <w:w w:val="97"/>
              </w:rPr>
            </w:pPr>
            <w:hyperlink w:anchor="page29">
              <w:r>
                <w:rPr>
                  <w:rFonts w:ascii="Arial" w:cs="Arial" w:eastAsia="Arial" w:hAnsi="Arial"/>
                  <w:sz w:val="16"/>
                  <w:szCs w:val="16"/>
                  <w:b w:val="1"/>
                  <w:bCs w:val="1"/>
                  <w:color w:val="0000EE"/>
                  <w:w w:val="97"/>
                </w:rPr>
                <w:t>SIGNATURES</w:t>
              </w:r>
            </w:hyperlink>
          </w:p>
        </w:tc>
        <w:tc>
          <w:tcPr>
            <w:tcW w:w="9660" w:type="dxa"/>
            <w:vAlign w:val="bottom"/>
            <w:gridSpan w:val="18"/>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920" w:type="dxa"/>
            <w:vAlign w:val="bottom"/>
          </w:tcPr>
          <w:p>
            <w:pPr>
              <w:spacing w:after="0"/>
              <w:rPr>
                <w:sz w:val="24"/>
                <w:szCs w:val="24"/>
                <w:color w:val="auto"/>
              </w:rPr>
            </w:pPr>
          </w:p>
        </w:tc>
        <w:tc>
          <w:tcPr>
            <w:tcW w:w="5480" w:type="dxa"/>
            <w:vAlign w:val="bottom"/>
            <w:gridSpan w:val="14"/>
          </w:tcPr>
          <w:p>
            <w:pPr>
              <w:ind w:left="470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Unless otherwise indicated, references to CME Group Inc. (CME Group or the company) products include references to products listed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All amounts regarding contract volume and average rate per contract exclude our interest rate swaps and credit default swaps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CME Group is a trademark of CME Group Inc. The Globe logo, CME, Chicago Mercantile Exchange, Globex and E-mini are trademarks of Chicago Mercantile Exchange Inc. CBOT, Chicago Board of Trade, KCBT and Kansas City Board of Trade are trademarks of Board of Trade of the City of Chicago, Inc. NYMEX, New York Mercantile Exchange and ClearPort are trademarks of New York Mercantile Exchange, Inc. COMEX is a trademark of Commodity Exchange,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1" w:lineRule="exact"/>
        <w:rPr>
          <w:sz w:val="20"/>
          <w:szCs w:val="20"/>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jc w:val="both"/>
        <w:ind w:left="660" w:right="4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73" w:lineRule="exact"/>
        <w:rPr>
          <w:rFonts w:ascii="Arial" w:cs="Arial" w:eastAsia="Arial" w:hAnsi="Arial"/>
          <w:sz w:val="18"/>
          <w:szCs w:val="18"/>
          <w:color w:val="auto"/>
        </w:rPr>
      </w:pPr>
    </w:p>
    <w:p>
      <w:pPr>
        <w:jc w:val="both"/>
        <w:ind w:left="660" w:right="1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117" w:lineRule="exact"/>
        <w:rPr>
          <w:rFonts w:ascii="Arial" w:cs="Arial" w:eastAsia="Arial" w:hAnsi="Arial"/>
          <w:sz w:val="18"/>
          <w:szCs w:val="18"/>
          <w:color w:val="auto"/>
        </w:rPr>
      </w:pPr>
    </w:p>
    <w:p>
      <w:pPr>
        <w:jc w:val="both"/>
        <w:ind w:left="660" w:right="10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domestic and non-U.S. regulations, including the impact of any changes in domestic and foreign laws or government policy with respect to our industry, such as any changes to regulations and policies that require increased financial and operational resources from us or our customers;</w:t>
      </w:r>
    </w:p>
    <w:p>
      <w:pPr>
        <w:spacing w:after="0" w:line="15"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117"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140"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26, 2016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41"/>
        </w:trPr>
        <w:tc>
          <w:tcPr>
            <w:tcW w:w="1260" w:type="dxa"/>
            <w:vAlign w:val="bottom"/>
          </w:tcPr>
          <w:p>
            <w:pPr>
              <w:spacing w:after="0"/>
              <w:rPr>
                <w:sz w:val="24"/>
                <w:szCs w:val="24"/>
                <w:color w:val="auto"/>
              </w:rPr>
            </w:pPr>
          </w:p>
        </w:tc>
        <w:tc>
          <w:tcPr>
            <w:tcW w:w="686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CME GROUP INC. AND SUBSIDIARIES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1260" w:type="dxa"/>
            <w:vAlign w:val="bottom"/>
          </w:tcPr>
          <w:p>
            <w:pPr>
              <w:spacing w:after="0"/>
              <w:rPr>
                <w:sz w:val="19"/>
                <w:szCs w:val="19"/>
                <w:color w:val="auto"/>
              </w:rPr>
            </w:pPr>
          </w:p>
        </w:tc>
        <w:tc>
          <w:tcPr>
            <w:tcW w:w="686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6860" w:type="dxa"/>
            <w:vAlign w:val="bottom"/>
          </w:tcPr>
          <w:p>
            <w:pPr>
              <w:jc w:val="center"/>
              <w:ind w:left="195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6860" w:type="dxa"/>
            <w:vAlign w:val="bottom"/>
          </w:tcPr>
          <w:p>
            <w:pPr>
              <w:jc w:val="center"/>
              <w:ind w:left="1950"/>
              <w:spacing w:after="0"/>
              <w:rPr>
                <w:sz w:val="20"/>
                <w:szCs w:val="20"/>
                <w:color w:val="auto"/>
              </w:rPr>
            </w:pPr>
            <w:r>
              <w:rPr>
                <w:rFonts w:ascii="Arial" w:cs="Arial" w:eastAsia="Arial" w:hAnsi="Arial"/>
                <w:sz w:val="18"/>
                <w:szCs w:val="18"/>
                <w:color w:val="auto"/>
                <w:w w:val="90"/>
              </w:rPr>
              <w:t>(unaudited)</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1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6"/>
              </w:rPr>
              <w:t>Current Assets:</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72.5</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$3.7 and $1.9</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357.8</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$32.0 in restricted cash in both periods)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228.6</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37,497.3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35,553.0</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39,253.3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37,904.5</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$680.6 and $788.6</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491.7</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2,537.9</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7,569.0</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$69.1 and $70.5 in 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1,681.0</w:t>
            </w:r>
          </w:p>
        </w:tc>
      </w:tr>
      <w:tr>
        <w:trPr>
          <w:trHeight w:val="237"/>
        </w:trPr>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68,768.2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67,359.4</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60" w:type="dxa"/>
            <w:vAlign w:val="bottom"/>
            <w:shd w:val="clear" w:color="auto" w:fill="CCEEFF"/>
          </w:tcPr>
          <w:p>
            <w:pPr>
              <w:spacing w:after="0"/>
              <w:rPr>
                <w:sz w:val="24"/>
                <w:szCs w:val="24"/>
                <w:color w:val="auto"/>
              </w:rPr>
            </w:pPr>
          </w:p>
        </w:tc>
        <w:tc>
          <w:tcPr>
            <w:tcW w:w="6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28.7</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1,242.8</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37,494.3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35,553.0</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37,848.1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36,824.5</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w w:val="98"/>
              </w:rPr>
              <w:t>Long-term debt</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2,229.3</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7,358.3</w:t>
            </w:r>
          </w:p>
        </w:tc>
      </w:tr>
      <w:tr>
        <w:trPr>
          <w:trHeight w:val="243"/>
        </w:trPr>
        <w:tc>
          <w:tcPr>
            <w:tcW w:w="12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6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395.5</w:t>
            </w:r>
          </w:p>
        </w:tc>
      </w:tr>
      <w:tr>
        <w:trPr>
          <w:trHeight w:val="27"/>
        </w:trPr>
        <w:tc>
          <w:tcPr>
            <w:tcW w:w="12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68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47,926.8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46,807.6</w:t>
            </w:r>
          </w:p>
        </w:tc>
      </w:tr>
      <w:tr>
        <w:trPr>
          <w:trHeight w:val="223"/>
        </w:trPr>
        <w:tc>
          <w:tcPr>
            <w:tcW w:w="1260" w:type="dxa"/>
            <w:vAlign w:val="bottom"/>
          </w:tcPr>
          <w:p>
            <w:pPr>
              <w:spacing w:after="0"/>
              <w:rPr>
                <w:sz w:val="19"/>
                <w:szCs w:val="19"/>
                <w:color w:val="auto"/>
              </w:rPr>
            </w:pPr>
          </w:p>
        </w:tc>
        <w:tc>
          <w:tcPr>
            <w:tcW w:w="6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3"/>
              </w:rPr>
              <w:t>Preferred stock, $0.01 par value, 10,000 shares authorized at March 31, 2016 and December 31, 2015;</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1260" w:type="dxa"/>
            <w:vAlign w:val="bottom"/>
          </w:tcPr>
          <w:p>
            <w:pPr>
              <w:ind w:left="380"/>
              <w:spacing w:after="0"/>
              <w:rPr>
                <w:sz w:val="20"/>
                <w:szCs w:val="20"/>
                <w:color w:val="auto"/>
              </w:rPr>
            </w:pPr>
            <w:r>
              <w:rPr>
                <w:rFonts w:ascii="Arial" w:cs="Arial" w:eastAsia="Arial" w:hAnsi="Arial"/>
                <w:sz w:val="18"/>
                <w:szCs w:val="18"/>
                <w:color w:val="auto"/>
                <w:w w:val="88"/>
              </w:rPr>
              <w:t>none issued</w:t>
            </w:r>
          </w:p>
        </w:tc>
        <w:tc>
          <w:tcPr>
            <w:tcW w:w="6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Class A common stock, $0.01 par value, 1,000,000 shares authorized at March 31, 2016 and December</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31, 2015; 337,216 and 336,938 shares issued and outstanding as of March 31, 2016 and December 31,</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2015,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5"/>
              </w:rPr>
              <w:t>Class B common stock, $0.01 par value, 3 shares authorized, issued and outstanding as of March 31,</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2016 and December 31, 2015</w:t>
            </w:r>
          </w:p>
        </w:tc>
        <w:tc>
          <w:tcPr>
            <w:tcW w:w="22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17,721.6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3,072.3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2,907.6</w:t>
            </w:r>
          </w:p>
        </w:tc>
      </w:tr>
      <w:tr>
        <w:trPr>
          <w:trHeight w:val="27"/>
        </w:trPr>
        <w:tc>
          <w:tcPr>
            <w:tcW w:w="8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20,841.4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20,551.8</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68,768.2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67,359.4</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Quarter Ended</w:t>
      </w:r>
    </w:p>
    <w:p>
      <w:pPr>
        <w:spacing w:after="0" w:line="42"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23495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796.1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708.2</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934.2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842.7</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141.3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15.6</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24.9</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31.7</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335.4</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507.3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22.5</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Total Non-Operating</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16.5</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523.8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193.4</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330.4</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7"/>
        </w:trPr>
        <w:tc>
          <w:tcPr>
            <w:tcW w:w="9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0.98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335,680</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338,549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337,416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r>
      <w:tr>
        <w:trPr>
          <w:trHeight w:val="276"/>
        </w:trPr>
        <w:tc>
          <w:tcPr>
            <w:tcW w:w="88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24"/>
                <w:szCs w:val="24"/>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net actuarial (gains) losses included in compensation and benefits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Ineffectiveness on cash flow hedges included in (gains) losses on derivative investments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Amortization of effective portion of net (gains) losses on cash flow hedges included in interest expense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880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476.7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298.4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336,938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17,725.0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20,551.8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Other comprehensive income (loss) attributable to CME</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$0.60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102</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6"/>
              </w:rPr>
              <w:t>Excess tax benefits from option exercises and restricted</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stock vesting</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337,216</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17,741.0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3,072.3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20,841.4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0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Class A</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 and</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ind w:right="9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1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(Shares)</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9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335,452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17,600.0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20,923.5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330.4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Other comprehensive income (loss) attributable to CME</w:t>
            </w: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w:t>
            </w: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Dividends on common stock of $0.50 per share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9"/>
        </w:trPr>
        <w:tc>
          <w:tcPr>
            <w:tcW w:w="4360" w:type="dxa"/>
            <w:vAlign w:val="bottom"/>
          </w:tcPr>
          <w:p>
            <w:pPr>
              <w:ind w:left="40"/>
              <w:spacing w:after="0"/>
              <w:rPr>
                <w:sz w:val="20"/>
                <w:szCs w:val="20"/>
                <w:color w:val="auto"/>
              </w:rPr>
            </w:pPr>
            <w:r>
              <w:rPr>
                <w:rFonts w:ascii="Arial" w:cs="Arial" w:eastAsia="Arial" w:hAnsi="Arial"/>
                <w:sz w:val="18"/>
                <w:szCs w:val="18"/>
                <w:color w:val="auto"/>
                <w:w w:val="96"/>
              </w:rPr>
              <w:t>Excess tax benefits from option exercises and restricted</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40"/>
              <w:spacing w:after="0"/>
              <w:rPr>
                <w:sz w:val="20"/>
                <w:szCs w:val="20"/>
                <w:color w:val="auto"/>
              </w:rPr>
            </w:pPr>
            <w:r>
              <w:rPr>
                <w:rFonts w:ascii="Arial" w:cs="Arial" w:eastAsia="Arial" w:hAnsi="Arial"/>
                <w:sz w:val="18"/>
                <w:szCs w:val="18"/>
                <w:color w:val="auto"/>
              </w:rPr>
              <w:t>stock vesting</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Vesting of issued restricted Class A common stock</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40</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2015</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335,928</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17,642.0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3,479.3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21,095.5</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367.8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330.4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datacenter</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Undistributed earnings, net of losses, of unconsolidated subsidiaries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418.9</w:t>
            </w:r>
          </w:p>
        </w:tc>
      </w:tr>
      <w:tr>
        <w:trPr>
          <w:trHeight w:val="210"/>
        </w:trPr>
        <w:tc>
          <w:tcPr>
            <w:tcW w:w="85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property,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business ventures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Settlement of derivative related to debt issuance</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10"/>
        </w:trPr>
        <w:tc>
          <w:tcPr>
            <w:tcW w:w="85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debt, net of issuance costs</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743.7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finance lease obligation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0.7</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10"/>
        </w:trPr>
        <w:tc>
          <w:tcPr>
            <w:tcW w:w="85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1,692.6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1,366.1</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1,694.8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8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r>
      <w:tr>
        <w:trPr>
          <w:trHeight w:val="270"/>
        </w:trPr>
        <w:tc>
          <w:tcPr>
            <w:tcW w:w="858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CME Clearing Europe Limited (CMECE) and CME Europe Limited (CME Europe). CME, CBOT, NYMEX, COMEX, CMECE and CME Europe and their subsidiaries are referred to collectively as “the exchange” in the notes to the consolidated financial statements. The clearing houses include CME Clearing, which is the U.S. clearing house and a division of CME, and CMECE.</w:t>
      </w:r>
    </w:p>
    <w:p>
      <w:pPr>
        <w:spacing w:after="0" w:line="1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March 31, 2016 and December 31, 2015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2015, filed with the Securities and Exchange Commission (SEC) on February 26, 2016.</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Performance Bonds and Guaranty Fund Contributions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 xml:space="preserve">Performance Bonds and Guaranty Fund Contributions. </w:t>
      </w:r>
      <w:r>
        <w:rPr>
          <w:rFonts w:ascii="Arial" w:cs="Arial" w:eastAsia="Arial" w:hAnsi="Arial"/>
          <w:sz w:val="17"/>
          <w:szCs w:val="17"/>
          <w:color w:val="auto"/>
        </w:rPr>
        <w:t>At March 31, 2016, performance bonds and guaranty fund contribution assets on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sheets include cash and U.S. Treasury securities with maturity dates of 90 days or less. U.S. Treasury securities are purchased by CME, at its discretion, using cash collateral. The benefits, including interest earned, and risks of ownership accrue to CME. Interest earned is included in investment income on the consolidated statements of income. These securities are classified as available-for-sale. At March 31, 2016, the amortized cost and fair value of the U.S. Treasury securities was $10,247.6 million and $10,248.7 million, respectively. The original cost of these U.S. Treasury securities was $10,245.7 million. The U.S. Treasury securities will mature in the second quarter of 2016. Performance bonds and guaranty fund contribution assets also include overnight reverse repurchase agreements that were purchased by CME, at its discretion, using cash collateral. The fair value of the overnight securities under the reverse repurchase agreements was $3.0 billion at March 31, 2016.</w:t>
      </w:r>
    </w:p>
    <w:p>
      <w:pPr>
        <w:spacing w:after="0" w:line="1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CME has been designated as a systemically important financial market utility by the Financial Stability Oversight Council and is authorized to establish and maintain a cash account at the Federal Reserve Bank of Chicago. This account is expected to be opened in the second quarter of 2016 and CME will be able to begin holding cash collateral at the Federal Reserve Bank of Chicago.</w:t>
      </w:r>
    </w:p>
    <w:p>
      <w:pPr>
        <w:spacing w:after="0" w:line="18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i w:val="1"/>
          <w:iCs w:val="1"/>
          <w:color w:val="auto"/>
        </w:rPr>
        <w:t xml:space="preserve">Clearing House Contract Settlement. </w:t>
      </w:r>
      <w:r>
        <w:rPr>
          <w:rFonts w:ascii="Arial" w:cs="Arial" w:eastAsia="Arial" w:hAnsi="Arial"/>
          <w:sz w:val="17"/>
          <w:szCs w:val="17"/>
          <w:color w:val="auto"/>
        </w:rPr>
        <w:t>CME Clearing and CMECE mark-to-market open positions for all futures and options contracts twice a day (once a day</w:t>
      </w:r>
      <w:r>
        <w:rPr>
          <w:rFonts w:ascii="Arial" w:cs="Arial" w:eastAsia="Arial" w:hAnsi="Arial"/>
          <w:sz w:val="17"/>
          <w:szCs w:val="17"/>
          <w:i w:val="1"/>
          <w:iCs w:val="1"/>
          <w:color w:val="auto"/>
        </w:rPr>
        <w:t xml:space="preserve"> </w:t>
      </w:r>
      <w:r>
        <w:rPr>
          <w:rFonts w:ascii="Arial" w:cs="Arial" w:eastAsia="Arial" w:hAnsi="Arial"/>
          <w:sz w:val="17"/>
          <w:szCs w:val="17"/>
          <w:color w:val="auto"/>
        </w:rPr>
        <w:t>for CME's cleared-only credit default swap and interest rate swap contracts). Based on values derived from the mark-to-market process, CME Clearing and CMECE require payments from clearing firms whose positions have lost value and make payments to clearing firms whose positions have gained value. Under the extremely unlikely scenario of simultaneous default by every clearing firm who has open positions with unrealized losses, the maximum exposure related to positions other than cleared-only credit default and interest rate swap contracts would be one half day of changes in fair value of all open positions, before considering the clearing houses' ability to access defaulting clearing firms' collateral deposits. For CME's cleared-only credit default swap and interest rate swap contracts, the maximum exposure related to CME Clearing's guarantee would be one full day of changes in fair value of all open positions, before considering CME Clearing's ability to access defaulting clearing firms' collateral. During the first quarter of 2016, CME Clearing and CMECE transferred an average of approximately $3.8 billion a day through their clearing systems for settlement from clearing firms whose positions had lost value to clearing firms whose positions had gained value. CME Clearing and CMECE reduce their guarantee exposure through initial and maintenance performance bond requirements and mandatory guaranty fund contributions. The company believes that its guarantee liability is immaterial and therefore has not recorded any liability at March 31, 2016.</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w:t>
      </w:r>
    </w:p>
    <w:p>
      <w:pPr>
        <w:spacing w:after="0" w:line="229" w:lineRule="exact"/>
        <w:rPr>
          <w:sz w:val="20"/>
          <w:szCs w:val="20"/>
          <w:color w:val="auto"/>
        </w:rPr>
      </w:pPr>
    </w:p>
    <w:p>
      <w:pPr>
        <w:ind w:right="460"/>
        <w:spacing w:after="0" w:line="297" w:lineRule="auto"/>
        <w:rPr>
          <w:sz w:val="20"/>
          <w:szCs w:val="20"/>
          <w:color w:val="auto"/>
        </w:rPr>
      </w:pPr>
      <w:r>
        <w:rPr>
          <w:rFonts w:ascii="Arial" w:cs="Arial" w:eastAsia="Arial" w:hAnsi="Arial"/>
          <w:sz w:val="16"/>
          <w:szCs w:val="16"/>
          <w:color w:val="auto"/>
        </w:rPr>
        <w:t>In March 2016, the company sold its datacenter in the Chicago area for $130.0 million. At the time of the sale, the company leased back a portion of the property. The sale leaseback transaction was recognized under the financing method and not as a sale leaseback arrangement under generally accepted accounting principles due to the company's participation in future revenues and development work, which constitutes continuing involvement in the datacenter. Under the financing method, the assets remain on the consolidated balance sheet throughout the term of the lease and the proceeds of $130.0 million from the transaction are recognized as a finance lease obligation within other liabilities and other current liabilities in the consolidated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ind w:right="300"/>
        <w:spacing w:after="0" w:line="277" w:lineRule="auto"/>
        <w:rPr>
          <w:sz w:val="20"/>
          <w:szCs w:val="20"/>
          <w:color w:val="auto"/>
        </w:rPr>
      </w:pPr>
      <w:r>
        <w:rPr>
          <w:rFonts w:ascii="Arial" w:cs="Arial" w:eastAsia="Arial" w:hAnsi="Arial"/>
          <w:sz w:val="18"/>
          <w:szCs w:val="18"/>
          <w:color w:val="auto"/>
        </w:rPr>
        <w:t>balance sheet. A portion of the lease payments will be recognized as a reduction of the finance lease obligation and a portion will be recognized as interest expense based on an imputed interest rate.</w:t>
      </w:r>
    </w:p>
    <w:p>
      <w:pPr>
        <w:spacing w:after="0" w:line="13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The net cost basis of the property and equipment legally sold was $153.1 million at the date of the sale. At March 31, 2016, the company wrote down the property and equipment to a fair value of $130.0 million based on qualitative indications of impairment and a quantitative analysis based on undiscounted cash flows. The company recognized a net loss on the transaction of $27.1 million through other expenses, which includes the write down to fair value and certain other transaction-related costs. The company recognized a total net loss and expenses of $28.6 million, which also includes $1.5 million of legal and other fees incurred. The property and equipment legally sold will continue to be recognized on the consolidated balance sheets and will continue to be depreciated on the consolidated statements of income over the term of the lease.</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lease has an initial lease term ending in March 2031 and contains two consecutive renewal options for five years. Future minimum lease payments under this non-cancellable lease will be payable as follows as of March 31, 2016 (in millions):</w:t>
      </w:r>
    </w:p>
    <w:p>
      <w:pPr>
        <w:spacing w:after="0" w:line="36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Year</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98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2016</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16.7</w:t>
            </w:r>
          </w:p>
        </w:tc>
      </w:tr>
      <w:tr>
        <w:trPr>
          <w:trHeight w:val="27"/>
        </w:trPr>
        <w:tc>
          <w:tcPr>
            <w:tcW w:w="9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2019</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16.8</w:t>
            </w:r>
          </w:p>
        </w:tc>
      </w:tr>
      <w:tr>
        <w:trPr>
          <w:trHeight w:val="27"/>
        </w:trPr>
        <w:tc>
          <w:tcPr>
            <w:tcW w:w="9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r>
      <w:tr>
        <w:trPr>
          <w:trHeight w:val="243"/>
        </w:trPr>
        <w:tc>
          <w:tcPr>
            <w:tcW w:w="9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181.6</w:t>
            </w:r>
          </w:p>
        </w:tc>
      </w:tr>
      <w:tr>
        <w:trPr>
          <w:trHeight w:val="27"/>
        </w:trPr>
        <w:tc>
          <w:tcPr>
            <w:tcW w:w="98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261.3</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March 31, 2016 and December 31, 2015:</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2016</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2015</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20" w:type="dxa"/>
            <w:vAlign w:val="bottom"/>
          </w:tcPr>
          <w:p>
            <w:pPr>
              <w:spacing w:after="0"/>
              <w:rPr>
                <w:sz w:val="13"/>
                <w:szCs w:val="13"/>
                <w:color w:val="auto"/>
              </w:rPr>
            </w:pPr>
          </w:p>
        </w:tc>
        <w:tc>
          <w:tcPr>
            <w:tcW w:w="12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(778.2)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2,060.6</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(754.5)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2,084.3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2,870.6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2,063.9</w:t>
            </w:r>
          </w:p>
        </w:tc>
        <w:tc>
          <w:tcPr>
            <w:tcW w:w="4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2,087.9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2,537.9</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780" w:type="dxa"/>
            <w:vAlign w:val="bottom"/>
          </w:tcPr>
          <w:p>
            <w:pPr>
              <w:ind w:left="40"/>
              <w:spacing w:after="0" w:line="251" w:lineRule="exact"/>
              <w:rPr>
                <w:sz w:val="20"/>
                <w:szCs w:val="20"/>
                <w:color w:val="auto"/>
              </w:rPr>
            </w:pPr>
            <w:r>
              <w:rPr>
                <w:rFonts w:ascii="Arial" w:cs="Arial" w:eastAsia="Arial" w:hAnsi="Arial"/>
                <w:sz w:val="18"/>
                <w:szCs w:val="18"/>
                <w:color w:val="auto"/>
              </w:rPr>
              <w:t>Trading products</w:t>
            </w:r>
            <w:r>
              <w:rPr>
                <w:rFonts w:ascii="Arial" w:cs="Arial" w:eastAsia="Arial" w:hAnsi="Arial"/>
                <w:sz w:val="25"/>
                <w:szCs w:val="25"/>
                <w:color w:val="auto"/>
                <w:vertAlign w:val="superscript"/>
              </w:rPr>
              <w:t>(1)</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4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4"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Total amortization expense for intangible assets was $24.0 million and $24.9 million for the quarters ended March 31, 2016 and 2015, respectively.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the future estimated amortization expense related to amortizable intangible assets is expected to be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2016</w:t>
            </w:r>
          </w:p>
        </w:tc>
        <w:tc>
          <w:tcPr>
            <w:tcW w:w="4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72.1</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2017</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95.5</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2019</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2021</w:t>
            </w:r>
          </w:p>
        </w:tc>
        <w:tc>
          <w:tcPr>
            <w:tcW w:w="414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53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43"/>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4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1,517.5</w:t>
            </w:r>
          </w:p>
        </w:tc>
      </w:tr>
      <w:tr>
        <w:trPr>
          <w:trHeight w:val="27"/>
        </w:trPr>
        <w:tc>
          <w:tcPr>
            <w:tcW w:w="530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first quarter of 2016, the company adopted the Financial Accounting Standards Board's (FASB) standards update on changes to the presentation of debt issue costs. The update requires debt issuance costs related to a recognized debt liability to be presented as a deduction of the carrying value of the debt liability. Previously debt issuance costs were recognized as deferred charges within other assets in the consolidated balance sheets. The standards update was applied on a retrospective basis, adjusting all prior periods presented, as if the new accounting methodology was in effect during those periods. As of December 31, 2015, $12.1 million of debt issuance costs were reclassified in the consolidated balance sheet from other assets to long-term debt compared with what was previously reported. At March 31, 2016, $11.9 million of debt issuance costs were deducted from long-term debt. The change in accounting policy has been reflected in the table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at March 31, 2016 and December 31, 2015: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2016</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2015</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744.4</w:t>
            </w: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March 2025, stated rate of 3.00%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743.6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743.4</w:t>
            </w: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2043, stated rate of 5.30% </w:t>
            </w:r>
            <w:r>
              <w:rPr>
                <w:rFonts w:ascii="Arial" w:cs="Arial" w:eastAsia="Arial" w:hAnsi="Arial"/>
                <w:sz w:val="25"/>
                <w:szCs w:val="25"/>
                <w:color w:val="auto"/>
                <w:vertAlign w:val="superscript"/>
              </w:rPr>
              <w:t>(3)</w:t>
            </w:r>
          </w:p>
        </w:tc>
        <w:tc>
          <w:tcPr>
            <w:tcW w:w="2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741.6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741.5</w:t>
            </w: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2,229.8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2,229.3</w:t>
            </w:r>
          </w:p>
        </w:tc>
      </w:tr>
      <w:tr>
        <w:trPr>
          <w:trHeight w:val="27"/>
        </w:trPr>
        <w:tc>
          <w:tcPr>
            <w:tcW w:w="8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2014, the company entered into a forward-starting interest rate swap agreement that modified the interest obligation associated with these notes so that the interest payable on the notes effectively became fixed at a rate of 3.11%.</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the company entered into a forward-starting interest rate swap agreement that modified the interest obligation associated with these notes so that the interest payable on the notes effectively became fixed at a rate of 4.73%.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at March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2018</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2020</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2,250.0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0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In the first quarter of 2016, the company adopted the FASB's standards update that simplifies the classification of deferred tax assets and liabilities. The update eliminates the current requirement to present deferred tax assets and liabilities as current and non-current in a classified balance sheet. Instead, all deferred tax assets, along with valuation allowances, and deferred tax</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liabilities will be required to be classified as non-current. Companies are still required to offset deferred tax assets and liabilities for each taxpaying component within a tax jurisdiction. Beginning in the first quarter of 2016, the company adopted this standards update on a prospective basis and classified all deferred tax assets and liabilities as non-current. Prior period deferred tax assets and liabilities were not retrospectively adjusted.</w:t>
      </w:r>
    </w:p>
    <w:p>
      <w:pPr>
        <w:spacing w:after="0" w:line="1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 net current deferred tax asset of $27.9 million was included in other current assets at December 31, 2015. As of March 31, 2016, net current deferred tax assets of $27.9 million were reclassified to net long-term liabilities. Total net current deferred tax assets are primarily attributable to stock-based compensation and accrued expenses.</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Net long-term deferred tax liabilities were $7.3 billion and $7.4 billion at March 31, 2016 and December 31, 2015, respectively. Net deferred tax liabilities are principally the result of purchase accounting for intangible assets in our various mergers, including CBOT Holdings, Inc. and NYMEX Holdings, Inc.</w:t>
      </w:r>
    </w:p>
    <w:p>
      <w:pPr>
        <w:spacing w:after="0" w:line="12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Valuation allowances of $85.3 million and $122.3 million have been provided on deferred tax assets at March 31, 2016 and December 31, 2015, respectively. At March 31, 2016 and December 31, 2015, valuation allowances were related to certain domestic net operating losses, foreign net operating losses as well as built in capital losses for which we do not believe that we currently meet the more-likely-than-not-threshold for recognition.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Legal and Regulatory Matters. </w:t>
      </w:r>
      <w:r>
        <w:rPr>
          <w:rFonts w:ascii="Arial" w:cs="Arial" w:eastAsia="Arial" w:hAnsi="Arial"/>
          <w:sz w:val="17"/>
          <w:szCs w:val="17"/>
          <w:color w:val="auto"/>
        </w:rPr>
        <w:t>In 2008, Fifth Market, Inc. (Fifth Market) filed a complaint against CME Group and CME in the Delaware District Court</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a permanent injunction against CME's Globex system and unquantified enhanced damages for what the plaintiff alleges is willful infringement of two patents, in addition to costs, expenses and attorneys' fees. CME and Fifth Market reached a settlement agreement resolving all pending matters including the federal litigation in the District of Delaware, the two appeals pending at the Court of Appeals for the Federal Circuit from the first two covered business method review and the third covered business method review pending at the U.S. Patent and Trademark Office. As part of the settlement, Fifth Market agreed to a consent judgment against each of its patents holding the patents to be invalid and not infringed by CME. The parties agreed to waive any claim for attorney fees or cost recovery. The judge ordered the dismissal of the case in Delaware with prejudice on March 9, 2016. In a separate agreement, CME acquired Fifth Market’s last patent that was not part of any of the disputes.</w:t>
      </w:r>
    </w:p>
    <w:p>
      <w:pPr>
        <w:spacing w:after="0" w:line="15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2013, the CFTC filed suit against NYMEX and two former employees alleging disclosure of confidential customer information in violation of the Commodity Exchange Act. NYMEX’s motion to dismiss was denied in 2014. Based on its investigation to date and advice from legal counsel, the company believes that it has strong factual and legal defenses to the claim.</w:t>
      </w:r>
    </w:p>
    <w:p>
      <w:pPr>
        <w:spacing w:after="0" w:line="1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w:t>
      </w:r>
    </w:p>
    <w:p>
      <w:pPr>
        <w:spacing w:after="0" w:line="13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December 31, 2015, the company had accrued $3.5 million for legal and regulatory matters that were probable and estimable. No accrual was required for legal and regulatory matters that were probable and estimable as of March 31, 2016.</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Guarantees</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i w:val="1"/>
          <w:iCs w:val="1"/>
          <w:color w:val="auto"/>
        </w:rPr>
        <w:t xml:space="preserve">Mutual Offset Agreement. </w:t>
      </w:r>
      <w:r>
        <w:rPr>
          <w:rFonts w:ascii="Arial" w:cs="Arial" w:eastAsia="Arial" w:hAnsi="Arial"/>
          <w:sz w:val="17"/>
          <w:szCs w:val="17"/>
          <w:color w:val="auto"/>
        </w:rPr>
        <w:t>CME and Singapore Exchange Limited (SGX) have a mutual offset agreement with a current term through October 2016.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must maintain U.S. Treasury securities or irrevocable, standby letters of credit as collateral for this agreement. At March 31, 2016, CME was contingently liable to SGX on letters of credit totaling $610.0 million. Regardless of the collateral, CME guarantees all cleared transactions submitted through SGX and would initiate procedures designed to satisfy these financial obligations in the event of a default, such as the use of performance bonds and</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guaranty fund contributions of the defaulting clearing firm. The company believes that its guarantee liability is immaterial and therefore has not recorded any liability at March 31, 2016.</w:t>
      </w:r>
    </w:p>
    <w:p>
      <w:pPr>
        <w:spacing w:after="0" w:line="170"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i w:val="1"/>
          <w:iCs w:val="1"/>
          <w:color w:val="auto"/>
        </w:rPr>
        <w:t xml:space="preserve">Family Farmer and Rancher Protection Fund. </w:t>
      </w:r>
      <w:r>
        <w:rPr>
          <w:rFonts w:ascii="Arial" w:cs="Arial" w:eastAsia="Arial" w:hAnsi="Arial"/>
          <w:sz w:val="17"/>
          <w:szCs w:val="17"/>
          <w:color w:val="auto"/>
        </w:rPr>
        <w:t>In 2012, the company established the Family Farmer and Rancher Protection Fund (the Fund). The Fund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immaterial and therefore has not recorded any liability at March 31,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March 31, 2016</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reclassifications and income tax benefit (expense)</w:t>
            </w:r>
          </w:p>
        </w:tc>
        <w:tc>
          <w:tcPr>
            <w:tcW w:w="5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w:t>
            </w:r>
          </w:p>
        </w:tc>
        <w:tc>
          <w:tcPr>
            <w:tcW w:w="5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5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Net current period other comprehensive income (loss)</w:t>
            </w:r>
          </w:p>
        </w:tc>
        <w:tc>
          <w:tcPr>
            <w:tcW w:w="5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Balance at March 31, 2015</w:t>
            </w:r>
          </w:p>
        </w:tc>
        <w:tc>
          <w:tcPr>
            <w:tcW w:w="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Level 1 assets generally include U.S. Treasury securities, investments in publicly traded mutual funds, equity securities and corporate debt securities with quoted market prices. In general, the company uses quoted prices in active markets for identical assets to determine the fair value of marketable securities and equity investments. If quoted prices are not available to determine fair value, the company uses other inputs that are directly observable.</w:t>
      </w:r>
    </w:p>
    <w:p>
      <w:pPr>
        <w:spacing w:after="0" w:line="1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Assets included in level 2 generally consist of asset-backed securities. Asset-backed securities were measured at fair value based on matrix pricing using prices of similar securities with similar inputs such as maturity dates, interest rates and credit ratings.</w:t>
      </w:r>
    </w:p>
    <w:p>
      <w:pPr>
        <w:spacing w:after="0" w:line="14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Financial assets recorded in the consolidated balance sheet as of March 31, 2016 were classified in their entirety based on the lowest level of input that was significant to each asset's fair value measurement. There were no liabilities that were measured at fair value as of March 31, 2016. The following tables present financial instruments measured at fair value on a recurring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March 31, 2016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57.8</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79.2</w:t>
            </w:r>
          </w:p>
        </w:tc>
      </w:tr>
      <w:tr>
        <w:trPr>
          <w:trHeight w:val="351"/>
        </w:trPr>
        <w:tc>
          <w:tcPr>
            <w:tcW w:w="5160" w:type="dxa"/>
            <w:vAlign w:val="bottom"/>
          </w:tcPr>
          <w:p>
            <w:pPr>
              <w:ind w:left="180"/>
              <w:spacing w:after="0"/>
              <w:rPr>
                <w:sz w:val="20"/>
                <w:szCs w:val="20"/>
                <w:color w:val="auto"/>
              </w:rPr>
            </w:pPr>
            <w:r>
              <w:rPr>
                <w:rFonts w:ascii="Arial" w:cs="Arial" w:eastAsia="Arial" w:hAnsi="Arial"/>
                <w:sz w:val="18"/>
                <w:szCs w:val="18"/>
                <w:color w:val="auto"/>
              </w:rPr>
              <w:t>Performance bonds and guaranty fund contributions: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5"/>
        </w:trPr>
        <w:tc>
          <w:tcPr>
            <w:tcW w:w="5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70"/>
        </w:trPr>
        <w:tc>
          <w:tcPr>
            <w:tcW w:w="51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U.S. Treasury securities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10,248.7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10,248.7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Equity investments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322.2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322.2</w:t>
            </w:r>
          </w:p>
        </w:tc>
      </w:tr>
      <w:tr>
        <w:trPr>
          <w:trHeight w:val="27"/>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10,649.8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10,650.1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00" w:right="600" w:hanging="244"/>
        <w:spacing w:after="0" w:line="277" w:lineRule="auto"/>
        <w:tabs>
          <w:tab w:leader="none" w:pos="91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bonds and guaranty fund contributions on the consolidated balance sheet at March 31, 2016 include U.S. Treasury securities purchased with cash collateral.</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transfers of assets or liabilities between level 1, level 2 and level 3 during the first quarter of 2016. There were no level 3 assets valued at fair value on a recurring basis during the first quarter of 2016. The following is a reconciliation of level 3 liabilities valued at fair value on a recurring basis during the first quarter of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Contingent Consideration</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2015</w:t>
            </w: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Realized and unrealized (gains) losses:</w:t>
            </w: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Included in other expenses</w:t>
            </w:r>
          </w:p>
        </w:tc>
        <w:tc>
          <w:tcPr>
            <w:tcW w:w="7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Fair value of liability at March 31, 2016</w:t>
            </w:r>
          </w:p>
        </w:tc>
        <w:tc>
          <w:tcPr>
            <w:tcW w:w="7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97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the first quarter of 2016, we sold a datacenter and leased back a portion of the property. Under generally accepted accounting principles, the transaction has been recognized under the financing method instead of recognized as a sale-leaseback arrangement. As a result, the property and equipment legally sold will continue to be recognized on the consolidated balance sheets and was written down to fair value of $130.0 million at March 31, 2016, based on qualitative indications of impairment and a quantitative analysis of undiscounted cash flows. The fair value of the datacenter is considered a level 3 and nonrecurring. There were no other level 3 assets or liabilities valued at fair value on a nonrecurring basis during the first quarter of 2016.</w:t>
      </w:r>
    </w:p>
    <w:p>
      <w:pPr>
        <w:spacing w:after="0" w:line="21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following presents the estimated fair values of long-term debt notes, which are carried at amortized cost on the consolidated balance sheets. The fair values, which are classified as level 2 under the fair value hierarchy, were estimated using quoted market prices. At March 31, 2016, the fair values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September 2022, stated rate of 3.00%</w:t>
            </w:r>
          </w:p>
        </w:tc>
        <w:tc>
          <w:tcPr>
            <w:tcW w:w="2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776.5</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$750.0 million fixed rate notes due March 2025, stated rate of 3.00%</w:t>
            </w:r>
          </w:p>
        </w:tc>
        <w:tc>
          <w:tcPr>
            <w:tcW w:w="25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759.9</w:t>
            </w:r>
          </w:p>
        </w:tc>
      </w:tr>
      <w:tr>
        <w:trPr>
          <w:trHeight w:val="27"/>
        </w:trPr>
        <w:tc>
          <w:tcPr>
            <w:tcW w:w="77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$750.0 million fixed rates notes due September 2043, stated rate of 5.30%</w:t>
            </w:r>
          </w:p>
        </w:tc>
        <w:tc>
          <w:tcPr>
            <w:tcW w:w="25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901.6</w:t>
            </w:r>
          </w:p>
        </w:tc>
      </w:tr>
      <w:tr>
        <w:trPr>
          <w:trHeight w:val="27"/>
        </w:trPr>
        <w:tc>
          <w:tcPr>
            <w:tcW w:w="77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Basic earnings per share is computed by dividing net income attributable to the company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restricted stock and performance share awards were as follows for the periods presented:</w:t>
      </w:r>
    </w:p>
    <w:p>
      <w:pPr>
        <w:spacing w:after="0" w:line="200" w:lineRule="exact"/>
        <w:rPr>
          <w:sz w:val="20"/>
          <w:szCs w:val="20"/>
          <w:color w:val="auto"/>
        </w:rPr>
      </w:pPr>
    </w:p>
    <w:p>
      <w:pPr>
        <w:spacing w:after="0" w:line="216"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81915</wp:posOffset>
            </wp:positionV>
            <wp:extent cx="15093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14"/>
        </w:trPr>
        <w:tc>
          <w:tcPr>
            <w:tcW w:w="9040" w:type="dxa"/>
            <w:vAlign w:val="bottom"/>
            <w:tcBorders>
              <w:bottom w:val="single" w:sz="8" w:color="auto"/>
            </w:tcBorders>
            <w:vMerge w:val="continue"/>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Restricted stock and performance shares</w:t>
            </w:r>
          </w:p>
        </w:tc>
        <w:tc>
          <w:tcPr>
            <w:tcW w:w="74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earnings per share calculation for the periods presented:</w:t>
      </w:r>
    </w:p>
    <w:p>
      <w:pPr>
        <w:spacing w:after="0" w:line="379"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5742305</wp:posOffset>
            </wp:positionH>
            <wp:positionV relativeFrom="paragraph">
              <wp:posOffset>13335</wp:posOffset>
            </wp:positionV>
            <wp:extent cx="15093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(in millions)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330.4</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337,014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335,680</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Effect of stock options, restricted stock and performance shares</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338,549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337,416</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0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43"/>
        </w:trPr>
        <w:tc>
          <w:tcPr>
            <w:tcW w:w="90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88"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2015.</w:t>
      </w:r>
    </w:p>
    <w:p>
      <w:pPr>
        <w:spacing w:after="0" w:line="124" w:lineRule="exact"/>
        <w:rPr>
          <w:sz w:val="20"/>
          <w:szCs w:val="20"/>
          <w:color w:val="auto"/>
        </w:rPr>
      </w:pPr>
    </w:p>
    <w:p>
      <w:pPr>
        <w:ind w:right="440"/>
        <w:spacing w:after="0" w:line="302" w:lineRule="auto"/>
        <w:rPr>
          <w:sz w:val="20"/>
          <w:szCs w:val="20"/>
          <w:color w:val="auto"/>
        </w:rPr>
      </w:pPr>
      <w:r>
        <w:rPr>
          <w:rFonts w:ascii="Arial" w:cs="Arial" w:eastAsia="Arial" w:hAnsi="Arial"/>
          <w:sz w:val="16"/>
          <w:szCs w:val="16"/>
          <w:color w:val="auto"/>
        </w:rPr>
        <w:t>References in this discussion and analysis to “we,” “us” and “our” are to CME Group Inc. (CME Group) and its consolidated subsidiaries, collectively. References to “exchange” are to Chicago Mercantile Exchange Inc. (CME), Board of Trade of the City of Chicago, Inc. (CBOT), New York Mercantile Exchange, Inc. (NYMEX), Commodity Exchange, Inc. (COMEX), CME Clearing Europe Limited (CMECE) and CME Europe Limited (CME Europe), collectively, unless otherwise noted. The clearing houses include CME Clearing, which is the U.S. clearing house and a division of CME, and CMECE.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Quarter Ended</w:t>
            </w:r>
          </w:p>
        </w:tc>
        <w:tc>
          <w:tcPr>
            <w:tcW w:w="7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96"/>
              </w:rPr>
              <w:t>2015</w:t>
            </w: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934.2</w:t>
            </w:r>
          </w:p>
        </w:tc>
        <w:tc>
          <w:tcPr>
            <w:tcW w:w="4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842.7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335.4</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7</w:t>
            </w:r>
          </w:p>
        </w:tc>
      </w:tr>
      <w:tr>
        <w:trPr>
          <w:trHeight w:val="27"/>
        </w:trPr>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4.6</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16.5</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(72)</w:t>
            </w:r>
          </w:p>
        </w:tc>
      </w:tr>
      <w:tr>
        <w:trPr>
          <w:trHeight w:val="27"/>
        </w:trPr>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367.8</w:t>
            </w:r>
          </w:p>
        </w:tc>
        <w:tc>
          <w:tcPr>
            <w:tcW w:w="4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330.4</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11</w:t>
            </w:r>
          </w:p>
        </w:tc>
      </w:tr>
      <w:tr>
        <w:trPr>
          <w:trHeight w:val="27"/>
        </w:trPr>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 attributable to CME Group</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0.98</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56"/>
              <w:spacing w:after="0"/>
              <w:rPr>
                <w:sz w:val="20"/>
                <w:szCs w:val="20"/>
                <w:color w:val="auto"/>
              </w:rPr>
            </w:pPr>
            <w:r>
              <w:rPr>
                <w:rFonts w:ascii="Arial" w:cs="Arial" w:eastAsia="Arial" w:hAnsi="Arial"/>
                <w:sz w:val="18"/>
                <w:szCs w:val="18"/>
                <w:color w:val="auto"/>
              </w:rPr>
              <w:t>519.7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418.9</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24</w:t>
            </w:r>
          </w:p>
        </w:tc>
      </w:tr>
      <w:tr>
        <w:trPr>
          <w:trHeight w:val="351"/>
        </w:trPr>
        <w:tc>
          <w:tcPr>
            <w:tcW w:w="75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88"/>
        </w:trPr>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Quarter Ended</w:t>
            </w:r>
          </w:p>
        </w:tc>
        <w:tc>
          <w:tcPr>
            <w:tcW w:w="1360" w:type="dxa"/>
            <w:vAlign w:val="bottom"/>
          </w:tcPr>
          <w:p>
            <w:pPr>
              <w:spacing w:after="0"/>
              <w:rPr>
                <w:sz w:val="24"/>
                <w:szCs w:val="24"/>
                <w:color w:val="auto"/>
              </w:rPr>
            </w:pPr>
          </w:p>
        </w:tc>
      </w:tr>
      <w:tr>
        <w:trPr>
          <w:trHeight w:val="192"/>
        </w:trPr>
        <w:tc>
          <w:tcPr>
            <w:tcW w:w="7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796.1</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708.2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98.0</w:t>
            </w: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5</w:t>
            </w:r>
          </w:p>
        </w:tc>
      </w:tr>
      <w:tr>
        <w:trPr>
          <w:trHeight w:val="27"/>
        </w:trPr>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3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15.2</w:t>
            </w:r>
          </w:p>
        </w:tc>
        <w:tc>
          <w:tcPr>
            <w:tcW w:w="1360" w:type="dxa"/>
            <w:vAlign w:val="bottom"/>
          </w:tcPr>
          <w:p>
            <w:pPr>
              <w:jc w:val="right"/>
              <w:ind w:right="73"/>
              <w:spacing w:after="0"/>
              <w:rPr>
                <w:sz w:val="20"/>
                <w:szCs w:val="20"/>
                <w:color w:val="auto"/>
              </w:rPr>
            </w:pPr>
            <w:r>
              <w:rPr>
                <w:rFonts w:ascii="Arial" w:cs="Arial" w:eastAsia="Arial" w:hAnsi="Arial"/>
                <w:sz w:val="18"/>
                <w:szCs w:val="18"/>
                <w:color w:val="auto"/>
              </w:rPr>
              <w:t>(8)</w:t>
            </w:r>
          </w:p>
        </w:tc>
      </w:tr>
      <w:tr>
        <w:trPr>
          <w:trHeight w:val="27"/>
        </w:trPr>
        <w:tc>
          <w:tcPr>
            <w:tcW w:w="7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934.2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842.7</w:t>
            </w:r>
          </w:p>
        </w:tc>
        <w:tc>
          <w:tcPr>
            <w:tcW w:w="13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 and Transaction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Futures and Options Contracts</w:t>
      </w:r>
    </w:p>
    <w:p>
      <w:pPr>
        <w:spacing w:after="0" w:line="19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following table summarizes our total contract volume, revenue and average rate per contract for futures and options. Total contract volume includes contracts that are traded on our exchange and cleared through our clearing houses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interest rate swaps and credit default swaps. The interest rate swaps and credit default swaps are discussed in a later section.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2"/>
        </w:trPr>
        <w:tc>
          <w:tcPr>
            <w:tcW w:w="7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264"/>
        </w:trPr>
        <w:tc>
          <w:tcPr>
            <w:tcW w:w="76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3"/>
              </w:rPr>
              <w:t>2015</w:t>
            </w: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1,033.6</w:t>
            </w:r>
          </w:p>
        </w:tc>
        <w:tc>
          <w:tcPr>
            <w:tcW w:w="5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914.4</w:t>
            </w:r>
          </w:p>
        </w:tc>
        <w:tc>
          <w:tcPr>
            <w:tcW w:w="13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w w:val="99"/>
              </w:rPr>
              <w:t>13%</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781.1</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688.6</w:t>
            </w:r>
          </w:p>
        </w:tc>
        <w:tc>
          <w:tcPr>
            <w:tcW w:w="1300" w:type="dxa"/>
            <w:vAlign w:val="bottom"/>
          </w:tcPr>
          <w:p>
            <w:pPr>
              <w:ind w:left="920"/>
              <w:spacing w:after="0"/>
              <w:rPr>
                <w:sz w:val="20"/>
                <w:szCs w:val="20"/>
                <w:color w:val="auto"/>
              </w:rPr>
            </w:pPr>
            <w:r>
              <w:rPr>
                <w:rFonts w:ascii="Arial" w:cs="Arial" w:eastAsia="Arial" w:hAnsi="Arial"/>
                <w:sz w:val="18"/>
                <w:szCs w:val="18"/>
                <w:color w:val="auto"/>
              </w:rPr>
              <w:t>13</w:t>
            </w:r>
          </w:p>
        </w:tc>
      </w:tr>
      <w:tr>
        <w:trPr>
          <w:trHeight w:val="27"/>
        </w:trPr>
        <w:tc>
          <w:tcPr>
            <w:tcW w:w="7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0.756</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0.753</w:t>
            </w:r>
          </w:p>
        </w:tc>
        <w:tc>
          <w:tcPr>
            <w:tcW w:w="13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7"/>
        </w:trPr>
        <w:tc>
          <w:tcPr>
            <w:tcW w:w="76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We estimate the following increases in clearing and transaction fees based on a change in total contract volume and a change in average rate per contract for futures and options during the first quarter of 2016 when compared with the same period in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Quarter Ended</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due to change in total contract volume</w:t>
            </w:r>
          </w:p>
        </w:tc>
        <w:tc>
          <w:tcPr>
            <w:tcW w:w="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Increase due to change in average rate per contract</w:t>
            </w: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10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10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Increase in clearing and transaction fees</w:t>
            </w: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r>
      <w:tr>
        <w:trPr>
          <w:trHeight w:val="27"/>
        </w:trPr>
        <w:tc>
          <w:tcPr>
            <w:tcW w:w="10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Volume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720" w:type="dxa"/>
            <w:vAlign w:val="bottom"/>
            <w:gridSpan w:val="3"/>
          </w:tcPr>
          <w:p>
            <w:pPr>
              <w:jc w:val="center"/>
              <w:ind w:left="654"/>
              <w:spacing w:after="0"/>
              <w:rPr>
                <w:sz w:val="20"/>
                <w:szCs w:val="20"/>
                <w:color w:val="auto"/>
              </w:rPr>
            </w:pPr>
            <w:r>
              <w:rPr>
                <w:rFonts w:ascii="Arial" w:cs="Arial" w:eastAsia="Arial" w:hAnsi="Arial"/>
                <w:sz w:val="14"/>
                <w:szCs w:val="14"/>
                <w:b w:val="1"/>
                <w:bCs w:val="1"/>
                <w:color w:val="auto"/>
                <w:w w:val="96"/>
              </w:rPr>
              <w:t>Quarter Ended</w:t>
            </w: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92"/>
        </w:trPr>
        <w:tc>
          <w:tcPr>
            <w:tcW w:w="758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w w:val="95"/>
              </w:rPr>
              <w:t>March 31,</w:t>
            </w:r>
          </w:p>
        </w:tc>
        <w:tc>
          <w:tcPr>
            <w:tcW w:w="76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r>
      <w:tr>
        <w:trPr>
          <w:trHeight w:val="264"/>
        </w:trPr>
        <w:tc>
          <w:tcPr>
            <w:tcW w:w="7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89"/>
              </w:rPr>
              <w:t>2015</w:t>
            </w:r>
          </w:p>
        </w:tc>
        <w:tc>
          <w:tcPr>
            <w:tcW w:w="12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Change</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8,246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7,564</w:t>
            </w:r>
          </w:p>
        </w:tc>
        <w:tc>
          <w:tcPr>
            <w:tcW w:w="122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7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2,772</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954</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7"/>
        </w:trPr>
        <w:tc>
          <w:tcPr>
            <w:tcW w:w="7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1,189</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Energy</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2,536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2,142</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18</w:t>
            </w:r>
          </w:p>
        </w:tc>
      </w:tr>
      <w:tr>
        <w:trPr>
          <w:trHeight w:val="27"/>
        </w:trPr>
        <w:tc>
          <w:tcPr>
            <w:tcW w:w="7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369</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r>
      <w:tr>
        <w:trPr>
          <w:trHeight w:val="237"/>
        </w:trPr>
        <w:tc>
          <w:tcPr>
            <w:tcW w:w="75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16,944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w w:val="98"/>
              </w:rPr>
              <w:t>14,990</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13</w:t>
            </w:r>
          </w:p>
        </w:tc>
      </w:tr>
      <w:tr>
        <w:trPr>
          <w:trHeight w:val="27"/>
        </w:trPr>
        <w:tc>
          <w:tcPr>
            <w:tcW w:w="7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14,713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Arial" w:cs="Arial" w:eastAsia="Arial" w:hAnsi="Arial"/>
                <w:sz w:val="18"/>
                <w:szCs w:val="18"/>
                <w:color w:val="auto"/>
                <w:w w:val="98"/>
              </w:rPr>
              <w:t>13,034</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13</w:t>
            </w:r>
          </w:p>
        </w:tc>
      </w:tr>
      <w:tr>
        <w:trPr>
          <w:trHeight w:val="27"/>
        </w:trPr>
        <w:tc>
          <w:tcPr>
            <w:tcW w:w="7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1,291</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Privately negotiated</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ind w:right="111"/>
              <w:spacing w:after="0"/>
              <w:rPr>
                <w:sz w:val="20"/>
                <w:szCs w:val="20"/>
                <w:color w:val="auto"/>
              </w:rPr>
            </w:pPr>
            <w:r>
              <w:rPr>
                <w:rFonts w:ascii="Arial" w:cs="Arial" w:eastAsia="Arial" w:hAnsi="Arial"/>
                <w:sz w:val="18"/>
                <w:szCs w:val="18"/>
                <w:color w:val="auto"/>
              </w:rPr>
              <w:t>665</w:t>
            </w:r>
          </w:p>
        </w:tc>
        <w:tc>
          <w:tcPr>
            <w:tcW w:w="1220" w:type="dxa"/>
            <w:vAlign w:val="bottom"/>
          </w:tcPr>
          <w:p>
            <w:pPr>
              <w:jc w:val="right"/>
              <w:ind w:right="131"/>
              <w:spacing w:after="0"/>
              <w:rPr>
                <w:sz w:val="20"/>
                <w:szCs w:val="20"/>
                <w:color w:val="auto"/>
              </w:rPr>
            </w:pPr>
            <w:r>
              <w:rPr>
                <w:rFonts w:ascii="Arial" w:cs="Arial" w:eastAsia="Arial" w:hAnsi="Arial"/>
                <w:sz w:val="18"/>
                <w:szCs w:val="18"/>
                <w:color w:val="auto"/>
              </w:rPr>
              <w:t>21</w:t>
            </w:r>
          </w:p>
        </w:tc>
      </w:tr>
      <w:tr>
        <w:trPr>
          <w:trHeight w:val="27"/>
        </w:trPr>
        <w:tc>
          <w:tcPr>
            <w:tcW w:w="75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44"/>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16,944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8"/>
              </w:rPr>
              <w:t>14,990</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Electronic Volume as a Percentage of Total Volume</w:t>
            </w:r>
          </w:p>
        </w:tc>
        <w:tc>
          <w:tcPr>
            <w:tcW w:w="11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w:t>
            </w:r>
          </w:p>
        </w:tc>
        <w:tc>
          <w:tcPr>
            <w:tcW w:w="1220" w:type="dxa"/>
            <w:vAlign w:val="bottom"/>
          </w:tcPr>
          <w:p>
            <w:pPr>
              <w:spacing w:after="0"/>
              <w:rPr>
                <w:sz w:val="21"/>
                <w:szCs w:val="21"/>
                <w:color w:val="auto"/>
              </w:rPr>
            </w:pPr>
          </w:p>
        </w:tc>
      </w:tr>
    </w:tbl>
    <w:p>
      <w:pPr>
        <w:spacing w:after="0" w:line="20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Overall futures and options contract volume increased in the first quarter of 2016 when compared with the same period in 2015, largely due to an increase in equity and interest rate contract volume. We believe global market concerns and considerable uncertainty regarding the Federal Reserve's interest rate policy have resulted in increased volatility in the equity and interest rate markets, leading to an increase in volume. Additionally, the deceleration of the Chinese economy beginning in the second half of 2015 resulted in higher volatility within equity markets.</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Crude oil markets continue to show considerable uncertainty regarding the direction of future oil prices. The oversupply of crude oil that began in 2014 continues to weigh on oil prices, resulting in additional volatility and an increase in overall energy contract volume.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2"/>
        </w:trPr>
        <w:tc>
          <w:tcPr>
            <w:tcW w:w="7620" w:type="dxa"/>
            <w:vAlign w:val="bottom"/>
          </w:tcPr>
          <w:p>
            <w:pPr>
              <w:spacing w:after="0"/>
              <w:rPr>
                <w:sz w:val="16"/>
                <w:szCs w:val="16"/>
                <w:color w:val="auto"/>
              </w:rPr>
            </w:pPr>
          </w:p>
        </w:tc>
        <w:tc>
          <w:tcPr>
            <w:tcW w:w="16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r>
      <w:tr>
        <w:trPr>
          <w:trHeight w:val="264"/>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2015</w:t>
            </w: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62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2,037</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1,917</w:t>
            </w:r>
          </w:p>
        </w:tc>
        <w:tc>
          <w:tcPr>
            <w:tcW w:w="134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729</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875</w:t>
            </w: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w:t>
            </w:r>
          </w:p>
        </w:tc>
      </w:tr>
      <w:tr>
        <w:trPr>
          <w:trHeight w:val="243"/>
        </w:trPr>
        <w:tc>
          <w:tcPr>
            <w:tcW w:w="7620" w:type="dxa"/>
            <w:vAlign w:val="bottom"/>
          </w:tcPr>
          <w:p>
            <w:pPr>
              <w:ind w:left="380"/>
              <w:spacing w:after="0"/>
              <w:rPr>
                <w:sz w:val="20"/>
                <w:szCs w:val="20"/>
                <w:color w:val="auto"/>
              </w:rPr>
            </w:pPr>
            <w:r>
              <w:rPr>
                <w:rFonts w:ascii="Arial" w:cs="Arial" w:eastAsia="Arial" w:hAnsi="Arial"/>
                <w:sz w:val="18"/>
                <w:szCs w:val="18"/>
                <w:color w:val="auto"/>
              </w:rPr>
              <w:t>Options</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1,520</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1,007</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51</w:t>
            </w:r>
          </w:p>
        </w:tc>
      </w:tr>
      <w:tr>
        <w:trPr>
          <w:trHeight w:val="27"/>
        </w:trPr>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7620" w:type="dxa"/>
            <w:vAlign w:val="bottom"/>
          </w:tcPr>
          <w:p>
            <w:pPr>
              <w:ind w:left="380"/>
              <w:spacing w:after="0"/>
              <w:rPr>
                <w:sz w:val="20"/>
                <w:szCs w:val="20"/>
                <w:color w:val="auto"/>
              </w:rPr>
            </w:pPr>
            <w:r>
              <w:rPr>
                <w:rFonts w:ascii="Arial" w:cs="Arial" w:eastAsia="Arial" w:hAnsi="Arial"/>
                <w:sz w:val="18"/>
                <w:szCs w:val="18"/>
                <w:color w:val="auto"/>
              </w:rPr>
              <w:t>10-Year</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1,845</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1,778</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4</w:t>
            </w:r>
          </w:p>
        </w:tc>
      </w:tr>
      <w:tr>
        <w:trPr>
          <w:trHeight w:val="27"/>
        </w:trPr>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939</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898</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r>
      <w:tr>
        <w:trPr>
          <w:trHeight w:val="243"/>
        </w:trPr>
        <w:tc>
          <w:tcPr>
            <w:tcW w:w="762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385</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422</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(9)</w:t>
            </w:r>
          </w:p>
        </w:tc>
      </w:tr>
      <w:tr>
        <w:trPr>
          <w:trHeight w:val="27"/>
        </w:trPr>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7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344</w:t>
            </w: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381</w:t>
            </w: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r>
      <w:tr>
        <w:trPr>
          <w:trHeight w:val="27"/>
        </w:trPr>
        <w:tc>
          <w:tcPr>
            <w:tcW w:w="76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Overall interest rate contract volume increased in the first quarter of 2016 when compared with the same period in 2015 largely due to the uncertainty around the Federal Reserve's interest rate policy. As a result, contract volume increased for short-term interest rate contracts, including the Eurodollar Front 8 futures and Eurodollar options. Back 32 Eurodollar futures volume declined as participants became more focused on short-term interest rate uncertainty. In addition, electronic Eurodollar options volume increased in the first quarter of 2016 due to our continued investment in system enhancements, new products and client education.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16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41"/>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2015</w:t>
            </w: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64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8"/>
                <w:szCs w:val="18"/>
                <w:color w:val="auto"/>
              </w:rPr>
              <w:t>2,781</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2,172</w:t>
            </w:r>
          </w:p>
        </w:tc>
        <w:tc>
          <w:tcPr>
            <w:tcW w:w="13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4"/>
              </w:rPr>
              <w:t>28%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640" w:type="dxa"/>
            <w:vAlign w:val="bottom"/>
          </w:tcPr>
          <w:p>
            <w:pPr>
              <w:jc w:val="right"/>
              <w:ind w:right="541"/>
              <w:spacing w:after="0"/>
              <w:rPr>
                <w:sz w:val="20"/>
                <w:szCs w:val="20"/>
                <w:color w:val="auto"/>
              </w:rPr>
            </w:pPr>
            <w:r>
              <w:rPr>
                <w:rFonts w:ascii="Arial" w:cs="Arial" w:eastAsia="Arial" w:hAnsi="Arial"/>
                <w:sz w:val="18"/>
                <w:szCs w:val="18"/>
                <w:color w:val="auto"/>
              </w:rPr>
              <w:t>353</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283</w:t>
            </w:r>
          </w:p>
        </w:tc>
        <w:tc>
          <w:tcPr>
            <w:tcW w:w="1300" w:type="dxa"/>
            <w:vAlign w:val="bottom"/>
          </w:tcPr>
          <w:p>
            <w:pPr>
              <w:ind w:left="940"/>
              <w:spacing w:after="0"/>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Overall equity contract volume increased in the first quarter of 2016 when compared with the same period in 2015 due to overall higher market volatility, as measured by the CBOE Volatility Index and CBOE Nasdaq-100 Volatility Index. We believe overall volatility resulted from continued uncertainty surrounding the Federal Reserve's interest rate policy, the deceleration of the Chinese economy and declining global crude oil prices.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92"/>
        </w:trPr>
        <w:tc>
          <w:tcPr>
            <w:tcW w:w="7620" w:type="dxa"/>
            <w:vAlign w:val="bottom"/>
          </w:tcPr>
          <w:p>
            <w:pPr>
              <w:spacing w:after="0"/>
              <w:rPr>
                <w:sz w:val="16"/>
                <w:szCs w:val="16"/>
                <w:color w:val="auto"/>
              </w:rPr>
            </w:pPr>
          </w:p>
        </w:tc>
        <w:tc>
          <w:tcPr>
            <w:tcW w:w="16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3"/>
              </w:rPr>
              <w:t>2015</w:t>
            </w: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4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275</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40" w:type="dxa"/>
            <w:vAlign w:val="bottom"/>
          </w:tcPr>
          <w:p>
            <w:pPr>
              <w:jc w:val="right"/>
              <w:ind w:right="557"/>
              <w:spacing w:after="0"/>
              <w:rPr>
                <w:sz w:val="20"/>
                <w:szCs w:val="20"/>
                <w:color w:val="auto"/>
              </w:rPr>
            </w:pPr>
            <w:r>
              <w:rPr>
                <w:rFonts w:ascii="Arial" w:cs="Arial" w:eastAsia="Arial" w:hAnsi="Arial"/>
                <w:sz w:val="18"/>
                <w:szCs w:val="18"/>
                <w:color w:val="auto"/>
              </w:rPr>
              <w:t>191</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12</w:t>
            </w:r>
          </w:p>
        </w:tc>
      </w:tr>
      <w:tr>
        <w:trPr>
          <w:trHeight w:val="27"/>
        </w:trPr>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40" w:type="dxa"/>
            <w:vAlign w:val="bottom"/>
            <w:tcBorders>
              <w:bottom w:val="single" w:sz="8" w:color="CCEEFF"/>
            </w:tcBorders>
            <w:shd w:val="clear" w:color="auto" w:fill="CCEEFF"/>
          </w:tcPr>
          <w:p>
            <w:pPr>
              <w:jc w:val="right"/>
              <w:ind w:right="557"/>
              <w:spacing w:after="0"/>
              <w:rPr>
                <w:sz w:val="20"/>
                <w:szCs w:val="20"/>
                <w:color w:val="auto"/>
              </w:rPr>
            </w:pPr>
            <w:r>
              <w:rPr>
                <w:rFonts w:ascii="Arial" w:cs="Arial" w:eastAsia="Arial" w:hAnsi="Arial"/>
                <w:sz w:val="18"/>
                <w:szCs w:val="18"/>
                <w:color w:val="auto"/>
              </w:rPr>
              <w:t>118</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40" w:type="dxa"/>
            <w:vAlign w:val="bottom"/>
          </w:tcPr>
          <w:p>
            <w:pPr>
              <w:jc w:val="right"/>
              <w:ind w:right="557"/>
              <w:spacing w:after="0"/>
              <w:rPr>
                <w:sz w:val="20"/>
                <w:szCs w:val="20"/>
                <w:color w:val="auto"/>
              </w:rPr>
            </w:pPr>
            <w:r>
              <w:rPr>
                <w:rFonts w:ascii="Arial" w:cs="Arial" w:eastAsia="Arial" w:hAnsi="Arial"/>
                <w:sz w:val="18"/>
                <w:szCs w:val="18"/>
                <w:color w:val="auto"/>
              </w:rPr>
              <w:t>113</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4</w:t>
            </w:r>
          </w:p>
        </w:tc>
      </w:tr>
      <w:tr>
        <w:trPr>
          <w:trHeight w:val="27"/>
        </w:trPr>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7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40" w:type="dxa"/>
            <w:vAlign w:val="bottom"/>
            <w:shd w:val="clear" w:color="auto" w:fill="CCEEFF"/>
          </w:tcPr>
          <w:p>
            <w:pPr>
              <w:jc w:val="right"/>
              <w:ind w:right="557"/>
              <w:spacing w:after="0"/>
              <w:rPr>
                <w:sz w:val="20"/>
                <w:szCs w:val="20"/>
                <w:color w:val="auto"/>
              </w:rPr>
            </w:pPr>
            <w:r>
              <w:rPr>
                <w:rFonts w:ascii="Arial" w:cs="Arial" w:eastAsia="Arial" w:hAnsi="Arial"/>
                <w:sz w:val="18"/>
                <w:szCs w:val="18"/>
                <w:color w:val="auto"/>
              </w:rPr>
              <w:t>92</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80</w:t>
            </w: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14</w:t>
            </w:r>
          </w:p>
        </w:tc>
      </w:tr>
      <w:tr>
        <w:trPr>
          <w:trHeight w:val="27"/>
        </w:trPr>
        <w:tc>
          <w:tcPr>
            <w:tcW w:w="76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Foreign exchange contract volume remained relatively flat in the first quarter of 2016 when compared with the same period in 2015. Euro contract volume decreased in the first quarter of 2016 due to strong volume in the first quarter of 2015 resulting from volatility caused by quantitative easing programs initiated by central banks throughout Europe in early 2015. The decrease in overall foreign exchange contract volume was offset by an increase in Japanese yen contract volume, which we believe was caused by volatility resulting from the strengthening of the Japanese yen against other major currencies.</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360"/>
          </w:cols>
          <w:pgMar w:left="240" w:top="125" w:right="29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16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38"/>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2015</w:t>
            </w: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391</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Soybean</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290</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277</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w:t>
            </w:r>
          </w:p>
        </w:tc>
      </w:tr>
      <w:tr>
        <w:trPr>
          <w:trHeight w:val="27"/>
        </w:trPr>
        <w:tc>
          <w:tcPr>
            <w:tcW w:w="7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182</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106</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Agricultural commodity contract volume remained relatively flat in the first quarter of 2016 when compared with the same period in 2015 due to overall low price volatility.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2"/>
        </w:trPr>
        <w:tc>
          <w:tcPr>
            <w:tcW w:w="7620" w:type="dxa"/>
            <w:vAlign w:val="bottom"/>
          </w:tcPr>
          <w:p>
            <w:pPr>
              <w:spacing w:after="0"/>
              <w:rPr>
                <w:sz w:val="16"/>
                <w:szCs w:val="16"/>
                <w:color w:val="auto"/>
              </w:rPr>
            </w:pPr>
          </w:p>
        </w:tc>
        <w:tc>
          <w:tcPr>
            <w:tcW w:w="16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r>
      <w:tr>
        <w:trPr>
          <w:trHeight w:val="264"/>
        </w:trPr>
        <w:tc>
          <w:tcPr>
            <w:tcW w:w="7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2015</w:t>
            </w:r>
          </w:p>
        </w:tc>
        <w:tc>
          <w:tcPr>
            <w:tcW w:w="13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WTI crude oil</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1,397</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522</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484</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8</w:t>
            </w:r>
          </w:p>
        </w:tc>
      </w:tr>
      <w:tr>
        <w:trPr>
          <w:trHeight w:val="27"/>
        </w:trPr>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373</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w:t>
            </w:r>
          </w:p>
        </w:tc>
        <w:tc>
          <w:tcPr>
            <w:tcW w:w="1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8</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Brent crude oil</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116</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139</w:t>
            </w:r>
          </w:p>
        </w:tc>
        <w:tc>
          <w:tcPr>
            <w:tcW w:w="1340" w:type="dxa"/>
            <w:vAlign w:val="bottom"/>
          </w:tcPr>
          <w:p>
            <w:pPr>
              <w:jc w:val="right"/>
              <w:ind w:right="74"/>
              <w:spacing w:after="0"/>
              <w:rPr>
                <w:sz w:val="20"/>
                <w:szCs w:val="20"/>
                <w:color w:val="auto"/>
              </w:rPr>
            </w:pPr>
            <w:r>
              <w:rPr>
                <w:rFonts w:ascii="Arial" w:cs="Arial" w:eastAsia="Arial" w:hAnsi="Arial"/>
                <w:sz w:val="18"/>
                <w:szCs w:val="18"/>
                <w:color w:val="auto"/>
              </w:rPr>
              <w:t>(17)</w:t>
            </w:r>
          </w:p>
        </w:tc>
      </w:tr>
    </w:tbl>
    <w:p>
      <w:pPr>
        <w:spacing w:after="0" w:line="9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Overall energy contract volume increased in the first quarter of 2016 when compared with the same period in 2015 largely due to an increase in crude oil trading, which we believe resulted from a continuing shift in supply that began in the fourth quarter of 2014. In the first quarter of 2016, the overall market shifted more focus on WTI crude oil instead of Brent crude oil because of the marketplaces' increased weighting of WTI pricing as a global benchmark price for crude oil. Additionally, refined products and natural gas contract volume increased largely due to higher price volatility in the underlying markets.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2015</w:t>
            </w:r>
          </w:p>
        </w:tc>
        <w:tc>
          <w:tcPr>
            <w:tcW w:w="130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284</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w:t>
            </w:r>
          </w:p>
        </w:tc>
        <w:tc>
          <w:tcPr>
            <w:tcW w:w="13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w w:val="94"/>
              </w:rPr>
              <w:t>28%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Copper</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77</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69</w:t>
            </w:r>
          </w:p>
        </w:tc>
        <w:tc>
          <w:tcPr>
            <w:tcW w:w="1300" w:type="dxa"/>
            <w:vAlign w:val="bottom"/>
          </w:tcPr>
          <w:p>
            <w:pPr>
              <w:ind w:left="940"/>
              <w:spacing w:after="0"/>
              <w:rPr>
                <w:sz w:val="20"/>
                <w:szCs w:val="20"/>
                <w:color w:val="auto"/>
              </w:rPr>
            </w:pPr>
            <w:r>
              <w:rPr>
                <w:rFonts w:ascii="Arial" w:cs="Arial" w:eastAsia="Arial" w:hAnsi="Arial"/>
                <w:sz w:val="18"/>
                <w:szCs w:val="18"/>
                <w:color w:val="auto"/>
              </w:rPr>
              <w:t>11</w:t>
            </w:r>
          </w:p>
        </w:tc>
      </w:tr>
      <w:tr>
        <w:trPr>
          <w:trHeight w:val="27"/>
        </w:trPr>
        <w:tc>
          <w:tcPr>
            <w:tcW w:w="7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Silver</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69</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3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22</w:t>
            </w:r>
          </w:p>
        </w:tc>
      </w:tr>
      <w:tr>
        <w:trPr>
          <w:trHeight w:val="27"/>
        </w:trPr>
        <w:tc>
          <w:tcPr>
            <w:tcW w:w="7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believe the increase in metals contract volume in the first quarter of 2016 when compared with the same period in 2015 was due to investors turning to gold and other precious metals as a safe haven investment alternative to the volatile equity markets.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Average Rate per Contract</w:t>
      </w:r>
    </w:p>
    <w:p>
      <w:pPr>
        <w:spacing w:after="0" w:line="17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average rate per contract remained relatively flat in the first quarter of 2016 when compared with the same period in 2015. The impact from a rate increase in the first quarter of 2016 was offset by higher volume-based incentives and discounts on our energy contracts.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Cleared-only Swap Contracts</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Clearing and transaction fees as presented on the consolidated statements of income include revenues for our cleared-only interest rate swap and credit default swap contracts. In the first quarter of 2016 and 2015, clearing and transaction fees generated from these contracts were $15.1 million and $19.6 million, respectively. The decrease in revenue was largely attributable to a reduction in client activity after the first quarter of 2015, as we believe some customers chose alternative products and venues to manage risk.</w:t>
      </w:r>
    </w:p>
    <w:p>
      <w:pPr>
        <w:sectPr>
          <w:pgSz w:w="11900" w:h="16838" w:orient="portrait"/>
          <w:cols w:equalWidth="0" w:num="1">
            <w:col w:w="11400"/>
          </w:cols>
          <w:pgMar w:left="240" w:top="125" w:right="25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125" w:right="25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Revenue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13% of our clearing and transaction fees in the first quarter of 2016.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Beginning in 2016, the partial fee waivers that existed in 2015 ended, which contributed to an increase in market data and information services revenue in the first quarter of 2016 when compared with the same period in 2015.</w:t>
      </w:r>
    </w:p>
    <w:p>
      <w:pPr>
        <w:spacing w:after="0" w:line="17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two largest resellers of our market data represented approximately 40% of our market data and information services revenue in the first quarter of 2016.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2015</w:t>
            </w:r>
          </w:p>
        </w:tc>
        <w:tc>
          <w:tcPr>
            <w:tcW w:w="13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141.3</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(13)</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9</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31.8</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7</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3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27</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w:t>
            </w:r>
          </w:p>
        </w:tc>
        <w:tc>
          <w:tcPr>
            <w:tcW w:w="13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72</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360.3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335.4</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7</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Operating expenses increased by $24.9 million in the first quarter of 2016 when compared with the same period in 2015. The following table shows the estimated impacts of key factors resulting in the change in operating expenses:</w:t>
      </w:r>
    </w:p>
    <w:p>
      <w:pPr>
        <w:spacing w:after="0" w:line="216"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Quarter Ended,</w:t>
      </w:r>
    </w:p>
    <w:p>
      <w:pPr>
        <w:spacing w:after="0" w:line="4"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13335</wp:posOffset>
            </wp:positionV>
            <wp:extent cx="1732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Amount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8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datacenter and related legal fees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360" w:type="dxa"/>
            <w:vAlign w:val="bottom"/>
          </w:tcPr>
          <w:p>
            <w:pPr>
              <w:jc w:val="right"/>
              <w:ind w:right="13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on disposal of fixed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Reorganization costs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Foreign currency exchange rate fluctuation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360" w:type="dxa"/>
            <w:vAlign w:val="bottom"/>
          </w:tcPr>
          <w:p>
            <w:pPr>
              <w:jc w:val="right"/>
              <w:ind w:right="7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Total increase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Increases in overall operating expenses in the first quarter of 2016 when compared with the same period in 2015 were as follows:</w:t>
      </w:r>
    </w:p>
    <w:p>
      <w:pPr>
        <w:spacing w:after="0" w:line="198" w:lineRule="exact"/>
        <w:rPr>
          <w:sz w:val="20"/>
          <w:szCs w:val="20"/>
          <w:color w:val="auto"/>
        </w:rPr>
      </w:pPr>
    </w:p>
    <w:p>
      <w:pPr>
        <w:jc w:val="both"/>
        <w:ind w:left="660" w:right="100" w:hanging="328"/>
        <w:spacing w:after="0" w:line="31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first quarter of 2016, we sold and leased back our datacenter in the Chicago area. The transaction was recognized under the financing method under generally accepted accounting principles. We recognized total losses and expenses of $28.6 million, including a net loss on write-down to fair value of the assets and certain other transaction fees of $27.1 million within other expenses and $1.5 million of legal and other fees.</w:t>
      </w:r>
    </w:p>
    <w:p>
      <w:pPr>
        <w:sectPr>
          <w:pgSz w:w="11900" w:h="16838" w:orient="portrait"/>
          <w:cols w:equalWidth="0" w:num="1">
            <w:col w:w="11420"/>
          </w:cols>
          <w:pgMar w:left="240" w:top="125"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660" w:right="2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increase in licensing and other fee sharing agreements expense resulted from higher expense related to revenue sharing agreements for certain equity and energy contracts due to both an increase in volume and an increase in the license rates for certain equity products.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first quarter of 2016, we recognized additional losses on disposals of certain fixed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overall increase in operating expenses in the first quarter of 2016 was partially offset by the following decreases:</w:t>
      </w:r>
    </w:p>
    <w:p>
      <w:pPr>
        <w:spacing w:after="0" w:line="225" w:lineRule="exact"/>
        <w:rPr>
          <w:sz w:val="20"/>
          <w:szCs w:val="20"/>
          <w:color w:val="auto"/>
        </w:rPr>
      </w:pPr>
    </w:p>
    <w:p>
      <w:pPr>
        <w:ind w:left="660" w:right="4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and benefits expense decreased as a result of a decline in average headcount related to our reorganization announced in the third quarter of 2015 as well as the partial closing of the trading floor in the second quarter of 2015.</w:t>
      </w:r>
    </w:p>
    <w:p>
      <w:pPr>
        <w:spacing w:after="0" w:line="170" w:lineRule="exact"/>
        <w:rPr>
          <w:rFonts w:ascii="Arial" w:cs="Arial" w:eastAsia="Arial" w:hAnsi="Arial"/>
          <w:sz w:val="18"/>
          <w:szCs w:val="18"/>
          <w:color w:val="auto"/>
        </w:rPr>
      </w:pPr>
    </w:p>
    <w:p>
      <w:pPr>
        <w:ind w:left="660" w:right="2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Severance and other costs related to the reorganization announced in October 2014 and the reduction of our trading floors in mid-2015 were recognized in the first quarter of 2015, resulting in an decrease in compensation and benefits expenses in the first quarter of 2016 when compared with the same period in 2015.</w:t>
      </w:r>
    </w:p>
    <w:p>
      <w:pPr>
        <w:spacing w:after="0" w:line="181" w:lineRule="exact"/>
        <w:rPr>
          <w:rFonts w:ascii="Arial" w:cs="Arial" w:eastAsia="Arial" w:hAnsi="Arial"/>
          <w:sz w:val="18"/>
          <w:szCs w:val="18"/>
          <w:color w:val="auto"/>
        </w:rPr>
      </w:pPr>
    </w:p>
    <w:p>
      <w:pPr>
        <w:ind w:left="660" w:right="2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first quarter of 2016, we recognized a net loss within other expenses of $3.9 million due to an unfavorable change in exchange rates on foreign cash balances, compared with a net loss of $10.0 million in the first quarter of 2015. Gains and losses from exchange rate fluctuations primarily result when subsidiaries with a U.S. dollar functional currency hold cash as well as certain other monetary assets and liabilities denominated in foreign currencies. We expect to continue to incur gains and losses from exchange rate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-155575</wp:posOffset>
            </wp:positionV>
            <wp:extent cx="2603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Quarter Ended</w:t>
            </w:r>
          </w:p>
        </w:tc>
        <w:tc>
          <w:tcPr>
            <w:tcW w:w="1120" w:type="dxa"/>
            <w:vAlign w:val="bottom"/>
          </w:tcPr>
          <w:p>
            <w:pPr>
              <w:spacing w:after="0"/>
              <w:rPr>
                <w:sz w:val="14"/>
                <w:szCs w:val="14"/>
                <w:color w:val="auto"/>
              </w:rPr>
            </w:pPr>
          </w:p>
        </w:tc>
      </w:tr>
      <w:tr>
        <w:trPr>
          <w:trHeight w:val="192"/>
        </w:trPr>
        <w:tc>
          <w:tcPr>
            <w:tcW w:w="8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264"/>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6"/>
              </w:rPr>
              <w:t>2015</w:t>
            </w:r>
          </w:p>
        </w:tc>
        <w:tc>
          <w:tcPr>
            <w:tcW w:w="11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n.m.</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Gains (losses) on derivative investments</w:t>
            </w:r>
          </w:p>
        </w:tc>
        <w:tc>
          <w:tcPr>
            <w:tcW w:w="2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n.m.</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Equity in net earnings (losses) of unconsolidated subsidiaries</w:t>
            </w:r>
          </w:p>
        </w:tc>
        <w:tc>
          <w:tcPr>
            <w:tcW w:w="260" w:type="dxa"/>
            <w:vAlign w:val="bottom"/>
          </w:tcPr>
          <w:p>
            <w:pPr>
              <w:spacing w:after="0"/>
              <w:rPr>
                <w:sz w:val="21"/>
                <w:szCs w:val="21"/>
                <w:color w:val="auto"/>
              </w:rPr>
            </w:pP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22.5</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19</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n.m.</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Non-Operating</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16.5</w:t>
            </w: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overall increase in investment income in the first quarter of 2016 when compared with the same period in 2015 was largely due to an increase in the rate of interest earned from cash performance bond and guaranty fund contributions that are reinvested.</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shows the key impacts in the overall decrease in interest expense and other borrowing costs in the first quarter of 2016 when compared with the same period in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gridSpan w:val="3"/>
          </w:tcPr>
          <w:p>
            <w:pPr>
              <w:jc w:val="center"/>
              <w:ind w:right="174"/>
              <w:spacing w:after="0"/>
              <w:rPr>
                <w:sz w:val="20"/>
                <w:szCs w:val="20"/>
                <w:color w:val="auto"/>
              </w:rPr>
            </w:pPr>
            <w:r>
              <w:rPr>
                <w:rFonts w:ascii="Arial" w:cs="Arial" w:eastAsia="Arial" w:hAnsi="Arial"/>
                <w:sz w:val="14"/>
                <w:szCs w:val="14"/>
                <w:b w:val="1"/>
                <w:bCs w:val="1"/>
                <w:color w:val="auto"/>
                <w:w w:val="96"/>
              </w:rPr>
              <w:t>Quarter Ended</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2"/>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left="479"/>
              <w:spacing w:after="0"/>
              <w:rPr>
                <w:sz w:val="20"/>
                <w:szCs w:val="20"/>
                <w:color w:val="auto"/>
              </w:rPr>
            </w:pPr>
            <w:r>
              <w:rPr>
                <w:rFonts w:ascii="Arial" w:cs="Arial" w:eastAsia="Arial" w:hAnsi="Arial"/>
                <w:sz w:val="14"/>
                <w:szCs w:val="14"/>
                <w:b w:val="1"/>
                <w:bCs w:val="1"/>
                <w:color w:val="auto"/>
                <w:w w:val="95"/>
              </w:rPr>
              <w:t>March 31,</w:t>
            </w:r>
          </w:p>
        </w:tc>
        <w:tc>
          <w:tcPr>
            <w:tcW w:w="7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64"/>
        </w:trPr>
        <w:tc>
          <w:tcPr>
            <w:tcW w:w="77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borrowings outstanding (in millions)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2,250.0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3"/>
              </w:rPr>
              <w:t>2,295.8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(45.8)</w:t>
            </w: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4.02%</w:t>
            </w:r>
          </w:p>
        </w:tc>
        <w:tc>
          <w:tcPr>
            <w:tcW w:w="360" w:type="dxa"/>
            <w:vAlign w:val="bottom"/>
          </w:tcPr>
          <w:p>
            <w:pPr>
              <w:spacing w:after="0"/>
              <w:rPr>
                <w:sz w:val="21"/>
                <w:szCs w:val="21"/>
                <w:color w:val="auto"/>
              </w:rPr>
            </w:pPr>
          </w:p>
        </w:tc>
        <w:tc>
          <w:tcPr>
            <w:tcW w:w="1000" w:type="dxa"/>
            <w:vAlign w:val="bottom"/>
          </w:tcPr>
          <w:p>
            <w:pPr>
              <w:ind w:left="380"/>
              <w:spacing w:after="0"/>
              <w:rPr>
                <w:sz w:val="20"/>
                <w:szCs w:val="20"/>
                <w:color w:val="auto"/>
              </w:rPr>
            </w:pPr>
            <w:r>
              <w:rPr>
                <w:rFonts w:ascii="Arial" w:cs="Arial" w:eastAsia="Arial" w:hAnsi="Arial"/>
                <w:sz w:val="18"/>
                <w:szCs w:val="18"/>
                <w:color w:val="auto"/>
                <w:w w:val="95"/>
              </w:rPr>
              <w:t>(0.31)%</w:t>
            </w:r>
          </w:p>
        </w:tc>
      </w:tr>
      <w:tr>
        <w:trPr>
          <w:trHeight w:val="27"/>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7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cost of borrowings </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3.90</w:t>
            </w:r>
          </w:p>
        </w:tc>
        <w:tc>
          <w:tcPr>
            <w:tcW w:w="4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4.27</w:t>
            </w:r>
          </w:p>
        </w:tc>
        <w:tc>
          <w:tcPr>
            <w:tcW w:w="360" w:type="dxa"/>
            <w:vAlign w:val="bottom"/>
            <w:shd w:val="clear" w:color="auto" w:fill="CCEEFF"/>
          </w:tcPr>
          <w:p>
            <w:pPr>
              <w:spacing w:after="0"/>
              <w:rPr>
                <w:sz w:val="23"/>
                <w:szCs w:val="23"/>
                <w:color w:val="auto"/>
              </w:rPr>
            </w:pPr>
          </w:p>
        </w:tc>
        <w:tc>
          <w:tcPr>
            <w:tcW w:w="1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(0.37)</w:t>
            </w:r>
          </w:p>
        </w:tc>
      </w:tr>
    </w:tbl>
    <w:p>
      <w:pPr>
        <w:spacing w:after="0" w:line="202" w:lineRule="exact"/>
        <w:rPr>
          <w:sz w:val="20"/>
          <w:szCs w:val="20"/>
          <w:color w:val="auto"/>
        </w:rPr>
      </w:pPr>
    </w:p>
    <w:p>
      <w:pPr>
        <w:ind w:left="660" w:right="2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cost of borrowings includes interest, the effective portion of interest rate hedges, discount accretion and debt issuance costs. Commitment fees on line of credit agreements are not included in the average cost of borrowings.</w:t>
      </w:r>
    </w:p>
    <w:p>
      <w:pPr>
        <w:spacing w:after="0" w:line="170" w:lineRule="exact"/>
        <w:rPr>
          <w:sz w:val="20"/>
          <w:szCs w:val="20"/>
          <w:color w:val="auto"/>
        </w:rPr>
      </w:pPr>
    </w:p>
    <w:p>
      <w:pPr>
        <w:ind w:left="60" w:right="60"/>
        <w:spacing w:after="0" w:line="264" w:lineRule="auto"/>
        <w:rPr>
          <w:sz w:val="20"/>
          <w:szCs w:val="20"/>
          <w:color w:val="auto"/>
        </w:rPr>
      </w:pPr>
      <w:r>
        <w:rPr>
          <w:rFonts w:ascii="Arial" w:cs="Arial" w:eastAsia="Arial" w:hAnsi="Arial"/>
          <w:sz w:val="18"/>
          <w:szCs w:val="18"/>
          <w:color w:val="auto"/>
        </w:rPr>
        <w:t>In March 2015, we issued $750.0 million 3.0% notes due March 2025. In April 2015, we repurchased the $612.5 million 4.40% notes due March 2018. These transactions decreased weighted average borrowings outstanding, weighted average effective yield and average cost of borrowings for the first quarter of 2016 when compared with the same period in 2015.</w:t>
      </w:r>
    </w:p>
    <w:p>
      <w:pPr>
        <w:spacing w:after="0" w:line="154"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color w:val="auto"/>
        </w:rPr>
        <w:t>Higher income generated from our S&amp;P/Dow Jones Indices LLC business venture contributed to an increase in equity in net earnings (losses) of unconsolidated subsidiaries in the first quarter of 2016 when compared with the same period in 2015.</w:t>
      </w:r>
    </w:p>
    <w:p>
      <w:pPr>
        <w:spacing w:after="0" w:line="116"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the first quarter of 2015, we received a termination fee of $22.5 million, net of the portion paid to outside advisers, related to our proposed acquisition of GFI Group Inc. (GFI Group), which was classified as income within other non-operating income (expense). In the first quarter of 2016 when compared with the same period in 2015, we recognized higher expense related to</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distribution of interest earned on performance bond collateral reinvestment to the clearing firms. This expense is included in other non-operating income (expense).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r>
      <w:tr>
        <w:trPr>
          <w:trHeight w:val="243"/>
        </w:trPr>
        <w:tc>
          <w:tcPr>
            <w:tcW w:w="9340" w:type="dxa"/>
            <w:vAlign w:val="bottom"/>
            <w:shd w:val="clear" w:color="auto" w:fill="CCEEFF"/>
          </w:tcPr>
          <w:p>
            <w:pPr>
              <w:jc w:val="right"/>
              <w:ind w:right="7459"/>
              <w:spacing w:after="0"/>
              <w:rPr>
                <w:sz w:val="20"/>
                <w:szCs w:val="20"/>
                <w:color w:val="auto"/>
              </w:rPr>
            </w:pPr>
            <w:r>
              <w:rPr>
                <w:rFonts w:ascii="Arial" w:cs="Arial" w:eastAsia="Arial" w:hAnsi="Arial"/>
                <w:sz w:val="18"/>
                <w:szCs w:val="18"/>
                <w:color w:val="auto"/>
                <w:w w:val="90"/>
              </w:rPr>
              <w:t>Quarter ended March 31</w:t>
            </w:r>
          </w:p>
        </w:tc>
        <w:tc>
          <w:tcPr>
            <w:tcW w:w="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3"/>
              </w:rPr>
              <w:t>36.4%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9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decrease in effective tax rate for the first quarter of 2016 when compared with the same period in 2015 is attributable to our continued expansion of our international operations and legislative extension of the research and development tax credit.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i w:val="1"/>
          <w:iCs w:val="1"/>
          <w:u w:val="single" w:color="auto"/>
          <w:color w:val="auto"/>
        </w:rPr>
        <w:t>Sources and Uses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provided by operating activities increased in the first quarter of 2016 when compared with the same period of 2015.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net cash provided by operating activities was largely attributable to higher clearing and transaction fees resulting from an increase in volume. Net cash used in investing activities remained relatively flat in the first quarter of 2016 when compared with the same period of 2015. Cash used in financing activities was higher in the first quarter of 2016 when compared with the same period in 2015. The increase was attributable to the issuance of $750.0 million fixed rate notes due March 2025 in the first quarter of 2015 as well as higher cash dividends paid in the first quarter of 2016 when compared with the same period in 2015. We also recognized proceeds from a finance lease obligation related to the sale-leaseback of the datacenter in the first quarter of 2016.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at March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Par Value</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(1)</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2025, stated rate of 3.00% </w:t>
            </w:r>
            <w:r>
              <w:rPr>
                <w:rFonts w:ascii="Arial" w:cs="Arial" w:eastAsia="Arial" w:hAnsi="Arial"/>
                <w:sz w:val="25"/>
                <w:szCs w:val="25"/>
                <w:color w:val="auto"/>
                <w:vertAlign w:val="superscript"/>
              </w:rPr>
              <w:t>(2)</w:t>
            </w:r>
          </w:p>
        </w:tc>
        <w:tc>
          <w:tcPr>
            <w:tcW w:w="3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December 2014, we entered into a forward-starting interest rate swap agreement that modified the interest obligation associated with these notes so that the interest payable effectively became fixed at a rate of 3.11%</w:t>
      </w:r>
    </w:p>
    <w:p>
      <w:pPr>
        <w:spacing w:after="0" w:line="170"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August 2012, we entered into a forward starting interest rate swap agreement that modified the interest obligation associated with these notes so that the interest payable effectively became fixed at a rate of 4.73%.</w:t>
      </w:r>
    </w:p>
    <w:p>
      <w:pPr>
        <w:spacing w:after="0" w:line="143"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maintain a $2.3 billion multi-currency revolving senior credit facility with various financial institutions, which matures in March 2020. The proceeds from this facility can be used for general corporate purposes, which includes providing liquidity for our clearing houses in certain circumstances at CME Group's discretion and, if necessary, for maturities of commercial paper. As long as we are not in default under this facility, we have the option to increase it up to $3.0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December 31, 2014, giving effect to share repurchases made and special dividends paid during the term of the agreements (and in no event greater than $2.0 billion in aggregate), multiplied by 0.65. We currently do not have any borrowings outstanding under this facility.</w:t>
      </w:r>
    </w:p>
    <w:p>
      <w:pPr>
        <w:spacing w:after="0" w:line="3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March 2016, we sold our datacenter in the Chicago area for $130.0 million. At the time of the sale, we leased back a portion of the property. Under generally accepted accounting principles, the transaction has been accounted for under the financing method instead of a sale-leaseback arrangement because our participation in future revenues and development work constitute continuing involvement in the datacenter. Under the financing method, the assets remain on the consolidated balance sheet throughout the term of the lease and the proceeds of $130.0 million from the transaction are recognized as a finance lease obligation within other liabilities and other current liabilities in the consolidated balance sheet. A portion of the lease payments will be recognized as a reduction of the finance lease obligation and a portion will be recognized as interest expense based on an imputed interest rate.</w:t>
      </w:r>
    </w:p>
    <w:p>
      <w:pPr>
        <w:spacing w:after="0" w:line="12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We maintain a 364-day multi-currency revolving secured credit facility with a consortium of domestic and international banks to be used in certain situations by CME Clearing. The facility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system that would delay payment of settlement variation between us and our clearing firms. CME clearing firm guaranty fund contributions received in the form of cash or U.S. Treasury securities as well as the performance bond assets of a defaulting firm can be used to collateralize the facility. At March 31, 2016, guaranty funds available to collateralize the facility totaled $6.7 billion. We have the option to request an increase in the line from $7.0 billion to $10.0 billion. Our 364-day facility contains a requirement that CME remain in compliance with a consolidated tangible net worth test, defined as CME consolidated shareholder's equity less intangible assets (as defined in the agreement), of not less than $800.0 million. We currently do not have any borrowings outstanding under this facility.</w:t>
      </w:r>
    </w:p>
    <w:p>
      <w:pPr>
        <w:spacing w:after="0" w:line="23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2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March 31, 2016, we have excess borrowing capacity for general corporate purposes of approximately $2.3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2016, we were in compliance with the various covenant requirements of all our debt facilities.</w:t>
      </w:r>
    </w:p>
    <w:p>
      <w:pPr>
        <w:spacing w:after="0" w:line="19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standby letters of credit. At March 31, 2016, the letters of credit totaled $610.0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at March 31, 2016: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rPr>
              <w:t>Short-Term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00" w:type="dxa"/>
            <w:vAlign w:val="bottom"/>
          </w:tcPr>
          <w:p>
            <w:pPr>
              <w:spacing w:after="0"/>
              <w:rPr>
                <w:sz w:val="16"/>
                <w:szCs w:val="16"/>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Arial" w:cs="Arial" w:eastAsia="Arial" w:hAnsi="Arial"/>
                <w:sz w:val="18"/>
                <w:szCs w:val="18"/>
                <w:color w:val="auto"/>
                <w:w w:val="98"/>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580" w:type="dxa"/>
            <w:vAlign w:val="bottom"/>
          </w:tcPr>
          <w:p>
            <w:pPr>
              <w:jc w:val="center"/>
              <w:ind w:left="1659"/>
              <w:spacing w:after="0"/>
              <w:rPr>
                <w:sz w:val="20"/>
                <w:szCs w:val="20"/>
                <w:color w:val="auto"/>
              </w:rPr>
            </w:pPr>
            <w:r>
              <w:rPr>
                <w:rFonts w:ascii="Arial" w:cs="Arial" w:eastAsia="Arial" w:hAnsi="Arial"/>
                <w:sz w:val="18"/>
                <w:szCs w:val="18"/>
                <w:color w:val="auto"/>
                <w:w w:val="90"/>
              </w:rPr>
              <w:t>P1</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u w:val="single" w:color="auto"/>
          <w:color w:val="auto"/>
        </w:rPr>
        <w:t>Liquidity and Cash Management</w:t>
      </w:r>
      <w:r>
        <w:rPr>
          <w:rFonts w:ascii="Arial" w:cs="Arial" w:eastAsia="Arial" w:hAnsi="Arial"/>
          <w:sz w:val="16"/>
          <w:szCs w:val="16"/>
          <w:color w:val="auto"/>
        </w:rPr>
        <w:t>. Cash and cash equivalents totaled $1.1 billion and $1.7 billion at March 31, 2016 and December 31, 2015, respectively.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w:t>
      </w:r>
    </w:p>
    <w:p>
      <w:pPr>
        <w:jc w:val="both"/>
        <w:ind w:right="80"/>
        <w:spacing w:after="0" w:line="302" w:lineRule="auto"/>
        <w:rPr>
          <w:sz w:val="20"/>
          <w:szCs w:val="20"/>
          <w:color w:val="auto"/>
        </w:rPr>
      </w:pPr>
      <w:r>
        <w:rPr>
          <w:rFonts w:ascii="Arial" w:cs="Arial" w:eastAsia="Arial" w:hAnsi="Arial"/>
          <w:sz w:val="16"/>
          <w:szCs w:val="16"/>
          <w:color w:val="auto"/>
        </w:rPr>
        <w:t>Treasury securities, U.S. government agency securities and U.S. Treasury security reverse repurchase agreements.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5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i w:val="1"/>
          <w:iCs w:val="1"/>
          <w:u w:val="single" w:color="auto"/>
          <w:color w:val="auto"/>
        </w:rPr>
        <w:t>Regulatory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CME is regulated by the U.S. Commodity Futures Trading Commission (CFTC) as a U.S. Derivatives Clearing 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(DCO). DCOs are required to maintain capital, as defined 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DCO under Title VIII of the Dodd-Frank Wall Street Reform and Consumer Protection Act. As a result, CME must comply with the requirements for financial resources and liquidity resources. CME is in compliance with all DCO financial requirements.</w:t>
      </w:r>
    </w:p>
    <w:p>
      <w:pPr>
        <w:spacing w:after="0" w:line="13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May 2014, the Financial Accounting Standards Board (FASB) issued a new standard on revenue recognition that replaces numerous, industry-specific requirements and converges U.S. accounting with International Financial Reporting Standards. The new standard introduces a framework for recognizing revenue that focuses on the transfer of control rather than risks and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new standard was intended to become effective in the first annual period beginning after December 15, 2016, but in August 2015, FASB extended the deadline by one year. This guidance may be adopted using one of two transition methods, which we are still evaluating along with the impact of the new standard on our consolidated financial statements.</w:t>
      </w:r>
    </w:p>
    <w:p>
      <w:pPr>
        <w:spacing w:after="0" w:line="13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January 2016, the FASB issued a standards update that will change how entities measure certain equity investments. It does not change the guidance for classifying and measuring investments in debt securities and loans. Under the new guidance, entities will have to measure many equity investments at fair value and recognize any changes in fair value in net income, unless the investments qualify for a practicability exception. Entities will no longer be able to recognize unrealized holding gains and losses on equity securities classified today as available for sale in other comprehensive income. The update is effective for reporting periods beginning after December 15, 2017. Early adoption is permitted. We are in the process of evaluating the impact of this update on our consolidated financial statements.</w:t>
      </w:r>
    </w:p>
    <w:p>
      <w:pPr>
        <w:spacing w:after="0" w:line="13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February 2016, the FASB issued a standards update that requires lessees to recognize on the balance sheet the assets and liabilities associated with the rights and obligations created by those leases. The guidance for lessors is largely unchanged from current U.S. GAAP. Under the new guidance, a lessee will be required to recognize assets and liabilities for leases with lease terms of more than 12 months. Consistent with current U.S. GAAP, the recognition, measurement, and presentation of expenses and cash flows arising from a lease by a lessee primarily will depend on its classification as a finance or operating lease. The update is effective for reporting periods beginning after December 15, 2018. Early adoption is permitted. We are in the process of evaluating the impact of this update on our consolidated financial statements.</w:t>
      </w:r>
    </w:p>
    <w:p>
      <w:pPr>
        <w:spacing w:after="0" w:line="4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March 2016, the FASB issued a standards update that will change certain aspects of accounting for share-based payments to employees. The guidance will require that all income tax effects of awards to be recognized in the income statement when the awards vest or are settled. It will also allow an employer to repurchase more of an employee’s shares for tax withholding purposes without triggering liability accounting and to make a policy election to account for forfeitures as they occur. The update is effective for reporting periods beginning after December 15, 2016. Early adoption is permitted. If this guidance is early adopted during an interim period, any adjustments must be reflected as of the beginning of the fiscal year that includes the interim period. We are in the process of evaluating the impact of this update on our consolidated financial statements.</w:t>
      </w:r>
    </w:p>
    <w:p>
      <w:pPr>
        <w:spacing w:after="0" w:line="29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2015. Refer to Item 7A. of CME Group’s Annual Report on Form 10-K for the year ended December 31, 2015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firstLine="8"/>
        <w:spacing w:after="0" w:line="279" w:lineRule="auto"/>
        <w:tabs>
          <w:tab w:leader="none" w:pos="245"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40" w:firstLine="8"/>
        <w:spacing w:after="0" w:line="273"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See “Legal and Regulatory Matters” in Note 7. Contingencies to the Consolidated Financial Statements for updates to CME Group’s existing legal proceedings disclosure which is incorporated herein by reference. Note 7. Contingencies includes updates to the legal proceedings disclosed in the company’s Annual Report on Form 10-K, filed with the SEC on February 26, 2016.</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26, 2016.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to January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88.67</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February 1 to February 29</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to March 31</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108,020</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96.69</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108,078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96.69</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purchased consist of an aggregate of 108,078 shares of Class A common stock surrendered in the first quarter of 2016 to satisfy employees’ tax obligations upon the vesting of restricted stock.</w:t>
      </w:r>
    </w:p>
    <w:p>
      <w:pPr>
        <w:spacing w:after="0" w:line="2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240" w:type="dxa"/>
            <w:vAlign w:val="bottom"/>
          </w:tcPr>
          <w:p>
            <w:pPr>
              <w:spacing w:after="0"/>
              <w:rPr>
                <w:sz w:val="17"/>
                <w:szCs w:val="17"/>
                <w:color w:val="auto"/>
              </w:rPr>
            </w:pPr>
          </w:p>
        </w:tc>
        <w:tc>
          <w:tcPr>
            <w:tcW w:w="362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c>
          <w:tcPr>
            <w:tcW w:w="3620" w:type="dxa"/>
            <w:vAlign w:val="bottom"/>
          </w:tcPr>
          <w:p>
            <w:pPr>
              <w:spacing w:after="0"/>
              <w:rPr>
                <w:sz w:val="24"/>
                <w:szCs w:val="24"/>
                <w:color w:val="auto"/>
              </w:rPr>
            </w:pPr>
          </w:p>
        </w:tc>
      </w:tr>
      <w:tr>
        <w:trPr>
          <w:trHeight w:val="581"/>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3620" w:type="dxa"/>
            <w:vAlign w:val="bottom"/>
          </w:tcPr>
          <w:p>
            <w:pPr>
              <w:ind w:left="20"/>
              <w:spacing w:after="0"/>
              <w:rPr>
                <w:sz w:val="20"/>
                <w:szCs w:val="20"/>
                <w:color w:val="auto"/>
              </w:rPr>
            </w:pPr>
            <w:r>
              <w:rPr>
                <w:rFonts w:ascii="Arial" w:cs="Arial" w:eastAsia="Arial" w:hAnsi="Arial"/>
                <w:sz w:val="18"/>
                <w:szCs w:val="18"/>
                <w:color w:val="auto"/>
              </w:rPr>
              <w:t>Certification—Phupinder S. Gill</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302</w:t>
            </w:r>
          </w:p>
        </w:tc>
        <w:tc>
          <w:tcPr>
            <w:tcW w:w="3620" w:type="dxa"/>
            <w:vAlign w:val="bottom"/>
          </w:tcPr>
          <w:p>
            <w:pPr>
              <w:ind w:left="20"/>
              <w:spacing w:after="0"/>
              <w:rPr>
                <w:sz w:val="20"/>
                <w:szCs w:val="20"/>
                <w:color w:val="auto"/>
              </w:rPr>
            </w:pPr>
            <w:r>
              <w:rPr>
                <w:rFonts w:ascii="Arial" w:cs="Arial" w:eastAsia="Arial" w:hAnsi="Arial"/>
                <w:sz w:val="18"/>
                <w:szCs w:val="18"/>
                <w:color w:val="auto"/>
              </w:rPr>
              <w:t>Certification—John W. Pietrowicz</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240" w:type="dxa"/>
            <w:vAlign w:val="bottom"/>
          </w:tcPr>
          <w:p>
            <w:pPr>
              <w:ind w:left="360"/>
              <w:spacing w:after="0"/>
              <w:rPr>
                <w:sz w:val="20"/>
                <w:szCs w:val="20"/>
                <w:color w:val="auto"/>
              </w:rPr>
            </w:pPr>
            <w:r>
              <w:rPr>
                <w:rFonts w:ascii="Arial" w:cs="Arial" w:eastAsia="Arial" w:hAnsi="Arial"/>
                <w:sz w:val="18"/>
                <w:szCs w:val="18"/>
                <w:color w:val="auto"/>
                <w:w w:val="90"/>
              </w:rPr>
              <w:t>Section 906</w:t>
            </w:r>
          </w:p>
        </w:tc>
        <w:tc>
          <w:tcPr>
            <w:tcW w:w="3620" w:type="dxa"/>
            <w:vAlign w:val="bottom"/>
          </w:tcPr>
          <w:p>
            <w:pPr>
              <w:ind w:left="20"/>
              <w:spacing w:after="0"/>
              <w:rPr>
                <w:sz w:val="20"/>
                <w:szCs w:val="20"/>
                <w:color w:val="auto"/>
              </w:rPr>
            </w:pPr>
            <w:r>
              <w:rPr>
                <w:rFonts w:ascii="Arial" w:cs="Arial" w:eastAsia="Arial" w:hAnsi="Arial"/>
                <w:sz w:val="18"/>
                <w:szCs w:val="18"/>
                <w:color w:val="auto"/>
              </w:rPr>
              <w:t>Certification</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4860" w:type="dxa"/>
            <w:vAlign w:val="bottom"/>
            <w:gridSpan w:val="2"/>
          </w:tcPr>
          <w:p>
            <w:pPr>
              <w:ind w:left="36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108" w:right="1440" w:bottom="1440" w:gutter="0" w:footer="0" w:header="0"/>
        </w:sectPr>
      </w:pPr>
    </w:p>
    <w:bookmarkStart w:id="28" w:name="page29"/>
    <w:bookmarkEnd w:id="28"/>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7920" w:val="left"/>
        </w:tabs>
        <w:rPr>
          <w:sz w:val="20"/>
          <w:szCs w:val="20"/>
          <w:color w:val="auto"/>
        </w:rPr>
      </w:pPr>
      <w:r>
        <w:rPr>
          <w:rFonts w:ascii="Arial" w:cs="Arial" w:eastAsia="Arial" w:hAnsi="Arial"/>
          <w:sz w:val="18"/>
          <w:szCs w:val="18"/>
          <w:color w:val="auto"/>
        </w:rPr>
        <w:t>Dated: May 4,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580"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840" w:hanging="184"/>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Dated: May 4, 2016</w:t>
      </w:r>
      <w:r>
        <w:rPr>
          <w:sz w:val="20"/>
          <w:szCs w:val="20"/>
          <w:color w:val="auto"/>
        </w:rPr>
        <w:tab/>
      </w:r>
      <w:r>
        <w:rPr>
          <w:rFonts w:ascii="Arial" w:cs="Arial" w:eastAsia="Arial" w:hAnsi="Arial"/>
          <w:sz w:val="16"/>
          <w:szCs w:val="16"/>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W. Pietrowicz, certify that:</w:t>
      </w:r>
    </w:p>
    <w:p>
      <w:pPr>
        <w:spacing w:after="0" w:line="171" w:lineRule="exact"/>
        <w:rPr>
          <w:sz w:val="20"/>
          <w:szCs w:val="20"/>
          <w:color w:val="auto"/>
        </w:rPr>
      </w:pPr>
    </w:p>
    <w:p>
      <w:pPr>
        <w:ind w:left="840" w:hanging="184"/>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Dated: May 4, 2016</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March 31, 2016 as filed with the Securities and Exchange Commission on the date hereof (the “Report”), Phupinder S. Gill,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John W. Pietrowicz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Dated: May 4, 2016</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5"/>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5"/>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2019-12-29T11:18:49Z</dcterms:created>
  <dcterms:modified xsi:type="dcterms:W3CDTF">2019-12-29T11:18:49Z</dcterms:modified>
</cp:coreProperties>
</file>