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line="238"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OR -</w:t>
      </w:r>
    </w:p>
    <w:p>
      <w:pPr>
        <w:spacing w:after="0" w:line="27"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6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001-31553</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CME GROUP INC.</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172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36-4459170</w:t>
      </w:r>
    </w:p>
    <w:p>
      <w:pPr>
        <w:spacing w:after="0" w:line="12" w:lineRule="exact"/>
        <w:rPr>
          <w:sz w:val="24"/>
          <w:szCs w:val="24"/>
          <w:color w:val="auto"/>
        </w:rPr>
      </w:pPr>
    </w:p>
    <w:p>
      <w:pPr>
        <w:ind w:left="1180"/>
        <w:spacing w:after="0"/>
        <w:tabs>
          <w:tab w:leader="none" w:pos="79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14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ind w:left="1180"/>
        <w:spacing w:after="0"/>
        <w:tabs>
          <w:tab w:leader="none" w:pos="4140" w:val="left"/>
          <w:tab w:leader="none" w:pos="5180" w:val="left"/>
          <w:tab w:leader="none" w:pos="8200" w:val="left"/>
        </w:tabs>
        <w:rPr>
          <w:sz w:val="20"/>
          <w:szCs w:val="20"/>
          <w:color w:val="auto"/>
        </w:rPr>
      </w:pPr>
      <w:r>
        <w:rPr>
          <w:rFonts w:ascii="Times New Roman" w:cs="Times New Roman" w:eastAsia="Times New Roman" w:hAnsi="Times New Roman"/>
          <w:sz w:val="18"/>
          <w:szCs w:val="18"/>
          <w:b w:val="1"/>
          <w:bCs w:val="1"/>
          <w:color w:val="auto"/>
        </w:rPr>
        <w:t>20 South Wacker Drive</w:t>
      </w:r>
      <w:r>
        <w:rPr>
          <w:sz w:val="20"/>
          <w:szCs w:val="20"/>
          <w:color w:val="auto"/>
        </w:rPr>
        <w:tab/>
      </w:r>
      <w:r>
        <w:rPr>
          <w:rFonts w:ascii="Times New Roman" w:cs="Times New Roman" w:eastAsia="Times New Roman" w:hAnsi="Times New Roman"/>
          <w:sz w:val="18"/>
          <w:szCs w:val="18"/>
          <w:b w:val="1"/>
          <w:bCs w:val="1"/>
          <w:color w:val="auto"/>
        </w:rPr>
        <w:t>Chicago</w:t>
      </w:r>
      <w:r>
        <w:rPr>
          <w:sz w:val="20"/>
          <w:szCs w:val="20"/>
          <w:color w:val="auto"/>
        </w:rPr>
        <w:tab/>
      </w:r>
      <w:r>
        <w:rPr>
          <w:rFonts w:ascii="Times New Roman" w:cs="Times New Roman" w:eastAsia="Times New Roman" w:hAnsi="Times New Roman"/>
          <w:sz w:val="18"/>
          <w:szCs w:val="18"/>
          <w:b w:val="1"/>
          <w:bCs w:val="1"/>
          <w:color w:val="auto"/>
        </w:rPr>
        <w:t>Illinois</w:t>
      </w:r>
      <w:r>
        <w:rPr>
          <w:sz w:val="20"/>
          <w:szCs w:val="20"/>
          <w:color w:val="auto"/>
        </w:rPr>
        <w:tab/>
      </w:r>
      <w:r>
        <w:rPr>
          <w:rFonts w:ascii="Times New Roman" w:cs="Times New Roman" w:eastAsia="Times New Roman" w:hAnsi="Times New Roman"/>
          <w:sz w:val="17"/>
          <w:szCs w:val="17"/>
          <w:b w:val="1"/>
          <w:bCs w:val="1"/>
          <w:color w:val="auto"/>
        </w:rPr>
        <w:t>60606</w:t>
      </w:r>
    </w:p>
    <w:p>
      <w:pPr>
        <w:spacing w:after="0" w:line="31" w:lineRule="exact"/>
        <w:rPr>
          <w:sz w:val="24"/>
          <w:szCs w:val="24"/>
          <w:color w:val="auto"/>
        </w:rPr>
      </w:pPr>
    </w:p>
    <w:p>
      <w:pPr>
        <w:ind w:left="186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 930-1000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2"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Class A Common Stock</w:t>
            </w:r>
          </w:p>
        </w:tc>
        <w:tc>
          <w:tcPr>
            <w:tcW w:w="680" w:type="dxa"/>
            <w:vAlign w:val="bottom"/>
          </w:tcPr>
          <w:p>
            <w:pPr>
              <w:spacing w:after="0"/>
              <w:rPr>
                <w:sz w:val="21"/>
                <w:szCs w:val="21"/>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CME</w:t>
            </w:r>
          </w:p>
        </w:tc>
        <w:tc>
          <w:tcPr>
            <w:tcW w:w="540" w:type="dxa"/>
            <w:vAlign w:val="bottom"/>
          </w:tcPr>
          <w:p>
            <w:pPr>
              <w:spacing w:after="0"/>
              <w:rPr>
                <w:sz w:val="21"/>
                <w:szCs w:val="21"/>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44" w:lineRule="exact"/>
        <w:rPr>
          <w:sz w:val="24"/>
          <w:szCs w:val="24"/>
          <w:color w:val="auto"/>
        </w:rPr>
      </w:pPr>
    </w:p>
    <w:p>
      <w:pPr>
        <w:ind w:right="120" w:firstLine="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80" w:firstLine="1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440" w:val="left"/>
          <w:tab w:leader="none" w:pos="212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40" w:firstLine="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Large accelerated filer</w:t>
            </w:r>
          </w:p>
        </w:tc>
        <w:tc>
          <w:tcPr>
            <w:tcW w:w="29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Non-accelerated filer</w:t>
            </w:r>
          </w:p>
        </w:tc>
        <w:tc>
          <w:tcPr>
            <w:tcW w:w="29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7" w:lineRule="exact"/>
        <w:rPr>
          <w:sz w:val="24"/>
          <w:szCs w:val="24"/>
          <w:color w:val="auto"/>
        </w:rPr>
      </w:pPr>
    </w:p>
    <w:p>
      <w:pPr>
        <w:ind w:firstLine="162"/>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2220"/>
        <w:spacing w:after="0" w:line="207" w:lineRule="exact"/>
        <w:tabs>
          <w:tab w:leader="none" w:pos="29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5" w:lineRule="exact"/>
        <w:rPr>
          <w:sz w:val="24"/>
          <w:szCs w:val="24"/>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July 9, 2025 was as follows: 360,377,042 shares of Class A common stock, $0.01 par value; 625 shares of Class B-1 common stock, $0.01 par value; 813 shares of Class B-2 common stock, $0.01 par value; 1,287 shares of Class B-3 common stock, $0.01 par value; and 413 shares of Class B-4 common stock, $0.01 par value.</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5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4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rPr>
              <w:t>Financial Statements</w:t>
            </w:r>
          </w:p>
        </w:tc>
        <w:tc>
          <w:tcPr>
            <w:tcW w:w="360" w:type="dxa"/>
            <w:vAlign w:val="bottom"/>
            <w:tcBorders>
              <w:top w:val="single" w:sz="8" w:color="0000FF"/>
            </w:tcBorders>
            <w:gridSpan w:val="3"/>
          </w:tcPr>
          <w:p>
            <w:pPr>
              <w:spacing w:after="0"/>
              <w:rPr>
                <w:sz w:val="24"/>
                <w:szCs w:val="24"/>
                <w:color w:val="auto"/>
              </w:rPr>
            </w:pPr>
          </w:p>
        </w:tc>
        <w:tc>
          <w:tcPr>
            <w:tcW w:w="778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Balance Sheets at June 30, 2025 and December 31,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Income for the Quarters and Six Months Ended June 30, 2025 and 2024</w:t>
            </w:r>
          </w:p>
        </w:tc>
        <w:tc>
          <w:tcPr>
            <w:tcW w:w="3120" w:type="dxa"/>
            <w:vAlign w:val="bottom"/>
            <w:gridSpan w:val="2"/>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5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Quarters and Six Months Ended June 30, 2025 and 2024</w:t>
            </w:r>
          </w:p>
        </w:tc>
        <w:tc>
          <w:tcPr>
            <w:tcW w:w="20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Equity for the Quarters and Six Months Ended June 30, 2025 and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Six Months Ended June 30, 2025 and 2024</w:t>
            </w:r>
          </w:p>
        </w:tc>
        <w:tc>
          <w:tcPr>
            <w:tcW w:w="540" w:type="dxa"/>
            <w:vAlign w:val="bottom"/>
            <w:tcBorders>
              <w:top w:val="single" w:sz="8" w:color="0000FF"/>
            </w:tcBorders>
            <w:gridSpan w:val="2"/>
          </w:tcPr>
          <w:p>
            <w:pPr>
              <w:spacing w:after="0"/>
              <w:rPr>
                <w:sz w:val="22"/>
                <w:szCs w:val="22"/>
                <w:color w:val="auto"/>
              </w:rPr>
            </w:pPr>
          </w:p>
        </w:tc>
        <w:tc>
          <w:tcPr>
            <w:tcW w:w="3180" w:type="dxa"/>
            <w:vAlign w:val="bottom"/>
            <w:gridSpan w:val="3"/>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0000FF"/>
              </w:rPr>
              <w:t>Management’s Discussion and Analysis of Financial Condition and Results of Operations</w:t>
            </w: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42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b w:val="1"/>
                <w:bCs w:val="1"/>
                <w:color w:val="0000FF"/>
              </w:rPr>
              <w:t>Quantitative and Qualitative Disclosures About Market Risk</w:t>
            </w:r>
          </w:p>
        </w:tc>
        <w:tc>
          <w:tcPr>
            <w:tcW w:w="1940" w:type="dxa"/>
            <w:vAlign w:val="bottom"/>
            <w:tcBorders>
              <w:top w:val="single" w:sz="8" w:color="0000FF"/>
            </w:tcBorders>
            <w:gridSpan w:val="3"/>
          </w:tcPr>
          <w:p>
            <w:pPr>
              <w:spacing w:after="0"/>
              <w:rPr>
                <w:sz w:val="22"/>
                <w:szCs w:val="22"/>
                <w:color w:val="auto"/>
              </w:rPr>
            </w:pPr>
          </w:p>
        </w:tc>
        <w:tc>
          <w:tcPr>
            <w:tcW w:w="3460" w:type="dxa"/>
            <w:vAlign w:val="bottom"/>
            <w:gridSpan w:val="4"/>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1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b w:val="1"/>
                <w:bCs w:val="1"/>
                <w:color w:val="0000FF"/>
                <w:w w:val="99"/>
              </w:rPr>
              <w:t>Controls and Procedures</w:t>
            </w:r>
          </w:p>
        </w:tc>
        <w:tc>
          <w:tcPr>
            <w:tcW w:w="7880" w:type="dxa"/>
            <w:vAlign w:val="bottom"/>
            <w:gridSpan w:val="11"/>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b w:val="1"/>
                <w:bCs w:val="1"/>
                <w:color w:val="0000FF"/>
                <w:w w:val="99"/>
              </w:rPr>
              <w:t>PART II. OTHER INFORMATION</w:t>
            </w:r>
          </w:p>
        </w:tc>
        <w:tc>
          <w:tcPr>
            <w:tcW w:w="8040" w:type="dxa"/>
            <w:vAlign w:val="bottom"/>
            <w:gridSpan w:val="12"/>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9"/>
              </w:rPr>
              <w:t>Legal Proceedings</w:t>
            </w:r>
          </w:p>
        </w:tc>
        <w:tc>
          <w:tcPr>
            <w:tcW w:w="8340" w:type="dxa"/>
            <w:vAlign w:val="bottom"/>
            <w:gridSpan w:val="1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b w:val="1"/>
                <w:bCs w:val="1"/>
                <w:color w:val="0000FF"/>
                <w:w w:val="99"/>
              </w:rPr>
              <w:t>Risk Factors</w:t>
            </w:r>
          </w:p>
        </w:tc>
        <w:tc>
          <w:tcPr>
            <w:tcW w:w="8720" w:type="dxa"/>
            <w:vAlign w:val="bottom"/>
            <w:gridSpan w:val="1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41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rPr>
              <w:t>Unregistered Sales of Equity Securities and Use of Proceeds</w:t>
            </w:r>
          </w:p>
        </w:tc>
        <w:tc>
          <w:tcPr>
            <w:tcW w:w="5480" w:type="dxa"/>
            <w:vAlign w:val="bottom"/>
            <w:gridSpan w:val="8"/>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5.</w:t>
            </w:r>
          </w:p>
        </w:tc>
        <w:tc>
          <w:tcPr>
            <w:tcW w:w="1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b w:val="1"/>
                <w:bCs w:val="1"/>
                <w:color w:val="0000FF"/>
                <w:w w:val="99"/>
              </w:rPr>
              <w:t>Other Information</w:t>
            </w:r>
          </w:p>
        </w:tc>
        <w:tc>
          <w:tcPr>
            <w:tcW w:w="830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8"/>
              </w:rPr>
              <w:t>Exhibits</w:t>
            </w:r>
          </w:p>
        </w:tc>
        <w:tc>
          <w:tcPr>
            <w:tcW w:w="9020" w:type="dxa"/>
            <w:vAlign w:val="bottom"/>
            <w:gridSpan w:val="17"/>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5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FF"/>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911"/>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780" w:type="dxa"/>
            <w:vAlign w:val="bottom"/>
            <w:gridSpan w:val="13"/>
          </w:tcPr>
          <w:p>
            <w:pPr>
              <w:jc w:val="right"/>
              <w:ind w:right="1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amounts regarding contract volume and average rate per contract are for CME Group’s listed futures and options on futures contracts unless otherwise noted.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13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w:t>
      </w:r>
    </w:p>
    <w:p>
      <w:pPr>
        <w:spacing w:after="0" w:line="1"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trademarks of New York Mercantile Exchange, Inc. COMEX is a trademark of Commodity Exchange, Inc. BrokerTec is a trademark of BrokerTec Americas LLC and EBS is a trademark of EBS Group Limited. OSTTRA is a trademark of MarkitSERV Limited. Dow Jones, Dow Jones Industrial Average, S&amp;P 500 and S&amp;P are service and/or trademarks of Dow Jones Trademark Holdings LLC, Standard &amp; Poor's Financial Services LLC and S&amp;P Dow Jones Indices LLC, as the case may be, and have been licensed for use by Chicago Mercantile Exchange Inc. (CME). All other trademarks are the property of their respective owners.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93" w:lineRule="exact"/>
        <w:rPr>
          <w:sz w:val="20"/>
          <w:szCs w:val="20"/>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w:t>
      </w:r>
    </w:p>
    <w:p>
      <w:pPr>
        <w:spacing w:after="0" w:line="53"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6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innovative and competitive new products and services on a timely, cost-effective basis, including through our electronic trading capabilities, and derive revenues that are commensurate with our efforts and expectations, and our ability to maintain the competitiveness of our existing products and services;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63"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variable costs relating to CME Group's transition to the Google Cloud and minimize duplicative costs during the transition between maintaining the on-premise environment and the Google Cloud environment;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at substantially similar trading levels, develop strategic relationships and attract new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globally offer our products and services;</w:t>
      </w:r>
    </w:p>
    <w:p>
      <w:pPr>
        <w:spacing w:after="0" w:line="6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 as well as the impact of tariffs and tax policy changes and the related uncertainty thereof, restrictions on our ability to offer CME Group products and services in specific geographies or to specific customers or limitations or changes in underlying/physical product flows across geographies;</w:t>
      </w:r>
    </w:p>
    <w:p>
      <w:pPr>
        <w:spacing w:after="0" w:line="17" w:lineRule="exact"/>
        <w:rPr>
          <w:rFonts w:ascii="Times New Roman" w:cs="Times New Roman" w:eastAsia="Times New Roman" w:hAnsi="Times New Roman"/>
          <w:sz w:val="18"/>
          <w:szCs w:val="18"/>
          <w:color w:val="auto"/>
        </w:rPr>
      </w:pPr>
    </w:p>
    <w:p>
      <w:pPr>
        <w:ind w:left="660" w:right="60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from our market data as a result of decreased demand or changes to regulations in various jurisdictions;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40" w:hanging="328"/>
        <w:spacing w:after="0" w:line="298"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660" w:right="7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credit and liquidity risk management practices to adequately protect us from the credit risks of clearing firms and other counterparties, and to satisfy the margin and liquidity requirements associated with the BrokerTec matched principal business;</w:t>
      </w:r>
    </w:p>
    <w:p>
      <w:pPr>
        <w:spacing w:after="0" w:line="1"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spacing w:after="0" w:line="1"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providers and exposure to risk through third parties, including risks related to the performance, reliability and security of technology used by our third-party providers and third-party providers that our clients and third-parties rely on;</w:t>
      </w:r>
    </w:p>
    <w:p>
      <w:pPr>
        <w:spacing w:after="0" w:line="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distribution partners, including independent software vendors (ISVs), Futures Commission Merchants (FCMs), introducing brokers, broker-dealers around the world, regulatory reporting and data distributors and platform operators, and other partners, for facilitating trading and for market data information, and potential impacts from changes in their business models and priorities;</w:t>
      </w:r>
    </w:p>
    <w:p>
      <w:pPr>
        <w:spacing w:after="0" w:line="13"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commodity, equity and fixed income prices, and price volatility of financial benchmarks and instruments such as interest rates, equity indices, fixed income instruments and foreign exchange rates; economic, social, political and market conditions, including new and existing geopolitical tensions or conflicts, the volatility of the capital and credit markets and the impact of economic conditions on the trading activity of our current and potential customers;</w:t>
      </w:r>
    </w:p>
    <w:p>
      <w:pPr>
        <w:spacing w:after="0" w:line="1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market data and order transaction traffic across the entire trade cycle and the ability to implement enhancements without failure or degradation of the performance of our trading and clearing systems and meeting our regulatory reporting obligations;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63"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control the costs and achieve the synergies associated with our strategy for acquisitions, investments and alliances, including those associated with the performance of our joint ventures with S&amp;P Dow Jones (S&amp;P Dow Jones Indices LLC) in index services, our primary business and distribution partners’ actions and our partnership with Google, including our ability to manage the successful implementation of our agreements with Google and our data center partners;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earnings on cash accounts and collateral that our clearing house holds for its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CME Group pricing/fee level and structure and incentive changes;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aggregation services and internalization on trade flow and volumes;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financial impacts from changes to the terms of intellectual property and index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channel partner and customer consolidation and/or concentration;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transactions and/or repeal of the 60/40 tax treatment of such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effective tax rates, borrowing costs or changes in tax policy;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reputation;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our Annual Report on Form 10-K for the year ended December 31, 2024, filed with the Securities and Exchange Commission on February 27, 2025 and Item 1A. in Part II of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83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0"/>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CME GROUP INC. AND SUBSIDIARIES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rPr>
              <w:t>(dollars in millions, except par value data; shares in thousands)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60"/>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22"/>
                <w:szCs w:val="22"/>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2,892.4</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of $9.9 and $9.0</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 (includes $6.5 and $6.3 in restricted cash)</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98,895.4</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103,033.5</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net of accumulated depreciation and amortization of $960.8 and $1,024.3</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2,821.6</w:t>
            </w: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10,486.9</w:t>
            </w:r>
          </w:p>
        </w:tc>
      </w:tr>
      <w:tr>
        <w:trPr>
          <w:trHeight w:val="229"/>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3,543.5</w:t>
            </w:r>
          </w:p>
        </w:tc>
      </w:tr>
      <w:tr>
        <w:trPr>
          <w:trHeight w:val="248"/>
        </w:trPr>
        <w:tc>
          <w:tcPr>
            <w:tcW w:w="40" w:type="dxa"/>
            <w:vAlign w:val="bottom"/>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137,447.0</w:t>
            </w:r>
          </w:p>
        </w:tc>
      </w:tr>
      <w:tr>
        <w:trPr>
          <w:trHeight w:val="20"/>
        </w:trPr>
        <w:tc>
          <w:tcPr>
            <w:tcW w:w="40" w:type="dxa"/>
            <w:vAlign w:val="bottom"/>
          </w:tcPr>
          <w:p>
            <w:pPr>
              <w:spacing w:after="0" w:line="20" w:lineRule="exact"/>
              <w:rPr>
                <w:sz w:val="1"/>
                <w:szCs w:val="1"/>
                <w:color w:val="auto"/>
              </w:rPr>
            </w:pPr>
          </w:p>
        </w:tc>
        <w:tc>
          <w:tcPr>
            <w:tcW w:w="78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Short-term debt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2,588.8</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98,895.4</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102,313.9</w:t>
            </w: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2,678.2</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5,246.8</w:t>
            </w:r>
          </w:p>
        </w:tc>
      </w:tr>
      <w:tr>
        <w:trPr>
          <w:trHeight w:val="230"/>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w:t>
            </w:r>
          </w:p>
        </w:tc>
      </w:tr>
      <w:tr>
        <w:trPr>
          <w:trHeight w:val="223"/>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6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110,960.1</w:t>
            </w:r>
          </w:p>
        </w:tc>
      </w:tr>
      <w:tr>
        <w:trPr>
          <w:trHeight w:val="142"/>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$0.01 par value, 10,000 shares authorized as of June 30, 2025 and December 31,</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2024; 4,584 issued and outstanding as of June 30, 2025 and December 31, 2024</w:t>
            </w:r>
          </w:p>
        </w:tc>
        <w:tc>
          <w:tcPr>
            <w:tcW w:w="26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1,000,000 shares authorized at June 30, 2025 and December</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31, 2024; 359,647 and 359,602 shares issued and outstanding as of June 30, 2025 and December 31,</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respectively</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 as of June 30,</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2025 and December 31, 2024</w:t>
            </w:r>
          </w:p>
        </w:tc>
        <w:tc>
          <w:tcPr>
            <w:tcW w:w="26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22,403.0</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4,185.8</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3"/>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CME Group Shareholders’ Equity</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26,486.9</w:t>
            </w:r>
          </w:p>
        </w:tc>
      </w:tr>
      <w:tr>
        <w:trPr>
          <w:trHeight w:val="248"/>
        </w:trPr>
        <w:tc>
          <w:tcPr>
            <w:tcW w:w="4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137,447.0</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5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7"/>
                <w:szCs w:val="17"/>
                <w:color w:val="auto"/>
              </w:rPr>
            </w:pPr>
          </w:p>
        </w:tc>
      </w:tr>
      <w:tr>
        <w:trPr>
          <w:trHeight w:val="23"/>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2,458.8</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3,020.4</w:t>
            </w: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2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1,960.2</w:t>
            </w:r>
          </w:p>
        </w:tc>
      </w:tr>
      <w:tr>
        <w:trPr>
          <w:trHeight w:val="162"/>
        </w:trPr>
        <w:tc>
          <w:tcPr>
            <w:tcW w:w="5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2,115.8</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(1,901.7)</w:t>
            </w:r>
          </w:p>
        </w:tc>
      </w:tr>
      <w:tr>
        <w:trPr>
          <w:trHeight w:val="22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2,267.9</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 of CME Group</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1,716.5</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80"/>
        </w:trPr>
        <w:tc>
          <w:tcPr>
            <w:tcW w:w="58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Earnings per Share Attributable to Common Shareholders of CME</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359,294</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359,852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7"/>
                <w:szCs w:val="17"/>
                <w:color w:val="auto"/>
              </w:rPr>
            </w:pPr>
          </w:p>
        </w:tc>
      </w:tr>
      <w:tr>
        <w:trPr>
          <w:trHeight w:val="23"/>
        </w:trPr>
        <w:tc>
          <w:tcPr>
            <w:tcW w:w="6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6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plans: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76"/>
        </w:trPr>
        <w:tc>
          <w:tcPr>
            <w:tcW w:w="60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net actuarial (gains) losses included in compensation and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6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benefits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investments: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5"/>
        </w:trPr>
        <w:tc>
          <w:tcPr>
            <w:tcW w:w="60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Reclassification of net unrealized (gains) losses to interest expense and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6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6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1,699.0</w:t>
            </w: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177165</wp:posOffset>
            </wp:positionV>
            <wp:extent cx="4877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261" w:lineRule="exact"/>
        <w:rPr>
          <w:sz w:val="20"/>
          <w:szCs w:val="20"/>
          <w:color w:val="auto"/>
        </w:rPr>
      </w:pPr>
    </w:p>
    <w:p>
      <w:pPr>
        <w:jc w:val="right"/>
        <w:ind w:right="28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33655</wp:posOffset>
            </wp:positionV>
            <wp:extent cx="4877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4"/>
          <w:szCs w:val="14"/>
          <w:b w:val="1"/>
          <w:bCs w:val="1"/>
          <w:color w:val="auto"/>
        </w:rPr>
        <w:t>Preferred Stock,</w:t>
      </w:r>
    </w:p>
    <w:p>
      <w:pPr>
        <w:ind w:left="6700"/>
        <w:spacing w:after="0" w:line="221" w:lineRule="auto"/>
        <w:rPr>
          <w:sz w:val="20"/>
          <w:szCs w:val="20"/>
          <w:color w:val="auto"/>
        </w:rPr>
      </w:pPr>
      <w:r>
        <w:rPr>
          <w:rFonts w:ascii="Times New Roman" w:cs="Times New Roman" w:eastAsia="Times New Roman" w:hAnsi="Times New Roman"/>
          <w:sz w:val="14"/>
          <w:szCs w:val="14"/>
          <w:b w:val="1"/>
          <w:bCs w:val="1"/>
          <w:color w:val="auto"/>
        </w:rPr>
        <w:t>Common</w:t>
      </w:r>
    </w:p>
    <w:tbl>
      <w:tblPr>
        <w:tblLayout w:type="fixed"/>
        <w:tblInd w:w="3680" w:type="dxa"/>
        <w:tblCellMar>
          <w:top w:w="0" w:type="dxa"/>
          <w:left w:w="0" w:type="dxa"/>
          <w:bottom w:w="0" w:type="dxa"/>
          <w:right w:w="0" w:type="dxa"/>
        </w:tblCellMar>
      </w:tblPr>
      <w:tr>
        <w:trPr>
          <w:trHeight w:val="128"/>
        </w:trPr>
        <w:tc>
          <w:tcPr>
            <w:tcW w:w="8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040" w:type="dxa"/>
            <w:vAlign w:val="bottom"/>
          </w:tcPr>
          <w:p>
            <w:pPr>
              <w:spacing w:after="0"/>
              <w:rPr>
                <w:sz w:val="11"/>
                <w:szCs w:val="11"/>
                <w:color w:val="auto"/>
              </w:rPr>
            </w:pPr>
          </w:p>
        </w:tc>
        <w:tc>
          <w:tcPr>
            <w:tcW w:w="1340" w:type="dxa"/>
            <w:vAlign w:val="bottom"/>
          </w:tcPr>
          <w:p>
            <w:pPr>
              <w:jc w:val="center"/>
              <w:ind w:left="8"/>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49"/>
        </w:trPr>
        <w:tc>
          <w:tcPr>
            <w:tcW w:w="80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8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0"/>
        </w:trPr>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6" w:lineRule="exact"/>
        <w:rPr>
          <w:sz w:val="20"/>
          <w:szCs w:val="20"/>
          <w:color w:val="auto"/>
        </w:rPr>
      </w:pPr>
    </w:p>
    <w:p>
      <w:pPr>
        <w:ind w:left="40" w:right="1140"/>
        <w:spacing w:after="0" w:line="276" w:lineRule="auto"/>
        <w:rPr>
          <w:sz w:val="20"/>
          <w:szCs w:val="20"/>
          <w:color w:val="auto"/>
        </w:rPr>
      </w:pPr>
      <w:r>
        <w:rPr>
          <w:rFonts w:ascii="Times New Roman" w:cs="Times New Roman" w:eastAsia="Times New Roman" w:hAnsi="Times New Roman"/>
          <w:sz w:val="18"/>
          <w:szCs w:val="18"/>
          <w:color w:val="auto"/>
        </w:rPr>
        <w:t>Balance at December 31, 2024 Net income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40" w:right="100"/>
        <w:spacing w:after="0" w:line="234" w:lineRule="auto"/>
        <w:rPr>
          <w:sz w:val="20"/>
          <w:szCs w:val="20"/>
          <w:color w:val="auto"/>
        </w:rPr>
      </w:pPr>
      <w:r>
        <w:rPr>
          <w:rFonts w:ascii="Times New Roman" w:cs="Times New Roman" w:eastAsia="Times New Roman" w:hAnsi="Times New Roman"/>
          <w:sz w:val="18"/>
          <w:szCs w:val="18"/>
          <w:color w:val="auto"/>
        </w:rPr>
        <w:t>Dividends on common and preferred stock of $2.50 per share</w:t>
      </w:r>
    </w:p>
    <w:p>
      <w:pPr>
        <w:spacing w:after="0" w:line="10" w:lineRule="exact"/>
        <w:rPr>
          <w:sz w:val="20"/>
          <w:szCs w:val="20"/>
          <w:color w:val="auto"/>
        </w:rPr>
      </w:pPr>
    </w:p>
    <w:p>
      <w:pPr>
        <w:ind w:left="40" w:right="140"/>
        <w:spacing w:after="0" w:line="237"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Shares issued to Board of Directors</w:t>
      </w:r>
    </w:p>
    <w:p>
      <w:pPr>
        <w:spacing w:after="0" w:line="27" w:lineRule="exact"/>
        <w:rPr>
          <w:sz w:val="20"/>
          <w:szCs w:val="20"/>
          <w:color w:val="auto"/>
        </w:rPr>
      </w:pPr>
    </w:p>
    <w:p>
      <w:pPr>
        <w:ind w:left="40"/>
        <w:spacing w:after="0" w:line="234" w:lineRule="auto"/>
        <w:rPr>
          <w:sz w:val="20"/>
          <w:szCs w:val="20"/>
          <w:color w:val="auto"/>
        </w:rPr>
      </w:pPr>
      <w:r>
        <w:rPr>
          <w:rFonts w:ascii="Times New Roman" w:cs="Times New Roman" w:eastAsia="Times New Roman" w:hAnsi="Times New Roman"/>
          <w:sz w:val="18"/>
          <w:szCs w:val="18"/>
          <w:color w:val="auto"/>
        </w:rPr>
        <w:t>Shares issued under Employee Stock Purchase Plan</w:t>
      </w:r>
    </w:p>
    <w:p>
      <w:pPr>
        <w:spacing w:after="0" w:line="7" w:lineRule="exact"/>
        <w:rPr>
          <w:sz w:val="20"/>
          <w:szCs w:val="20"/>
          <w:color w:val="auto"/>
        </w:rPr>
      </w:pPr>
    </w:p>
    <w:p>
      <w:pPr>
        <w:ind w:left="40" w:right="440"/>
        <w:spacing w:after="0" w:line="237" w:lineRule="auto"/>
        <w:rPr>
          <w:sz w:val="20"/>
          <w:szCs w:val="20"/>
          <w:color w:val="auto"/>
        </w:rPr>
      </w:pPr>
      <w:r>
        <w:rPr>
          <w:rFonts w:ascii="Times New Roman" w:cs="Times New Roman" w:eastAsia="Times New Roman" w:hAnsi="Times New Roman"/>
          <w:sz w:val="18"/>
          <w:szCs w:val="18"/>
          <w:color w:val="auto"/>
        </w:rPr>
        <w:t xml:space="preserve">Repurchase of Class A common stock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Stock-based compensation</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right="1400"/>
        <w:spacing w:after="0" w:line="276" w:lineRule="auto"/>
        <w:rPr>
          <w:sz w:val="20"/>
          <w:szCs w:val="20"/>
          <w:color w:val="auto"/>
        </w:rPr>
      </w:pPr>
      <w:r>
        <w:rPr>
          <w:rFonts w:ascii="Times New Roman" w:cs="Times New Roman" w:eastAsia="Times New Roman" w:hAnsi="Times New Roman"/>
          <w:sz w:val="18"/>
          <w:szCs w:val="18"/>
          <w:color w:val="auto"/>
        </w:rPr>
        <w:t>Balance at March 31, 2025 Net income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60" w:right="80"/>
        <w:spacing w:after="0" w:line="242" w:lineRule="auto"/>
        <w:rPr>
          <w:sz w:val="20"/>
          <w:szCs w:val="20"/>
          <w:color w:val="auto"/>
        </w:rPr>
      </w:pPr>
      <w:r>
        <w:rPr>
          <w:rFonts w:ascii="Times New Roman" w:cs="Times New Roman" w:eastAsia="Times New Roman" w:hAnsi="Times New Roman"/>
          <w:sz w:val="18"/>
          <w:szCs w:val="18"/>
          <w:color w:val="auto"/>
        </w:rPr>
        <w:t>Dividends on common and preferred stock of $1.25 per share</w:t>
      </w:r>
    </w:p>
    <w:p>
      <w:pPr>
        <w:spacing w:after="0" w:line="1" w:lineRule="exact"/>
        <w:rPr>
          <w:sz w:val="20"/>
          <w:szCs w:val="20"/>
          <w:color w:val="auto"/>
        </w:rPr>
      </w:pPr>
    </w:p>
    <w:p>
      <w:pPr>
        <w:ind w:left="60" w:right="120"/>
        <w:spacing w:after="0" w:line="242"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Shares issued to Board of Directors</w:t>
      </w:r>
    </w:p>
    <w:p>
      <w:pPr>
        <w:spacing w:after="0" w:line="23" w:lineRule="exact"/>
        <w:rPr>
          <w:sz w:val="20"/>
          <w:szCs w:val="20"/>
          <w:color w:val="auto"/>
        </w:rPr>
      </w:pPr>
    </w:p>
    <w:p>
      <w:pPr>
        <w:ind w:left="60"/>
        <w:spacing w:after="0" w:line="242" w:lineRule="auto"/>
        <w:rPr>
          <w:sz w:val="20"/>
          <w:szCs w:val="20"/>
          <w:color w:val="auto"/>
        </w:rPr>
      </w:pPr>
      <w:r>
        <w:rPr>
          <w:rFonts w:ascii="Times New Roman" w:cs="Times New Roman" w:eastAsia="Times New Roman" w:hAnsi="Times New Roman"/>
          <w:sz w:val="18"/>
          <w:szCs w:val="18"/>
          <w:color w:val="auto"/>
        </w:rPr>
        <w:t>Shares issued under Employee Stock Purchase Plan</w:t>
      </w:r>
    </w:p>
    <w:p>
      <w:pPr>
        <w:spacing w:after="0" w:line="1" w:lineRule="exact"/>
        <w:rPr>
          <w:sz w:val="20"/>
          <w:szCs w:val="20"/>
          <w:color w:val="auto"/>
        </w:rPr>
      </w:pPr>
    </w:p>
    <w:p>
      <w:pPr>
        <w:ind w:left="60" w:right="420"/>
        <w:spacing w:after="0" w:line="233" w:lineRule="auto"/>
        <w:rPr>
          <w:sz w:val="20"/>
          <w:szCs w:val="20"/>
          <w:color w:val="auto"/>
        </w:rPr>
      </w:pPr>
      <w:r>
        <w:rPr>
          <w:rFonts w:ascii="Times New Roman" w:cs="Times New Roman" w:eastAsia="Times New Roman" w:hAnsi="Times New Roman"/>
          <w:sz w:val="18"/>
          <w:szCs w:val="18"/>
          <w:color w:val="auto"/>
        </w:rPr>
        <w:t xml:space="preserve">Repurchase of Class A common stock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Stock-based compensation</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Balance at June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top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359,602</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22,406.6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359,647</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27,739.0</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 June 30, 2025</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2"/>
                <w:szCs w:val="12"/>
                <w:color w:val="auto"/>
              </w:rPr>
            </w:pPr>
          </w:p>
        </w:tc>
        <w:tc>
          <w:tcPr>
            <w:tcW w:w="11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Common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3"/>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6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9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40" w:type="dxa"/>
            <w:vAlign w:val="bottom"/>
          </w:tcPr>
          <w:p>
            <w:pPr>
              <w:jc w:val="right"/>
              <w:ind w:right="72"/>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359,646</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22,419.6</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359,647</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-4842510</wp:posOffset>
            </wp:positionV>
            <wp:extent cx="711517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-4542790</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-4131310</wp:posOffset>
            </wp:positionV>
            <wp:extent cx="7115175"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-3719830</wp:posOffset>
            </wp:positionV>
            <wp:extent cx="7115175"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-3308350</wp:posOffset>
            </wp:positionV>
            <wp:extent cx="71151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-1868170</wp:posOffset>
            </wp:positionV>
            <wp:extent cx="709803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-1567815</wp:posOffset>
            </wp:positionV>
            <wp:extent cx="709803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-1156970</wp:posOffset>
            </wp:positionV>
            <wp:extent cx="7098030" cy="266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26606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-744855</wp:posOffset>
            </wp:positionV>
            <wp:extent cx="709803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2654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-333375</wp:posOffset>
            </wp:positionV>
            <wp:extent cx="709803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140"/>
            <w:col w:w="7680"/>
          </w:cols>
          <w:pgMar w:left="320" w:top="121" w:right="359" w:bottom="1440" w:gutter="0" w:footer="0" w:header="0"/>
          <w:type w:val="continuous"/>
        </w:sectPr>
      </w:pPr>
    </w:p>
    <w:p>
      <w:pPr>
        <w:spacing w:after="0" w:line="115" w:lineRule="exact"/>
        <w:rPr>
          <w:sz w:val="20"/>
          <w:szCs w:val="20"/>
          <w:color w:val="auto"/>
        </w:rPr>
      </w:pPr>
    </w:p>
    <w:p>
      <w:pPr>
        <w:ind w:right="80" w:firstLine="8"/>
        <w:spacing w:after="0" w:line="261" w:lineRule="auto"/>
        <w:tabs>
          <w:tab w:leader="none" w:pos="145"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December 2024, the board of directors approved a share repurchase program (the Share Repurchase Program), which authorizes the repurchase of up to $3.0 billion of CME Group Class A common stock at prevailing market prices. During the three and six months ended June 30, 2025, 32,265 shares of outstanding Class A common stock were repurchased at an average price of $253.05 per share for a total of $8.2 million. The remaining aggregate amount under the existing Share Repurchase Program is $2,991.8 million. Shares are retired upon repurchase and not held as treasury stock.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220345</wp:posOffset>
            </wp:positionV>
            <wp:extent cx="4946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3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p>
      <w:pPr>
        <w:spacing w:after="0" w:line="33" w:lineRule="exact"/>
        <w:rPr>
          <w:sz w:val="20"/>
          <w:szCs w:val="20"/>
          <w:color w:val="auto"/>
        </w:rPr>
      </w:pPr>
    </w:p>
    <w:tbl>
      <w:tblPr>
        <w:tblLayout w:type="fixed"/>
        <w:tblInd w:w="3440" w:type="dxa"/>
        <w:tblCellMar>
          <w:top w:w="0" w:type="dxa"/>
          <w:left w:w="0" w:type="dxa"/>
          <w:bottom w:w="0" w:type="dxa"/>
          <w:right w:w="0" w:type="dxa"/>
        </w:tblCellMar>
      </w:tblPr>
      <w:tr>
        <w:trPr>
          <w:trHeight w:val="151"/>
        </w:trPr>
        <w:tc>
          <w:tcPr>
            <w:tcW w:w="9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9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9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37"/>
        </w:trPr>
        <w:tc>
          <w:tcPr>
            <w:tcW w:w="960" w:type="dxa"/>
            <w:vAlign w:val="bottom"/>
            <w:vMerge w:val="continue"/>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vMerge w:val="continue"/>
          </w:tcPr>
          <w:p>
            <w:pPr>
              <w:spacing w:after="0"/>
              <w:rPr>
                <w:sz w:val="12"/>
                <w:szCs w:val="12"/>
                <w:color w:val="auto"/>
              </w:rPr>
            </w:pPr>
          </w:p>
        </w:tc>
        <w:tc>
          <w:tcPr>
            <w:tcW w:w="136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20" w:type="dxa"/>
            <w:vAlign w:val="bottom"/>
          </w:tcPr>
          <w:p>
            <w:pPr>
              <w:jc w:val="center"/>
              <w:ind w:left="6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3"/>
        </w:trPr>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40" w:right="280"/>
        <w:spacing w:after="0" w:line="242" w:lineRule="auto"/>
        <w:rPr>
          <w:sz w:val="20"/>
          <w:szCs w:val="20"/>
          <w:color w:val="auto"/>
        </w:rPr>
      </w:pPr>
      <w:r>
        <w:rPr>
          <w:rFonts w:ascii="Times New Roman" w:cs="Times New Roman" w:eastAsia="Times New Roman" w:hAnsi="Times New Roman"/>
          <w:sz w:val="18"/>
          <w:szCs w:val="18"/>
          <w:color w:val="auto"/>
        </w:rPr>
        <w:t>Dividends on common stock and preferred stock of $2.30 per share</w:t>
      </w:r>
    </w:p>
    <w:p>
      <w:pPr>
        <w:spacing w:after="0" w:line="1" w:lineRule="exact"/>
        <w:rPr>
          <w:sz w:val="20"/>
          <w:szCs w:val="20"/>
          <w:color w:val="auto"/>
        </w:rPr>
      </w:pPr>
    </w:p>
    <w:p>
      <w:pPr>
        <w:ind w:left="40" w:right="140"/>
        <w:spacing w:after="0" w:line="242"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Shares issued to Board of Directors</w:t>
      </w:r>
    </w:p>
    <w:p>
      <w:pPr>
        <w:spacing w:after="0" w:line="23" w:lineRule="exact"/>
        <w:rPr>
          <w:sz w:val="20"/>
          <w:szCs w:val="20"/>
          <w:color w:val="auto"/>
        </w:rPr>
      </w:pPr>
    </w:p>
    <w:p>
      <w:pPr>
        <w:ind w:left="40"/>
        <w:spacing w:after="0" w:line="242" w:lineRule="auto"/>
        <w:rPr>
          <w:sz w:val="20"/>
          <w:szCs w:val="20"/>
          <w:color w:val="auto"/>
        </w:rPr>
      </w:pPr>
      <w:r>
        <w:rPr>
          <w:rFonts w:ascii="Times New Roman" w:cs="Times New Roman" w:eastAsia="Times New Roman" w:hAnsi="Times New Roman"/>
          <w:sz w:val="18"/>
          <w:szCs w:val="18"/>
          <w:color w:val="auto"/>
        </w:rPr>
        <w:t>Shares issued under Employee Stock Purchase Plan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359,231</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22,338.3</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4,455.2</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26,737.9</w:t>
            </w:r>
          </w:p>
        </w:tc>
      </w:tr>
      <w:tr>
        <w:trPr>
          <w:trHeight w:val="230"/>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1,738.4</w:t>
            </w: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418"/>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41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3"/>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359,361</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27,635.8</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-1722120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-1422400</wp:posOffset>
            </wp:positionV>
            <wp:extent cx="711517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-1010920</wp:posOffset>
            </wp:positionV>
            <wp:extent cx="7115175"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-599440</wp:posOffset>
            </wp:positionV>
            <wp:extent cx="7115175"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-187960</wp:posOffset>
            </wp:positionV>
            <wp:extent cx="71151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274320</wp:posOffset>
            </wp:positionV>
            <wp:extent cx="4963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40"/>
            <w:col w:w="7780"/>
          </w:cols>
          <w:pgMar w:left="320" w:top="121" w:right="359" w:bottom="1440" w:gutter="0" w:footer="0" w:header="0"/>
          <w:type w:val="continuous"/>
        </w:sectPr>
      </w:pPr>
    </w:p>
    <w:p>
      <w:pPr>
        <w:spacing w:after="0" w:line="23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4"/>
          <w:szCs w:val="14"/>
          <w:b w:val="1"/>
          <w:bCs w:val="1"/>
          <w:color w:val="auto"/>
        </w:rPr>
        <w:t>Quarter Ended, June 30, 2024</w:t>
      </w:r>
    </w:p>
    <w:p>
      <w:pPr>
        <w:spacing w:after="0" w:line="33" w:lineRule="exact"/>
        <w:rPr>
          <w:sz w:val="20"/>
          <w:szCs w:val="20"/>
          <w:color w:val="auto"/>
        </w:rPr>
      </w:pPr>
    </w:p>
    <w:tbl>
      <w:tblPr>
        <w:tblLayout w:type="fixed"/>
        <w:tblInd w:w="3400" w:type="dxa"/>
        <w:tblCellMar>
          <w:top w:w="0" w:type="dxa"/>
          <w:left w:w="0" w:type="dxa"/>
          <w:bottom w:w="0" w:type="dxa"/>
          <w:right w:w="0" w:type="dxa"/>
        </w:tblCellMar>
      </w:tblPr>
      <w:tr>
        <w:trPr>
          <w:trHeight w:val="151"/>
        </w:trPr>
        <w:tc>
          <w:tcPr>
            <w:tcW w:w="9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9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tcPr>
          <w:p>
            <w:pPr>
              <w:spacing w:after="0"/>
              <w:rPr>
                <w:sz w:val="12"/>
                <w:szCs w:val="12"/>
                <w:color w:val="auto"/>
              </w:rPr>
            </w:pPr>
          </w:p>
        </w:tc>
        <w:tc>
          <w:tcPr>
            <w:tcW w:w="13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9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4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37"/>
        </w:trPr>
        <w:tc>
          <w:tcPr>
            <w:tcW w:w="960" w:type="dxa"/>
            <w:vAlign w:val="bottom"/>
            <w:vMerge w:val="continue"/>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vMerge w:val="continue"/>
          </w:tcPr>
          <w:p>
            <w:pPr>
              <w:spacing w:after="0"/>
              <w:rPr>
                <w:sz w:val="12"/>
                <w:szCs w:val="12"/>
                <w:color w:val="auto"/>
              </w:rPr>
            </w:pPr>
          </w:p>
        </w:tc>
        <w:tc>
          <w:tcPr>
            <w:tcW w:w="136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4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3"/>
        </w:trPr>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March 31, 2024</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60"/>
        <w:spacing w:after="0" w:line="242" w:lineRule="auto"/>
        <w:rPr>
          <w:sz w:val="20"/>
          <w:szCs w:val="20"/>
          <w:color w:val="auto"/>
        </w:rPr>
      </w:pPr>
      <w:r>
        <w:rPr>
          <w:rFonts w:ascii="Times New Roman" w:cs="Times New Roman" w:eastAsia="Times New Roman" w:hAnsi="Times New Roman"/>
          <w:sz w:val="18"/>
          <w:szCs w:val="18"/>
          <w:color w:val="auto"/>
        </w:rPr>
        <w:t>Dividends on common stock and preferred stock of $1.15 per share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Shares issued to Board of Directors</w:t>
      </w:r>
    </w:p>
    <w:p>
      <w:pPr>
        <w:spacing w:after="0" w:line="23" w:lineRule="exact"/>
        <w:rPr>
          <w:sz w:val="20"/>
          <w:szCs w:val="20"/>
          <w:color w:val="auto"/>
        </w:rPr>
      </w:pPr>
    </w:p>
    <w:p>
      <w:pPr>
        <w:ind w:left="60" w:right="400"/>
        <w:spacing w:after="0" w:line="242" w:lineRule="auto"/>
        <w:rPr>
          <w:sz w:val="20"/>
          <w:szCs w:val="20"/>
          <w:color w:val="auto"/>
        </w:rPr>
      </w:pPr>
      <w:r>
        <w:rPr>
          <w:rFonts w:ascii="Times New Roman" w:cs="Times New Roman" w:eastAsia="Times New Roman" w:hAnsi="Times New Roman"/>
          <w:sz w:val="18"/>
          <w:szCs w:val="18"/>
          <w:color w:val="auto"/>
        </w:rPr>
        <w:t>Shares issued under Employee Stock Purchase Plan</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Balance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359,322</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22,349.2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4,891.1</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27,154.2</w:t>
            </w:r>
          </w:p>
        </w:tc>
      </w:tr>
      <w:tr>
        <w:trPr>
          <w:trHeight w:val="230"/>
        </w:trPr>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w:t>
            </w: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14"/>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4"/>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359,361</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22,375.7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27,635.8</w:t>
            </w:r>
          </w:p>
        </w:tc>
      </w:tr>
      <w:tr>
        <w:trPr>
          <w:trHeight w:val="21"/>
        </w:trPr>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-2136140</wp:posOffset>
            </wp:positionH>
            <wp:positionV relativeFrom="paragraph">
              <wp:posOffset>-1456690</wp:posOffset>
            </wp:positionV>
            <wp:extent cx="709803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-1156970</wp:posOffset>
            </wp:positionV>
            <wp:extent cx="709803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-745490</wp:posOffset>
            </wp:positionV>
            <wp:extent cx="709803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-334010</wp:posOffset>
            </wp:positionV>
            <wp:extent cx="709803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120" w:space="280"/>
            <w:col w:w="7820"/>
          </w:cols>
          <w:pgMar w:left="320" w:top="121"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1,738.4</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r>
      <w:tr>
        <w:trPr>
          <w:trHeight w:val="23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3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1,669.6</w:t>
            </w:r>
          </w:p>
        </w:tc>
      </w:tr>
      <w:tr>
        <w:trPr>
          <w:trHeight w:val="237"/>
        </w:trPr>
        <w:tc>
          <w:tcPr>
            <w:tcW w:w="8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right="3660"/>
        <w:spacing w:after="0" w:line="292" w:lineRule="auto"/>
        <w:rPr>
          <w:sz w:val="20"/>
          <w:szCs w:val="20"/>
          <w:color w:val="auto"/>
        </w:rPr>
      </w:pPr>
      <w:r>
        <w:rPr>
          <w:rFonts w:ascii="Times New Roman" w:cs="Times New Roman" w:eastAsia="Times New Roman" w:hAnsi="Times New Roman"/>
          <w:sz w:val="18"/>
          <w:szCs w:val="18"/>
          <w:color w:val="auto"/>
        </w:rPr>
        <w:t>Proceeds from maturities of available-for-sale marketable securities Purchases of available-for-sale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266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Purchases of property, net</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in privately-held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Proceeds from sales of investments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4.8</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(3.8)</w:t>
      </w:r>
    </w:p>
    <w:p>
      <w:pPr>
        <w:spacing w:after="0" w:line="218"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7"/>
          <w:szCs w:val="17"/>
          <w:color w:val="auto"/>
        </w:rPr>
        <w:t>(32.6)</w:t>
      </w:r>
    </w:p>
    <w:p>
      <w:pPr>
        <w:spacing w:after="0" w:line="3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(2.4)</w:t>
      </w:r>
    </w:p>
    <w:p>
      <w:pPr>
        <w:spacing w:after="0" w:line="23"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14605</wp:posOffset>
            </wp:positionV>
            <wp:extent cx="8655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3.3</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(38.0)</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14605</wp:posOffset>
            </wp:positionV>
            <wp:extent cx="8661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(27.8)</w:t>
      </w:r>
    </w:p>
    <w:p>
      <w:pPr>
        <w:spacing w:after="0" w:line="27" w:lineRule="exact"/>
        <w:rPr>
          <w:sz w:val="20"/>
          <w:szCs w:val="20"/>
          <w:color w:val="auto"/>
        </w:rPr>
      </w:pPr>
    </w:p>
    <w:p>
      <w:pPr>
        <w:sectPr>
          <w:pgSz w:w="11900" w:h="16838" w:orient="portrait"/>
          <w:cols w:equalWidth="0" w:num="3">
            <w:col w:w="8580" w:space="720"/>
            <w:col w:w="740" w:space="720"/>
            <w:col w:w="4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37"/>
        </w:trPr>
        <w:tc>
          <w:tcPr>
            <w:tcW w:w="838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 net of issuance costs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(2,746.9)</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Class A common stock, including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performance bond and guaranty fund contributions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(4,522.5)</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taxes paid on restricted stock vesting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40,210.6</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79"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restricted cash and restricted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(5,644.6)</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beginning of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93,109.7</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87,465.1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restricted cash and restricted cash equivalents: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1,789.9</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restricted cash equivalents (performance bonds and guaranty fund contributions)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85,670.0</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87,465.1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operated by CME.</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adjustments (consisting only of normal recurring adjustments) considered necessary to present fairly the financial position of the company at June 30, 2025 and December 31, 2024 and the results of operations and cash flows for the periods indicated. Quarterly results are not necessarily indicative of results for any subsequent period.</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should be read in conjunction with the consolidated financial statements and notes thereto in CME Group’s Annual Report on Form 10-K for the year ended December 31, 2024, filed with the Securities and Exchange Commission (SEC) on February 27,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customers from the following sources:</w:t>
      </w:r>
    </w:p>
    <w:p>
      <w:pPr>
        <w:spacing w:after="0" w:line="11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per-contract charges for trade matching, clearing, trading on the company's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platforms, portfolio reconciliation and compression services, risk mitigation, and other fees.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the number of contracts remaining in open interest at the end of each period.</w:t>
      </w:r>
    </w:p>
    <w:p>
      <w:pPr>
        <w:spacing w:after="0" w:line="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4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from the dissemination of market data to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6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revenues include certain access and communication fees, fees for collateral management, equity membership subscription fees,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The company also has an equity membership program which provides equity members the option to pay a monthly subscription fee in satisfaction of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by product line for the quarters and six months ended June 30, 2025 and 2024:</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00" w:type="dxa"/>
            <w:vAlign w:val="bottom"/>
          </w:tcPr>
          <w:p>
            <w:pPr>
              <w:spacing w:after="0"/>
              <w:rPr>
                <w:sz w:val="13"/>
                <w:szCs w:val="13"/>
                <w:color w:val="auto"/>
              </w:rPr>
            </w:pPr>
          </w:p>
        </w:tc>
        <w:tc>
          <w:tcPr>
            <w:tcW w:w="192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4"/>
        </w:trPr>
        <w:tc>
          <w:tcPr>
            <w:tcW w:w="6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r>
      <w:tr>
        <w:trPr>
          <w:trHeight w:val="196"/>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clearing and transaction fees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2,458.8</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r>
              <w:rPr>
                <w:rFonts w:ascii="Times New Roman" w:cs="Times New Roman" w:eastAsia="Times New Roman" w:hAnsi="Times New Roman"/>
                <w:sz w:val="18"/>
                <w:szCs w:val="18"/>
                <w:u w:val="single" w:color="auto"/>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2,407.5</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r>
      <w:tr>
        <w:trPr>
          <w:trHeight w:val="229"/>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r>
              <w:rPr>
                <w:rFonts w:ascii="Times New Roman" w:cs="Times New Roman" w:eastAsia="Times New Roman" w:hAnsi="Times New Roman"/>
                <w:sz w:val="18"/>
                <w:szCs w:val="18"/>
                <w:u w:val="single" w:color="auto"/>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the second quarter of 2025 were not materially impacted by any other factors. The balance of contract liabilities was $47.6 million and $15.6 million as of June 30, 2025 and December 31, 2024,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Performance Bonds and Guaranty Fund Contributions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Bonds and Guaranty Fund Contribution Reinvestment. </w:t>
      </w:r>
      <w:r>
        <w:rPr>
          <w:rFonts w:ascii="Times New Roman" w:cs="Times New Roman" w:eastAsia="Times New Roman" w:hAnsi="Times New Roman"/>
          <w:sz w:val="18"/>
          <w:szCs w:val="18"/>
          <w:color w:val="auto"/>
        </w:rPr>
        <w:t>CME reinvests cash performance bonds and guaranty fund contributions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distributes a portion of the interest earned back to the clearing firms. The reinvestment of cash can include certain commercial and central bank deposits, government securities, reverse repurchase agreements, and money market funds. CME has been designated as a systemically important financial market utility by the Financial Stability Oversight Council and is authorized to maintain cash accounts at the Federal Reserve Bank of Chicago. At June 30, 2025, CME maintained $131.4 billion within the cash account at the Federal Reserve Bank of Chicago. The cash deposit at the Federal Reserve Bank of Chicago is included within performance bonds and guaranty fund contributions on the consolidated balance sheets. Cash performance bonds and guaranty fund contributions are included as restricted cash and restricted cash equivalents on the consolidated statements of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and first six months of 2025, earnings from cash performance bond and guaranty fund contributions were $1,487.6 million and</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$2,361.2 million, respectively, compared with $1,007.6 million and $2,044.3 million in the second quarter and first six months of 2024, respectively. In the second quarter and first six months of 2025, expenses related to the distribution of interest earned on collateral reinvestments were $1,374.5 million and $2,179.3 million, respectively, compared with $939.4 million and $1,906.9 million in the second quarter and first six months of 2024, respectively. The earnings from cash performance bonds and guaranty fund contributions are included in investment income and the expense related to the distribution of interest earned is included in other non-operating income (expense) on the consolidated statements of income.</w:t>
      </w:r>
    </w:p>
    <w:p>
      <w:pPr>
        <w:spacing w:after="0" w:line="77"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Clearing House Contract Settlement. </w:t>
      </w:r>
      <w:r>
        <w:rPr>
          <w:rFonts w:ascii="Times New Roman" w:cs="Times New Roman" w:eastAsia="Times New Roman" w:hAnsi="Times New Roman"/>
          <w:sz w:val="18"/>
          <w:szCs w:val="18"/>
          <w:color w:val="auto"/>
        </w:rPr>
        <w:t>The clearing house marks-to-market open positions at least once a day (twice a day for all futures and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Based on values derived from the mark-to-market process, the clearing house requires payments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clearing firms whose positions have lost value and makes payments to clearing firms whose positions have gained value. Under the extremely unlikely scenario of simultaneous default by every clearing firm who has open positions with unrealized losses, the maximum exposure related to positions other than cleared-only interest rate swap contracts would be one half day of changes in fair value of all open positions, before considering the clearing house’s ability to access defaulting clearing firms' collateral deposits.</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first six months of 2025, the clearing house transferred an average of approximately $7.3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firm and the estimated probability of potential payouts by the clearing house. Based on the assessment performed, management estimates the guarantee liability to be nominal and therefore has not recorded any liability at June 30, 2025 and December 31, 2024. The company does not have a history of significant losses recognized on performance bond collateral as posted by our clearing members, and management currently does not anticipate any future credit losses on its performance bond assets. Accordingly, the company has not provided an allowance for credit losses on these performance bond deposits, nor has it recorded any liabilities to reflect an allowance for credit losses related to our off-balance sheet credit exposures and guarantees.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 and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June 30, 2025 and December 31, 2024:</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1"/>
                <w:szCs w:val="11"/>
                <w:color w:val="auto"/>
              </w:rPr>
            </w:pPr>
          </w:p>
        </w:tc>
        <w:tc>
          <w:tcPr>
            <w:tcW w:w="860" w:type="dxa"/>
            <w:vAlign w:val="bottom"/>
          </w:tcPr>
          <w:p>
            <w:pPr>
              <w:jc w:val="right"/>
              <w:ind w:right="196"/>
              <w:spacing w:after="0" w:line="12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1"/>
                <w:szCs w:val="11"/>
                <w:color w:val="auto"/>
              </w:rPr>
            </w:pPr>
          </w:p>
        </w:tc>
        <w:tc>
          <w:tcPr>
            <w:tcW w:w="860" w:type="dxa"/>
            <w:vAlign w:val="bottom"/>
          </w:tcPr>
          <w:p>
            <w:pPr>
              <w:jc w:val="right"/>
              <w:ind w:right="176"/>
              <w:spacing w:after="0" w:line="12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0" w:type="dxa"/>
            <w:vAlign w:val="bottom"/>
          </w:tcPr>
          <w:p>
            <w:pPr>
              <w:spacing w:after="0"/>
              <w:rPr>
                <w:sz w:val="1"/>
                <w:szCs w:val="1"/>
                <w:color w:val="auto"/>
              </w:rPr>
            </w:pPr>
          </w:p>
        </w:tc>
      </w:tr>
      <w:tr>
        <w:trPr>
          <w:trHeight w:val="176"/>
        </w:trPr>
        <w:tc>
          <w:tcPr>
            <w:tcW w:w="466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firm, market data and other customer relationships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2,259.1</w:t>
            </w:r>
          </w:p>
        </w:tc>
        <w:tc>
          <w:tcPr>
            <w:tcW w:w="3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 other,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Trading products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40" w:hanging="328"/>
        <w:spacing w:after="0" w:line="269"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Total amortization expense for intangible assets was $56.1 million and $55.5 million for the quarters ended June 30, 2025 and 2024, respectively. Total amortization expense for intangible assets was $111.3 million and $110.7 million for the six months ended June 30, 2025 and 2024, respectively. During the six months ended June 30, 2025, the net book value of amortizable intangible assets included $18.3 million of foreign currency translation for the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future estimated amortization expense related to amortizable intangible assets is expected to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60" w:type="dxa"/>
            <w:vAlign w:val="bottom"/>
          </w:tcPr>
          <w:p>
            <w:pPr>
              <w:spacing w:after="0"/>
              <w:rPr>
                <w:sz w:val="16"/>
                <w:szCs w:val="16"/>
                <w:color w:val="auto"/>
              </w:rPr>
            </w:pPr>
          </w:p>
        </w:tc>
        <w:tc>
          <w:tcPr>
            <w:tcW w:w="19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52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4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periods ended June 30, 2025 and December 31, 2024</w:t>
      </w:r>
      <w:r>
        <w:rPr>
          <w:rFonts w:ascii="Times New Roman" w:cs="Times New Roman" w:eastAsia="Times New Roman" w:hAnsi="Times New Roman"/>
          <w:sz w:val="16"/>
          <w:szCs w:val="16"/>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0" w:type="dxa"/>
            <w:vAlign w:val="bottom"/>
          </w:tcPr>
          <w:p>
            <w:pPr>
              <w:spacing w:after="0"/>
              <w:rPr>
                <w:sz w:val="1"/>
                <w:szCs w:val="1"/>
                <w:color w:val="auto"/>
              </w:rPr>
            </w:pPr>
          </w:p>
        </w:tc>
      </w:tr>
      <w:tr>
        <w:trPr>
          <w:trHeight w:val="23"/>
        </w:trPr>
        <w:tc>
          <w:tcPr>
            <w:tcW w:w="390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10,495.3</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5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10,486.9</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5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5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jc w:val="right"/>
              <w:ind w:right="361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90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debt consisted of the following at June 30, 2025 and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$750.0 million fixed rate notes due March 2025, stated rate of 3.00% </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1320" w:type="dxa"/>
            <w:vAlign w:val="bottom"/>
            <w:tcBorders>
              <w:top w:val="single" w:sz="8" w:color="auto"/>
              <w:bottom w:val="single" w:sz="8" w:color="auto"/>
            </w:tcBorders>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w:t>
            </w:r>
          </w:p>
        </w:tc>
      </w:tr>
      <w:tr>
        <w:trPr>
          <w:trHeight w:val="20"/>
        </w:trPr>
        <w:tc>
          <w:tcPr>
            <w:tcW w:w="7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440" w:hanging="328"/>
        <w:spacing w:after="0" w:line="245"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at June 30, 2025 and December 31,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 stated rate of 3.75%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r>
      <w:tr>
        <w:trPr>
          <w:trHeight w:val="22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2030, stated rate of 4.40%</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 stated rate of 2.65%</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r>
      <w:tr>
        <w:trPr>
          <w:trHeight w:val="229"/>
        </w:trPr>
        <w:tc>
          <w:tcPr>
            <w:tcW w:w="7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million fixed rate notes due September 2043, stated rate of 5.30%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r>
      <w:tr>
        <w:trPr>
          <w:trHeight w:val="229"/>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 stated rate of 4.15%</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r>
      <w:tr>
        <w:trPr>
          <w:trHeight w:val="22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2,678.2</w:t>
            </w: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60" w:right="440" w:hanging="328"/>
        <w:spacing w:after="0" w:line="280"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maturities, at par value, were as follows at June 30,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00" w:type="dxa"/>
            <w:vAlign w:val="bottom"/>
          </w:tcPr>
          <w:p>
            <w:pPr>
              <w:spacing w:after="0"/>
              <w:rPr>
                <w:sz w:val="16"/>
                <w:szCs w:val="16"/>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53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Contingencies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the normal course of business, the company discusses matters with its regulators raised during regulatory examinations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7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In early 2024, the defendants moved for summary judgment on all claims. On April 16, 2025, the court granted the motion in part and denied the motion in part, and set the remaining claims for a jury trial. The trial commenced on July 7, 2025, and a verdict is expected before the end of July. Based on its investigation to date, the company believes that it has strong factual and legal defenses to the claims. In the unlikely event defendants were found to be liable at trial, the company at this time is unable to estimate the reasonably possible loss or range of reasonably possible losses, given the uncertainty of factors that may potentially affect the resolution of the matter.</w:t>
      </w:r>
    </w:p>
    <w:p>
      <w:pPr>
        <w:spacing w:after="0" w:line="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 No accrual was required for contingent legal and regulatory matters as none were probable and estimable as of June 30, 2025 and December 31, 2024.</w:t>
      </w:r>
    </w:p>
    <w:p>
      <w:pPr>
        <w:spacing w:after="0" w:line="7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Intellectual Property Indemnifications</w:t>
      </w:r>
      <w:r>
        <w:rPr>
          <w:rFonts w:ascii="Times New Roman" w:cs="Times New Roman" w:eastAsia="Times New Roman" w:hAnsi="Times New Roman"/>
          <w:sz w:val="18"/>
          <w:szCs w:val="18"/>
          <w:color w:val="auto"/>
        </w:rPr>
        <w:t>. Certain agreements with customers and other third parties related to accessing the CME Group platforms, utilizing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data services and licensing CME SPAN and SPAN 2 software may contain indemnifications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operating leases for corporate offices. The operating leases have remaining lease terms of up to 13 years, some of which include options to extend or renew the leases for up to an additional five years, and some of which include options to early terminate the leases in less than 12 months. Management evaluates whether these options are exercisable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has one finance lease, which is related to the sale of our data center in March 2016. In connection with the sale, the company leased back a portion of the property. The transaction was recognized under the financing method and not as a sale leaseback arrangement.</w:t>
      </w:r>
    </w:p>
    <w:p>
      <w:pPr>
        <w:spacing w:after="0" w:line="40"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r>
      <w:tr>
        <w:trPr>
          <w:trHeight w:val="194"/>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196"/>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 included in other expense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9"/>
        </w:trPr>
        <w:tc>
          <w:tcPr>
            <w:tcW w:w="4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revenue included in other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00" w:type="dxa"/>
            <w:vAlign w:val="bottom"/>
            <w:gridSpan w:val="2"/>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40" w:type="dxa"/>
            <w:vAlign w:val="bottom"/>
            <w:gridSpan w:val="2"/>
          </w:tcPr>
          <w:p>
            <w:pPr>
              <w:jc w:val="center"/>
              <w:ind w:left="6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tcPr>
          <w:p>
            <w:pPr>
              <w:spacing w:after="0"/>
              <w:rPr>
                <w:sz w:val="13"/>
                <w:szCs w:val="13"/>
                <w:color w:val="auto"/>
              </w:rPr>
            </w:pPr>
          </w:p>
        </w:tc>
      </w:tr>
      <w:tr>
        <w:trPr>
          <w:trHeight w:val="194"/>
        </w:trPr>
        <w:tc>
          <w:tcPr>
            <w:tcW w:w="3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r>
      <w:tr>
        <w:trPr>
          <w:trHeight w:val="196"/>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outflows for operating leases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15.2</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30.3</w:t>
            </w:r>
          </w:p>
        </w:tc>
        <w:tc>
          <w:tcPr>
            <w:tcW w:w="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outflows for finance leases</w:t>
            </w:r>
          </w:p>
        </w:tc>
        <w:tc>
          <w:tcPr>
            <w:tcW w:w="44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4.3</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8.7</w:t>
            </w:r>
          </w:p>
        </w:tc>
        <w:tc>
          <w:tcPr>
            <w:tcW w:w="7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6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217.8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9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44.6</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5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253.3</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297.9</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2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6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9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49.8</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5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46.3</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5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55.1</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432"/>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minimum lease payments were as follows as of June 30, 2025 for operating and finance leases:</w:t>
            </w: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46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5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5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6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6"/>
                <w:szCs w:val="16"/>
                <w:color w:val="auto"/>
              </w:rPr>
            </w:pPr>
          </w:p>
        </w:tc>
        <w:tc>
          <w:tcPr>
            <w:tcW w:w="18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9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48"/>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Guarantees</w:t>
      </w:r>
    </w:p>
    <w:p>
      <w:pPr>
        <w:spacing w:after="0" w:line="1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maintain a mutual offset agreement with a current term through April 2027.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enables market participants to open a futures position on one exchange and liquidate it on the other. The term of the agreement will automatically renew for a two-year period after April 2027 unless either party provides advance notice of their intent to terminate. CME can maintain collateral in the form of irrevocable, standby letters of credit. At June 30, 2025, CME was contingently liable to SGX on letters of credit totaling $400.0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June 30, 2025 and December 31, 2024.</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2012, the company established the Family Farmer and Rancher Protection Fund (the Fund). The Fund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nominal and therefore has not recorded any liability at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13"/>
                <w:szCs w:val="13"/>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24"/>
                <w:szCs w:val="24"/>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17"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level 2 assets and liabilities generally consist of long-term debt notes. The fair values of the long-term debt notes were based on quoted market prices in an inactive market.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level 3 assets and liabilities include certain investments that were adjusted to fair value.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Recurring Fair Value Measurements. </w:t>
      </w:r>
      <w:r>
        <w:rPr>
          <w:rFonts w:ascii="Times New Roman" w:cs="Times New Roman" w:eastAsia="Times New Roman" w:hAnsi="Times New Roman"/>
          <w:sz w:val="18"/>
          <w:szCs w:val="18"/>
          <w:color w:val="auto"/>
        </w:rPr>
        <w:t>Financial assets and liabilities recorded at fair value on the consolidated balance sheet as of June 30, 2025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 their entirety based on the lowest level of input that was significant to each asset and liability’s fair value measurement. The following table presents financial instruments measured at fair value on a recurring basis: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5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Non-Recurring Fair Value Measurements. </w:t>
      </w:r>
      <w:r>
        <w:rPr>
          <w:rFonts w:ascii="Times New Roman" w:cs="Times New Roman" w:eastAsia="Times New Roman" w:hAnsi="Times New Roman"/>
          <w:sz w:val="18"/>
          <w:szCs w:val="18"/>
          <w:color w:val="auto"/>
        </w:rPr>
        <w:t>The company recognized an unrealized gain on investments of $1.4 million on an equity investment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readily determinable fair value during the first six months of 2025. The fair value of this investment was estimated to be $10.2 million at June 30, 2025. This fair value assessment was based on quantitative factors, including observable price changes. The fair value measurement of this investment is considered level 3 and non-recurring. This investment is included in other assets on the consolidated balance sheet.</w:t>
      </w:r>
    </w:p>
    <w:p>
      <w:pPr>
        <w:spacing w:after="0" w:line="12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Values of Debt Notes. </w:t>
      </w:r>
      <w:r>
        <w:rPr>
          <w:rFonts w:ascii="Times New Roman" w:cs="Times New Roman" w:eastAsia="Times New Roman" w:hAnsi="Times New Roman"/>
          <w:sz w:val="18"/>
          <w:szCs w:val="18"/>
          <w:color w:val="auto"/>
        </w:rPr>
        <w:t>The following presents the estimated fair values of short-term and long-term debt notes, which are carried at amortized cost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balance sheets. The fair values below are classified as level 2 under the fair value hierarchy and were estimated using quoted market prices in inactive markets.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the fair values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4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28"/>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w:t>
            </w:r>
          </w:p>
        </w:tc>
        <w:tc>
          <w:tcPr>
            <w:tcW w:w="54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497.4</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2030</w:t>
            </w:r>
          </w:p>
        </w:tc>
        <w:tc>
          <w:tcPr>
            <w:tcW w:w="54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754.6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w:t>
            </w:r>
          </w:p>
        </w:tc>
        <w:tc>
          <w:tcPr>
            <w:tcW w:w="54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672.3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September 2043</w:t>
            </w:r>
          </w:p>
        </w:tc>
        <w:tc>
          <w:tcPr>
            <w:tcW w:w="54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755.0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w:t>
            </w:r>
          </w:p>
        </w:tc>
        <w:tc>
          <w:tcPr>
            <w:tcW w:w="54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591.4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878"/>
        </w:trPr>
        <w:tc>
          <w:tcPr>
            <w:tcW w:w="4640" w:type="dxa"/>
            <w:vAlign w:val="bottom"/>
          </w:tcPr>
          <w:p>
            <w:pPr>
              <w:spacing w:after="0"/>
              <w:rPr>
                <w:sz w:val="24"/>
                <w:szCs w:val="24"/>
                <w:color w:val="auto"/>
              </w:rPr>
            </w:pPr>
          </w:p>
        </w:tc>
        <w:tc>
          <w:tcPr>
            <w:tcW w:w="5460" w:type="dxa"/>
            <w:vAlign w:val="bottom"/>
          </w:tcPr>
          <w:p>
            <w:pPr>
              <w:jc w:val="right"/>
              <w:ind w:right="4293"/>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uses the two-class method to calculate basic and diluted earnings per common share because its Series G preferred stock are participating securities. Under the two-class method, undistributed earnings are allocated to common stock and participating securities according to their respective rights in undistributed earnings, as if all of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Preferred stock also receives a proportionate allocation of undistributed or overdistributed earnings for the period because Series G preferred stock has a contractual obligation to share in profits and losses of the company. Diluted earnings per share is computed by dividing the net income attributable to common shareholders by the weighted average number of common shares outstanding plus potentially dilutive common shares. Anti-dilutive stock awards were as follows for the periods presented: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62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4"/>
        </w:trPr>
        <w:tc>
          <w:tcPr>
            <w:tcW w:w="646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162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
        </w:trPr>
        <w:tc>
          <w:tcPr>
            <w:tcW w:w="6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earnings per share calculation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18"/>
                <w:szCs w:val="18"/>
                <w:i w:val="1"/>
                <w:iCs w:val="1"/>
                <w:color w:val="auto"/>
              </w:rPr>
              <w:t>(in millions)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earnings allocated to preferred stock</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 of CME Group</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1,716.5</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Number of Common Shares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359,294</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restricted stock and performance shares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359,852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Common Shareholders of CME Group: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4"/>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business is conducted through one reportable business segment, CME Group consolidated. The company has one operating segment as this is the level at which resource allocation and operating decisions regarding company performance are evaluated and determined by the senior leadership team.</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(CODM) reviews the financial results of CME Group consolidated on an ongoing basis throughout the year. As a single segment, the segment profitability measure is consolidated net income. Consolidated net income informs key operating decisions as made by the CODM, which include bonus allocation, discretionary share-based awards, liquidity and cash needs, new product development, existing product expansion, and product discontinuation. Consolidated net income is deemed the best indicator of segment performance. Segment assets are not reported to, or used by, the CODM to allocate resources or to assess performance.</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CODM evaluates current period consolidated net income performance as compared to prior periods, budgeted results, and forecasts. The CODM reviews consolidated revenues as disaggregated by the following: clearing and transaction fees as a combination of rate per contract and average daily volume for each major asset class, market data fee revenue, and other revenue. The significant expense categories are consistent with those presented on the face of the consolidated statements of income. The components of non-operating income are also reviewed by the CODM. It is noted that the level of financial information provided to the CODM is consistent with the financial statement line items as disclosed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The company has determined that there were no subsequent events that met the requirement for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2024, filed with the SEC on February 27, 2025.</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00" w:type="dxa"/>
            <w:vAlign w:val="bottom"/>
          </w:tcPr>
          <w:p>
            <w:pPr>
              <w:spacing w:after="0"/>
              <w:rPr>
                <w:sz w:val="13"/>
                <w:szCs w:val="13"/>
                <w:color w:val="auto"/>
              </w:rPr>
            </w:pPr>
          </w:p>
        </w:tc>
      </w:tr>
      <w:tr>
        <w:trPr>
          <w:trHeight w:val="194"/>
        </w:trPr>
        <w:tc>
          <w:tcPr>
            <w:tcW w:w="3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data)</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96"/>
              </w:rPr>
              <w:t>1,692.0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6"/>
              </w:rPr>
              <w:t>1,532.5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3,334.3</w:t>
            </w:r>
          </w:p>
        </w:tc>
        <w:tc>
          <w:tcPr>
            <w:tcW w:w="4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3,020.4</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562.7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531.9</w:t>
            </w:r>
          </w:p>
        </w:tc>
        <w:tc>
          <w:tcPr>
            <w:tcW w:w="120" w:type="dxa"/>
            <w:vAlign w:val="bottom"/>
          </w:tcPr>
          <w:p>
            <w:pPr>
              <w:spacing w:after="0"/>
              <w:rPr>
                <w:sz w:val="19"/>
                <w:szCs w:val="19"/>
                <w:color w:val="auto"/>
              </w:rPr>
            </w:pP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1,097.0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1,060.2</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67.1 %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64.9 %</w:t>
            </w:r>
          </w:p>
        </w:tc>
        <w:tc>
          <w:tcPr>
            <w:tcW w:w="1300" w:type="dxa"/>
            <w:vAlign w:val="bottom"/>
            <w:shd w:val="clear" w:color="auto" w:fill="CCEEFF"/>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7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Pr>
          <w:p>
            <w:pPr>
              <w:spacing w:after="0"/>
              <w:rPr>
                <w:sz w:val="19"/>
                <w:szCs w:val="19"/>
                <w:color w:val="auto"/>
              </w:rPr>
            </w:pP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337.8</w:t>
            </w: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307.7</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23.3 %</w:t>
            </w:r>
          </w:p>
        </w:tc>
        <w:tc>
          <w:tcPr>
            <w:tcW w:w="1300" w:type="dxa"/>
            <w:vAlign w:val="bottom"/>
            <w:shd w:val="clear" w:color="auto" w:fill="CCEEFF"/>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7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96"/>
              </w:rPr>
              <w:t>1,025.1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883.2</w:t>
            </w:r>
          </w:p>
        </w:tc>
        <w:tc>
          <w:tcPr>
            <w:tcW w:w="120" w:type="dxa"/>
            <w:vAlign w:val="bottom"/>
          </w:tcPr>
          <w:p>
            <w:pPr>
              <w:spacing w:after="0"/>
              <w:rPr>
                <w:sz w:val="19"/>
                <w:szCs w:val="19"/>
                <w:color w:val="auto"/>
              </w:rPr>
            </w:pP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1,981.3</w:t>
            </w: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1,738.4</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4.77</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2,175.1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1,669.6</w:t>
            </w:r>
          </w:p>
        </w:tc>
        <w:tc>
          <w:tcPr>
            <w:tcW w:w="60" w:type="dxa"/>
            <w:vAlign w:val="bottom"/>
          </w:tcPr>
          <w:p>
            <w:pPr>
              <w:spacing w:after="0"/>
              <w:rPr>
                <w:sz w:val="20"/>
                <w:szCs w:val="20"/>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3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00" w:type="dxa"/>
            <w:vAlign w:val="bottom"/>
          </w:tcPr>
          <w:p>
            <w:pPr>
              <w:spacing w:after="0"/>
              <w:rPr>
                <w:sz w:val="23"/>
                <w:szCs w:val="23"/>
                <w:color w:val="auto"/>
              </w:rPr>
            </w:pPr>
          </w:p>
        </w:tc>
      </w:tr>
      <w:tr>
        <w:trPr>
          <w:trHeight w:val="196"/>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1,249.9</w:t>
            </w:r>
          </w:p>
        </w:tc>
        <w:tc>
          <w:tcPr>
            <w:tcW w:w="16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11 %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2,725.3</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2,458.8</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w:t>
            </w:r>
          </w:p>
        </w:tc>
        <w:tc>
          <w:tcPr>
            <w:tcW w:w="1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107.6</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1,532.5</w:t>
            </w:r>
          </w:p>
        </w:tc>
        <w:tc>
          <w:tcPr>
            <w:tcW w:w="1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3,020.4</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Clearing and Transaction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Futures and Options Contracts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trading volume for the cash markets business and interest rate swaps volume.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3"/>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60" w:type="dxa"/>
            <w:vAlign w:val="bottom"/>
          </w:tcPr>
          <w:p>
            <w:pPr>
              <w:spacing w:after="0"/>
              <w:rPr>
                <w:sz w:val="13"/>
                <w:szCs w:val="13"/>
                <w:color w:val="auto"/>
              </w:rPr>
            </w:pPr>
          </w:p>
        </w:tc>
      </w:tr>
      <w:tr>
        <w:trPr>
          <w:trHeight w:val="194"/>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volume (in millions)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1,873.4</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w:t>
            </w: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3,689.3</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3,242.3</w:t>
            </w:r>
          </w:p>
        </w:tc>
        <w:tc>
          <w:tcPr>
            <w:tcW w:w="1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1,292.8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1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2,538.3</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2,274.0</w:t>
            </w:r>
          </w:p>
        </w:tc>
        <w:tc>
          <w:tcPr>
            <w:tcW w:w="13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0.690</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0.708</w:t>
            </w:r>
          </w:p>
        </w:tc>
        <w:tc>
          <w:tcPr>
            <w:tcW w:w="14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0.688</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0.701</w:t>
            </w: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estimate the following net changes in clearing and transaction fees based on the changes in total contract volumes and the changes in average rate per contract for futures and options during the second quarter and first six months of 2025 when compared with the same periods in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3"/>
                <w:szCs w:val="13"/>
                <w:color w:val="auto"/>
              </w:rPr>
            </w:pPr>
          </w:p>
        </w:tc>
        <w:tc>
          <w:tcPr>
            <w:tcW w:w="10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95"/>
        </w:trPr>
        <w:tc>
          <w:tcPr>
            <w:tcW w:w="8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2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to change in total contract volume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307.6</w:t>
            </w:r>
          </w:p>
        </w:tc>
        <w:tc>
          <w:tcPr>
            <w:tcW w:w="0" w:type="dxa"/>
            <w:vAlign w:val="bottom"/>
          </w:tcPr>
          <w:p>
            <w:pPr>
              <w:spacing w:after="0"/>
              <w:rPr>
                <w:sz w:val="1"/>
                <w:szCs w:val="1"/>
                <w:color w:val="auto"/>
              </w:rPr>
            </w:pPr>
          </w:p>
        </w:tc>
      </w:tr>
      <w:tr>
        <w:trPr>
          <w:trHeight w:val="22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due to change in average rate per contract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increases in clearing and transaction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Volume</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140" w:type="dxa"/>
            <w:vAlign w:val="bottom"/>
          </w:tcPr>
          <w:p>
            <w:pPr>
              <w:spacing w:after="0"/>
              <w:rPr>
                <w:sz w:val="13"/>
                <w:szCs w:val="13"/>
                <w:color w:val="auto"/>
              </w:rPr>
            </w:pPr>
          </w:p>
        </w:tc>
        <w:tc>
          <w:tcPr>
            <w:tcW w:w="2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3"/>
                <w:szCs w:val="13"/>
                <w:color w:val="auto"/>
              </w:rPr>
            </w:pPr>
          </w:p>
        </w:tc>
      </w:tr>
      <w:tr>
        <w:trPr>
          <w:trHeight w:val="196"/>
        </w:trPr>
        <w:tc>
          <w:tcPr>
            <w:tcW w:w="4760" w:type="dxa"/>
            <w:vAlign w:val="bottom"/>
          </w:tcPr>
          <w:p>
            <w:pPr>
              <w:spacing w:after="0"/>
              <w:rPr>
                <w:sz w:val="17"/>
                <w:szCs w:val="17"/>
                <w:color w:val="auto"/>
              </w:rPr>
            </w:pPr>
          </w:p>
        </w:tc>
        <w:tc>
          <w:tcPr>
            <w:tcW w:w="1420" w:type="dxa"/>
            <w:vAlign w:val="bottom"/>
            <w:tcBorders>
              <w:bottom w:val="single" w:sz="8" w:color="auto"/>
            </w:tcBorders>
            <w:gridSpan w:val="3"/>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Borders>
              <w:bottom w:val="single" w:sz="8" w:color="auto"/>
            </w:tcBorders>
            <w:gridSpan w:val="3"/>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0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15,472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12,895</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20 %</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15,252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13,359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6,779</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6,817</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1,075</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1,877</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1,738</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2,447</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26</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2,429</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868</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773</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30,217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25,941</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29,994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26,146</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CME Globex</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28,097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24,143</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27,916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24,065</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outcry</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825</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1,074</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Privately negotiated</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973</w:t>
            </w:r>
          </w:p>
        </w:tc>
        <w:tc>
          <w:tcPr>
            <w:tcW w:w="1140" w:type="dxa"/>
            <w:vAlign w:val="bottom"/>
            <w:tcBorders>
              <w:bottom w:val="single" w:sz="8" w:color="CCEEFF"/>
            </w:tcBorders>
          </w:tcPr>
          <w:p>
            <w:pPr>
              <w:jc w:val="right"/>
              <w:ind w:right="272"/>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1,007</w:t>
            </w:r>
          </w:p>
        </w:tc>
        <w:tc>
          <w:tcPr>
            <w:tcW w:w="102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30,217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25,941</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29,994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26,146</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Volume as a Percentage of Total Volume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20" w:type="dxa"/>
            <w:vAlign w:val="bottom"/>
          </w:tcPr>
          <w:p>
            <w:pPr>
              <w:spacing w:after="0"/>
              <w:rPr>
                <w:sz w:val="20"/>
                <w:szCs w:val="20"/>
                <w:color w:val="auto"/>
              </w:rPr>
            </w:pPr>
          </w:p>
        </w:tc>
      </w:tr>
    </w:tbl>
    <w:p>
      <w:pPr>
        <w:spacing w:after="0" w:line="19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Market uncertainty remained high through the first six months of 2025. Interest rate, equity and foreign exchange markets experienced significant uncertainty surrounding the economic impacts of anticipated and implemented tariffs and the effect they may have on the United States Federal Reserve’s (Federal Reserve) interest rate policy decision. The Federal Open Markets Committee had initially signaled the potential for several future rate cuts throughout 2025, but has since indicated a more cautious approach as a result of tariffs and the impact they may have on inflation. Market uncertainty also remained high within the energy, metals and agricultural commodities markets in the first six months of 2025, mainly as a result of new and existing geopolitical tensions, including the anticipation and implementation of tariffs, as well as uncertain weather conditions in 2025. We believe these factors contributed to the increases in total volumes in the second quarter and first six months of 2025 when compared with the same periods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20" w:type="dxa"/>
            <w:vAlign w:val="bottom"/>
            <w:gridSpan w:val="2"/>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60" w:type="dxa"/>
            <w:vAlign w:val="bottom"/>
          </w:tcPr>
          <w:p>
            <w:pPr>
              <w:spacing w:after="0"/>
              <w:rPr>
                <w:sz w:val="13"/>
                <w:szCs w:val="13"/>
                <w:color w:val="auto"/>
              </w:rPr>
            </w:pPr>
          </w:p>
        </w:tc>
      </w:tr>
      <w:tr>
        <w:trPr>
          <w:trHeight w:val="194"/>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4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 futures and options:</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3,357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45 %</w:t>
            </w:r>
          </w:p>
        </w:tc>
        <w:tc>
          <w:tcPr>
            <w:tcW w:w="152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3,145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1,464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4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22</w:t>
            </w:r>
          </w:p>
        </w:tc>
        <w:tc>
          <w:tcPr>
            <w:tcW w:w="15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1,403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1,226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42</w:t>
            </w:r>
          </w:p>
        </w:tc>
        <w:tc>
          <w:tcPr>
            <w:tcW w:w="152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1,189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10-Year</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3,392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3,580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5-Year</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2,287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4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14</w:t>
            </w:r>
          </w:p>
        </w:tc>
        <w:tc>
          <w:tcPr>
            <w:tcW w:w="15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2,241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2-Year</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1,180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16</w:t>
            </w:r>
          </w:p>
        </w:tc>
        <w:tc>
          <w:tcPr>
            <w:tcW w:w="152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1,161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Bond</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839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4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15</w:t>
            </w:r>
          </w:p>
        </w:tc>
        <w:tc>
          <w:tcPr>
            <w:tcW w:w="15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821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Ultra T-Note</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773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14</w:t>
            </w:r>
          </w:p>
        </w:tc>
        <w:tc>
          <w:tcPr>
            <w:tcW w:w="152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795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Ultra T-Bond</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463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w:t>
            </w:r>
          </w:p>
        </w:tc>
        <w:tc>
          <w:tcPr>
            <w:tcW w:w="15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450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Funds futures and options</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443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49</w:t>
            </w:r>
          </w:p>
        </w:tc>
        <w:tc>
          <w:tcPr>
            <w:tcW w:w="152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422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r>
    </w:tbl>
    <w:p>
      <w:pPr>
        <w:spacing w:after="0" w:line="179"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In the second quarter and first six months of 2025, overall interest rate contract volumes increased when compared with the same periods in 2024 due to increases in market volatility. We believe the higher volatility was a result of continued market uncertainty surrounding the Federal Reserve's interest rate policy decision as a result of mixed inflation data. In addition, new and existing geopolitical tensions as well as the potential economic impacts of anticipated and implemented tariffs also led to higher overall volatility. We believe these factors contributed to higher overall interest rate volumes in the second quarter and first six months of 2025 when compared with the same periods in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Index and Cryptocurrency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index and cryptocurrency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20" w:type="dxa"/>
            <w:vAlign w:val="bottom"/>
            <w:gridSpan w:val="2"/>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60" w:type="dxa"/>
            <w:vAlign w:val="bottom"/>
          </w:tcPr>
          <w:p>
            <w:pPr>
              <w:spacing w:after="0"/>
              <w:rPr>
                <w:sz w:val="13"/>
                <w:szCs w:val="13"/>
                <w:color w:val="auto"/>
              </w:rPr>
            </w:pPr>
          </w:p>
        </w:tc>
      </w:tr>
      <w:tr>
        <w:trPr>
          <w:trHeight w:val="194"/>
        </w:trPr>
        <w:tc>
          <w:tcPr>
            <w:tcW w:w="3780" w:type="dxa"/>
            <w:vAlign w:val="bottom"/>
          </w:tcPr>
          <w:p>
            <w:pPr>
              <w:spacing w:after="0"/>
              <w:rPr>
                <w:sz w:val="16"/>
                <w:szCs w:val="16"/>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S&amp;P 500 futures and options</w:t>
            </w:r>
          </w:p>
        </w:tc>
        <w:tc>
          <w:tcPr>
            <w:tcW w:w="16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4,349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4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9 %</w:t>
            </w:r>
          </w:p>
        </w:tc>
        <w:tc>
          <w:tcPr>
            <w:tcW w:w="152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4,435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Nasdaq 100 futures and options</w:t>
            </w:r>
          </w:p>
        </w:tc>
        <w:tc>
          <w:tcPr>
            <w:tcW w:w="16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2,415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4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17</w:t>
            </w:r>
          </w:p>
        </w:tc>
        <w:tc>
          <w:tcPr>
            <w:tcW w:w="15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2,503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Russell 2000 futures and options</w:t>
            </w:r>
          </w:p>
        </w:tc>
        <w:tc>
          <w:tcPr>
            <w:tcW w:w="16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330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8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17</w:t>
            </w:r>
          </w:p>
        </w:tc>
        <w:tc>
          <w:tcPr>
            <w:tcW w:w="152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315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Dow futures and options</w:t>
            </w:r>
          </w:p>
        </w:tc>
        <w:tc>
          <w:tcPr>
            <w:tcW w:w="16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252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256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Ether futures and options</w:t>
            </w:r>
          </w:p>
        </w:tc>
        <w:tc>
          <w:tcPr>
            <w:tcW w:w="16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n.m.</w:t>
            </w:r>
          </w:p>
        </w:tc>
        <w:tc>
          <w:tcPr>
            <w:tcW w:w="152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98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 futures and options</w:t>
            </w:r>
          </w:p>
        </w:tc>
        <w:tc>
          <w:tcPr>
            <w:tcW w:w="16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86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79</w:t>
            </w:r>
          </w:p>
        </w:tc>
        <w:tc>
          <w:tcPr>
            <w:tcW w:w="15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95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87</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not meaningful</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Equity index contract volumes increased in the second quarter and first six months of 2025 when compared with the same periods in 2024 due to higher overall equity market volatility. We believe higher market volatility was a result of new and existing geopolitical tensions as well as the potential economic impacts of anticipated and implemented tariffs.</w:t>
      </w:r>
    </w:p>
    <w:p>
      <w:pPr>
        <w:spacing w:after="0" w:line="6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we believe volumes for our cryptocurrency products were higher as a result of the broader acceptance of cryptocurrency products, which includes the passing of federal legislation surrounding dollar-pegged stablecoins. 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00" w:type="dxa"/>
            <w:vAlign w:val="bottom"/>
            <w:gridSpan w:val="2"/>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60" w:type="dxa"/>
            <w:vAlign w:val="bottom"/>
          </w:tcPr>
          <w:p>
            <w:pPr>
              <w:spacing w:after="0"/>
              <w:rPr>
                <w:sz w:val="13"/>
                <w:szCs w:val="13"/>
                <w:color w:val="auto"/>
              </w:rPr>
            </w:pPr>
          </w:p>
        </w:tc>
      </w:tr>
      <w:tr>
        <w:trPr>
          <w:trHeight w:val="194"/>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4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0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60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281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9 %</w:t>
            </w:r>
          </w:p>
        </w:tc>
        <w:tc>
          <w:tcPr>
            <w:tcW w:w="150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291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60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213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11</w:t>
            </w:r>
          </w:p>
        </w:tc>
        <w:tc>
          <w:tcPr>
            <w:tcW w:w="150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210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160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111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(13)</w:t>
            </w:r>
          </w:p>
        </w:tc>
        <w:tc>
          <w:tcPr>
            <w:tcW w:w="150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119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60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119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116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160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92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112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r>
    </w:tbl>
    <w:p>
      <w:pPr>
        <w:spacing w:after="0" w:line="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the second quarter and first six months of 2025, overall foreign exchange volumes increased when compared with the same periods in 2024 due to higher market volatility. We believe the volatility was the result of economic uncertainty surrounding the potential economic impacts of anticipated and implemented tariffs, which has led to overall increases in foreign exchange contract volumes.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agricultural commodity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00" w:type="dxa"/>
            <w:vAlign w:val="bottom"/>
            <w:gridSpan w:val="2"/>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60" w:type="dxa"/>
            <w:vAlign w:val="bottom"/>
          </w:tcPr>
          <w:p>
            <w:pPr>
              <w:spacing w:after="0"/>
              <w:rPr>
                <w:sz w:val="13"/>
                <w:szCs w:val="13"/>
                <w:color w:val="auto"/>
              </w:rPr>
            </w:pPr>
          </w:p>
        </w:tc>
      </w:tr>
      <w:tr>
        <w:trPr>
          <w:trHeight w:val="196"/>
        </w:trPr>
        <w:tc>
          <w:tcPr>
            <w:tcW w:w="3820" w:type="dxa"/>
            <w:vAlign w:val="bottom"/>
          </w:tcPr>
          <w:p>
            <w:pPr>
              <w:spacing w:after="0"/>
              <w:rPr>
                <w:sz w:val="17"/>
                <w:szCs w:val="17"/>
                <w:color w:val="auto"/>
              </w:rPr>
            </w:pP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Corn</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591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3 %</w:t>
            </w:r>
          </w:p>
        </w:tc>
        <w:tc>
          <w:tcPr>
            <w:tcW w:w="15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630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Soybean</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391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4</w:t>
            </w: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387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Wheat</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267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266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r>
    </w:tbl>
    <w:p>
      <w:pPr>
        <w:spacing w:after="0" w:line="15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Overall commodity contract volumes increased in the second quarter and first six months of 2025 when compared with the same periods in 2024. We believe these increases were due to higher overall market volatility as a result of uncertainty surrounding the potential economic impacts of anticipated and implemented tariffs. In addition, changes in market expectations regarding grain supplies as well as uncertain weather conditions in 2025 also led to increases in volumes. We believe these factors contributed to higher overall commodity volumes in the second quarter and first six months of 2025 compared with the same periods in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energy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20" w:type="dxa"/>
            <w:vAlign w:val="bottom"/>
            <w:gridSpan w:val="2"/>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60" w:type="dxa"/>
            <w:vAlign w:val="bottom"/>
          </w:tcPr>
          <w:p>
            <w:pPr>
              <w:spacing w:after="0"/>
              <w:rPr>
                <w:sz w:val="13"/>
                <w:szCs w:val="13"/>
                <w:color w:val="auto"/>
              </w:rPr>
            </w:pPr>
          </w:p>
        </w:tc>
      </w:tr>
      <w:tr>
        <w:trPr>
          <w:trHeight w:val="196"/>
        </w:trPr>
        <w:tc>
          <w:tcPr>
            <w:tcW w:w="3780" w:type="dxa"/>
            <w:vAlign w:val="bottom"/>
          </w:tcPr>
          <w:p>
            <w:pPr>
              <w:spacing w:after="0"/>
              <w:rPr>
                <w:sz w:val="17"/>
                <w:szCs w:val="17"/>
                <w:color w:val="auto"/>
              </w:rPr>
            </w:pPr>
          </w:p>
        </w:tc>
        <w:tc>
          <w:tcPr>
            <w:tcW w:w="1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crude oil</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1,517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4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31 %</w:t>
            </w:r>
          </w:p>
        </w:tc>
        <w:tc>
          <w:tcPr>
            <w:tcW w:w="152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1,372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871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13</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970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3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Refined products</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437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14</w:t>
            </w:r>
          </w:p>
        </w:tc>
        <w:tc>
          <w:tcPr>
            <w:tcW w:w="152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431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Energy contract volumes increased in the second quarter and first six months of 2025 when compared with the same periods in 2024, which we believe was due to higher overall market volatility. Crude oil volatility was higher as a result of new and existing geopolitical tensions across the globe, a shift in global supply levels as well as the potential economic impacts of anticipated and implemented tariffs. Natural gas volatility was higher as a result of uncertain weather conditions and a shift in supplies in the United States in 2025, which impacted prices throughout the year. We believe these factors contributed to higher overall energy volumes in the second quarter and first six months of 2025 compared with the same periods in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00" w:type="dxa"/>
            <w:vAlign w:val="bottom"/>
            <w:gridSpan w:val="2"/>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60" w:type="dxa"/>
            <w:vAlign w:val="bottom"/>
          </w:tcPr>
          <w:p>
            <w:pPr>
              <w:spacing w:after="0"/>
              <w:rPr>
                <w:sz w:val="13"/>
                <w:szCs w:val="13"/>
                <w:color w:val="auto"/>
              </w:rPr>
            </w:pPr>
          </w:p>
        </w:tc>
      </w:tr>
      <w:tr>
        <w:trPr>
          <w:trHeight w:val="194"/>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667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43 %</w:t>
            </w:r>
          </w:p>
        </w:tc>
        <w:tc>
          <w:tcPr>
            <w:tcW w:w="15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569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(29)</w:t>
            </w: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109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99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(47)</w:t>
            </w:r>
          </w:p>
        </w:tc>
        <w:tc>
          <w:tcPr>
            <w:tcW w:w="15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105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(35)</w:t>
            </w:r>
          </w:p>
        </w:tc>
      </w:tr>
    </w:tbl>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second quarter and first six months of 2025, overall metal contract volumes increased when compared with the same periods in 2024. We believe gold volumes increased as a result of continued economic uncertainty surrounding the Federal Reserve's monetary policy decisions, the potential economic impacts of anticipated and implemented tariffs and geopolitical tensions. The decreases in silver and copper volumes are due to reductions in demand for the metals due to economic instability as well as risk aversion by traders.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Rate per Contract</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average rate per contract decreased in the second quarter and first six months of 2025 when compared with the same periods in 2024. The decreases in the average rate per contract were primarily due to higher volume tier-based incentives and higher micro contract volumes as a percentage of total volumes. The overall decreases were partially offset by an increase in our fee structure, which went into effect on February 1,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Markets Business</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Total clearing and transaction fees revenues in the second quarter and first six months of 2025 include $74.6 million and $145.6 million, respectively, of transaction fees attributable to the cash markets business, compared with $70.4 million and $139.4 million, respectively, in the second quarter and first six months of 2024. This revenue includes BrokerTec Americas LLC's fixed income volume and EBS's foreign exchange volume.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3"/>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00" w:type="dxa"/>
            <w:vAlign w:val="bottom"/>
          </w:tcPr>
          <w:p>
            <w:pPr>
              <w:spacing w:after="0"/>
              <w:rPr>
                <w:sz w:val="13"/>
                <w:szCs w:val="13"/>
                <w:color w:val="auto"/>
              </w:rPr>
            </w:pPr>
          </w:p>
        </w:tc>
      </w:tr>
      <w:tr>
        <w:trPr>
          <w:trHeight w:val="194"/>
        </w:trPr>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millions)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5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 transaction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37.1</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7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  $</w:t>
            </w:r>
          </w:p>
        </w:tc>
        <w:tc>
          <w:tcPr>
            <w:tcW w:w="9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72.9</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(4)%</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 transaction fees</w:t>
            </w:r>
          </w:p>
        </w:tc>
        <w:tc>
          <w:tcPr>
            <w:tcW w:w="26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37.5</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72.7</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14</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average daily notional value for the second quarter and first six months of 2025 and 2024 were as follows: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0" w:type="dxa"/>
            <w:vAlign w:val="bottom"/>
            <w:gridSpan w:val="2"/>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80" w:type="dxa"/>
            <w:vAlign w:val="bottom"/>
          </w:tcPr>
          <w:p>
            <w:pPr>
              <w:spacing w:after="0"/>
              <w:rPr>
                <w:sz w:val="13"/>
                <w:szCs w:val="13"/>
                <w:color w:val="auto"/>
              </w:rPr>
            </w:pPr>
          </w:p>
        </w:tc>
      </w:tr>
      <w:tr>
        <w:trPr>
          <w:trHeight w:val="194"/>
        </w:trPr>
        <w:tc>
          <w:tcPr>
            <w:tcW w:w="3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billions)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Repos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362.9</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25 %</w:t>
            </w:r>
          </w:p>
        </w:tc>
        <w:tc>
          <w:tcPr>
            <w:tcW w:w="156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347.3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Repo (in euros)</w:t>
            </w:r>
          </w:p>
        </w:tc>
        <w:tc>
          <w:tcPr>
            <w:tcW w:w="2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310.9</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4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tcPr>
          <w:p>
            <w:pPr>
              <w:jc w:val="right"/>
              <w:ind w:right="398"/>
              <w:spacing w:after="0"/>
              <w:rPr>
                <w:sz w:val="20"/>
                <w:szCs w:val="20"/>
                <w:color w:val="auto"/>
              </w:rPr>
            </w:pPr>
            <w:r>
              <w:rPr>
                <w:rFonts w:ascii="Times New Roman" w:cs="Times New Roman" w:eastAsia="Times New Roman" w:hAnsi="Times New Roman"/>
                <w:sz w:val="18"/>
                <w:szCs w:val="18"/>
                <w:color w:val="auto"/>
              </w:rPr>
              <w:t>318.4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114.1</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4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20</w:t>
            </w:r>
          </w:p>
        </w:tc>
        <w:tc>
          <w:tcPr>
            <w:tcW w:w="156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112.9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Spot FX</w:t>
            </w:r>
          </w:p>
        </w:tc>
        <w:tc>
          <w:tcPr>
            <w:tcW w:w="28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73.7</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28</w:t>
            </w:r>
          </w:p>
        </w:tc>
        <w:tc>
          <w:tcPr>
            <w:tcW w:w="1560" w:type="dxa"/>
            <w:vAlign w:val="bottom"/>
          </w:tcPr>
          <w:p>
            <w:pPr>
              <w:jc w:val="right"/>
              <w:ind w:right="398"/>
              <w:spacing w:after="0"/>
              <w:rPr>
                <w:sz w:val="20"/>
                <w:szCs w:val="20"/>
                <w:color w:val="auto"/>
              </w:rPr>
            </w:pPr>
            <w:r>
              <w:rPr>
                <w:rFonts w:ascii="Times New Roman" w:cs="Times New Roman" w:eastAsia="Times New Roman" w:hAnsi="Times New Roman"/>
                <w:sz w:val="18"/>
                <w:szCs w:val="18"/>
                <w:color w:val="auto"/>
              </w:rPr>
              <w:t>72.3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w:t>
            </w:r>
          </w:p>
        </w:tc>
      </w:tr>
    </w:tbl>
    <w:p>
      <w:pPr>
        <w:spacing w:after="0" w:line="19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Overall average daily notional values for the cash markets business were higher in the second quarter and first six months of 2025 when compared with the same periods in 2024 due to higher overall volatility. We believe the higher volatility was a result of market uncertainty surrounding the Federal Reserve's interest rate policy decision as well as the potential economic impacts of anticipated and implemented tariffs.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individual firm represented at least approximately 10% of our clearing and transaction fees in the first six months of 2025.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119" w:lineRule="exact"/>
        <w:rPr>
          <w:sz w:val="20"/>
          <w:szCs w:val="20"/>
          <w:color w:val="auto"/>
        </w:rPr>
      </w:pPr>
    </w:p>
    <w:p>
      <w:pPr>
        <w:ind w:right="380"/>
        <w:spacing w:after="0" w:line="315" w:lineRule="auto"/>
        <w:rPr>
          <w:sz w:val="20"/>
          <w:szCs w:val="20"/>
          <w:color w:val="auto"/>
        </w:rPr>
      </w:pPr>
      <w:r>
        <w:rPr>
          <w:rFonts w:ascii="Times New Roman" w:cs="Times New Roman" w:eastAsia="Times New Roman" w:hAnsi="Times New Roman"/>
          <w:sz w:val="17"/>
          <w:szCs w:val="17"/>
          <w:i w:val="1"/>
          <w:iCs w:val="1"/>
          <w:color w:val="auto"/>
        </w:rPr>
        <w:t>Market data and information services</w:t>
      </w:r>
      <w:r>
        <w:rPr>
          <w:rFonts w:ascii="Times New Roman" w:cs="Times New Roman" w:eastAsia="Times New Roman" w:hAnsi="Times New Roman"/>
          <w:sz w:val="17"/>
          <w:szCs w:val="17"/>
          <w:color w:val="auto"/>
        </w:rPr>
        <w:t>. During the second quarter and first six months of 2025, overall market data and information services revenues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increased when compared with the same periods in 2024, largely due to price increases for certain products as well as higher usage of certain products.</w:t>
      </w:r>
    </w:p>
    <w:p>
      <w:pPr>
        <w:spacing w:after="0" w:line="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two largest resellers of our market data represented approximately 33% of our market data and information services revenue in the first six months of 2025.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60" w:type="dxa"/>
            <w:vAlign w:val="bottom"/>
          </w:tcPr>
          <w:p>
            <w:pPr>
              <w:spacing w:after="0"/>
              <w:rPr>
                <w:sz w:val="13"/>
                <w:szCs w:val="13"/>
                <w:color w:val="auto"/>
              </w:rPr>
            </w:pPr>
          </w:p>
        </w:tc>
      </w:tr>
      <w:tr>
        <w:trPr>
          <w:trHeight w:val="194"/>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4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Operating expenses increased by $30.8 million and $36.8 million, respectively, in the second quarter and first six months of 2025 when compared with the same periods in 2024. The following table shows the estimated impacts of key factors resulting in the changes in operating expenses: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40" w:type="dxa"/>
            <w:vAlign w:val="bottom"/>
          </w:tcPr>
          <w:p>
            <w:pPr>
              <w:spacing w:after="0"/>
              <w:rPr>
                <w:sz w:val="13"/>
                <w:szCs w:val="13"/>
                <w:color w:val="auto"/>
              </w:rPr>
            </w:pPr>
          </w:p>
        </w:tc>
        <w:tc>
          <w:tcPr>
            <w:tcW w:w="2480" w:type="dxa"/>
            <w:vAlign w:val="bottom"/>
            <w:gridSpan w:val="3"/>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217"/>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140" w:type="dxa"/>
            <w:vAlign w:val="bottom"/>
          </w:tcPr>
          <w:p>
            <w:pPr>
              <w:spacing w:after="0"/>
              <w:rPr>
                <w:sz w:val="18"/>
                <w:szCs w:val="18"/>
                <w:color w:val="auto"/>
              </w:rPr>
            </w:pPr>
          </w:p>
        </w:tc>
        <w:tc>
          <w:tcPr>
            <w:tcW w:w="92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6"/>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8"/>
        </w:trPr>
        <w:tc>
          <w:tcPr>
            <w:tcW w:w="5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Total Expenses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0" w:type="dxa"/>
            <w:vAlign w:val="bottom"/>
          </w:tcPr>
          <w:p>
            <w:pPr>
              <w:spacing w:after="0"/>
              <w:rPr>
                <w:sz w:val="1"/>
                <w:szCs w:val="1"/>
                <w:color w:val="auto"/>
              </w:rPr>
            </w:pPr>
          </w:p>
        </w:tc>
      </w:tr>
      <w:tr>
        <w:trPr>
          <w:trHeight w:val="22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8"/>
              </w:rPr>
              <w:t>3 %</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fees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fluctuation</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Google Cloud professional fees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5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5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increase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14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8"/>
              </w:rPr>
              <w:t>6 %</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operating expenses in the second quarter and first six months of 2025 when compared with the same periods in 2024 were as follows:</w:t>
      </w:r>
    </w:p>
    <w:p>
      <w:pPr>
        <w:spacing w:after="0" w:line="117" w:lineRule="exact"/>
        <w:rPr>
          <w:sz w:val="20"/>
          <w:szCs w:val="20"/>
          <w:color w:val="auto"/>
        </w:rPr>
      </w:pPr>
    </w:p>
    <w:p>
      <w:pPr>
        <w:ind w:left="660" w:right="2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employer taxes expenses were higher as a result of salary increases that went into effect during the first quarter of 2025 as well as an increase in headcount during the quarter, which was primarily attributable to additional headcount in the company's international locations.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technology support services expenses were primarily driven by higher software license fees and third party services to support the ongoing Google Cloud transformation project.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were higher primarily due to increases in volumes for certain equity products.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and first six months of 2025, we recognized net losses of $3.6 million and $5.9 million, respectively, compared with a net gain of $0.2 million and $2.1 million, respectively, during the same periods in 2024, due to currency exchange rate fluctuations. Gains and losses from exchange rate fluctuations are recognized in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consolidated statements of net income when subsidiaries with a U.S. dollar functional currency hold certain monetary assets and liabilities denominated in foreign currencies.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in operating expense in the second quarter and first six months when compared with the same periods in 2024 were as follows:</w:t>
      </w:r>
    </w:p>
    <w:p>
      <w:pPr>
        <w:spacing w:after="0" w:line="117" w:lineRule="exact"/>
        <w:rPr>
          <w:sz w:val="20"/>
          <w:szCs w:val="20"/>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professional fees related to the Google Cloud transformation project, which began in late 2021, was driven by a shift in need from an overall project consulting focus to a technology migration focus.</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expense decreased during the second quarter and first six months of 2025 primarily driven by a gain of $8.1 million recognized in the second quarter of 2025 due to a reduction in our leased office space.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tcPr>
          <w:p>
            <w:pPr>
              <w:spacing w:after="0"/>
              <w:rPr>
                <w:sz w:val="13"/>
                <w:szCs w:val="13"/>
                <w:color w:val="auto"/>
              </w:rPr>
            </w:pPr>
          </w:p>
        </w:tc>
      </w:tr>
      <w:tr>
        <w:trPr>
          <w:trHeight w:val="194"/>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200" w:type="dxa"/>
            <w:vAlign w:val="bottom"/>
          </w:tcPr>
          <w:p>
            <w:pPr>
              <w:spacing w:after="0"/>
              <w:rPr>
                <w:sz w:val="16"/>
                <w:szCs w:val="16"/>
                <w:color w:val="auto"/>
              </w:rPr>
            </w:pPr>
          </w:p>
        </w:tc>
      </w:tr>
      <w:tr>
        <w:trPr>
          <w:trHeight w:val="196"/>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45 %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13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(1,901.7)</w:t>
            </w:r>
          </w:p>
        </w:tc>
        <w:tc>
          <w:tcPr>
            <w:tcW w:w="1200" w:type="dxa"/>
            <w:vAlign w:val="bottom"/>
            <w:tcBorders>
              <w:bottom w:val="single" w:sz="8" w:color="CCEEFF"/>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3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Earnings from cash performance bond and guaranty fund contributions that are reinvested increased in the second quarter and first six</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2025 when compared with the same periods in 2024 due to higher reinvestment balances, despite decreases in the average rate of return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reinvestment balances. In the second quarter and first six months of 2025, earnings from cash performance bond and guaranty fund contributions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$1,487.6 million and $2,361.2 million, respectively, compared with $1,007.6 million and $2,044.3 million, respectively, in the second quarter and first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2024. We also recognized lower net realized and unrealized gains on investments in the second quarter and first six months of 2025.</w:t>
      </w:r>
    </w:p>
    <w:p>
      <w:pPr>
        <w:spacing w:after="0" w:line="9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in net earnings (losses) of unconsolidated subsidiaries. </w:t>
      </w:r>
      <w:r>
        <w:rPr>
          <w:rFonts w:ascii="Times New Roman" w:cs="Times New Roman" w:eastAsia="Times New Roman" w:hAnsi="Times New Roman"/>
          <w:sz w:val="18"/>
          <w:szCs w:val="18"/>
          <w:color w:val="auto"/>
        </w:rPr>
        <w:t>Higher income generated from our S&amp;P Dow Jones Indices LLC business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contributed to increases in equity in net earnings (losses) of unconsolidated subsidiaries in the second quarter and first six months of 2025 when compared with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non-operating income (expense). </w:t>
      </w:r>
      <w:r>
        <w:rPr>
          <w:rFonts w:ascii="Times New Roman" w:cs="Times New Roman" w:eastAsia="Times New Roman" w:hAnsi="Times New Roman"/>
          <w:sz w:val="18"/>
          <w:szCs w:val="18"/>
          <w:color w:val="auto"/>
        </w:rPr>
        <w:t>We recognized higher expenses related to the distribution of interest earned on performance bond collateral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reinvestments to the clearing firms during the second quarter and first six months of 2025 when compared with the same periods in 2024. In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and first six months of 2025, expenses related to the distribution of interest earned on collateral reinvestments were $1,374.5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$2,179.3 million, respectively, compared with $939.4 million and $1,906.9 million, respectively, in the second quarter and first six months of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Pr>
          <w:p>
            <w:pPr>
              <w:spacing w:after="0"/>
              <w:rPr>
                <w:sz w:val="16"/>
                <w:szCs w:val="16"/>
                <w:color w:val="auto"/>
              </w:rPr>
            </w:pPr>
          </w:p>
        </w:tc>
        <w:tc>
          <w:tcPr>
            <w:tcW w:w="12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9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 ended June 30</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22.9 %</w:t>
            </w: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23.5 %</w:t>
            </w:r>
          </w:p>
        </w:tc>
      </w:tr>
      <w:tr>
        <w:trPr>
          <w:trHeight w:val="234"/>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June 30</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23.3</w:t>
            </w:r>
          </w:p>
        </w:tc>
      </w:tr>
    </w:tbl>
    <w:p>
      <w:pPr>
        <w:spacing w:after="0" w:line="15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the second quarter of 2025 when compared with the same period in 2024, the overall effective tax rate declined slightly due to the recognition of a deferred tax asset related to the company's investment in the OSTTRA joint venture. The overall effective tax rate remained relatively consistent in the first six months of 2025 when compared with the same periods in 2024.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Sources and Uses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increased in the first six months of 2025 when compared with the same periods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which was largely due to an increase in trading volume. Cash used in investing activities remained relatively consistent in the first six months of 2025 when compared with the same periods in 2024. Cash provided by financing activities was higher during the first six months of 2025 when compared with the same periods in 2024 due to an increase in cash performance bonds and guaranty fund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summarizes our debt outstanding at June 30,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9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7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2028, stated rate of 3.75%</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2030, stated rate of 4.40%</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2032, stated rate of 2.65%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3"/>
                <w:szCs w:val="23"/>
                <w:color w:val="auto"/>
                <w:vertAlign w:val="superscript"/>
              </w:rPr>
              <w:t>(1)</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2048, stated rate of 4.15%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17" w:lineRule="exact"/>
        <w:rPr>
          <w:sz w:val="20"/>
          <w:szCs w:val="20"/>
          <w:color w:val="auto"/>
        </w:rPr>
      </w:pPr>
    </w:p>
    <w:p>
      <w:pPr>
        <w:ind w:left="660" w:right="100" w:hanging="328"/>
        <w:spacing w:after="0" w:line="282"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forward-starting interest rate swap agreement that modified the interest obligation associated with these notes so that the interest payable effectively became fixed at a rate of 4.73%.</w:t>
      </w:r>
    </w:p>
    <w:p>
      <w:pPr>
        <w:spacing w:after="0" w:line="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maintain a $2.3 billion multi-currency revolving senior credit facility with various financial institutions, which matures in April 2030.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2024, giving effect to share repurchases made and special dividends paid 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the clearing house operated by CME,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June 30, 2025, guaranty fund contributions available to collateralize the facility totaled $9.4 billion. We have the option to request an increase in the line from $7.0 billion to $10.0 billion. Our 364-day facility contains a requirement that CME remain in compliance with a consolidated tangible net worth test, defined as CME's consolidated shareholder's equity less intangible assets (as defined in the agreement), of not less than $800.0 million. We currently do not have any borrowings outstanding under this facility.</w:t>
      </w:r>
    </w:p>
    <w:p>
      <w:pPr>
        <w:spacing w:after="0" w:line="8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At June 30, 2025, we have excess borrowing capacity for general corporate purposes of approximately $2.3 billion under our multi-currency revolving senior credit facility.</w:t>
      </w:r>
    </w:p>
    <w:p>
      <w:pPr>
        <w:spacing w:after="0" w:line="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maintain committed repurchase facility agreements amounting to a total of $1.0 billion. The committed repurchase facilities provide access to cash, secured by non-cash collateral, in the event that one or more of our clearing firms fails to promptly discharge an obligation to the clearing house. The facilities are subject to annual renewal. We currently do not have any borrowings outstanding under these facilities.</w:t>
      </w:r>
    </w:p>
    <w:p>
      <w:pPr>
        <w:spacing w:after="0" w:line="68"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We maintain a committed facility of up to $750.0 million for foreign currency conversions. The committed foreign currency facility allows the clearing house to convert cash to another currency within generally accepted local market timeframes in the event that one or more of our clearing firms fails to promptly discharge an obligation to the clearing house. The facility is subject to annual renewal. We currently do not have any foreign currency trades outstanding under this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we were in compliance with the various covenant requirements of all our debt facilities.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irrevocable standby letters of credit. At June 30, 2025, the letters of credit totaled $400.0 million. We also maintain a $350.0 million line of credit to meet our obligations under this agreement.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at June 30,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760" w:type="dxa"/>
            <w:vAlign w:val="bottom"/>
          </w:tcPr>
          <w:p>
            <w:pPr>
              <w:spacing w:after="0"/>
              <w:rPr>
                <w:sz w:val="16"/>
                <w:szCs w:val="16"/>
                <w:color w:val="auto"/>
              </w:rPr>
            </w:pPr>
          </w:p>
        </w:tc>
      </w:tr>
      <w:tr>
        <w:trPr>
          <w:trHeight w:val="20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3"/>
        </w:trPr>
        <w:tc>
          <w:tcPr>
            <w:tcW w:w="4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&amp; Poor’s Global Ratings</w:t>
            </w:r>
          </w:p>
        </w:tc>
        <w:tc>
          <w:tcPr>
            <w:tcW w:w="3160" w:type="dxa"/>
            <w:vAlign w:val="bottom"/>
            <w:shd w:val="clear" w:color="auto" w:fill="CCEEFF"/>
          </w:tcPr>
          <w:p>
            <w:pPr>
              <w:jc w:val="center"/>
              <w:ind w:left="1119"/>
              <w:spacing w:after="0"/>
              <w:rPr>
                <w:sz w:val="20"/>
                <w:szCs w:val="20"/>
                <w:color w:val="auto"/>
              </w:rPr>
            </w:pPr>
            <w:r>
              <w:rPr>
                <w:rFonts w:ascii="Times New Roman" w:cs="Times New Roman" w:eastAsia="Times New Roman" w:hAnsi="Times New Roman"/>
                <w:sz w:val="18"/>
                <w:szCs w:val="18"/>
                <w:color w:val="auto"/>
                <w:w w:val="99"/>
              </w:rPr>
              <w:t>A1+</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3160" w:type="dxa"/>
            <w:vAlign w:val="bottom"/>
          </w:tcPr>
          <w:p>
            <w:pPr>
              <w:jc w:val="center"/>
              <w:ind w:left="1139"/>
              <w:spacing w:after="0"/>
              <w:rPr>
                <w:sz w:val="20"/>
                <w:szCs w:val="20"/>
                <w:color w:val="auto"/>
              </w:rPr>
            </w:pPr>
            <w:r>
              <w:rPr>
                <w:rFonts w:ascii="Times New Roman" w:cs="Times New Roman" w:eastAsia="Times New Roman" w:hAnsi="Times New Roman"/>
                <w:sz w:val="18"/>
                <w:szCs w:val="18"/>
                <w:color w:val="auto"/>
                <w:w w:val="94"/>
              </w:rPr>
              <w:t>P1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Stable</w:t>
            </w:r>
          </w:p>
        </w:tc>
      </w:tr>
    </w:tbl>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spacing w:after="0" w:line="7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Liquidity and Cash Management</w:t>
      </w:r>
      <w:r>
        <w:rPr>
          <w:rFonts w:ascii="Times New Roman" w:cs="Times New Roman" w:eastAsia="Times New Roman" w:hAnsi="Times New Roman"/>
          <w:sz w:val="18"/>
          <w:szCs w:val="18"/>
          <w:color w:val="auto"/>
        </w:rPr>
        <w:t>. Cash and cash equivalents totaled $2.0 billion and $2.9 billion at June 30, 2025 and December 31, 2024,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cash performance bonds and guaranty fund contributions, other current assets or other assets in the consolidated balance sheets.</w:t>
      </w:r>
    </w:p>
    <w:p>
      <w:pPr>
        <w:spacing w:after="0" w:line="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5, 2024, we announced that our board of directors has approved a share repurchase program under which we are authorized to repurchase up to $3.0 billion of our outstanding Class A common stock, par value $.01 per share (the common stock), from time to time through open market transactions, block trades, privately negotiated purchase transactions or other purchase techniques and may include purchases effected pursuant to one or more trading plans established pursuant to Rule 10b5-1 under the Exchange Act. The timing of any repurchases and the number of shares repurchased under the share repurchase program are within our discretion and may be affected by various factors, including general market and economic conditions; the market price of the common stock; CME Group’s earnings, financial condition, capital requirements and levels of indebtedness; legal requirements; and other considerations. The share repurchase program has no expiration date, does not obligate us to acquire any particular amount of common stock and may be modified, suspended or terminated at any time. As of June 30, 2025, the maximum value of shares to be repurchased was $2,991.8 million.</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Regulatory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CME is regulated by the CFTC as a Derivatives Clearing Organization (DCO). DCOs are required to maintain capital,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7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 (i) exemption is not required to lock up customer funds as would otherwise be required under Exchange Act Rule 15c3-3.</w:t>
      </w:r>
    </w:p>
    <w:p>
      <w:pPr>
        <w:spacing w:after="0" w:line="11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2024. Refer to Item 7A. of CME Group’s Annual Report on Form 10-K for the year ended December 31, 2024, filed with the SEC on February 27, 2025,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firstLine="8"/>
        <w:spacing w:after="0" w:line="261"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71" w:lineRule="exact"/>
        <w:rPr>
          <w:rFonts w:ascii="Times New Roman" w:cs="Times New Roman" w:eastAsia="Times New Roman" w:hAnsi="Times New Roman"/>
          <w:sz w:val="18"/>
          <w:szCs w:val="18"/>
          <w:color w:val="auto"/>
        </w:rPr>
      </w:pPr>
    </w:p>
    <w:p>
      <w:pPr>
        <w:ind w:right="60" w:firstLine="8"/>
        <w:spacing w:after="0" w:line="25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June 30, 2025, that have materially affected, or are reasonably likely to materially affect, the company’s internal control over financial reporting.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disclosure under “Legal and Regulatory Matters” in Note 6. Contingencies in the Notes to Unaudited Consolidated Financial Statements in Item 1 of Part I of this report is incorporated herein by reference. Such disclosure includes updates to the legal proceedings disclosed in the company’s Annual Report on Form 10-K for the year ended December 31, 2024, filed with the SEC on February 27, 2025.</w:t>
      </w:r>
    </w:p>
    <w:p>
      <w:pPr>
        <w:spacing w:after="0" w:line="10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333333"/>
        </w:rPr>
        <w:t>There have been no material changes in the company's risk factors from those disclosed in the company's Annual Report on Form 10-K for the year ended December 31, 2024, filed with the SEC on February 27, 2025.</w:t>
      </w:r>
    </w:p>
    <w:p>
      <w:pPr>
        <w:spacing w:after="0" w:line="11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Total Number of Class A</w:t>
            </w:r>
          </w:p>
        </w:tc>
        <w:tc>
          <w:tcPr>
            <w:tcW w:w="27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Maximum Approximate Value of Shares</w:t>
            </w:r>
          </w:p>
        </w:tc>
        <w:tc>
          <w:tcPr>
            <w:tcW w:w="0" w:type="dxa"/>
            <w:vAlign w:val="bottom"/>
          </w:tcPr>
          <w:p>
            <w:pPr>
              <w:spacing w:after="0"/>
              <w:rPr>
                <w:sz w:val="1"/>
                <w:szCs w:val="1"/>
                <w:color w:val="auto"/>
              </w:rPr>
            </w:pPr>
          </w:p>
        </w:tc>
      </w:tr>
      <w:tr>
        <w:trPr>
          <w:trHeight w:val="146"/>
        </w:trPr>
        <w:tc>
          <w:tcPr>
            <w:tcW w:w="1600" w:type="dxa"/>
            <w:vAlign w:val="bottom"/>
          </w:tcPr>
          <w:p>
            <w:pPr>
              <w:spacing w:after="0"/>
              <w:rPr>
                <w:sz w:val="12"/>
                <w:szCs w:val="12"/>
                <w:color w:val="auto"/>
              </w:rPr>
            </w:pPr>
          </w:p>
        </w:tc>
        <w:tc>
          <w:tcPr>
            <w:tcW w:w="2740" w:type="dxa"/>
            <w:vAlign w:val="bottom"/>
            <w:vMerge w:val="restart"/>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7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274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17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22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74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740" w:type="dxa"/>
            <w:vAlign w:val="bottom"/>
          </w:tcPr>
          <w:p>
            <w:pPr>
              <w:jc w:val="center"/>
              <w:ind w:left="688"/>
              <w:spacing w:after="0" w:line="13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720" w:type="dxa"/>
            <w:vAlign w:val="bottom"/>
            <w:vMerge w:val="continue"/>
          </w:tcPr>
          <w:p>
            <w:pPr>
              <w:spacing w:after="0"/>
              <w:rPr>
                <w:sz w:val="11"/>
                <w:szCs w:val="11"/>
                <w:color w:val="auto"/>
              </w:rPr>
            </w:pPr>
          </w:p>
        </w:tc>
        <w:tc>
          <w:tcPr>
            <w:tcW w:w="2280" w:type="dxa"/>
            <w:vAlign w:val="bottom"/>
          </w:tcPr>
          <w:p>
            <w:pPr>
              <w:jc w:val="center"/>
              <w:ind w:left="28"/>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 Announced</w:t>
            </w:r>
          </w:p>
        </w:tc>
        <w:tc>
          <w:tcPr>
            <w:tcW w:w="2740" w:type="dxa"/>
            <w:vAlign w:val="bottom"/>
          </w:tcPr>
          <w:p>
            <w:pPr>
              <w:jc w:val="center"/>
              <w:ind w:left="188"/>
              <w:spacing w:after="0" w:line="135" w:lineRule="exact"/>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193"/>
        </w:trPr>
        <w:tc>
          <w:tcPr>
            <w:tcW w:w="1600" w:type="dxa"/>
            <w:vAlign w:val="bottom"/>
            <w:vMerge w:val="continue"/>
          </w:tcPr>
          <w:p>
            <w:pPr>
              <w:spacing w:after="0"/>
              <w:rPr>
                <w:sz w:val="16"/>
                <w:szCs w:val="16"/>
                <w:color w:val="auto"/>
              </w:rPr>
            </w:pPr>
          </w:p>
        </w:tc>
        <w:tc>
          <w:tcPr>
            <w:tcW w:w="274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7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9"/>
                <w:szCs w:val="9"/>
                <w:b w:val="1"/>
                <w:bCs w:val="1"/>
                <w:color w:val="auto"/>
              </w:rPr>
              <w:t>(1)</w:t>
            </w:r>
          </w:p>
        </w:tc>
        <w:tc>
          <w:tcPr>
            <w:tcW w:w="27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 to April 30</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to May 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1 to June 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7"/>
          <w:szCs w:val="17"/>
          <w:color w:val="auto"/>
        </w:rPr>
        <w:t>32,866</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14605</wp:posOffset>
            </wp:positionV>
            <wp:extent cx="1028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24765</wp:posOffset>
            </wp:positionV>
            <wp:extent cx="1028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50165</wp:posOffset>
            </wp:positionV>
            <wp:extent cx="1028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85"/>
              </w:rPr>
              <w:t>(2)</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253.51</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32,265</w:t>
            </w:r>
          </w:p>
        </w:tc>
        <w:tc>
          <w:tcPr>
            <w:tcW w:w="12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2,991.8</w:t>
            </w:r>
          </w:p>
        </w:tc>
      </w:tr>
      <w:tr>
        <w:trPr>
          <w:trHeight w:val="230"/>
        </w:trPr>
        <w:tc>
          <w:tcPr>
            <w:tcW w:w="2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85"/>
              </w:rPr>
              <w:t>(3)</w:t>
            </w:r>
          </w:p>
        </w:tc>
        <w:tc>
          <w:tcPr>
            <w:tcW w:w="6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271.70</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2,991.8</w:t>
            </w:r>
          </w:p>
        </w:tc>
      </w:tr>
      <w:tr>
        <w:trPr>
          <w:trHeight w:val="234"/>
        </w:trPr>
        <w:tc>
          <w:tcPr>
            <w:tcW w:w="2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85"/>
              </w:rPr>
              <w:t>(3)</w:t>
            </w:r>
          </w:p>
        </w:tc>
        <w:tc>
          <w:tcPr>
            <w:tcW w:w="6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269.66</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2,991.8</w:t>
            </w:r>
          </w:p>
        </w:tc>
      </w:tr>
      <w:tr>
        <w:trPr>
          <w:trHeight w:val="223"/>
        </w:trPr>
        <w:tc>
          <w:tcPr>
            <w:tcW w:w="2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85"/>
              </w:rPr>
              <w:t>(4)</w:t>
            </w: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32,265</w:t>
            </w:r>
          </w:p>
        </w:tc>
        <w:tc>
          <w:tcPr>
            <w:tcW w:w="1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-333375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3">
            <w:col w:w="2900" w:space="720"/>
            <w:col w:w="480" w:space="100"/>
            <w:col w:w="7020"/>
          </w:cols>
          <w:pgMar w:left="320" w:top="121" w:right="359" w:bottom="1440" w:gutter="0" w:footer="0" w:header="0"/>
          <w:type w:val="continuous"/>
        </w:sectPr>
      </w:pPr>
    </w:p>
    <w:p>
      <w:pPr>
        <w:ind w:left="660" w:right="320" w:hanging="328"/>
        <w:spacing w:after="0" w:line="266"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5, 2024, CME Group announced that its board of directors approved a share repurchase program under which CME Group is authorized to repurchase up to $3.0 billion of its outstanding Class A common stock, par value $0.01 per share (the common stock). The share repurchase program has no expiration date.</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601 shares of Class A common stock surrendered to satisfy employees' tax obligations upon the vesting of restricted stock.</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solely of shares of Class A common stock surrendered to satisfy employees' tax obligations upon the vesting of restricted stock.</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2,454 shares of Class A common stock surrendered to satisfy employees' tax obligations upon the vesting of restricted stock.</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 director or officer of the Company adopted or terminated a "Rule 10b5-1 trading arrangement" or "non-Rule 10b-5 trading arrangement" as such terms are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8360" w:type="dxa"/>
            <w:vAlign w:val="bottom"/>
            <w:gridSpan w:val="15"/>
          </w:tcPr>
          <w:p>
            <w:pPr>
              <w:ind w:left="20"/>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Credit Agreement, dated as of April 23, 2025, among CME Group Inc., certain lenders, agents, arrangers,</w:t>
              </w:r>
            </w:hyperlink>
          </w:p>
        </w:tc>
      </w:tr>
      <w:tr>
        <w:trPr>
          <w:trHeight w:val="156"/>
        </w:trPr>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0" w:type="dxa"/>
            <w:vAlign w:val="bottom"/>
            <w:tcBorders>
              <w:top w:val="single" w:sz="8" w:color="0000FF"/>
            </w:tcBorders>
            <w:gridSpan w:val="7"/>
          </w:tcPr>
          <w:p>
            <w:pPr>
              <w:ind w:left="20"/>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bookrunners, and Bank of America, N.A., as Administrative Agent (incorporated by reference to Exhibit</w:t>
              </w:r>
            </w:hyperlink>
          </w:p>
        </w:tc>
        <w:tc>
          <w:tcPr>
            <w:tcW w:w="760" w:type="dxa"/>
            <w:vAlign w:val="bottom"/>
            <w:gridSpan w:val="8"/>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10.1 to</w:t>
              </w:r>
            </w:hyperlink>
          </w:p>
        </w:tc>
      </w:tr>
      <w:tr>
        <w:trPr>
          <w:trHeight w:val="156"/>
        </w:trPr>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6"/>
          </w:tcPr>
          <w:p>
            <w:pPr>
              <w:ind w:left="20"/>
              <w:spacing w:after="0" w:line="15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CME Group Inc.'s Current Report on Form 8-K, filed with the SEC on April 25, 2025).</w:t>
              </w:r>
            </w:hyperlink>
          </w:p>
        </w:tc>
        <w:tc>
          <w:tcPr>
            <w:tcW w:w="18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24"/>
                <w:szCs w:val="24"/>
                <w:color w:val="auto"/>
              </w:rPr>
            </w:pPr>
          </w:p>
        </w:tc>
        <w:tc>
          <w:tcPr>
            <w:tcW w:w="8360" w:type="dxa"/>
            <w:vAlign w:val="bottom"/>
            <w:gridSpan w:val="15"/>
          </w:tcPr>
          <w:p>
            <w:pPr>
              <w:ind w:left="20"/>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Amendment No. 10 to Credit Agreement, dated as of April 23, 2025, among Chicago Mercantile Exchange Inc.,</w:t>
              </w:r>
            </w:hyperlink>
          </w:p>
        </w:tc>
      </w:tr>
      <w:tr>
        <w:trPr>
          <w:trHeight w:val="156"/>
        </w:trPr>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120" w:type="dxa"/>
            <w:vAlign w:val="bottom"/>
            <w:tcBorders>
              <w:top w:val="single" w:sz="8" w:color="0000FF"/>
            </w:tcBorders>
            <w:gridSpan w:val="11"/>
          </w:tcPr>
          <w:p>
            <w:pPr>
              <w:ind w:left="20"/>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Bank of America, N.A., in its capacity as administrative agent, Citibank, N.A., in its capacity as collateral agent</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9"/>
          </w:tcPr>
          <w:p>
            <w:pPr>
              <w:ind w:left="20"/>
              <w:spacing w:after="0" w:line="156" w:lineRule="exact"/>
              <w:rPr>
                <w:rFonts w:ascii="Times New Roman" w:cs="Times New Roman" w:eastAsia="Times New Roman" w:hAnsi="Times New Roman"/>
                <w:sz w:val="18"/>
                <w:szCs w:val="18"/>
                <w:color w:val="0000FF"/>
                <w:w w:val="98"/>
              </w:rPr>
            </w:pPr>
            <w:hyperlink r:id="rId79">
              <w:r>
                <w:rPr>
                  <w:rFonts w:ascii="Times New Roman" w:cs="Times New Roman" w:eastAsia="Times New Roman" w:hAnsi="Times New Roman"/>
                  <w:sz w:val="18"/>
                  <w:szCs w:val="18"/>
                  <w:color w:val="0000FF"/>
                  <w:w w:val="98"/>
                </w:rPr>
                <w:t>and collateral monitoring agent and the banks party thereto. The Amended Credit Agreement as amended through</w:t>
              </w:r>
            </w:hyperlink>
          </w:p>
        </w:tc>
        <w:tc>
          <w:tcPr>
            <w:tcW w:w="120" w:type="dxa"/>
            <w:vAlign w:val="bottom"/>
            <w:tcBorders>
              <w:bottom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0" w:type="dxa"/>
            <w:vAlign w:val="bottom"/>
            <w:tcBorders>
              <w:bottom w:val="single" w:sz="8" w:color="0000FF"/>
            </w:tcBorders>
            <w:gridSpan w:val="12"/>
          </w:tcPr>
          <w:p>
            <w:pPr>
              <w:ind w:left="20"/>
              <w:spacing w:after="0" w:line="169"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Amendment No. 10, among Chicago Mercantile Exchange Inc., each of the banks party thereto, Bank of America,</w:t>
              </w:r>
            </w:hyperlink>
          </w:p>
        </w:tc>
        <w:tc>
          <w:tcPr>
            <w:tcW w:w="40" w:type="dxa"/>
            <w:vAlign w:val="bottom"/>
            <w:tcBorders>
              <w:bottom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60" w:type="dxa"/>
            <w:vAlign w:val="bottom"/>
            <w:tcBorders>
              <w:bottom w:val="single" w:sz="8" w:color="0000FF"/>
            </w:tcBorders>
            <w:gridSpan w:val="8"/>
          </w:tcPr>
          <w:p>
            <w:pPr>
              <w:ind w:left="20"/>
              <w:spacing w:after="0" w:line="15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N.A., in its capacity as administrative agent, and Citibank, N.A., in its capacity as collateral agent and collateral</w:t>
              </w:r>
            </w:hyperlink>
          </w:p>
        </w:tc>
        <w:tc>
          <w:tcPr>
            <w:tcW w:w="18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360" w:type="dxa"/>
            <w:vAlign w:val="bottom"/>
            <w:gridSpan w:val="15"/>
          </w:tcPr>
          <w:p>
            <w:pPr>
              <w:ind w:left="20"/>
              <w:spacing w:after="0" w:line="15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monitoring agent, is attached as Annex A to Amendment No. 10 (incorporated by reference to Exhibit 10.2 to CME</w:t>
              </w:r>
            </w:hyperlink>
          </w:p>
        </w:tc>
      </w:tr>
      <w:tr>
        <w:trPr>
          <w:trHeight w:val="169"/>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80" w:type="dxa"/>
            <w:vAlign w:val="bottom"/>
            <w:tcBorders>
              <w:top w:val="single" w:sz="8" w:color="0000FF"/>
              <w:bottom w:val="single" w:sz="8" w:color="0000FF"/>
            </w:tcBorders>
            <w:gridSpan w:val="5"/>
          </w:tcPr>
          <w:p>
            <w:pPr>
              <w:ind w:left="20"/>
              <w:spacing w:after="0" w:line="169"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Group Inc.’s Current Report on Form 8-K, filed with the SEC on April 25, 2025).</w:t>
              </w:r>
            </w:hyperlink>
          </w:p>
        </w:tc>
        <w:tc>
          <w:tcPr>
            <w:tcW w:w="246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tcPr>
          <w:p>
            <w:pPr>
              <w:spacing w:after="0"/>
              <w:rPr>
                <w:sz w:val="22"/>
                <w:szCs w:val="22"/>
                <w:color w:val="auto"/>
              </w:rPr>
            </w:pPr>
          </w:p>
        </w:tc>
        <w:tc>
          <w:tcPr>
            <w:tcW w:w="8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Section 302</w:t>
            </w:r>
          </w:p>
        </w:tc>
        <w:tc>
          <w:tcPr>
            <w:tcW w:w="24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Certification—Terrence A. Duffy</w:t>
            </w:r>
          </w:p>
        </w:tc>
        <w:tc>
          <w:tcPr>
            <w:tcW w:w="5040" w:type="dxa"/>
            <w:vAlign w:val="bottom"/>
            <w:gridSpan w:val="11"/>
          </w:tcPr>
          <w:p>
            <w:pPr>
              <w:spacing w:after="0"/>
              <w:rPr>
                <w:sz w:val="22"/>
                <w:szCs w:val="22"/>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Section 302</w:t>
            </w:r>
          </w:p>
        </w:tc>
        <w:tc>
          <w:tcPr>
            <w:tcW w:w="24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Certification—Lynne Fitzpatrick</w:t>
            </w:r>
          </w:p>
        </w:tc>
        <w:tc>
          <w:tcPr>
            <w:tcW w:w="5080" w:type="dxa"/>
            <w:vAlign w:val="bottom"/>
            <w:gridSpan w:val="12"/>
          </w:tcPr>
          <w:p>
            <w:pPr>
              <w:spacing w:after="0"/>
              <w:rPr>
                <w:sz w:val="24"/>
                <w:szCs w:val="24"/>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Section 906</w:t>
            </w:r>
          </w:p>
        </w:tc>
        <w:tc>
          <w:tcPr>
            <w:tcW w:w="9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Certification</w:t>
            </w:r>
          </w:p>
        </w:tc>
        <w:tc>
          <w:tcPr>
            <w:tcW w:w="6540" w:type="dxa"/>
            <w:vAlign w:val="bottom"/>
            <w:gridSpan w:val="13"/>
          </w:tcPr>
          <w:p>
            <w:pPr>
              <w:spacing w:after="0"/>
              <w:rPr>
                <w:sz w:val="24"/>
                <w:szCs w:val="24"/>
                <w:color w:val="auto"/>
              </w:rPr>
            </w:pPr>
          </w:p>
        </w:tc>
      </w:tr>
    </w:tbl>
    <w:p>
      <w:pPr>
        <w:spacing w:after="0" w:line="130" w:lineRule="exact"/>
        <w:rPr>
          <w:sz w:val="20"/>
          <w:szCs w:val="20"/>
          <w:color w:val="auto"/>
        </w:rPr>
      </w:pPr>
    </w:p>
    <w:p>
      <w:pPr>
        <w:ind w:left="1440" w:right="539" w:hanging="1414"/>
        <w:spacing w:after="0" w:line="220" w:lineRule="auto"/>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CME Group Inc.’s Quarterly Report on Form 10-Q for the quarterly period ended June 30, 2025, formatted in Inline XBRL (Xtensible Business Reporting Language): (i) the Consolidated Balance Sheets, (ii) the Consolidated Statements of Income, (iii) the Consolidated Statements of Comprehensive Income, (iv) the Consolidated Statements of Equity, (v) the Consolidated Statements of Cash Flows and (vi) Notes to Unaudited Consolidated Financial Statements, tagged as blocks of text.</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Cover Page Interactive Data File included in the Inline XBRL Document Set for Exhibit 101.</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CME Group Inc.</w:t>
      </w:r>
    </w:p>
    <w:p>
      <w:pPr>
        <w:ind w:left="510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20"/>
        <w:spacing w:after="0"/>
        <w:tabs>
          <w:tab w:leader="none" w:pos="5080" w:val="left"/>
          <w:tab w:leader="none" w:pos="7820" w:val="left"/>
        </w:tabs>
        <w:rPr>
          <w:sz w:val="20"/>
          <w:szCs w:val="20"/>
          <w:color w:val="auto"/>
        </w:rPr>
      </w:pPr>
      <w:r>
        <w:rPr>
          <w:rFonts w:ascii="Times New Roman" w:cs="Times New Roman" w:eastAsia="Times New Roman" w:hAnsi="Times New Roman"/>
          <w:sz w:val="18"/>
          <w:szCs w:val="18"/>
          <w:color w:val="auto"/>
        </w:rPr>
        <w:t>Dated: July 24,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0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Lynne Fitzpatrick</w:t>
      </w:r>
    </w:p>
    <w:p>
      <w:pPr>
        <w:spacing w:after="0" w:line="14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Senior Managing Director, President and Chief Financial Officer</w:t>
      </w:r>
    </w:p>
    <w:p>
      <w:pPr>
        <w:spacing w:after="0" w:line="1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Financial Offer and</w:t>
      </w:r>
    </w:p>
    <w:p>
      <w:pPr>
        <w:ind w:left="7640"/>
        <w:spacing w:after="0"/>
        <w:rPr>
          <w:sz w:val="20"/>
          <w:szCs w:val="20"/>
          <w:color w:val="auto"/>
        </w:rPr>
      </w:pPr>
      <w:r>
        <w:rPr>
          <w:rFonts w:ascii="Times New Roman" w:cs="Times New Roman" w:eastAsia="Times New Roman" w:hAnsi="Times New Roman"/>
          <w:sz w:val="18"/>
          <w:szCs w:val="18"/>
          <w:b w:val="1"/>
          <w:b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00"/>
          </w:cols>
          <w:pgMar w:left="320" w:top="121" w:right="3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Terrence A. Duffy, certify that:</w:t>
      </w:r>
    </w:p>
    <w:p>
      <w:pPr>
        <w:spacing w:after="0" w:line="104" w:lineRule="exact"/>
        <w:rPr>
          <w:sz w:val="20"/>
          <w:szCs w:val="20"/>
          <w:color w:val="auto"/>
        </w:rPr>
      </w:pPr>
    </w:p>
    <w:p>
      <w:pPr>
        <w:ind w:left="360" w:hanging="17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July 24, 2025</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Terrence A. Duffy</w:t>
            </w:r>
          </w:p>
        </w:tc>
      </w:tr>
      <w:tr>
        <w:trPr>
          <w:trHeight w:val="218"/>
        </w:trPr>
        <w:tc>
          <w:tcPr>
            <w:tcW w:w="562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Terrence A. Duffy</w:t>
            </w:r>
          </w:p>
        </w:tc>
      </w:tr>
      <w:tr>
        <w:trPr>
          <w:trHeight w:val="234"/>
        </w:trPr>
        <w:tc>
          <w:tcPr>
            <w:tcW w:w="56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98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Lynne Fitzpatrick, certify that:</w:t>
      </w:r>
    </w:p>
    <w:p>
      <w:pPr>
        <w:spacing w:after="0" w:line="104" w:lineRule="exact"/>
        <w:rPr>
          <w:sz w:val="20"/>
          <w:szCs w:val="20"/>
          <w:color w:val="auto"/>
        </w:rPr>
      </w:pPr>
    </w:p>
    <w:p>
      <w:pPr>
        <w:ind w:left="360" w:hanging="17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Dated: July 24, 2025</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Lynne Fitzpatrick</w:t>
            </w:r>
          </w:p>
        </w:tc>
      </w:tr>
      <w:tr>
        <w:trPr>
          <w:trHeight w:val="218"/>
        </w:trPr>
        <w:tc>
          <w:tcPr>
            <w:tcW w:w="570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Lynne Fitzpatrick</w:t>
            </w:r>
          </w:p>
        </w:tc>
      </w:tr>
      <w:tr>
        <w:trPr>
          <w:trHeight w:val="234"/>
        </w:trPr>
        <w:tc>
          <w:tcPr>
            <w:tcW w:w="57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and Chief Financial Officer</w:t>
            </w:r>
          </w:p>
        </w:tc>
      </w:tr>
    </w:tbl>
    <w:p>
      <w:pPr>
        <w:sectPr>
          <w:pgSz w:w="11900" w:h="16838" w:orient="portrait"/>
          <w:cols w:equalWidth="0" w:num="1">
            <w:col w:w="11240"/>
          </w:cols>
          <w:pgMar w:left="320" w:top="98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CME Group Inc. (the “Company”) for the quarter ended June 30, 2025 as filed with the Securities and Exchange Commission on the date hereof (the “Report”), Terrence A. Duffy, as Chief Executive Officer of the Company, and Lynne Fitzpatrick, as President and Chief Financial Officer of the Company, each hereby certifies, pursuant to 18 U.S.C. § 1350, as adopted pursuant to § 906 of the Sarbanes-Oxley Act of 2002, that, to the best of his knowledge:</w:t>
      </w:r>
    </w:p>
    <w:p>
      <w:pPr>
        <w:spacing w:after="0" w:line="58" w:lineRule="exact"/>
        <w:rPr>
          <w:sz w:val="20"/>
          <w:szCs w:val="20"/>
          <w:color w:val="auto"/>
        </w:rPr>
      </w:pPr>
    </w:p>
    <w:p>
      <w:pPr>
        <w:ind w:left="1100" w:hanging="264"/>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480" w:firstLine="176"/>
        <w:spacing w:after="0" w:line="282" w:lineRule="auto"/>
        <w:tabs>
          <w:tab w:leader="none" w:pos="10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Name: Terrence A. Duffy</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24, 2025</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Lynne Fitzpatrick</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24, 2025</w:t>
      </w:r>
    </w:p>
    <w:p>
      <w:pPr>
        <w:spacing w:after="0" w:line="90" w:lineRule="exact"/>
        <w:rPr>
          <w:sz w:val="20"/>
          <w:szCs w:val="20"/>
          <w:color w:val="auto"/>
        </w:rPr>
      </w:pPr>
    </w:p>
    <w:p>
      <w:pPr>
        <w:ind w:right="600" w:firstLine="177"/>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40" w:lineRule="exact"/>
        <w:rPr>
          <w:sz w:val="20"/>
          <w:szCs w:val="20"/>
          <w:color w:val="auto"/>
        </w:rPr>
      </w:pPr>
    </w:p>
    <w:p>
      <w:pPr>
        <w:ind w:right="120" w:firstLine="17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0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5"/>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78" Type="http://schemas.openxmlformats.org/officeDocument/2006/relationships/hyperlink" Target="https://www.sec.gov/Archives/edgar/data/1156375/000115637525000098/exhibit101cmegroupamende.htm" TargetMode="External"/><Relationship Id="rId79" Type="http://schemas.openxmlformats.org/officeDocument/2006/relationships/hyperlink" Target="https://www.sec.gov/Archives/edgar/data/1156375/000115637525000098/exhibit102cmeamendedcl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2025-07-25T05:13:39Z</dcterms:created>
  <dcterms:modified xsi:type="dcterms:W3CDTF">2025-07-25T05:13:39Z</dcterms:modified>
</cp:coreProperties>
</file>