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OR-</w:t>
      </w:r>
    </w:p>
    <w:p>
      <w:pPr>
        <w:spacing w:after="0" w:line="199"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Arial" w:cs="Arial" w:eastAsia="Arial" w:hAnsi="Arial"/>
                <w:sz w:val="18"/>
                <w:szCs w:val="18"/>
                <w:b w:val="1"/>
                <w:bCs w:val="1"/>
                <w:color w:val="auto"/>
                <w:w w:val="87"/>
              </w:rPr>
              <w:t>Commission file number 000-33379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230" w:right="259" w:bottom="1440" w:gutter="0" w:footer="0" w:header="0"/>
        </w:sectPr>
      </w:pPr>
    </w:p>
    <w:p>
      <w:pPr>
        <w:spacing w:after="0" w:line="132" w:lineRule="exact"/>
        <w:rPr>
          <w:sz w:val="24"/>
          <w:szCs w:val="24"/>
          <w:color w:val="auto"/>
        </w:rPr>
      </w:pPr>
    </w:p>
    <w:p>
      <w:pPr>
        <w:ind w:left="30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00" w:space="100"/>
            <w:col w:w="140" w:space="220"/>
            <w:col w:w="1180" w:space="80"/>
            <w:col w:w="160" w:space="180"/>
            <w:col w:w="1500" w:space="80"/>
            <w:col w:w="316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80"/>
            <w:col w:w="240" w:space="100"/>
            <w:col w:w="160" w:space="180"/>
            <w:col w:w="2560"/>
          </w:cols>
          <w:pgMar w:left="240" w:top="230" w:right="259" w:bottom="1440" w:gutter="0" w:footer="0" w:header="0"/>
          <w:type w:val="continuous"/>
        </w:sectPr>
      </w:pPr>
    </w:p>
    <w:p>
      <w:pPr>
        <w:spacing w:after="0" w:line="6" w:lineRule="exact"/>
        <w:rPr>
          <w:sz w:val="24"/>
          <w:szCs w:val="24"/>
          <w:color w:val="auto"/>
        </w:rPr>
      </w:pPr>
    </w:p>
    <w:p>
      <w:pPr>
        <w:jc w:val="both"/>
        <w:ind w:right="6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April 23, 2008 was as follows: 54,513,263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80" w:type="dxa"/>
            <w:vAlign w:val="bottom"/>
            <w:gridSpan w:val="8"/>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9"/>
            <w:vMerge w:val="continue"/>
          </w:tcPr>
          <w:p>
            <w:pPr>
              <w:spacing w:after="0"/>
              <w:rPr>
                <w:sz w:val="14"/>
                <w:szCs w:val="14"/>
                <w:color w:val="auto"/>
              </w:rPr>
            </w:pPr>
          </w:p>
        </w:tc>
        <w:tc>
          <w:tcPr>
            <w:tcW w:w="808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Balance Sheets at March 31, 2008 and December 31, 2007</w:t>
              </w:r>
            </w:hyperlink>
          </w:p>
        </w:tc>
        <w:tc>
          <w:tcPr>
            <w:tcW w:w="516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 for the Quarters Ended March 31, 2008 and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for the Quarters Ended March 31, 2008 and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tcBorders>
              <w:top w:val="single" w:sz="8" w:color="0000EE"/>
            </w:tcBorders>
            <w:gridSpan w:val="14"/>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Consolidated Statements of Cash Flows for the Quarters Ended March 31, 2008 and 2007</w:t>
              </w:r>
            </w:hyperlink>
          </w:p>
        </w:tc>
        <w:tc>
          <w:tcPr>
            <w:tcW w:w="33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Notes to Unaudited Consolidated Financial Statements</w:t>
              </w:r>
            </w:hyperlink>
          </w:p>
        </w:tc>
        <w:tc>
          <w:tcPr>
            <w:tcW w:w="2440" w:type="dxa"/>
            <w:vAlign w:val="bottom"/>
            <w:tcBorders>
              <w:top w:val="single" w:sz="8" w:color="0000EE"/>
            </w:tcBorders>
            <w:gridSpan w:val="4"/>
          </w:tcPr>
          <w:p>
            <w:pPr>
              <w:spacing w:after="0"/>
              <w:rPr>
                <w:sz w:val="24"/>
                <w:szCs w:val="24"/>
                <w:color w:val="auto"/>
              </w:rPr>
            </w:pPr>
          </w:p>
        </w:tc>
        <w:tc>
          <w:tcPr>
            <w:tcW w:w="3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3"/>
          </w:tcPr>
          <w:p>
            <w:pPr>
              <w:spacing w:after="0"/>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4"/>
              </w:rPr>
            </w:pPr>
            <w:hyperlink w:anchor="page29">
              <w:r>
                <w:rPr>
                  <w:rFonts w:ascii="Arial" w:cs="Arial" w:eastAsia="Arial" w:hAnsi="Arial"/>
                  <w:sz w:val="18"/>
                  <w:szCs w:val="18"/>
                  <w:b w:val="1"/>
                  <w:bCs w:val="1"/>
                  <w:color w:val="0000EE"/>
                  <w:w w:val="84"/>
                </w:rPr>
                <w:t>Legal Proceedings</w:t>
              </w:r>
            </w:hyperlink>
          </w:p>
        </w:tc>
        <w:tc>
          <w:tcPr>
            <w:tcW w:w="500" w:type="dxa"/>
            <w:vAlign w:val="bottom"/>
            <w:tcBorders>
              <w:top w:val="single" w:sz="8" w:color="0000EE"/>
            </w:tcBorders>
            <w:gridSpan w:val="3"/>
          </w:tcPr>
          <w:p>
            <w:pPr>
              <w:spacing w:after="0"/>
              <w:rPr>
                <w:sz w:val="24"/>
                <w:szCs w:val="24"/>
                <w:color w:val="auto"/>
              </w:rPr>
            </w:pPr>
          </w:p>
        </w:tc>
        <w:tc>
          <w:tcPr>
            <w:tcW w:w="838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29">
              <w:r>
                <w:rPr>
                  <w:rFonts w:ascii="Arial" w:cs="Arial" w:eastAsia="Arial" w:hAnsi="Arial"/>
                  <w:sz w:val="18"/>
                  <w:szCs w:val="18"/>
                  <w:b w:val="1"/>
                  <w:bCs w:val="1"/>
                  <w:color w:val="0000EE"/>
                  <w:w w:val="86"/>
                </w:rPr>
                <w:t>Risk Factors</w:t>
              </w:r>
            </w:hyperlink>
          </w:p>
        </w:tc>
        <w:tc>
          <w:tcPr>
            <w:tcW w:w="93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33">
              <w:r>
                <w:rPr>
                  <w:rFonts w:ascii="Arial" w:cs="Arial" w:eastAsia="Arial" w:hAnsi="Arial"/>
                  <w:sz w:val="18"/>
                  <w:szCs w:val="18"/>
                  <w:b w:val="1"/>
                  <w:bCs w:val="1"/>
                  <w:color w:val="0000EE"/>
                  <w:w w:val="92"/>
                </w:rPr>
                <w:t>Signatures</w:t>
              </w:r>
            </w:hyperlink>
          </w:p>
        </w:tc>
        <w:tc>
          <w:tcPr>
            <w:tcW w:w="6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3"/>
        </w:trPr>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gridSpan w:val="10"/>
          </w:tcPr>
          <w:p>
            <w:pPr>
              <w:ind w:left="48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July 12, 2007, CBOT Holdings, Inc. (CBOT Holdings) merged with and into Chicago Mercantile Exchange Holdings Inc. (CME Holdings), which in connection with the merger was named CME Group Inc. Unless otherwise noted, disclosures of trading volume, revenue and other statistical information include the results of CBOT Holdings and its subsidiaries beginning on July 13, 2007.</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the required approvals and to satisfy the closing conditions for our proposed merger with NYMEX Holdings, Inc. and our ability to realize the benefits and control the costs of the proposed transaction;</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the integration of the businesses of CME Holdings and CBOT Holdings, including the fact that such integration may be more difficult, time consuming or costly than expected and revenues following the merger may be lower than expected;</w:t>
      </w:r>
    </w:p>
    <w:p>
      <w:pPr>
        <w:spacing w:after="0" w:line="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or changes as a result of a combination of the Securities and Exchange Commission (SEC) and the Commodity Futures Trading Commission;</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w:t>
      </w:r>
    </w:p>
    <w:p>
      <w:pPr>
        <w:spacing w:after="0" w:line="90" w:lineRule="exact"/>
        <w:rPr>
          <w:rFonts w:ascii="Arial" w:cs="Arial" w:eastAsia="Arial" w:hAnsi="Arial"/>
          <w:sz w:val="18"/>
          <w:szCs w:val="18"/>
          <w:color w:val="auto"/>
        </w:rPr>
      </w:pPr>
    </w:p>
    <w:p>
      <w:pPr>
        <w:ind w:left="900" w:right="32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our Annual Report on Form 10-K for the year ended December 31, 2007, filed with the SEC on February 28, 2008 and Item 1A of this Report.</w:t>
      </w:r>
    </w:p>
    <w:p>
      <w:pPr>
        <w:spacing w:after="0" w:line="13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The Globe logo, CME, Chicago Mercantile Exchange, CME Group, Globex and E-mini are trademarks of Chicago Mercantile Exchange Inc. CBOT, e-CBOT and Chicago Board of Trade are trademarks of the Board of Trade of the City of Chicago, Inc. TRAKRS is a trademark of Merrill Lynch &amp; Co., Inc. used under</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license. All other trademarks are the property of their respective owners. e-CBOT is powered by LIFFE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Further information about CME Group and its products can be found at </w:t>
      </w:r>
      <w:r>
        <w:rPr>
          <w:rFonts w:ascii="Arial" w:cs="Arial" w:eastAsia="Arial" w:hAnsi="Arial"/>
          <w:sz w:val="17"/>
          <w:szCs w:val="17"/>
          <w:u w:val="single" w:color="auto"/>
          <w:color w:val="auto"/>
        </w:rPr>
        <w:t>http://www.cmegroup.com</w:t>
      </w:r>
      <w:r>
        <w:rPr>
          <w:rFonts w:ascii="Arial" w:cs="Arial" w:eastAsia="Arial" w:hAnsi="Arial"/>
          <w:sz w:val="17"/>
          <w:szCs w:val="17"/>
          <w:color w:val="auto"/>
        </w:rPr>
        <w:t>. Information made available on our Web site does not constitute a part of this report.</w:t>
      </w:r>
    </w:p>
    <w:p>
      <w:pPr>
        <w:spacing w:after="0" w:line="18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CME products. Unless otherwise noted, disclosures of trading volume and average rate per contract exclude our TRAKRS products.</w:t>
      </w:r>
    </w:p>
    <w:p>
      <w:pPr>
        <w:spacing w:after="0" w:line="107"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CME Economic Derivatives are options and forwards geared to seven key U.S. and European economic indicators that trade in an auction format. Clearing and transaction fees on CME Economic Derivative products are based on notional values rather than volume and are minimal relative to other CME products. Unless otherwise noted, disclosures of trading volume and average rate per contract exclude these products. In July 2007, we discontinued trading in these products.</w:t>
      </w:r>
    </w:p>
    <w:p>
      <w:pPr>
        <w:spacing w:after="0" w:line="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this Quarterly Report on Form 10-Q, we refer to our cash earnings, a non-GAAP number. A reconciliation of our cash earnings to net income for the quarters ended March 31, 2008 and 2007 is set forth on page 27.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1,066,356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Collateral from securities lending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$69,768 and $100,061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 net of allowance of $940 and $1,392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1,610,025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3,182,129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4,987,055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net of accumulated depreciation and amortization of $467,385 and $435,121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 assets – other,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1,824,926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1,796,789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5,090,250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5,049,211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19,237,903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51,804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1,610,025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2,185,228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3,805,598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3,848,240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6,061,073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8,000,560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89"/>
              </w:rPr>
              <w:t>Class A common stock, $0.01 par value, 1,000,000 shares authorized, 54,489 and 53,278 shares issued and outstanding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of March 31, 2008 and December 31, 2007, respectively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11,338,452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10,688,766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1,840,301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13,176,830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19,237,903</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9"/>
              </w:rPr>
              <w:t>Quarter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525,067</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258,241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625,110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332,331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398,661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200,607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income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Securities lending interest expense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Other expenses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2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407,237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123,689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283,548</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Basic</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53,278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10,689,299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Change in net unrealized gain on securities, net of tax of $211</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jc w:val="right"/>
              <w:ind w:right="4452"/>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4"/>
              </w:rPr>
              <w:t>Change in foreign currency translation adjustment, net of tax of $21</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dividend on common stock of $1.15 per share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(62,687)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in exchange for BM&amp;F stock</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631,394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Tax benefit of stock issuance costs related to CBOT Holdings merger</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in connection with prior repurchase of Class A common stock</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54,489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11,338,997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1,840,301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13,176,830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40" w:type="dxa"/>
            <w:vAlign w:val="bottom"/>
            <w:gridSpan w:val="2"/>
            <w:vMerge w:val="continue"/>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34,836</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$1,116,209</w:t>
            </w:r>
          </w:p>
        </w:tc>
        <w:tc>
          <w:tcPr>
            <w:tcW w:w="2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1,519,092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34,836</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1,112,489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130,028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loss on securities, net of tax of $310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 tax of</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jc w:val="right"/>
              <w:ind w:right="4452"/>
              <w:spacing w:after="0"/>
              <w:rPr>
                <w:sz w:val="20"/>
                <w:szCs w:val="20"/>
                <w:color w:val="auto"/>
              </w:rPr>
            </w:pPr>
            <w:r>
              <w:rPr>
                <w:rFonts w:ascii="Arial" w:cs="Arial" w:eastAsia="Arial" w:hAnsi="Arial"/>
                <w:sz w:val="18"/>
                <w:szCs w:val="18"/>
                <w:color w:val="auto"/>
              </w:rPr>
              <w:t>$858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Change in foreign currency translation adjustment, net of tax of $12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on common stock of $0.86 per share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(29,995)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34,862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417,063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1,212,522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$ 283,548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$130,028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6,330</w:t>
            </w:r>
          </w:p>
        </w:tc>
        <w:tc>
          <w:tcPr>
            <w:tcW w:w="680" w:type="dxa"/>
            <w:vAlign w:val="bottom"/>
          </w:tcPr>
          <w:p>
            <w:pPr>
              <w:jc w:val="right"/>
              <w:spacing w:after="0"/>
              <w:rPr>
                <w:sz w:val="20"/>
                <w:szCs w:val="20"/>
                <w:color w:val="auto"/>
              </w:rPr>
            </w:pPr>
            <w:r>
              <w:rPr>
                <w:rFonts w:ascii="Arial" w:cs="Arial" w:eastAsia="Arial" w:hAnsi="Arial"/>
                <w:sz w:val="18"/>
                <w:szCs w:val="18"/>
                <w:color w:val="auto"/>
              </w:rPr>
              <w:t>4,517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16,210</w:t>
            </w: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34,315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Recognition of in-process research and development acquired from Credit Market Analysis Limited</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3,750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Net amortization (accretion) of premiums and discounts on marketable securities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(187)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financing costs on short-term debt</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(8,397)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(36,227)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(54,942)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(18,686)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20,183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132,665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8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376,904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maturities of marketable securities</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84,697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(35,543)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net</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(68,826)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Purchase of derivative related to BM&amp;F investment</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(45,195)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88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780" w:type="dxa"/>
            <w:vAlign w:val="bottom"/>
            <w:gridSpan w:val="2"/>
          </w:tcPr>
          <w:p>
            <w:pPr>
              <w:jc w:val="right"/>
              <w:ind w:right="2932"/>
              <w:spacing w:after="0"/>
              <w:rPr>
                <w:sz w:val="20"/>
                <w:szCs w:val="20"/>
                <w:color w:val="auto"/>
              </w:rPr>
            </w:pPr>
            <w:r>
              <w:rPr>
                <w:rFonts w:ascii="Arial" w:cs="Arial" w:eastAsia="Arial" w:hAnsi="Arial"/>
                <w:sz w:val="18"/>
                <w:szCs w:val="18"/>
                <w:color w:val="auto"/>
              </w:rPr>
              <w:t>8</w:t>
            </w:r>
          </w:p>
        </w:tc>
        <w:tc>
          <w:tcPr>
            <w:tcW w:w="8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Quarter Ended March 31,</w:t>
            </w: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Proceeds from short-term debt, net of financing costs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3,012,326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debt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(3,010,977)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(29,995)</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(23,311)</w:t>
            </w: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170,289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60" w:type="dxa"/>
            <w:vAlign w:val="bottom"/>
            <w:shd w:val="clear" w:color="auto" w:fill="CCEEFF"/>
          </w:tcPr>
          <w:p>
            <w:pPr>
              <w:spacing w:after="0"/>
              <w:rPr>
                <w:sz w:val="18"/>
                <w:szCs w:val="18"/>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1,066,356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1,139,793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24,045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 (excluding interest for securities lending)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Non-cash investing activities: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securities gains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Change in foreign currency translation adjustment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financing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Issuance of common stock in exchange for Bolsa de Mercadorias &amp; Futuros S.A. stock</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631,394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(CME Group). The financial statements and accompanying notes presented in this report include the financial results of the former CBOT Holdings and its subsidiaries beginning July 13, 2007.</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March 24,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consolidated financial statements consist of CME Group and its subsidiaries (collectively, the company), including Chicago Mercantile Exchange Inc. (CME), Board of Trade of the City of Chicago, Inc. (CBOT) and their subsidiaries (collectively, the exchange). In the opinion of management, the accompanying consolidated financial statements include all normal recurring adjustments considered necessary to present fairly the financial position of the company at March 31, 2008 and December 31, 2007, and the results of operations and cash flows for the quarters ended March 31, 2008 and 2007. Quarterly results are not necessarily indicative of results for any subsequent period.</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2007 financial statements to conform to the presentation in 2008.</w:t>
      </w:r>
    </w:p>
    <w:p>
      <w:pPr>
        <w:spacing w:after="0" w:line="246" w:lineRule="exact"/>
        <w:rPr>
          <w:sz w:val="20"/>
          <w:szCs w:val="20"/>
          <w:color w:val="auto"/>
        </w:rPr>
      </w:pPr>
    </w:p>
    <w:p>
      <w:pPr>
        <w:ind w:right="9500" w:firstLine="8"/>
        <w:spacing w:after="0" w:line="417"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b w:val="1"/>
          <w:bCs w:val="1"/>
          <w:u w:val="single" w:color="auto"/>
          <w:color w:val="auto"/>
        </w:rPr>
        <w:t>CBOT Holdings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July 12, 2007, pursuant to the merger agreement dated October 17, 2006, as amended, CME Holdings completed its merger with CBOT Holdings. The company entered into this merger primarily as a means to diversify its product base, further leverage its existing operating model and better position itself to compete against other U.S. and foreign exchanges as well as the over-the-counter market.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purchase accounting, CME Holdings is considered the acquirer of CBOT Holdings. The preliminary purchase price consists of the following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of outstanding common stock in exchange for CME Holdings’ common stock (52,843 CBOT Holdings shares x 0.375 exchange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 x $560.24 per CME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$ 11,101,928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Acquisition of CBOT Holdings’ common stock prior to merger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CBOT Holdings’ stock options assumed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Merger-related transaction costs</w:t>
            </w: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$ 11,194,901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Acquisition of common stock. </w:t>
      </w:r>
      <w:r>
        <w:rPr>
          <w:rFonts w:ascii="Arial" w:cs="Arial" w:eastAsia="Arial" w:hAnsi="Arial"/>
          <w:sz w:val="18"/>
          <w:szCs w:val="18"/>
          <w:color w:val="auto"/>
        </w:rPr>
        <w:t>Pursuant to the merger agreement, CBOT Holdings’ shareholders received 0.375 shares of Class A common stock of CME Group</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share of Class A common stock of CBOT Holdings issued and outstanding immediately prior to the effective time of the merger. This resulted in the issuance of 19.8 million shares of CME Group Class A common stock. The share price of $560.24 used to calculate the fair value of stock issued was based on the average closing price of CME Holdings Class A common stock for the five-day period beginning two trading days before and ending two trading days after July 6, 2007 (the merger agreement’s last amendment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acquired 100 shares of CBOT Holdings Class A common stock in early 2007 for cash at a total cost of $19,000.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Fair value of stock options assumed. </w:t>
      </w:r>
      <w:r>
        <w:rPr>
          <w:rFonts w:ascii="Arial" w:cs="Arial" w:eastAsia="Arial" w:hAnsi="Arial"/>
          <w:sz w:val="16"/>
          <w:szCs w:val="16"/>
          <w:color w:val="auto"/>
        </w:rPr>
        <w:t>At the close of the merger, CBOT Holdings had 291,800 stock options outstanding. Each stock option was converted using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0.375 exchange ratio designated by the merger agreement. The preliminary fair value of stock options assumed was determined using a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$587.80, the closing price of the CME Holdings’ Class A common stock on July 12, 2007. The preliminary fair value of stock options was calculated using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Black-Scholes valuation model with the following assumptions: expected lives of 0.1 to 4.7 years; risk-free interest rate of 5.0%; expected volatility of 29%;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dividend yield of 0.6%. The portion of estimated fair value of unvested stock options related to future service has been allocated to deferred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is being amortized over the remaining vesting period.</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Holdings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 xml:space="preserve">Preliminary purchase price allocation. </w:t>
      </w:r>
      <w:r>
        <w:rPr>
          <w:rFonts w:ascii="Arial" w:cs="Arial" w:eastAsia="Arial" w:hAnsi="Arial"/>
          <w:sz w:val="16"/>
          <w:szCs w:val="16"/>
          <w:color w:val="auto"/>
        </w:rPr>
        <w:t>In accordance with Statement of Financial Accounting Standards (SFAS) No. 141, “Business Combinations,”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purchase was allocated to CBOT Holdings’ net tangible and identifiable intangible assets based on their estimated fair values as of July 12, 2007 as set forth below. The allocation of the purchase price was based on certain preliminary valuations and the estimates and assumptions are subject to change. The company expects to finalize its purchase price allocation within the next quarter.</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9,802,076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(50,217)</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(3,924,076)</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(11,422)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(21,121)</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and intangible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6,146,531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5,048,370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11,194,901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 forma results. </w:t>
      </w:r>
      <w:r>
        <w:rPr>
          <w:rFonts w:ascii="Arial" w:cs="Arial" w:eastAsia="Arial" w:hAnsi="Arial"/>
          <w:sz w:val="16"/>
          <w:szCs w:val="16"/>
          <w:color w:val="auto"/>
        </w:rPr>
        <w:t>The following unaudited condensed pro forma consolidated income statement assumes that the merger was completed as of January 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8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Total Expenses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Basic</w:t>
            </w:r>
          </w:p>
        </w:tc>
        <w:tc>
          <w:tcPr>
            <w:tcW w:w="3980" w:type="dxa"/>
            <w:vAlign w:val="bottom"/>
            <w:gridSpan w:val="2"/>
          </w:tcPr>
          <w:p>
            <w:pPr>
              <w:ind w:left="38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pro forma information has been prepared for comparative purposes only and is not intended to be indicative of past or future results. The pro forma information for the period presented includes purchase accounting effects on historical CBOT Holdings’ operating results, amortization of purchased intangibles, stock-based compensation expense for unvested stock options assumed, and the impact of CBOT Holdings’ special dividend, which was paid under the terms of the merger agreement, on investment income. Results for the quarter ended March 31, 2007 include CBOT Holdings’ merger-related transaction costs of approximately $13.0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CMA</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23, 2008, CME Group purchased CMA, a leading provider of credit derivatives market data, in exchange for cash. This acquisition is expected to provide CME Group with greater exposure to the credit derivatives market. Additionally, CME Group will leverage its clearing and trade execution capabilities, enhancing CMA’s products to create greater value and efficiencies for its customers.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SFAS No. 141, the preliminary purchase price of $93.0 million was allocated to CMA’s net tangible and identifiable intangible assets based on their preliminary estimated fair values as of the acquisition date. The excess of the preliminary purchase price over the net tangible assets and identifiable intangible assets was recorded as goodwill. Based on the preliminary purchase price allocation, CME Group recorded $41.2 million of goodwill and $48.2 million in identifiable intangible assets. Additional cash consideration of up to $4.1 million is payable contingent upon meeting specific performance conditions related to the collection of accounts receivable during the first six months of operations after closing. Contingent consideration will be recorded as additional purchase price and will increase goodwill as it becomes payable when the contingency is resolved.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CME maintains performance bond and security deposit requirements for futures and options traded on the CME and CBOT exchange marketplaces, as well as for FXMarketSpace Limited (FXMS) products for which CME provides clearing services. Each firm that clears futures and options traded on the CME or CBOT exchange or that transacts in over-the-counter products with FXMS is required to deposit acceptable collateral and maintain specified performance bonds and security deposits principally in the form of cash, funds deposited in the various Interest Earnings Facility programs, U.S. government and certain foreign government securities, bank letters of credit or shares of specific U.S. equity securities. Clearing firm positions are combined to create a single portfolio for each clearing firm’s regulated and non-regulated accounts with CME for which performance bond and security deposit requirements are calculated. Performance bonds and security deposits are available to meet the financial obligations of that clearing firm to CME.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assets and offsetting liabilities may vary significantly over time.</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U.S. Treasury securities and letters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includes intangible assets recognized in the CMA acquisition, consisted of the following at March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4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$1,501,110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(35,817)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Dow Jones licensing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74,000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(4,829)</w:t>
            </w:r>
          </w:p>
        </w:tc>
        <w:tc>
          <w:tcPr>
            <w:tcW w:w="800" w:type="dxa"/>
            <w:vAlign w:val="bottom"/>
          </w:tcPr>
          <w:p>
            <w:pPr>
              <w:jc w:val="right"/>
              <w:spacing w:after="0"/>
              <w:rPr>
                <w:sz w:val="20"/>
                <w:szCs w:val="20"/>
                <w:color w:val="auto"/>
              </w:rPr>
            </w:pPr>
            <w:r>
              <w:rPr>
                <w:rFonts w:ascii="Arial" w:cs="Arial" w:eastAsia="Arial" w:hAnsi="Arial"/>
                <w:sz w:val="18"/>
                <w:szCs w:val="18"/>
                <w:color w:val="auto"/>
              </w:rPr>
              <w:t>69,171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Market maker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9,682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(3,255)</w:t>
            </w:r>
          </w:p>
        </w:tc>
        <w:tc>
          <w:tcPr>
            <w:tcW w:w="800" w:type="dxa"/>
            <w:vAlign w:val="bottom"/>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(1)</w:t>
            </w:r>
          </w:p>
        </w:tc>
        <w:tc>
          <w:tcPr>
            <w:tcW w:w="2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(4,142)</w:t>
            </w:r>
          </w:p>
        </w:tc>
        <w:tc>
          <w:tcPr>
            <w:tcW w:w="800" w:type="dxa"/>
            <w:vAlign w:val="bottom"/>
          </w:tcPr>
          <w:p>
            <w:pPr>
              <w:jc w:val="right"/>
              <w:spacing w:after="0"/>
              <w:rPr>
                <w:sz w:val="20"/>
                <w:szCs w:val="20"/>
                <w:color w:val="auto"/>
              </w:rPr>
            </w:pPr>
            <w:r>
              <w:rPr>
                <w:rFonts w:ascii="Arial" w:cs="Arial" w:eastAsia="Arial" w:hAnsi="Arial"/>
                <w:sz w:val="18"/>
                <w:szCs w:val="18"/>
                <w:color w:val="auto"/>
              </w:rPr>
              <w:t>4,838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Amortizable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$1,658,748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(53,062)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1,605,686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tcPr>
          <w:p>
            <w:pPr>
              <w:spacing w:after="0"/>
              <w:rPr>
                <w:sz w:val="20"/>
                <w:szCs w:val="20"/>
                <w:color w:val="auto"/>
              </w:rPr>
            </w:pPr>
            <w:r>
              <w:rPr>
                <w:rFonts w:ascii="Arial" w:cs="Arial" w:eastAsia="Arial" w:hAnsi="Arial"/>
                <w:sz w:val="18"/>
                <w:szCs w:val="18"/>
                <w:color w:val="auto"/>
              </w:rPr>
              <w:t>Trading products</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7,987,000</w:t>
            </w: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Products in development</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Indefinite-Lived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8,206,240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9,811,926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intangible assets consist primarily of open interest, non-compete and service agreements, trade names, and foreign currency translation adjustments.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$16.2 million and $0.3 million for the quarters ended March 31, 2008 and 2007, respectively.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2008, the future estimated amortization expense related to amortizable intangible assets is expected to be:</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56,306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2009</w:t>
            </w:r>
          </w:p>
        </w:tc>
        <w:tc>
          <w:tcPr>
            <w:tcW w:w="3600" w:type="dxa"/>
            <w:vAlign w:val="bottom"/>
          </w:tcPr>
          <w:p>
            <w:pPr>
              <w:jc w:val="right"/>
              <w:spacing w:after="0"/>
              <w:rPr>
                <w:sz w:val="20"/>
                <w:szCs w:val="20"/>
                <w:color w:val="auto"/>
              </w:rPr>
            </w:pPr>
            <w:r>
              <w:rPr>
                <w:rFonts w:ascii="Arial" w:cs="Arial" w:eastAsia="Arial" w:hAnsi="Arial"/>
                <w:sz w:val="18"/>
                <w:szCs w:val="18"/>
                <w:color w:val="auto"/>
              </w:rPr>
              <w:t>71,583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2011</w:t>
            </w:r>
          </w:p>
        </w:tc>
        <w:tc>
          <w:tcPr>
            <w:tcW w:w="3600" w:type="dxa"/>
            <w:vAlign w:val="bottom"/>
          </w:tcPr>
          <w:p>
            <w:pPr>
              <w:jc w:val="right"/>
              <w:spacing w:after="0"/>
              <w:rPr>
                <w:sz w:val="20"/>
                <w:szCs w:val="20"/>
                <w:color w:val="auto"/>
              </w:rPr>
            </w:pPr>
            <w:r>
              <w:rPr>
                <w:rFonts w:ascii="Arial" w:cs="Arial" w:eastAsia="Arial" w:hAnsi="Arial"/>
                <w:sz w:val="18"/>
                <w:szCs w:val="18"/>
                <w:color w:val="auto"/>
              </w:rPr>
              <w:t>70,502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2013</w:t>
            </w:r>
          </w:p>
        </w:tc>
        <w:tc>
          <w:tcPr>
            <w:tcW w:w="3600" w:type="dxa"/>
            <w:vAlign w:val="bottom"/>
          </w:tcPr>
          <w:p>
            <w:pPr>
              <w:jc w:val="right"/>
              <w:spacing w:after="0"/>
              <w:rPr>
                <w:sz w:val="20"/>
                <w:szCs w:val="20"/>
                <w:color w:val="auto"/>
              </w:rPr>
            </w:pPr>
            <w:r>
              <w:rPr>
                <w:rFonts w:ascii="Arial" w:cs="Arial" w:eastAsia="Arial" w:hAnsi="Arial"/>
                <w:sz w:val="18"/>
                <w:szCs w:val="18"/>
                <w:color w:val="auto"/>
              </w:rPr>
              <w:t>59,979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1,210,822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 at March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7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7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Acquisitions</w:t>
            </w: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Activity (1)</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$5,037,316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$5,036,874</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CMA</w:t>
            </w: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41,220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41,220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Swapstream</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20" w:type="dxa"/>
            <w:vAlign w:val="bottom"/>
          </w:tcPr>
          <w:p>
            <w:pPr>
              <w:spacing w:after="0"/>
              <w:rPr>
                <w:sz w:val="18"/>
                <w:szCs w:val="18"/>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Total Goodwill</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5,049,211</w:t>
            </w: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41,220</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5,090,250</w:t>
            </w: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consists primarily of a foreign currency translation adjustment for Swapstream and the recognition of excess tax benefits upon exercise of stock options assumed for CBOT Holdings.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February 26, 2008, the company completed its transaction with Bolsa de Mercadorias &amp; Futuros S.A. (BM&amp;F). Under the agreement, the company issued</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 million shares of Class A common stock (an approximately 2% equity interest in CME Group) at a cost of $631.4 million in exchange for 101.1 million shares in BM&amp;F (an equity stake of approximately 10% in BM&amp;F). The company may not sell its shares in BM&amp;F for four years after the purchase date. As a result, BM&amp;F stock will be carried at cost until within 12 months of the restriction lapsing, after which time the stock will be accounted for as an available-for-sale security.</w:t>
      </w:r>
    </w:p>
    <w:p>
      <w:pPr>
        <w:spacing w:after="0" w:line="14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April 2008, BM&amp;F and Bovespa Holding S.A. (“Bovespa”) announced a proposed merger. On May 8, 2008, the shareholders of BM&amp;F and Bovespa approved the transaction. After the completion of the transaction, CME Group’s equity stake in BM&amp;F will be reduced to approximately 5% of the combined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2007, subsequent to its recent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Total estimated restructuring costs of $33.5 million consist primarily of severance and transitional payments and contract termination penalties which will be substantially completed by July 2008. Costs of $21.1 million were recognized as a liability in the allocation of CBOT Holdings’ purchase price in 2007, and accordingly, resulted in an increase to goodwill. 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addition to costs recognized in purchase accounting, costs of $11.8 million are being recognized as restructuring expense over the service period subsequent to the merger required from transitional employees. Through March 31, 2008, the company has recorded restructuring expense of $10.7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40"/>
              <w:spacing w:after="0"/>
              <w:rPr>
                <w:sz w:val="20"/>
                <w:szCs w:val="20"/>
                <w:color w:val="auto"/>
              </w:rPr>
            </w:pPr>
            <w:r>
              <w:rPr>
                <w:rFonts w:ascii="Arial" w:cs="Arial" w:eastAsia="Arial" w:hAnsi="Arial"/>
                <w:sz w:val="14"/>
                <w:szCs w:val="14"/>
                <w:b w:val="1"/>
                <w:bCs w:val="1"/>
                <w:color w:val="auto"/>
              </w:rPr>
              <w:t>Initial</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Interest on</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Restructuring</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Accrued</w:t>
            </w:r>
          </w:p>
        </w:tc>
        <w:tc>
          <w:tcPr>
            <w:tcW w:w="2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9"/>
              </w:rPr>
              <w:t>at</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w w:val="97"/>
              </w:rPr>
              <w:t>Costs</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To Date</w:t>
            </w:r>
          </w:p>
        </w:tc>
        <w:tc>
          <w:tcPr>
            <w:tcW w:w="2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Payments</w:t>
            </w:r>
          </w:p>
        </w:tc>
        <w:tc>
          <w:tcPr>
            <w:tcW w:w="7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8"/>
              </w:rPr>
              <w:t>03/31/08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associated costs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Contract terminations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6,902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32,259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(19,208)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13,051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 and Guarantees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October 14,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CBOE. The lawsuit seeks to enforce and protect the exercise right privileges (ERPs). The lawsuit alleges that these ERPs allow CBOT’s full members who hold them to become full members of CBOE and to participate on an equal basis with other members of CBOE in CBOE’s announced plans to demutualize. On January 4, 2007, the plaintiffs filed a Second Amended Complaint, in which they added a count seeking a declaration that, contrary to the position taken by the CBOE before the Securities and Exchange Commission (SEC), the merger between CBOT Holdings and CME Holdings would not result in the termination of the ERPs. The lawsuit seeks declaratory and injunctive relief as well as recovery of attorneys’ fees. On January 11, 2007, the plaintiffs filed a motion for partial summary judgment. On January 16, 2007, the defendants filed a motion to dismiss the Second Amended Complaint. On January 15, 2008, the SEC approved CBOE’s rule interpretation that no person qualifies to become or remain a CBOE exerciser member following the merger. Both parties have requested that the court enter a judgment in their favor as a matter of law.</w:t>
      </w:r>
    </w:p>
    <w:p>
      <w:pPr>
        <w:spacing w:after="0" w:line="12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March 17, 2008, Cataldo J. Capozza filed a putative class action complaint in the Delaware Court of Chancery against NYMEX Holdings, the NYMEX Holdings board of directors and CME Group. The complaint alleges, among other things, that NYMEX Holdings and its board of directors breached their fiduciary duties in approving the merger agreement by failing to take steps to maximize the value of NYMEX Holdings to its public shareholders, failing to properly value NYMEX Holdings and taking steps to avoid competitive bidding, to cap the price of NYMEX Holdings’ common stock and to give CME Group an unfair advantage by failing to solicit other potential acquirors or alternative transactions. The complaint further alleges that CME Group aided and abetted the alleged breaches of fiduciary duty. On April 14, 2008, Polly Winters also filed a putative class action complaint in the Delaware Court of Chancery against NYMEX Holdings, the NYMEX Holdings board of directors and CME Group. On April 15, 2008, Joan Haedrich also filed a putative class action complaint in the Delaware Court of Chancery against NYMEX Holdings, the NYMEX Holdings board of directors and CME Group. The allegations of the Winters and Haedrich complaints are, in substance, the same as those asserted in the Capozza complaint. The plaintiffs seek to enjoin the merger. The company intends to defend vigorously against the allegations.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CBOE Exercise Right Privileges. </w:t>
      </w:r>
      <w:r>
        <w:rPr>
          <w:rFonts w:ascii="Arial" w:cs="Arial" w:eastAsia="Arial" w:hAnsi="Arial"/>
          <w:sz w:val="16"/>
          <w:szCs w:val="16"/>
          <w:color w:val="auto"/>
        </w:rPr>
        <w:t>Under the terms of the merger agreement, eligible CBOT members who hold ERPs were each given the choice of tendering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their ERP to the company for $250,000 payable after the closing or to participate as a class member in the CBOE lawsuit with a guaranteed payment of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$250,000 from the company if the lawsuit results in a recovery of less than that amount. At the close of the merger, there were 1,331 ERPs outstanding. In August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2007, 159 ERPs were tendered to the company. As of March 31, 2008, there were 1,172 outstanding ERPs that could seek recovery from CME Group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guarantee election. The maximum possible aggregate payment under the guarantee is $293.0 million.</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that has been extended through October 2009. CME can</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collateral in the form of U.S. Treasury securities or irrevocable letters of credit. At March 31, 2008, CME was contingently liable to SGX on irrevocable letters of credit totaling $82.0 million and had pledged securities with a fair value of $69.8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Transactions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mitigates certain financial exposures to currency risk through the use of derivative financial instruments as part of its risk management program. The company has entered into foreign exchange derivative contracts, including forward and option contracts, to reduce its exposure to foreign currency exchange rates.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connection with its purchase of BM&amp;F stock in February 2008, CME Group purchased an option to hedge against changes in the fair value of BM&amp;F stock resulting from foreign currency exchange rate fluctuations between the U.S. Dollar and the Brazilian Real (BRL) beyond the option’s exercise price. For accounting purposes, the hedged amount is equal to an underlying notional value of BRL1.3 billion. This amount represents the fair value of the BM&amp;F stock at the time the stock purchase was negotiated.</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mitigate credit risk, the derivative agreement requires CME Group’s counterparty to collateralize substantially all of the option’s fair value with cash or U.S. Treasury securities. The collateral is adjusted on a daily basis. At March 31, 2008, the fair value of the derivative was $43.0 million. During the first quarter of 2008, the company recognized a loss on the derivative of $2.2 million which is included in investment income in the consolidated statements of income. Although the option has been designated as a hedge, hedge accounting will not apply until the current spot rate is above the option’s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Payments</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and previously unvested CBOT stock options, was $6.9 million for the quarter ended March 31, 2008 and $4.9 million for the quarter ended March 31, 2007. The total income tax benefit recognized in the consolidated statements of income for stock-based payment arrangements was $2.7 million and $1.9 million for the quarters ended March 31, 2008 and 2007, respectively.</w:t>
      </w:r>
    </w:p>
    <w:p>
      <w:pPr>
        <w:spacing w:after="0" w:line="10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the first quarter of 2008, the company granted employees stock options totaling 2,285 shares under the Omnibus Stock Plan. The options have a ten-year term with an exercise price of $486 per share, the closing market price on the date of grant. The fair value of these options totaled $0.5 million, measured at the grant date using the Black-Scholes valuation model. The Black-Scholes fair value of the option grants was calculated using the following assumptions: dividend yield of 0.9%; expected volatility of 46%; risk-free interest rate of 2.8%; and expected life of 6.5 years. The grant date weighted average fair value of options granted during the quarter was $218 per share.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2008, the company also granted 1,322 shares of restricted Class A common stock which generally have a vesting period of two to five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grants is $0.6 million, which is recognized as compensation expense on an accelerated basis over the vesting period.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January 2008, CME Group adopted SFAS No. 157, “Fair Value Measurements,” which provides guidance for using fair value to measure assets and liabilities by defining fair value and establishing a framework for measuring fair value. The standard creates a three-level hierarchy, which establishes classification of fair value measurements for disclosure purposes.</w:t>
      </w:r>
    </w:p>
    <w:p>
      <w:pPr>
        <w:spacing w:after="0" w:line="59" w:lineRule="exact"/>
        <w:rPr>
          <w:sz w:val="20"/>
          <w:szCs w:val="20"/>
          <w:color w:val="auto"/>
        </w:rPr>
      </w:pPr>
    </w:p>
    <w:p>
      <w:pPr>
        <w:ind w:left="900" w:right="4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can’t be corroborated by market data or other entity specific inputs.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March 31, 2008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143,207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12,166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155,373</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42,998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44,262</w:t>
            </w:r>
          </w:p>
        </w:tc>
      </w:tr>
      <w:tr>
        <w:trPr>
          <w:trHeight w:val="222"/>
        </w:trPr>
        <w:tc>
          <w:tcPr>
            <w:tcW w:w="8200" w:type="dxa"/>
            <w:vAlign w:val="bottom"/>
            <w:gridSpan w:val="3"/>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143,207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42,998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199,635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Derivative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r>
      <w:tr>
        <w:trPr>
          <w:trHeight w:val="222"/>
        </w:trPr>
        <w:tc>
          <w:tcPr>
            <w:tcW w:w="8200" w:type="dxa"/>
            <w:vAlign w:val="bottom"/>
            <w:gridSpan w:val="3"/>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6,029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is a reconciliation of assets and liabilities measured at fair value on a recurring basis using significant unobservable inputs (Level 3) during the first quarter of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Guarantee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Contract</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CBOE Exercise</w:t>
            </w:r>
          </w:p>
        </w:tc>
        <w:tc>
          <w:tcPr>
            <w:tcW w:w="0" w:type="dxa"/>
            <w:vAlign w:val="bottom"/>
          </w:tcPr>
          <w:p>
            <w:pPr>
              <w:spacing w:after="0"/>
              <w:rPr>
                <w:sz w:val="1"/>
                <w:szCs w:val="1"/>
                <w:color w:val="auto"/>
              </w:rPr>
            </w:pPr>
          </w:p>
        </w:tc>
      </w:tr>
      <w:tr>
        <w:trPr>
          <w:trHeight w:val="161"/>
        </w:trPr>
        <w:tc>
          <w:tcPr>
            <w:tcW w:w="93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Asset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2"/>
              </w:rPr>
              <w:t>Right Privileges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45,195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 included in 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(2,197)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Fair value of assets (liabilities) at March 31, 2008</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42,998</w:t>
            </w:r>
          </w:p>
        </w:tc>
        <w:tc>
          <w:tcPr>
            <w:tcW w:w="5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realized and unrealized gains (losses) included in net income related to the assets and liabilities above are attributable to assets and liabilities still held at March 31, 2008.</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unrealized loss on the derivative contract is recorded in investment income within non-operating income (expense) The change in fair value of the guarantee of CBOE ERP’s is also recorded in non-operating income (expense).</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134,000 and 8,100 were anti-dilutive for the quarters ended March 31, 2008 and 2007, respectively. These shares were not included in the diluted earnings per common share calculations.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4"/>
              </w:rPr>
              <w:t>Quarter Ended March 31,</w:t>
            </w: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3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130,028</w:t>
            </w:r>
          </w:p>
        </w:tc>
        <w:tc>
          <w:tcPr>
            <w:tcW w:w="20" w:type="dxa"/>
            <w:vAlign w:val="bottom"/>
          </w:tcPr>
          <w:p>
            <w:pPr>
              <w:spacing w:after="0"/>
              <w:rPr>
                <w:sz w:val="18"/>
                <w:szCs w:val="18"/>
                <w:color w:val="auto"/>
              </w:rPr>
            </w:pPr>
          </w:p>
        </w:tc>
      </w:tr>
      <w:tr>
        <w:trPr>
          <w:trHeight w:val="322"/>
        </w:trPr>
        <w:tc>
          <w:tcPr>
            <w:tcW w:w="656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20" w:type="dxa"/>
            <w:vAlign w:val="bottom"/>
          </w:tcPr>
          <w:p>
            <w:pPr>
              <w:spacing w:after="0"/>
              <w:rPr>
                <w:sz w:val="18"/>
                <w:szCs w:val="18"/>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Effect of stock options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restricted stock grants</w:t>
            </w:r>
          </w:p>
        </w:tc>
        <w:tc>
          <w:tcPr>
            <w:tcW w:w="3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35,229</w:t>
            </w:r>
          </w:p>
        </w:tc>
      </w:tr>
      <w:tr>
        <w:trPr>
          <w:trHeight w:val="20"/>
        </w:trPr>
        <w:tc>
          <w:tcPr>
            <w:tcW w:w="65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Basic</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Pending Transactions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CBOT Metals Trading Products. </w:t>
      </w:r>
      <w:r>
        <w:rPr>
          <w:rFonts w:ascii="Arial" w:cs="Arial" w:eastAsia="Arial" w:hAnsi="Arial"/>
          <w:sz w:val="18"/>
          <w:szCs w:val="18"/>
          <w:color w:val="auto"/>
        </w:rPr>
        <w:t>On March 14, 2008, CME Group announced the planned sale of its metals trading products, including open interest, to NYSE</w:t>
      </w:r>
      <w:r>
        <w:rPr>
          <w:rFonts w:ascii="Arial" w:cs="Arial" w:eastAsia="Arial" w:hAnsi="Arial"/>
          <w:sz w:val="18"/>
          <w:szCs w:val="18"/>
          <w:i w:val="1"/>
          <w:iCs w:val="1"/>
          <w:color w:val="auto"/>
        </w:rPr>
        <w:t xml:space="preserve"> </w:t>
      </w:r>
      <w:r>
        <w:rPr>
          <w:rFonts w:ascii="Arial" w:cs="Arial" w:eastAsia="Arial" w:hAnsi="Arial"/>
          <w:sz w:val="18"/>
          <w:szCs w:val="18"/>
          <w:color w:val="auto"/>
        </w:rPr>
        <w:t>Euronext. Metals trading products, which were acquired as part of the merger with CBOT Holdings, had a carrying amount of approximately $28.0 million at March 31, 2008. The sale is contingent on pending regulatory approvals and customary closing conditions and is expected to be completed in late 2008. Cash proceeds are subject to change based on certain performance measures around the time of closing. The company does not expect to recognize a significant gain or loss upon completion of the sale.</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Merger with NYMEX Holdings. </w:t>
      </w:r>
      <w:r>
        <w:rPr>
          <w:rFonts w:ascii="Arial" w:cs="Arial" w:eastAsia="Arial" w:hAnsi="Arial"/>
          <w:sz w:val="16"/>
          <w:szCs w:val="16"/>
          <w:color w:val="auto"/>
        </w:rPr>
        <w:t>On March 17, 2008, CME Group and NYMEX Holdings, Inc. (NYMEX Holdings) signed a definitive agreement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CME Group will acquire NYMEX Holdings. Under the terms of the definitive agreement, shareholders of NYMEX Holdings will receive total consideration equal to 0.1323 shares of CME Group Class A common stock and $36.00 in cash for each share of NYMEX Holdings common stock outstanding, or an aggregate of approximately 12.5 million shares of CME Group Class A common stock and cash of approximately $3.4 billion based on the number of NYMEX Holdings shares outstanding at December 31, 2007. The total cash consideration is limited to the product of the NYMEX Holdings common stock outstanding at the effective time of the merger and $36.00 per share. CME Group may choose to increase the cash amount under certain circumstances. The cash component of the transaction will be financed through cash on hand and debt financing, to the extent necessary. The merger agreement contains certain termination rights for CME Group and NYMEX Holdings. NYMEX Holdings is required to offer to purchase 816 outstanding NYMEX Holdings Class A memberships for consideration not to exceed $500 million in the aggregate, or approximately $612,000 per membership. The closing of the merger will be conditioned on, among other things, at least 75 percent of the memberships being purchased. The merger agreement further provides that CME Group or NYMEX Holdings will be required to pay the other a termination fee of $308.0 million if the agreement is terminated under certain circumstances. The merger is expected to close in the fourth quarter of 2008, subject to a number of approvals, including shareholder, membership and regulatory approvals, as well as completion of customary closing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audited consolidated financial statements, the accompanying notes, and Management’s Discussion and Analysis of Financial Condition and Results of Operations included in CME Group Inc.’s (CME Group’s) Annual Report on Form 10-K for the year ended December 31, 2007.</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References in this discussion and analysis to “we” and “our” are to CME Group and its consolidated subsidiaries, collectively. References to “exchange” are to Chicago Mercantile Exchange Inc. (CME), Board of Trade of the City of Chicago, Inc. (CBOT) and their subsidiaries, collectively.</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July 12, 2007, CBOT Holdings, Inc. (CBOT Holdings) merged with and into Chicago Mercantile Exchange Holdings Inc. (CME Holdings). At the time of the merger, the combined company was renamed CME Group. The following Management’s Discussion and Analysis of Financial Condition and Results of Operations includes only the consolidated financial results of CME Holdings and its subsidiaries for the quarter ended March 31, 2007. The financial results of the former CME Holdings and CBOT Holdings are included in the consolidated financial results of CME Group for the quarter ended March 31, 2008. In addition, on March 23, 2008, CME Group acquired Credit Market Analysis Ltd., a private company incorporated in the United Kingdom, and its wholly-owned subsidiaries (collectively, CMA). The acquisition of CMA did not have a material impact on our consolidated financial results for the quarter ended March 31, 2008.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Information regarding critical accounting policies as of December 31, 2007 is contained in Item 7 of our 2007 Annual Report on Form 10-K. The following is additional information regarding critical accounting policies adopted in 2008:</w:t>
      </w:r>
    </w:p>
    <w:p>
      <w:pPr>
        <w:spacing w:after="0" w:line="13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In January 2008, we adopted Statement of Financial Accounting Standard (SFAS) No. 157, “Fair Value Measurements,”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guidance for using fair value to measure assets and liabilities by defining fair value and establishing a framework for measuring fair value. SFAS No. 157 applies to all financial instruments that are measured and reported on a fair value basis.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categorized our financial instruments measured at fair value into a three-level classification in accordance with SFAS No. 157. The hierarchy is broken down into three levels based on the reliability of inputs as follows: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Assets and liabilities carried at Level 1 fair value generally include U.S. government and agency securities, equities listed in active markets, and investments in publicly traded mutual funds with quoted market prices.</w:t>
      </w:r>
    </w:p>
    <w:p>
      <w:pPr>
        <w:spacing w:after="0" w:line="51" w:lineRule="exact"/>
        <w:rPr>
          <w:sz w:val="20"/>
          <w:szCs w:val="20"/>
          <w:color w:val="auto"/>
        </w:rPr>
      </w:pPr>
    </w:p>
    <w:p>
      <w:pPr>
        <w:ind w:left="900" w:right="3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 Inputs are either directly or indirectly observable and corroborated by market data or are based on quoted prices in markets that are not active.</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Fair valued assets and liabilities carried at Level 2 fair value generally include municipal bonds, corporate debt, and certain derivatives.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3 – Inputs are unobservable and reflect management’s best estimate of what market participants would use in pricing the asset or liability.</w:t>
      </w:r>
    </w:p>
    <w:p>
      <w:pPr>
        <w:spacing w:after="0" w:line="113"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Generally, assets and liabilities at fair value utilizing Level 3 inputs include certain complex over-the-counter derivative contracts and certain other assets and liabilities with inputs that require management’s judgment.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order to corroborate the reasonableness of the fair value of our Level 3 fair value models, we have obtained valuations for those assets and liabilities from outside third parties. For further discussion regarding the fair value of financial assets and liabilities, see Note 10 in the notes to the unaudited consolidated financial statements.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Derivative Transactions. </w:t>
      </w:r>
      <w:r>
        <w:rPr>
          <w:rFonts w:ascii="Arial" w:cs="Arial" w:eastAsia="Arial" w:hAnsi="Arial"/>
          <w:sz w:val="18"/>
          <w:szCs w:val="18"/>
          <w:color w:val="auto"/>
        </w:rPr>
        <w:t>We use derivative financial instruments for the purpose of hedging exposures to fluctuations in foreign currency exchange rates.</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are recorded at fair value in the consolidated balance sheets. For a derivative designated as a fair value hedge of a recognized asset or liability or an unrecognized firm commitment, any gain or loss on the derivative is recognized in earnings in the period of change together with the offsetting loss or gain on the hedged item attributable to the risk being hedged. If there is an ineffective portion of the gain or loss associated with a hedge, it is reported in earnings immediately. Any realized gains and losses from hedges are classified in the consolidated statements of income consistent with the accounting treatment of the items being hedged.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comparability of our operating results for the first quarter to the same period in 2007 is significantly impacted by our merger with CBOT Holdings. In our discussion and analysis of comparative periods, we have quantified the contribution of additional revenue or expense resulting from the merger wherever such amounts were material and identifiable. While identified amounts may provide indications of general trends, the analysis cannot completely address the effects attributable to integration efforts.</w:t>
      </w:r>
    </w:p>
    <w:p>
      <w:pPr>
        <w:spacing w:after="0" w:line="62" w:lineRule="exact"/>
        <w:rPr>
          <w:sz w:val="20"/>
          <w:szCs w:val="20"/>
          <w:color w:val="auto"/>
        </w:rPr>
      </w:pPr>
    </w:p>
    <w:p>
      <w:pPr>
        <w:ind w:left="900" w:right="4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operating revenues grew by 88% in the first quarter of 2008 when compared with the same period in 2007. The most significant increases occurred in clearing and transaction fee revenue and quotation data fees while processing services experienced a decrease.</w:t>
      </w:r>
    </w:p>
    <w:p>
      <w:pPr>
        <w:spacing w:after="0" w:line="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operating expenses increased by 72% in the first quarter driven mostly by increases in compensation and benefits, amortization of purchased intangibles, depreciation and amortization, and other expense.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increased to 64% in the first quarter of 2008 compared with 60% in the same period in 2007.</w:t>
      </w:r>
    </w:p>
    <w:p>
      <w:pPr>
        <w:spacing w:after="0" w:line="5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Non-operating income decreased primarily due to transaction costs incurred for the completion of our investment in Bolsa de Mercadorias &amp; Futuros S.A. (BM&amp;F). We also experienced a decrease in investment income attributable primarily to a decline in market interest rates. Decreases were partially offset by an increase in net securities lending income and a change in the fair value of our guarantee of Chicago Board of Options Exchange (CBOE) exercise right privileges.</w:t>
      </w:r>
    </w:p>
    <w:p>
      <w:pPr>
        <w:spacing w:after="0" w:line="62"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 tax rate decreased to 30.4% in the first quarter of 2008 compared with 39.6% in the same period of 2007 due primarily to an Illinois tax law change that resulted in a $38.6 million reduction in expense recorded this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7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2"/>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625.1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332.3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Clearing and Transaction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increased primarily due to growth in trading volume partially offset by a decrease in average rate per contract.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average daily trading volume. For comparative purposes, CME and CBOT products have been presented separately. All amounts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38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600" w:type="dxa"/>
            <w:vAlign w:val="bottom"/>
          </w:tcPr>
          <w:p>
            <w:pPr>
              <w:jc w:val="right"/>
              <w:spacing w:after="0"/>
              <w:rPr>
                <w:sz w:val="20"/>
                <w:szCs w:val="20"/>
                <w:color w:val="auto"/>
              </w:rPr>
            </w:pPr>
            <w:r>
              <w:rPr>
                <w:rFonts w:ascii="Arial" w:cs="Arial" w:eastAsia="Arial" w:hAnsi="Arial"/>
                <w:sz w:val="18"/>
                <w:szCs w:val="18"/>
                <w:color w:val="auto"/>
              </w:rPr>
              <w:t>3,780</w:t>
            </w:r>
          </w:p>
        </w:tc>
        <w:tc>
          <w:tcPr>
            <w:tcW w:w="6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7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600" w:type="dxa"/>
            <w:vAlign w:val="bottom"/>
          </w:tcPr>
          <w:p>
            <w:pPr>
              <w:jc w:val="right"/>
              <w:spacing w:after="0"/>
              <w:rPr>
                <w:sz w:val="20"/>
                <w:szCs w:val="20"/>
                <w:color w:val="auto"/>
              </w:rPr>
            </w:pPr>
            <w:r>
              <w:rPr>
                <w:rFonts w:ascii="Arial" w:cs="Arial" w:eastAsia="Arial" w:hAnsi="Arial"/>
                <w:sz w:val="18"/>
                <w:szCs w:val="18"/>
                <w:color w:val="auto"/>
              </w:rPr>
              <w:t>3,613</w:t>
            </w:r>
          </w:p>
        </w:tc>
        <w:tc>
          <w:tcPr>
            <w:tcW w:w="6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2,167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844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3"/>
        </w:trPr>
        <w:tc>
          <w:tcPr>
            <w:tcW w:w="844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600" w:type="dxa"/>
            <w:vAlign w:val="bottom"/>
          </w:tcPr>
          <w:p>
            <w:pPr>
              <w:jc w:val="right"/>
              <w:spacing w:after="0"/>
              <w:rPr>
                <w:sz w:val="20"/>
                <w:szCs w:val="20"/>
                <w:color w:val="auto"/>
              </w:rPr>
            </w:pPr>
            <w:r>
              <w:rPr>
                <w:rFonts w:ascii="Arial" w:cs="Arial" w:eastAsia="Arial" w:hAnsi="Arial"/>
                <w:sz w:val="18"/>
                <w:szCs w:val="18"/>
                <w:color w:val="auto"/>
              </w:rPr>
              <w:t>848</w:t>
            </w:r>
          </w:p>
        </w:tc>
        <w:tc>
          <w:tcPr>
            <w:tcW w:w="6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7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600" w:type="dxa"/>
            <w:vAlign w:val="bottom"/>
          </w:tcPr>
          <w:p>
            <w:pPr>
              <w:jc w:val="right"/>
              <w:spacing w:after="0"/>
              <w:rPr>
                <w:sz w:val="20"/>
                <w:szCs w:val="20"/>
                <w:color w:val="auto"/>
              </w:rPr>
            </w:pPr>
            <w:r>
              <w:rPr>
                <w:rFonts w:ascii="Arial" w:cs="Arial" w:eastAsia="Arial" w:hAnsi="Arial"/>
                <w:sz w:val="18"/>
                <w:szCs w:val="18"/>
                <w:color w:val="auto"/>
              </w:rPr>
              <w:t>8,825</w:t>
            </w:r>
          </w:p>
        </w:tc>
        <w:tc>
          <w:tcPr>
            <w:tcW w:w="6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6,454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844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4,815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600" w:type="dxa"/>
            <w:vAlign w:val="bottom"/>
          </w:tcPr>
          <w:p>
            <w:pPr>
              <w:jc w:val="right"/>
              <w:spacing w:after="0"/>
              <w:rPr>
                <w:sz w:val="20"/>
                <w:szCs w:val="20"/>
                <w:color w:val="auto"/>
              </w:rPr>
            </w:pPr>
            <w:r>
              <w:rPr>
                <w:rFonts w:ascii="Arial" w:cs="Arial" w:eastAsia="Arial" w:hAnsi="Arial"/>
                <w:sz w:val="18"/>
                <w:szCs w:val="18"/>
                <w:color w:val="auto"/>
              </w:rPr>
              <w:t>3,862</w:t>
            </w:r>
          </w:p>
        </w:tc>
        <w:tc>
          <w:tcPr>
            <w:tcW w:w="6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Volume as a Percentage of Total Average Daily Volume</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06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Trading volume increased in the first quarter of 2008 when compared with the same period in 2007 due primarily to the addition of the CBOT product lines. We also believe that a significant increase in market volatility, resulting in part from uncertainty surrounding the sub-prime debt market and inflationary concerns, and an increase in automated trading systems by our customers also contributed to an increase in overall volume. In January 2008, we moved the e-CBOT products, with the exception of the metals products, to the CME Globex platform. This migration contributed to an increase in electronic volume for CBOT products to an average of 3.9 million contracts per day from 3.0 million contracts per day during the same period of 2007. In this and the following discussion of volume, CBOT product volume for the first quarter of 2007 is provided for comparative purposes only and does not relate to revenue recognized by CME Group in the first quarter of 2007.</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Trading volume for interest rates increased due in large part to the addition of CBOT interest rate products. The 10-year and 5-year U.S. Treasury note futures and options, which had average daily volume of 1.7 million and 1.0 million contracts, respectively, contributed to a significant portion of the CBOT interest rate products volume during the first quarter of 2008. During the first quarter of 2007, average daily volume for 10-year and 5-year U.S. Treasury note futures and options was 1.5 million and 0.7 million contracts, respectively.</w:t>
      </w:r>
    </w:p>
    <w:p>
      <w:pPr>
        <w:spacing w:after="0" w:line="62" w:lineRule="exact"/>
        <w:rPr>
          <w:sz w:val="20"/>
          <w:szCs w:val="20"/>
          <w:color w:val="auto"/>
        </w:rPr>
      </w:pPr>
    </w:p>
    <w:p>
      <w:pPr>
        <w:ind w:left="460" w:right="120"/>
        <w:spacing w:after="0" w:line="284" w:lineRule="auto"/>
        <w:rPr>
          <w:sz w:val="20"/>
          <w:szCs w:val="20"/>
          <w:color w:val="auto"/>
        </w:rPr>
      </w:pPr>
      <w:r>
        <w:rPr>
          <w:rFonts w:ascii="Arial" w:cs="Arial" w:eastAsia="Arial" w:hAnsi="Arial"/>
          <w:sz w:val="16"/>
          <w:szCs w:val="16"/>
          <w:color w:val="auto"/>
        </w:rPr>
        <w:t>Overall trading volume growth in interest rate products also resulted from increased market volatility during the first quarter of 2008 when compared with the same period in 2007. The rise in market volatility, which we believe was generated from concerns about the sub-prime debt markets and uncertainty surrounding market interest rates, contributed to a 34% increase in average daily trading volume for CME Eurodollar futures traded electronically to</w:t>
      </w:r>
    </w:p>
    <w:p>
      <w:pPr>
        <w:spacing w:after="0" w:line="1" w:lineRule="exact"/>
        <w:rPr>
          <w:sz w:val="20"/>
          <w:szCs w:val="20"/>
          <w:color w:val="auto"/>
        </w:rPr>
      </w:pPr>
    </w:p>
    <w:p>
      <w:pPr>
        <w:ind w:left="460" w:right="100"/>
        <w:spacing w:after="0" w:line="261" w:lineRule="auto"/>
        <w:rPr>
          <w:sz w:val="20"/>
          <w:szCs w:val="20"/>
          <w:color w:val="auto"/>
        </w:rPr>
      </w:pPr>
      <w:r>
        <w:rPr>
          <w:rFonts w:ascii="Arial" w:cs="Arial" w:eastAsia="Arial" w:hAnsi="Arial"/>
          <w:sz w:val="18"/>
          <w:szCs w:val="18"/>
          <w:color w:val="auto"/>
        </w:rPr>
        <w:t>3.0 million contracts per day in the first quarter of 2008 compared with the same period in 2007. We also believe an increase in automated trading systems by our customers resulted in an increase in overall electronic interest rate volume.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increase in equity product trading volume in the first quarter of 2008 when compared with the same period in 2007 was due mostly to a significant rise in average volatility in the equity markets resulting from sub-prime debt market and inflationary concerns. Average volatility, as measured by the CBOE Volatility Index, more than doubled during the first quarter of 2008 compared with the same period in 2007. We also believe an increase in equity product trading volume was due to an increase in automated trading systems by our customers.</w:t>
      </w:r>
    </w:p>
    <w:p>
      <w:pPr>
        <w:spacing w:after="0" w:line="32"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Average daily volume of our E-mini equity products increased by 73% to 3.4 million contracts in the first quarter of 2008 compared with the same period in 2007. Included in this increase were E-mini S&amp;P 500 futures and options, which grew 87% to an average of 2.6 million contracts a day.</w:t>
      </w:r>
    </w:p>
    <w:p>
      <w:pPr>
        <w:spacing w:after="0" w:line="4"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As announced in June 2007, our license to list Russell-based contracts will terminate in September 2008 when the last contracts currently traded expire. Average daily volume for the Russell-based contracts was 322,000 for the first quarter of 2008. In June 2007, we launched new E-mini S&amp;P small cap futures and options contracts, based on the S&amp;P 600 Index, to offer a comparable alternative to Russell-based contracts.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Growth in trading volume for foreign exchange products was driven primarily by the decline of the U.S dollar relative to other major currencies. We also believe that increased volatility in the fixed income market contributed to an increase in volume during the first quarter of 2008. In the first quarter of 2008, electronic foreign exchange volume increased to 94% of total foreign exchange volume compared with 90% in the same period of 2007.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Commodities and Alternative Investments</w:t>
      </w:r>
    </w:p>
    <w:p>
      <w:pPr>
        <w:spacing w:after="0" w:line="9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increase in trading volume during the first quarter of 2008 was primarily attributable to the additional volume generated from CBOT commodities. The CBOT commodities consist primarily of corn and soybean futures and options. We also believe the increase in commodities and alternative investments is due to increased pressure on commodities prices and additional use of commodities as an asset class.</w:t>
      </w:r>
    </w:p>
    <w:p>
      <w:pPr>
        <w:spacing w:after="0" w:line="2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On March 14, 2008, we announced the planned sale of our metals trading products, including its open interest, to NYSE Euronext. The sale is expected to be completed in late 2008 and is contingent on pending regulatory approvals and customary closing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increase in average daily volume in the first quarter of 2008 was partially offset by a decrease in the average rate, or revenue, per contract. All amounts in the following table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volume </w:t>
            </w: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 xml:space="preserve">Clearing and transaction fees </w:t>
            </w:r>
            <w:r>
              <w:rPr>
                <w:rFonts w:ascii="Arial" w:cs="Arial" w:eastAsia="Arial" w:hAnsi="Arial"/>
                <w:sz w:val="18"/>
                <w:szCs w:val="18"/>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0.644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decrease in average rate per contract in the first quarter of 2008 was due largely to an increase in member trading when compared with the same period in 2007. During the first quarter of 2008, CME member trading volume grew to 82% of total volume compared with 81% of total volume in the same period in 2007. We believe that this increase in member trading is primarily attributable to higher volumes by automated trading systems, which typically receive member rates. Additionally, the E-mini S&amp;P 500 futures and options average rate per contract decreased due to incremental volume reaching the CME Globex surcharge cap, resulting in a decrease in the average rate per contract.</w:t>
      </w:r>
    </w:p>
    <w:p>
      <w:pPr>
        <w:spacing w:after="0" w:line="35"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color w:val="auto"/>
        </w:rPr>
        <w:t>The impact of the average rate per contract for the CBOT products added to our existing product lines partially offset the overall decrease in the average rate per contract. The average rate per contract for the CBOT products during the first quarter of 2008 was $0.687. In addition, during the quarter, the percentage of CME total volume by product line shifted away from CME interest rate products to CME equity products, which have a higher rate per contract. As a percentage of total volume, CME equity volume increased by 7% in the first quarter of 2008 when compared with the same period in 2007 while CME interest rate product volume decreased by 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on behalf of their customers. We currently have approximately 120 clearing firms. One firm represented approximately 10% of our clearing and transaction fee revenue for the first quarter of 2008. Should a clearing firm discontinue operations, we believe the customer portion of the firm’s trading activity would likely transfer to another clearing firm of the exchange. Therefore, we do not believe this concentration exposes us to significant risk from the loss of revenue earned from a particular firm.</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Quotation Data Fees</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data fees increased largely due to the addition of revenue from basic services provided to existing CBOT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Quarter Ended 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301,000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146,000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Basic device monthly fee per device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Estimated increase in income due to count (in millions)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Estimated increase in income due to rate (in millions)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Users of both CME and CBOT basic services paid $55 per month in 2008 for each market data screen, or device, compared with $50 per month in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$1.2 million of additional revenue was also generated from rate increases on other data fees and surcharges.</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two largest resellers of our market data generated approximately 54% of our quotation data fees revenue in the first quarter of 2008. However, we consider exposure to significant risk of revenue loss to be minimal despite this concentration. In the event one of these vendors no longer subscribes to our market data, we believe the majority of that vendor’s customers would likely subscribe to our market data through another reseller.</w:t>
      </w:r>
    </w:p>
    <w:p>
      <w:pPr>
        <w:spacing w:after="0" w:line="10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u w:val="single" w:color="auto"/>
          <w:color w:val="auto"/>
        </w:rPr>
        <w:t>Processing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revenue was due mainly to the elimination of fees generated by the clearing agreement with CBOT, which terminated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our merger with CBOT Holdings. Our prior agreement with CBOT generated $21.9 million in revenue during the first quarter of 2007.</w:t>
      </w:r>
    </w:p>
    <w:p>
      <w:pPr>
        <w:spacing w:after="0" w:line="8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elimination of revenue from the CBOT clearing agreement was partially offset by an increase in fees generated by our trade matching agreement with NYMEX. Average daily volume of NYMEX products available on the CME Globex platform increased 51% to 1.0 million contracts in the first quarter of 2008 compared with the same period in 2007 resulting in an increase in revenue of $4.4 million in the first quarter of 2008.</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Access and Communication Fees</w:t>
      </w:r>
      <w:r>
        <w:rPr>
          <w:rFonts w:ascii="Arial" w:cs="Arial" w:eastAsia="Arial" w:hAnsi="Arial"/>
          <w:sz w:val="18"/>
          <w:szCs w:val="18"/>
          <w:color w:val="auto"/>
        </w:rPr>
        <w:t>. Revenue growth was primarily attributable to telecommunication services provided to CBOT customers, which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revenue of approximately $1.7 million in the first quarter of 2008. Customer upgrades to higher bandwidth connections and our co-location program expansion also contributed to the increase in access and communication fees.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Rental income and associated revenues from building operations acquired as a result of the merger with CBOT Holdings contributed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$5.3 million in the first quarter of 2008 when compared with the same period in 2007. Other incremental revenues from CBOT totaled $1.0 million for the first quarter of 2008. In addition, we earned $1.2 million in incremental fees from the Interest Earning Facility programs due to an increase in the average funds invested by our clearing firm members in these programs.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140" w:type="dxa"/>
            <w:vAlign w:val="bottom"/>
          </w:tcPr>
          <w:p>
            <w:pPr>
              <w:spacing w:after="0"/>
              <w:rPr>
                <w:sz w:val="14"/>
                <w:szCs w:val="14"/>
                <w:color w:val="auto"/>
              </w:rPr>
            </w:pPr>
          </w:p>
        </w:tc>
        <w:tc>
          <w:tcPr>
            <w:tcW w:w="18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840" w:type="dxa"/>
            <w:vAlign w:val="bottom"/>
            <w:gridSpan w:val="4"/>
            <w:vMerge w:val="continue"/>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Communications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Professional fees and outside services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Licensing and other fee agreements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u w:val="single" w:color="auto"/>
                <w:color w:val="auto"/>
              </w:rPr>
              <w:t>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Compensation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increase for the first quarter, when compared with the same period in 2007, consisted primarily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18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headcount increased by 35%, or about 500 employees, in the first quarter of 2008 compared with the same period in 2007. This increase resulted primarily from the addition of approximately 690 employees as a result of our merger with CBOT Holdings in July 2007. This was offset by the effect of our ongoing workforce reduction plan which has eliminated approximately 250 positions since August 2007. As of March 31, 2008 and 2007, we had approximately 1,990 and 1,460 employees, respectively. This includes an estimated 50 CMA employees at March 31, 2008.</w:t>
      </w:r>
    </w:p>
    <w:p>
      <w:pPr>
        <w:spacing w:after="0" w:line="31" w:lineRule="exact"/>
        <w:rPr>
          <w:rFonts w:ascii="Arial" w:cs="Arial" w:eastAsia="Arial" w:hAnsi="Arial"/>
          <w:sz w:val="16"/>
          <w:szCs w:val="16"/>
          <w:color w:val="auto"/>
        </w:rPr>
      </w:pPr>
    </w:p>
    <w:p>
      <w:pPr>
        <w:ind w:left="460" w:right="6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increased primarily due to the options awarded in our most recent annual grant in June 2007. In addition, we recognized incremental expense for the unvested stock options previously granted to CBOT Holdings’ employees.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Bonus expense increased mainly as a result of a larger target pool due to additional headcount when compared with the same period in 2007.</w:t>
      </w:r>
    </w:p>
    <w:p>
      <w:pPr>
        <w:spacing w:after="0" w:line="113" w:lineRule="exact"/>
        <w:rPr>
          <w:rFonts w:ascii="Arial" w:cs="Arial" w:eastAsia="Arial" w:hAnsi="Arial"/>
          <w:sz w:val="16"/>
          <w:szCs w:val="16"/>
          <w:color w:val="auto"/>
        </w:rPr>
      </w:pPr>
    </w:p>
    <w:p>
      <w:pPr>
        <w:ind w:left="460" w:right="5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were partially offset by losses on our non-qualified deferred compensation plan balances, which are included in compensation and benefits expense but do not affect net income because of an equal and offsetting change in investment income of $2.1 million.</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the merger with CBOT in 2007, we approved and initiated a plan to close duplicate facilities and reduce our workforce in order to improve operating efficiencies. In addition to positions eliminated through the first quarter of 2008, we expect to eliminate approximately 130 additional positions, with a substantial portion occurring during the second quarter of 2008. We expect these reductions to contribute to a decrease in compensation and benefits expense relative to the current period.</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Communications</w:t>
      </w:r>
      <w:r>
        <w:rPr>
          <w:rFonts w:ascii="Arial" w:cs="Arial" w:eastAsia="Arial" w:hAnsi="Arial"/>
          <w:sz w:val="18"/>
          <w:szCs w:val="18"/>
          <w:color w:val="auto"/>
        </w:rPr>
        <w:t>. Costs incurred to support our metals products on e-CBOT and customer connectivity resulted in incremental expense of approximately $3.8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quarter of 2008 when compared with the same period in 2007. The consolidation of our trading floor operations contributed an additional $0.9 million in expense during the period. We expect a decrease in this expense relative to the current period after the trading floor consolidation is completed in May 2008.</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u w:val="single" w:color="auto"/>
          <w:color w:val="auto"/>
        </w:rPr>
        <w:t>Technology Support Services</w:t>
      </w:r>
      <w:r>
        <w:rPr>
          <w:rFonts w:ascii="Arial" w:cs="Arial" w:eastAsia="Arial" w:hAnsi="Arial"/>
          <w:sz w:val="16"/>
          <w:szCs w:val="16"/>
          <w:color w:val="auto"/>
        </w:rPr>
        <w:t>. An increase of approximately $7.2 million was related to continued maintenance and support of the metals products on the e-CBOT</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during the first quarter of 2008 compared with the same period in 2007. Additionally, ongoing maintenance due to system expansion and performance enhancements to our network contributed additional expense. We intend to end our use of the e-CBOT platform in mid 2008 and expect a decrease in technology support service expense relative to the current period after that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u w:val="single" w:color="auto"/>
          <w:color w:val="auto"/>
        </w:rPr>
        <w:t>Professional Fees and Outside Services</w:t>
      </w:r>
      <w:r>
        <w:rPr>
          <w:rFonts w:ascii="Arial" w:cs="Arial" w:eastAsia="Arial" w:hAnsi="Arial"/>
          <w:sz w:val="16"/>
          <w:szCs w:val="16"/>
          <w:color w:val="auto"/>
        </w:rPr>
        <w:t>. Technology-related and other professional fees, net of amounts capitalized for internally developed software,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$3.3 million in the first quarter of 2008 compared with the same period in 2007. The increase was due primarily to consulting services used to supplement our merger integration efforts as well as non-capitalizable professional fees for infrastructure and production support. Additionally, legal fees increased $1.6 million in the first quarter primarily due to litigation costs for various ongoing legal matters, including the CBOE proceedings.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u w:val="single" w:color="auto"/>
          <w:color w:val="auto"/>
        </w:rPr>
        <w:t>Amortization of Purchased Intangibles</w:t>
      </w:r>
      <w:r>
        <w:rPr>
          <w:rFonts w:ascii="Arial" w:cs="Arial" w:eastAsia="Arial" w:hAnsi="Arial"/>
          <w:sz w:val="16"/>
          <w:szCs w:val="16"/>
          <w:color w:val="auto"/>
        </w:rPr>
        <w:t>. The increase in amortization during the first quarter of 2008 is related to intangible assets obtained in our merger with</w:t>
      </w:r>
      <w:r>
        <w:rPr>
          <w:rFonts w:ascii="Arial" w:cs="Arial" w:eastAsia="Arial" w:hAnsi="Arial"/>
          <w:sz w:val="16"/>
          <w:szCs w:val="16"/>
          <w:i w:val="1"/>
          <w:iCs w:val="1"/>
          <w:color w:val="auto"/>
        </w:rPr>
        <w:t xml:space="preserve"> </w:t>
      </w:r>
      <w:r>
        <w:rPr>
          <w:rFonts w:ascii="Arial" w:cs="Arial" w:eastAsia="Arial" w:hAnsi="Arial"/>
          <w:sz w:val="16"/>
          <w:szCs w:val="16"/>
          <w:color w:val="auto"/>
        </w:rPr>
        <w:t>CBOT Holdings. In addition, on March 23, 2008, we acquired intangible assets in our purchase of CMA. Based on our preliminary purchase price allocation, we expect to recognize expense of approximately $8.0 million in 2008 related to CMA’s intangible assets.</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u w:val="single" w:color="auto"/>
          <w:color w:val="auto"/>
        </w:rPr>
        <w:t>Depreciation and Amortization</w:t>
      </w:r>
      <w:r>
        <w:rPr>
          <w:rFonts w:ascii="Arial" w:cs="Arial" w:eastAsia="Arial" w:hAnsi="Arial"/>
          <w:sz w:val="16"/>
          <w:szCs w:val="16"/>
          <w:color w:val="auto"/>
        </w:rPr>
        <w:t>. The increase is primarily due to additional assets obtained in our merger with CBOT Holdings that was completed in July 2007.</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 related to the addition of assets acquired in the merger was approximately $7.5 million during the first quarter of 2008. In addition, we have shortened the useful lives of various technology-related and trading floor assets due to our plans to consolidate some electronic trading systems and trading floor operations as a result of the merger. We recorded incremental expense of $4.1 million in the first quarter of 2008 for this acceleration of depreciation. We expect to recognize additional accelerated depreciation of $3.9 million during the second quarter of 2008.</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 Total property additions increased in 2008 due to spending for the development of our Chicago office space and the development of our new data center.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2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33.4</w:t>
            </w: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2460" w:type="dxa"/>
            <w:vAlign w:val="bottom"/>
            <w:gridSpan w:val="3"/>
          </w:tcPr>
          <w:p>
            <w:pPr>
              <w:jc w:val="right"/>
              <w:ind w:right="280"/>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u w:val="single" w:color="auto"/>
          <w:color w:val="auto"/>
        </w:rPr>
        <w:t>Occupancy and Building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incurred incremental expense of $5.6 million during the first quarter of 2008 relating primarily to utilities,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real estate tax expense for the buildings acquired in our merger with CBOT Holdings. Additionally, there was an increase in rent expense for space added at existing locations.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color w:val="auto"/>
        </w:rPr>
        <w:t>. Higher average daily trading volume for CME equity licensed products and particularly, E-mini S&amp;P products, resulted in</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of additional expense in the first quarter of 2008 when compared with the same period in 2007. Incremental expenses of $2.5 million for licensing fees on CBOT products also contributed to the increase in this expense. This includes the pricing impact of the renewed agreement with Dow Jones effective January 2008.</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u w:val="single" w:color="auto"/>
          <w:color w:val="auto"/>
        </w:rPr>
        <w:t>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expense consists primarily of transitional employees’ severance, retention bonuses and associated payroll taxes as well as outplacement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post-employment healthcare subsidies. Approximately $1.1 million of additional restructuring expense will be incurred in 2008. We expect the program to be substantially complete by June 2008.</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u w:val="single" w:color="auto"/>
          <w:color w:val="auto"/>
        </w:rPr>
        <w:t>Other Expense</w:t>
      </w:r>
      <w:r>
        <w:rPr>
          <w:rFonts w:ascii="Arial" w:cs="Arial" w:eastAsia="Arial" w:hAnsi="Arial"/>
          <w:sz w:val="18"/>
          <w:szCs w:val="18"/>
          <w:color w:val="auto"/>
        </w:rPr>
        <w:t>. The increase in the first quarter of 2008 when compared with the same period of 2007 is attributable primarily to a write-off of $3.8 million of in-process research and development acquired in our purchase of CMA and the recognition of a $2.0 million provision for legal matters. An increase in banking fees associated with our securities lending program as well as a higher level of general and administrative expenses resulting from combined company operations also contributed to the increase in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1"/>
              </w:rPr>
              <w:t>Quarter Ended March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8440" w:type="dxa"/>
            <w:vAlign w:val="bottom"/>
            <w:gridSpan w:val="4"/>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Securities lending interest income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Guarantee of exercise right privileges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Equity in losses of unconsolidated subsidiaries</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8440" w:type="dxa"/>
            <w:vAlign w:val="bottom"/>
            <w:gridSpan w:val="4"/>
            <w:vMerge w:val="restart"/>
          </w:tcPr>
          <w:p>
            <w:pPr>
              <w:spacing w:after="0"/>
              <w:rPr>
                <w:sz w:val="20"/>
                <w:szCs w:val="20"/>
                <w:color w:val="auto"/>
              </w:rPr>
            </w:pPr>
            <w:r>
              <w:rPr>
                <w:rFonts w:ascii="Arial" w:cs="Arial" w:eastAsia="Arial" w:hAnsi="Arial"/>
                <w:sz w:val="18"/>
                <w:szCs w:val="18"/>
                <w:color w:val="auto"/>
              </w:rPr>
              <w:t>Total Non-Operating</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22"/>
        </w:trPr>
        <w:tc>
          <w:tcPr>
            <w:tcW w:w="8440" w:type="dxa"/>
            <w:vAlign w:val="bottom"/>
            <w:gridSpan w:val="4"/>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8</w:t>
            </w:r>
          </w:p>
        </w:tc>
        <w:tc>
          <w:tcPr>
            <w:tcW w:w="4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investment income in the first quarter of 2008 when compared with the same period in 2007 is primarily the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market interest rates due to rate cuts by the Federal Open Market Committee. Annualized average rates of return and average investment balances indicated in the table below include short-term investments classified as cash and cash equivalents, marketable securities and a portion of clearing firms’ cash performance bonds and security deposits, but exclude the impact of insurance contracts and marketable securities that are related to our non-qualified deferred compensation plans. We exclude the impact of these marketable securities from this analysis because gains and losses from these securities are offset by an equal amount of compensation and benefits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Quarter Ended March 31,</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$ 1,604.6</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$ 1,535.5</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income due to rate</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Increase in income due to balance</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addition, we experienced a $2.2 million decrease in the fair value of the derivative used to limit our exposure to foreign currency fluctuations with respect to our investment in BM&amp;F stock and a $2.1 million increase in losses on marketable securities associated with our non-qualified deferred compensation plan.</w:t>
      </w:r>
    </w:p>
    <w:p>
      <w:pPr>
        <w:spacing w:after="0" w:line="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u w:val="single" w:color="auto"/>
          <w:color w:val="auto"/>
        </w:rPr>
        <w:t>Securities Lending Interest Income and Expense</w:t>
      </w:r>
      <w:r>
        <w:rPr>
          <w:rFonts w:ascii="Arial" w:cs="Arial" w:eastAsia="Arial" w:hAnsi="Arial"/>
          <w:sz w:val="16"/>
          <w:szCs w:val="16"/>
          <w:color w:val="auto"/>
        </w:rPr>
        <w:t>. The spread between the average rate earned and the average rate paid increased during 2008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a significant increase in demand for the securities we had available to lend through this program, which affects the rate paid, and due to the lag effect of interest rates on the reinvested cash in money market funds, which affects the rate earned. As a result, the net earned in securities lending increased $5.0 million in the first quarter of 2008 when compared with the same period in 2007. The decline in overall revenue and expense is due to significant interest rate decreases resulting from the Federal Open Market Committee’s rate cuts during the first quarter of 2008. In addition, beginning in March 2008, we temporarily suspended our securities lending program due to high volatility in the credit markets and extreme demand for U.S. Treasury securities, contributing to the decrease in revenue and expense and resulting in a decline in the average daily balance of funds invested in the first quarter of 2008. We plan to resume the program once the market dislocation subsides.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 Ended March 31,</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220" w:type="dxa"/>
            <w:vAlign w:val="bottom"/>
            <w:gridSpan w:val="3"/>
            <w:vMerge w:val="continue"/>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4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322"/>
        </w:trPr>
        <w:tc>
          <w:tcPr>
            <w:tcW w:w="422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5.39%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gridSpan w:val="3"/>
            <w:vMerge w:val="continue"/>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140" w:type="dxa"/>
            <w:vAlign w:val="bottom"/>
            <w:vMerge w:val="restart"/>
          </w:tcPr>
          <w:p>
            <w:pPr>
              <w:jc w:val="right"/>
              <w:ind w:right="2472"/>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Interest Expense</w:t>
      </w:r>
      <w:r>
        <w:rPr>
          <w:rFonts w:ascii="Arial" w:cs="Arial" w:eastAsia="Arial" w:hAnsi="Arial"/>
          <w:sz w:val="18"/>
          <w:szCs w:val="18"/>
          <w:color w:val="auto"/>
        </w:rPr>
        <w:t>. In September 2007, we initiated a commercial paper program with various financial institutions. The weighted average balance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paper notes outstanding in the first quarter of 2008 was $203.6 million. Interest rates on the notes outstanding during the quarter ranged from 2.33% to 4.65%. The maturities of notes outstanding during the quarter ranged from one to 97 days.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u w:val="single" w:color="auto"/>
          <w:color w:val="auto"/>
        </w:rPr>
        <w:t>Guarantee of Exercise Right Privileges</w:t>
      </w:r>
      <w:r>
        <w:rPr>
          <w:rFonts w:ascii="Arial" w:cs="Arial" w:eastAsia="Arial" w:hAnsi="Arial"/>
          <w:sz w:val="16"/>
          <w:szCs w:val="16"/>
          <w:color w:val="auto"/>
        </w:rPr>
        <w:t>. Under the terms of our merger with CBOT Holdings, holders that did not elect to sell their ERPs to us are entitled to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guaranteed payment of up to $250,000 upon resolution of the lawsuit between CBOT and CBOE. The maximum potential aggregate payment under the guarantee is $293.0 million. Our liability under the guarantee, which is included in other liabilities on our consolidated balance sheets, was estimated as $5.6 million and $14.0 million at March 31, 2008 and December 31, 2007, respectively. The decrease was due to a reassessment of expected outcomes relating to the valuation of the liability. We will continue to adjust the fair value of the guarantee on a quarterly basis until the lawsuit is resolved.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Non-operating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is attributable primarily to transfer and transaction fees related to the acquisition of an equity stake in BM&amp;F.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effective tax rate decreased to 30.4% in the first quarter of 2008 from 39.6% in the same period of 2007. The decrease was due primarily to an Illinois tax law change that will affect the future state tax impact of certain deferred tax items. This tax law change resulted in a $38.6 million reduction in expense this quarter. We do not expect further significant impacts from the tax law change in future quarters. Additionally, an expected investment tax credit relating to rehabilitation of real estate property obtained in our merger with CBOT Holdings contributed to the decrease in the rate. These reductions in the effective tax rate were partially offset by a decrease in the impact of tax-advantaged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was $376.9 million for the first quarter of 2008 compared with the $177.8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2007. For the first quarter, net cash provided by operating activities was $93.4 million higher than net income. This increase consisted primarily of a $132.7 million increase in income taxes payable and $34.3 million in depreciation and amortization offset by a $54.9 million increase in accounts receivable and a $36.2 million increase in net deferred income taxes. Accounts receivable in any period result primarily from the clearing and transaction fees billed in the last month of the reporting period.</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Cash used in investing activities was $100.7 million in the first quarter of 2008 compared with $15.8 million of cash provided by investing activities in the first quarter of 2007. The increase in cash used is primarily due to the acquisition of CMA for $68.8 million, net of cash received, and a payment of $45.2 million for the purchase of a derivative contract related to our investment in BM&amp;F.</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used in financing activities was $55.2 million in the first quarter of 2008 compared with $23.3 million for the same period in 2007. The increase was due primarily to a $32.7 million increase in cash dividends to shareholders as a result of our increased cash earning in 2007 over the prior year and an increase in the number of shares outstanding as a result of our merger with CBOT Holdings. Prior year’s cash earnings is the basis used to determine the amount of the current year’s dividend.</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maintain a 364-day revolving loan facility with various institutions, which provides for loans of up to $750.0 million. This revolving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serves as a back-up facility for our commercial paper program. During the first quarter of 2008, proceeds from commercial paper issuances were used to fund costs associated with our investment in BM&amp;F. Under the terms of the facility, proceeds can also be used for general corporate purposes of up to $300.0 million.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clearinghouse maintains an $800.0 million 364-day line of credit with a consortium of banks to be used in certain situations. The line of credit, which expires on October 10, 2008, continues to be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Security deposit collateral available was $1.7 billion at March 31, 2008.</w:t>
      </w:r>
    </w:p>
    <w:p>
      <w:pPr>
        <w:spacing w:after="0" w:line="1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March 31, 2008, the letters of credit totaled $82.0 million. In addition, we had pledged securities with a fair value of $69.8 million at March 31,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CME also guarantees a $5.0 million standby letter of credit for GFX Corporation (GFX). The beneficiary of the letter of credit is the clearing firm that is used by GFX to execute and maintain its futures position. The letter of credit will be utilized in the event GFX defaults in meeting performance bond requirements to its clearing firm.</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cash equivalents totaled $1.1 billion at March 31, 2008 and $845.3 million at December 31, 2007.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including our pending merger with NYMEX Holdings Inc. (NYMEX Holdings), which is expected to include cash consideration of approximately $3.4 billion. We expect the merger to close by the fourth quarter of 2008, conditional upon shareholder, NYMEX member, and regulatory approvals as well as completion of customary closing conditions. If either CME Group or NYMEX Holdings were to terminate the merger agreement, the terminating party could be required to pay the other party a termination fee of $308.0 million. As of March 31, 2008, total capitalized transaction costs related to the NMYEX merger were $15.5 million. In addition, our guarantee of the CBOE ERPs may result in a maximum payment of $293.0 million.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Current net deferred tax assets of $18.2 million and $18.4 million are included in other current assets at March 31, 2008 and December 31, 2007,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net deferred tax assets result primarily from stock-based compensation and restructuring liabilities.</w:t>
      </w:r>
    </w:p>
    <w:p>
      <w:pPr>
        <w:spacing w:after="0" w:line="1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non-current deferred tax liabilities were $3.8 billion at March 31, 2008 and December 31, 2007. Net deferred tax liabilities are primarily the result of purchase accounting for intangible assets in our merger with CBOT Holdings. Non-current net deferred tax liabilities also include an $11.2 million deferred tax asset for acquired and accumulated net operating losses related to Swapstream. Since Swapstream has not yet developed a pattern of operating income, our assessment at March 31, 2008 is that we do not believe that we currently meet the more-likely-than-not threshold that would allow us to realize the value of acquired and accumulated foreign net operating losses in the future. As a result, the $11.2 million deferred tax benefit arising from these net operating losses has been fully reserved.</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Until we began our commercial paper program in mid-2007, we historically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any pending and potential future acquisitions with a combination of cash on hand, debt financing or the issuance of equity securities.</w:t>
      </w:r>
    </w:p>
    <w:p>
      <w:pPr>
        <w:spacing w:after="0" w:line="143"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i w:val="1"/>
          <w:iCs w:val="1"/>
          <w:u w:val="single" w:color="auto"/>
          <w:color w:val="auto"/>
        </w:rPr>
        <w:t>Cash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Cash earnings, a non-GAAP financial measure, is a primary financial metric used by us to measure our performance and is the basis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dividends to shareholders. It is calculated as net income plus depreciation and amortization expense (excluding amortization of landlord-funded amounts), plus tax-effected stock-based compensation, plus tax-effected amortization of purchased intangibles, less capital expenditures excluding landlord-funded amounts. Cash earnings for the quarter ended March 31, 2008 and 2007 is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billions)</w:t>
            </w:r>
          </w:p>
        </w:tc>
        <w:tc>
          <w:tcPr>
            <w:tcW w:w="80" w:type="dxa"/>
            <w:vAlign w:val="bottom"/>
          </w:tcPr>
          <w:p>
            <w:pPr>
              <w:spacing w:after="0"/>
              <w:rPr>
                <w:sz w:val="14"/>
                <w:szCs w:val="14"/>
                <w:color w:val="auto"/>
              </w:rPr>
            </w:pPr>
          </w:p>
        </w:tc>
        <w:tc>
          <w:tcPr>
            <w:tcW w:w="16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Quarter Ended March 31,</w:t>
            </w:r>
          </w:p>
        </w:tc>
        <w:tc>
          <w:tcPr>
            <w:tcW w:w="0" w:type="dxa"/>
            <w:vAlign w:val="bottom"/>
          </w:tcPr>
          <w:p>
            <w:pPr>
              <w:spacing w:after="0"/>
              <w:rPr>
                <w:sz w:val="1"/>
                <w:szCs w:val="1"/>
                <w:color w:val="auto"/>
              </w:rPr>
            </w:pPr>
          </w:p>
        </w:tc>
      </w:tr>
      <w:tr>
        <w:trPr>
          <w:trHeight w:val="142"/>
        </w:trPr>
        <w:tc>
          <w:tcPr>
            <w:tcW w:w="968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net of tax</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Amortization of purchased intangibles, net of tax</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2"/>
        </w:trPr>
        <w:tc>
          <w:tcPr>
            <w:tcW w:w="9680" w:type="dxa"/>
            <w:vAlign w:val="bottom"/>
            <w:gridSpan w:val="3"/>
          </w:tcPr>
          <w:p>
            <w:pPr>
              <w:spacing w:after="0"/>
              <w:rPr>
                <w:sz w:val="20"/>
                <w:szCs w:val="20"/>
                <w:color w:val="auto"/>
              </w:rPr>
            </w:pPr>
            <w:r>
              <w:rPr>
                <w:rFonts w:ascii="Arial" w:cs="Arial" w:eastAsia="Arial" w:hAnsi="Arial"/>
                <w:sz w:val="18"/>
                <w:szCs w:val="18"/>
                <w:color w:val="auto"/>
              </w:rPr>
              <w:t>Cash earnings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earnings, adjusted for certain non-operating items, is also used as the basis for annual incentive payments to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SFAS No. 141(R), “Business Combinations,” was issued in December 2007 to replace SFAS No. 141, “Business Combinations.” SFAS No. 141(R) requires that an acquirer recognize the assets acquired, the liabilities assumed, and any non-controlling interest in the acquiree at the acquisition date, measured at their fair values as of that date. This new statement also changes the requirements for recognizing assets acquired and liabilities assumed arising from contingencies, restructuring liabilities and acquisition costs. Under the new requirements, acquisition-related costs will be expensed in the periods in which the costs are incurred and the services are received instead of being capitalized as part of the purchase price. The provisions of this statement are applied prospectively to business combinations for which the acquisition date is on or after the beginning of the first annual reporting period beginning on or after December 15, 2008. We are currently assessing the impact of this standard’s future adoption on our consolidated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2007, the Financial Accounting Standards Board (FASB) issued SFAS No. 160, “Non-controlling Interests in Consolidated Financial Statements,” which establishes accounting and reporting standards for the non-controlling interest in a subsidiary and for the deconsolidation of a subsidiary. SFAS No. 160 clarifies that a non-controlling interest in a subsidiary be reported as equity in the consolidated financial statements. The provisions require consolidated net income to be reported as the total amount attributable to both the parent and non-controlling interest, with disclosure of the amount attributable to the parent and non-controlling interest on the face of the statement of income. The statement also requires that a parent recognize a gain or loss in net income when a subsidiary is deconsolidated. This statement is effective for fiscal years beginning on or after December 15, 2008 and is applied prospectively as of the beginning of the fiscal year in which the statement is initially applied. If applicable, we will make the required disclosures upon adoption.</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March 2008, SFAS No. 161, “Disclosures about Derivative Instruments and Hedging Activities” was issued by the FASB. The statement requires entities to enhance disclosures about its derivative and hedging activities in order to improve the transparency of financial reporting. Entities will be required to provide enhanced disclosures about how and why they use derivative instruments, how derivative instruments are accounted for under SFAS No. 133, “Accounting for Derivative Instruments and Hedging Activities” and how derivative instruments and related hedged items affect their financial position, financial performance and cash flows. This statement is effective for financial statements issued for fiscal years and interim periods beginning after November 15, 2008. We will make the required disclosures upon adoption.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 There was no material change in our exposure to market risks during the first quarter of 2008. Information regarding market risks as of December 31, 2008 is contained in Item 7A of our 2007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right="20" w:firstLine="8"/>
        <w:spacing w:after="0" w:line="298"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Controls and Procedures. </w:t>
      </w:r>
      <w:r>
        <w:rPr>
          <w:rFonts w:ascii="Arial" w:cs="Arial" w:eastAsia="Arial" w:hAnsi="Arial"/>
          <w:sz w:val="16"/>
          <w:szCs w:val="16"/>
          <w:color w:val="auto"/>
        </w:rPr>
        <w:t>Our management, with the participation of our Chief Executive Officer and Chief Financial Officer, has evaluated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380" w:firstLine="8"/>
        <w:spacing w:after="0" w:line="259"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our internal control over financial reporting.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March 17, 2008, Cataldo J. Capozza filed a putative class action complaint in the Delaware Court of Chancery against NYMEX Holdings, the NYMEX Holdings board of directors and CME Group. The complaint alleges, among other things, that NYMEX Holdings and its board of directors breached their fiduciary duties in approving the merger agreement by failing to take steps to maximize the value of NYMEX Holdings to its public shareholders, failing to properly value NYMEX Holdings and taking steps to avoid competitive bidding, to cap the price of NYMEX Holdings’ common stock and to give CME Group an unfair advantage by failing to solicit other potential acquirors or alternative transactions. The complaint further alleges that CME Group aided and abetted the alleged breaches of fiduciary duty. On April 14, 2008, Polly Winters also filed a putative class action complaint in the Delaware Court of Chancery against NYMEX Holdings, the NYMEX Holdings board of directors and CME Group. On April 15, 2008, Joan Haedrich also filed a putative class action complaint in the Delaware Court of Chancery against NYMEX Holdings, the NYMEX Holdings board of directors and CME Group. The allegations of the Winters and Haedrich complaints are, in substance, the same as those asserted in the Capozza complaint. The plaintiffs seek to enjoin the merger. We intend to defend vigorously against the allegations.</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Other than the following updates, there have been no material changes to the Risk Factors contained in our Annual Report on Form 10-K for the year ended December 31, 2007, filed with the SEC on February 28,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the merger.</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success of the merger will depend, in part, on our ability to achieve the anticipated cost synergies and other strategic benefits from combining the businesses of CME Group and NYMEX Holdings. We expect CME Group to benefit from operational synergies resulting from the consolidation of capabilities and elimination of redundancies as well as greater efficiencies from increased scale. However, to realize these anticipated benefits, we must successfully combine the businesses of CME Group and NYMEX Holdings. If we are not able to achieve these objectives, the anticipated cost synergies and other strategic benefits of the merger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be more costly than anticipated or have unanticipated adverse results relating to CME Group’s or NYMEX Holdings’ existing businesses.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integration of the businesses and operations of CME Group and NYMEX Holdings involves risks, and the failure to integrate successfully the businesses and operations in the expected time frame may adversely affect CME Group’s future results.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Historically, CME Group and NYMEX Holdings have operated as independent companies, and they will continue to do so until the completion of the merger. The management of CME Group may face significant challenges in consolidating the functions of CME Group and NYMEX Holdings and their subsidiaries, integrating their technologies, organizations, procedures, policies and operations, as well as addressing differences in the business cultures of the two companies and retaining key personnel. In connection with the merger, CME Group expects to integrate certain operations of CME Group and NYMEX Holdings, including, among other things, back-office operations, information technology and regulatory compliance. However, the combined company will continue to operate a NYMEX trading floor at its existing location or an alternative location in New York, New York, as long as both revenue and profitability thresholds are achieved going forward. Given that historically CME Group has not operated a trading floor in a geographic location that is remote from its headquarters in Chicago, Illinois, continuing to operate a NYMEX trading floor in New York, New York after the merger may present unique challenges. The integration of the two companies will be complex and time consuming, and require substantial resources and effort. The integration process and other disruptions resulting from the merger may disrupt each company’s ongoing businesses or cause inconsistencies in standards, controls, procedures and policies that adversely affect our relationships with members of CME, CBOT and NYMEX and other market participants, employees, regulators and others with whom we have business or other dealings. If CME Group fails to manage the integration of these businesses effectively, its growth strategy and future profitability could be negatively affected, and it may fail to achieve the intended benefits of the merger.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Group and NYMEX Holdings will incur transaction, integration and restructuring costs in connection with the merger.</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CME Group and NYMEX Holdings expect to incur significant costs associated with transaction fees, professional services and other costs related to the merger. Specifically, CME Group and NYMEX Holdings expect to incur approximately $138 million for transaction costs related to the merger. CME Group also will incur integration and restructuring costs following the completion of the merger as CME Group integrates the business of NYMEX Holdings with that of CME Group. Although CME Group and NYMEX Holdings expect that the realization of efficiencies related to the integration of the businesses will offset incremental transaction, merger-related and restructuring costs over time, this net benefit may not be achieved in the near term, or at all.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Group and NYMEX Holdings are parties to pending lawsuits in connection with the merger.</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17, 2008, Cataldo J. Capozza filed a putative class action complaint in the Delaware Court of Chancery against NYMEX Holdings, the NYMEX Holdings board of directors and CME Group. The complaint alleges, among other things, that NYMEX Holdings and its board of directors breached their fiduciary duties in approving the merger agreement by failing to take steps to maximize the value of NYMEX Holdings to its public stockholders, failing to properly value NYMEX Holdings and taking steps to avoid competitive bidding, to cap the price of NYMEX Holdings’ common stock and to give CME Group an unfair advantage by failing to solicit other potential acquirors or alternative transactions. The complaint further alleges that CME Group aided and abetted the alleged breaches of fiduciary duty. On April 14, 2008, Polly Winters also filed a putative class action complaint in the Delaware Court of Chancery against NYMEX Holdings, the NYMEX Holdings board of directors and CME Group. On April 15, 2008, Joan Haedrich also filed a putative class action complaint in the Delaware Court of Chancery against NYMEX Holdings, the NYMEX Holdings board of directors and CME Group. The allegations of the Winters and Haedrich complaints are, in substance, the same as those asserted in the Capozza complaint. The plaintiffs seek to enjoin the merger. NYMEX Holdings and CME Group intend to defend vigorously against these allegations.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completion of the merger may significantly reduce the benefits expected to be obtained from the merger.</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the required regulatory clearances and approvals, the merger is subject to a number of other conditions beyond our control that may prevent, delay or otherwise negatively affect its completion. We cannot predict whether and when these other conditions will be satisfied. Further, the requirements for obtaining the required clearances and approvals could delay the completion of the merger for a significant period of time or prevent it from occurring. Any delay in completing the merger may significantly reduce the cost and revenue synergies and other benefits that we expect to achieve if we successfully complete the merger within the expected timeframe and integrate our respective businesses.</w:t>
      </w:r>
    </w:p>
    <w:p>
      <w:pPr>
        <w:spacing w:after="0" w:line="1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b w:val="1"/>
          <w:bCs w:val="1"/>
          <w:i w:val="1"/>
          <w:iCs w:val="1"/>
          <w:color w:val="auto"/>
        </w:rPr>
        <w:t>Completion of the merger is subject to the receipt of consents and approvals from, or the making of filings with, government entities that could delay completion of the merger or impose conditions that could have a material adverse effect on CME Group or that could cause abandonment of the merger.</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merger is subject to review under the Hart Scott Rodino Act by either the Antitrust Division of the U.S. Department of Justice or the U.S. Federal Trade Commission. Under this statute, CME Group and NYMEX Holdings are required to make pre-merger notification filings and to await the expiration of the statutory waiting period prior to completing the merger.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cannot assure you that a challenge to the merger on antitrust grounds will not be made or, if such a challenge is made, that any such challenge will not be successful. Any such challenge may seek to impose a preliminary or permanent injunction, conditions on the completion of the merger or require changes to the terms of the merger. While we do not currently expect that any such preliminary or permanent injunction, conditions or changes would be imposed, we cannot assure you that they will not be, and such conditions or changes could have the effect of delaying completion of the merger or imposing additional costs on us or limiting the revenues of CME Group following the merger, any of which might have a material adverse effect on CME Group following the merger. Neither CME Group nor NYMEX Holdings is obligated to complete the merger if any such conditions, individually or in the aggregate, would reasonably be expected to result in (i) a material impairment of the expected benefits of the merger or (ii) a material impact on CME Group or NYMEX Holdings following the merger.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merger may also be subject to the approval of the Commodity Futures Trading Commission (CFTC) under the Commodity Exchange Act. The completion of the transaction is subject to receipt of CFTC approval over several matters. The merger will reduce the number of NYMEX Class A memberships and eliminate substantially all of the rights of the remaining NYMEX Class A members. Rules to implement these changes will be filed with the CFTC on a conditional basis in advance of the effective time of the merger so that they may be placed into effect immediately upon the effective time of the merger.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Group may incur significant indebtedness in order to finance the merger, which may limit CME Group’s operating flexibility.</w:t>
      </w:r>
    </w:p>
    <w:p>
      <w:pPr>
        <w:spacing w:after="0" w:line="17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order to finance the cash portion of the merger consideration, CME Group expects to incur incremental borrowings of $2.5 billion to $4.0 billion. CME Group has not obtained any commitments for the financing. As of December 31, 2007, on a pro forma basis after giving effect to the merger, assuming that CME Group pays the mandatory cash component of the merger consideration to NYMEX Holdings stockholders of approximately $3.4 billion, CME Group would have had approximately $3.3 billion in indebtedness outstanding. This level of indebtedness may:</w:t>
      </w:r>
    </w:p>
    <w:p>
      <w:pPr>
        <w:spacing w:after="0" w:line="32" w:lineRule="exact"/>
        <w:rPr>
          <w:sz w:val="20"/>
          <w:szCs w:val="20"/>
          <w:color w:val="auto"/>
        </w:rPr>
      </w:pPr>
    </w:p>
    <w:p>
      <w:pPr>
        <w:ind w:left="900" w:right="2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CME Group to dedicate a significant portion of its cash flow from operations to payments on its debt, thereby reducing the availability of cash flow to fund capital expenditures, to pursue other acquisitions or investments in new technologies, to pay dividends and for general corporate purposes;</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CME Group’s vulnerability to general adverse economic conditions, including increases in interest rates if the borrowings bear interest at variable rates;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CME Group’s flexibility in planning for, or reacting to, changes in or challenges relating to its business and industry.</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to the extent that the credit ratings of CME Group are below pre-merger levels, borrowing costs may increase, and to the extent that the credit ratings are below investment grade, the terms of the financing obligations could include restrictions, such as affirmative and negative covenants, conditions to borrowing, subsidiary guarantees and stock pledges. A failure to comply with these restrictions could result in a default under the financing obligations or could require CME Group to obtain waivers from its lenders for failure to comply with these restrictions. The occurrence of a default that remains uncured or the inability to secure a necessary consent or waiver could have a material adverse effect on CME Group’s business, financial condition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820" w:right="540" w:hanging="722"/>
        <w:spacing w:after="0" w:line="332"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March 17, 2008, among CME Group Inc., CMEG NY Inc., NYMEX Holdings, Inc. and New York Mercantile Exchange, Inc. (incorporated by reference to CME Group Inc.’s Form 8-K, filed with the SEC on March 21, 2008).</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CME Group Inc. Annual Incentive Plan for Highly Compensated Executive Officers, amended and restated on March 4, 2008.</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CME Group Inc. Annual Incentive Plan, adopted as of March 4, 2008.</w:t>
      </w:r>
    </w:p>
    <w:p>
      <w:pPr>
        <w:spacing w:after="0" w:line="117" w:lineRule="exact"/>
        <w:rPr>
          <w:sz w:val="20"/>
          <w:szCs w:val="20"/>
          <w:color w:val="auto"/>
        </w:rPr>
      </w:pPr>
    </w:p>
    <w:p>
      <w:pPr>
        <w:jc w:val="both"/>
        <w:ind w:left="820" w:right="280" w:hanging="809"/>
        <w:spacing w:after="0" w:line="259"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First Amendment, dated as of February 22, 2008 to that certain Shareholders Agreement dated May 4, 2006 and amended and restated on July 20, 2006 by and between Reuters Holdings Limited, CME FX Marketplace Inc., FXMarketSpace Limited (f/k/a RCFX Limited), Reuters Group PLC, Reuters Limited, the Company and Chicago Mercantile Exchange Inc.</w:t>
      </w:r>
    </w:p>
    <w:p>
      <w:pPr>
        <w:spacing w:after="0" w:line="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Section 302 Certification—James E. Parisi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b w:val="1"/>
                <w:bCs w:val="1"/>
                <w:color w:val="auto"/>
              </w:rPr>
              <w:t>CME Group Inc.</w:t>
            </w:r>
          </w:p>
        </w:tc>
      </w:tr>
      <w:tr>
        <w:trPr>
          <w:trHeight w:val="222"/>
        </w:trPr>
        <w:tc>
          <w:tcPr>
            <w:tcW w:w="3440" w:type="dxa"/>
            <w:vAlign w:val="bottom"/>
          </w:tcPr>
          <w:p>
            <w:pPr>
              <w:spacing w:after="0"/>
              <w:rPr>
                <w:sz w:val="19"/>
                <w:szCs w:val="19"/>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r>
      <w:tr>
        <w:trPr>
          <w:trHeight w:val="434"/>
        </w:trPr>
        <w:tc>
          <w:tcPr>
            <w:tcW w:w="3440" w:type="dxa"/>
            <w:vAlign w:val="bottom"/>
          </w:tcPr>
          <w:p>
            <w:pPr>
              <w:spacing w:after="0"/>
              <w:rPr>
                <w:sz w:val="20"/>
                <w:szCs w:val="20"/>
                <w:color w:val="auto"/>
              </w:rPr>
            </w:pPr>
            <w:r>
              <w:rPr>
                <w:rFonts w:ascii="Arial" w:cs="Arial" w:eastAsia="Arial" w:hAnsi="Arial"/>
                <w:sz w:val="18"/>
                <w:szCs w:val="18"/>
                <w:color w:val="auto"/>
              </w:rPr>
              <w:t>Dated: May 9, 2008</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344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3440" w:type="dxa"/>
            <w:vAlign w:val="bottom"/>
          </w:tcPr>
          <w:p>
            <w:pPr>
              <w:spacing w:after="0"/>
              <w:rPr>
                <w:sz w:val="19"/>
                <w:szCs w:val="19"/>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44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33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ind w:left="10520"/>
        <w:spacing w:after="0"/>
        <w:rPr>
          <w:sz w:val="20"/>
          <w:szCs w:val="20"/>
          <w:color w:val="auto"/>
        </w:rPr>
      </w:pPr>
      <w:r>
        <w:rPr>
          <w:rFonts w:ascii="Arial" w:cs="Arial" w:eastAsia="Arial" w:hAnsi="Arial"/>
          <w:sz w:val="16"/>
          <w:szCs w:val="16"/>
          <w:b w:val="1"/>
          <w:bCs w:val="1"/>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ANNUAL INCENTIVE PLAN FOR HIGHLY COMPENSATED EXECUTIVE OFFICERS</w:t>
      </w:r>
    </w:p>
    <w:p>
      <w:pPr>
        <w:spacing w:after="0" w:line="165" w:lineRule="exact"/>
        <w:rPr>
          <w:sz w:val="20"/>
          <w:szCs w:val="20"/>
          <w:color w:val="auto"/>
        </w:rPr>
      </w:pPr>
    </w:p>
    <w:p>
      <w:pPr>
        <w:ind w:right="260" w:firstLine="464"/>
        <w:spacing w:after="0" w:line="332" w:lineRule="auto"/>
        <w:tabs>
          <w:tab w:leader="none" w:pos="63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CME Group Inc. Annual Incentive Plan for Highly Compensated Executive Officers is to align the interests of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with those of the shareholders of the Company by encouraging management to achieve goals intended to increase shareholder value.</w:t>
      </w:r>
    </w:p>
    <w:p>
      <w:pPr>
        <w:spacing w:after="0" w:line="85" w:lineRule="exact"/>
        <w:rPr>
          <w:rFonts w:ascii="Arial" w:cs="Arial" w:eastAsia="Arial" w:hAnsi="Arial"/>
          <w:sz w:val="16"/>
          <w:szCs w:val="16"/>
          <w:b w:val="1"/>
          <w:bCs w:val="1"/>
          <w:color w:val="auto"/>
        </w:rPr>
      </w:pPr>
    </w:p>
    <w:p>
      <w:pPr>
        <w:ind w:left="640" w:hanging="176"/>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The following terms, as used herein, shall have the following meanings:</w:t>
      </w:r>
    </w:p>
    <w:p>
      <w:pPr>
        <w:spacing w:after="0" w:line="84" w:lineRule="exact"/>
        <w:rPr>
          <w:rFonts w:ascii="Arial" w:cs="Arial" w:eastAsia="Arial" w:hAnsi="Arial"/>
          <w:sz w:val="18"/>
          <w:szCs w:val="18"/>
          <w:b w:val="1"/>
          <w:bCs w:val="1"/>
          <w:color w:val="auto"/>
        </w:rPr>
      </w:pPr>
    </w:p>
    <w:p>
      <w:pPr>
        <w:ind w:left="460" w:right="320" w:firstLine="443"/>
        <w:spacing w:after="0" w:line="275"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 incentive compensation award, granted pursuant to the Plan, which is contingent upon the attainment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with respect to a Performance Period.</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90" w:lineRule="exact"/>
        <w:rPr>
          <w:rFonts w:ascii="Arial" w:cs="Arial" w:eastAsia="Arial" w:hAnsi="Arial"/>
          <w:sz w:val="18"/>
          <w:szCs w:val="18"/>
          <w:color w:val="auto"/>
        </w:rPr>
      </w:pPr>
    </w:p>
    <w:p>
      <w:pPr>
        <w:ind w:left="460" w:firstLine="443"/>
        <w:spacing w:after="0" w:line="275"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the Compensation Committee of the Board or such other committee as may be appointed by the Board to administer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accordance with Section 3 of the Plan.</w:t>
      </w:r>
    </w:p>
    <w:p>
      <w:pPr>
        <w:spacing w:after="0" w:line="38" w:lineRule="exact"/>
        <w:rPr>
          <w:rFonts w:ascii="Arial" w:cs="Arial" w:eastAsia="Arial" w:hAnsi="Arial"/>
          <w:sz w:val="18"/>
          <w:szCs w:val="18"/>
          <w:color w:val="auto"/>
        </w:rPr>
      </w:pPr>
    </w:p>
    <w:p>
      <w:pPr>
        <w:ind w:left="1140" w:hanging="237"/>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the Company, par value $0.01 per share.</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CME Group Inc., a Delaware corporation, or any successor corporation.</w:t>
      </w:r>
    </w:p>
    <w:p>
      <w:pPr>
        <w:spacing w:after="0" w:line="90" w:lineRule="exact"/>
        <w:rPr>
          <w:rFonts w:ascii="Arial" w:cs="Arial" w:eastAsia="Arial" w:hAnsi="Arial"/>
          <w:sz w:val="18"/>
          <w:szCs w:val="18"/>
          <w:color w:val="auto"/>
        </w:rPr>
      </w:pPr>
    </w:p>
    <w:p>
      <w:pPr>
        <w:ind w:left="460" w:right="40" w:firstLine="443"/>
        <w:spacing w:after="0" w:line="275"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permanent disability as determined pursuant to the long-term disability plan or policy of the Company or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such disability and applicable to a Participant.</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January 1, 2003.</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w:t>
      </w:r>
    </w:p>
    <w:p>
      <w:pPr>
        <w:spacing w:after="0" w:line="90" w:lineRule="exact"/>
        <w:rPr>
          <w:rFonts w:ascii="Arial" w:cs="Arial" w:eastAsia="Arial" w:hAnsi="Arial"/>
          <w:sz w:val="18"/>
          <w:szCs w:val="18"/>
          <w:color w:val="auto"/>
        </w:rPr>
      </w:pPr>
    </w:p>
    <w:p>
      <w:pPr>
        <w:ind w:left="460" w:right="200" w:firstLine="443"/>
        <w:spacing w:after="0" w:line="275" w:lineRule="auto"/>
        <w:tabs>
          <w:tab w:leader="none" w:pos="1108"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employee of the Company or any Subsidiary of the Company who is, pursuant to Section 4 of the Plan, selected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herein.</w:t>
      </w:r>
    </w:p>
    <w:p>
      <w:pPr>
        <w:spacing w:after="0" w:line="38" w:lineRule="exact"/>
        <w:rPr>
          <w:rFonts w:ascii="Arial" w:cs="Arial" w:eastAsia="Arial" w:hAnsi="Arial"/>
          <w:sz w:val="18"/>
          <w:szCs w:val="18"/>
          <w:color w:val="auto"/>
        </w:rPr>
      </w:pPr>
    </w:p>
    <w:p>
      <w:pPr>
        <w:ind w:left="460" w:right="120" w:firstLine="443"/>
        <w:spacing w:after="0" w:line="286" w:lineRule="auto"/>
        <w:tabs>
          <w:tab w:leader="none" w:pos="1147"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“Performance Factors” </w:t>
      </w:r>
      <w:r>
        <w:rPr>
          <w:rFonts w:ascii="Arial" w:cs="Arial" w:eastAsia="Arial" w:hAnsi="Arial"/>
          <w:sz w:val="16"/>
          <w:szCs w:val="16"/>
          <w:color w:val="auto"/>
        </w:rPr>
        <w:t>shall mean the criteria and objectives, determined by the Committee, which must be met during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as a condition of the Participant’s receipt of payment with respect to an Award. Performance Factors may include any or all of the following or any combination thereof: gross margin, operating margin, revenue growth, free cash flow, cash earnings, operating expense, expense reductions, operations efficiency, operating cash flow, earnings per share, economic value added, cash-flow return on investment, net income, total shareholder return, return on investment, return on equity, return on assets or any increase or decrease of one or more of the foregoing over a specified period. Such Performance Factors may relate to the performance of the Company, a Subsidiary, any portion of the business, product line, or any combination thereof and may be expressed on an aggregate, per share (outstanding or fully diluted) or per unit basis. Where applicable, the Performance Factors may be expressed in terms of attaining a specified level of the particular criteria, the attainment of a percentage increase or decrease in the particular criteria, or may be applied to the performance of the Company, a Subsidiary, a business unit, a product line, or any combination thereof, relative to a market index, a group of other companies (or their subsidiaries, business units or product lines), or a combination thereof, all as determined by the Committee. Performance Factors may include a threshold level of performance below which no payment shall be made, levels of performance below the target level but above the threshold level at which specified percentages of the Award shall be paid, a target level of performance at which the full Award shall be paid, levels of performance above the target level but below the maximum level at which specified multiples of the Award shall be paid, and a maximum level of performance above which no additional payment shall be made. Performance Factors may also specify that payments for levels of performances between specified levels will be interpolated.</w:t>
      </w:r>
    </w:p>
    <w:p>
      <w:pPr>
        <w:sectPr>
          <w:pgSz w:w="11900" w:h="16838" w:orient="portrait"/>
          <w:cols w:equalWidth="0" w:num="1">
            <w:col w:w="11420"/>
          </w:cols>
          <w:pgMar w:left="240" w:top="125" w:right="239" w:bottom="1440" w:gutter="0" w:footer="0" w:header="0"/>
        </w:sectPr>
      </w:pPr>
    </w:p>
    <w:bookmarkStart w:id="34" w:name="page35"/>
    <w:bookmarkEnd w:id="34"/>
    <w:p>
      <w:pPr>
        <w:ind w:left="460" w:right="20" w:firstLine="443"/>
        <w:spacing w:after="0" w:line="338" w:lineRule="auto"/>
        <w:tabs>
          <w:tab w:leader="none" w:pos="1108" w:val="left"/>
        </w:tabs>
        <w:numPr>
          <w:ilvl w:val="1"/>
          <w:numId w:val="18"/>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“Performance Period” </w:t>
      </w:r>
      <w:r>
        <w:rPr>
          <w:rFonts w:ascii="Arial" w:cs="Arial" w:eastAsia="Arial" w:hAnsi="Arial"/>
          <w:sz w:val="15"/>
          <w:szCs w:val="15"/>
          <w:color w:val="auto"/>
        </w:rPr>
        <w:t>shall mean the twelve-month periods commencing on January 1, 2003 and each January 1 thereafter, or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as the Committee shall determine; provided that a Performance Period for a Participant who becomes employed by the Company or its Subsidiaries following the commencement of a Performance Period may be a shorter period that commences with the date of the commencement of such employment.</w:t>
      </w:r>
    </w:p>
    <w:p>
      <w:pPr>
        <w:ind w:left="1200" w:hanging="297"/>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this CME Group Inc. Annual Incentive Plan for Highly Compensated Executive Officers.</w:t>
      </w:r>
    </w:p>
    <w:p>
      <w:pPr>
        <w:spacing w:after="0" w:line="90" w:lineRule="exact"/>
        <w:rPr>
          <w:rFonts w:ascii="Arial" w:cs="Arial" w:eastAsia="Arial" w:hAnsi="Arial"/>
          <w:sz w:val="18"/>
          <w:szCs w:val="18"/>
          <w:color w:val="auto"/>
        </w:rPr>
      </w:pPr>
    </w:p>
    <w:p>
      <w:pPr>
        <w:ind w:left="460" w:right="20" w:firstLine="443"/>
        <w:spacing w:after="0" w:line="339" w:lineRule="auto"/>
        <w:tabs>
          <w:tab w:leader="none" w:pos="1147"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any company, partnership, limited liability company, business or entity (other than the Company) of which at least 50%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combined voting power of its voting securities is, or the operations and management are, directly or indirectly controlled by the Company.</w:t>
      </w:r>
    </w:p>
    <w:p>
      <w:pPr>
        <w:spacing w:after="0" w:line="80" w:lineRule="exact"/>
        <w:rPr>
          <w:rFonts w:ascii="Arial" w:cs="Arial" w:eastAsia="Arial" w:hAnsi="Arial"/>
          <w:sz w:val="16"/>
          <w:szCs w:val="16"/>
          <w:color w:val="auto"/>
        </w:rPr>
      </w:pPr>
    </w:p>
    <w:p>
      <w:pPr>
        <w:ind w:firstLine="464"/>
        <w:spacing w:after="0" w:line="304" w:lineRule="auto"/>
        <w:tabs>
          <w:tab w:leader="none" w:pos="626"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Administration. </w:t>
      </w:r>
      <w:r>
        <w:rPr>
          <w:rFonts w:ascii="Arial" w:cs="Arial" w:eastAsia="Arial" w:hAnsi="Arial"/>
          <w:sz w:val="15"/>
          <w:szCs w:val="15"/>
          <w:color w:val="auto"/>
        </w:rPr>
        <w:t>The Plan shall be administered by a Committee of the Board. The Committee shall have the authority in its sole discretion, subject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terms, conditions, restrictions and Performance Factors relating to any Award; to determine whether, to what extent, and under what circumstances an Award may be settled, cancelled, forfeited, or surrendered; to make adjustments in the Performance Factors in recognition of unusual or non-recurring events affecting the Company or its Subsidiaries or the financial statements of the Company or its Subsidiaries, or in response to changes in applicable laws, regulations or accounting principles; to construe and interpret the Plan and any Award; to prescribe, amend and rescind rules and regulations relating to the Plan; to determine the terms and provisions of Awards (including provisions relating to a change in control of the Company); and to make all other determinations deemed necessary or advisable for the administration of the Plan. Without limiting the generality of the foregoing, the Committee shall have the sole discretion to determine whether, or to what extent, Performance Factors are achieved; provided, however, that the Committee shall have the authority to make appropriate adjustments in Performance Factors under an Award to reflect the impact of extraordinary items not reflected in such goals. For purposes of the Plan, extraordinary items shall be defined as (1) any profit or loss attributable to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all items of gain, loss or expense for the year related to discontinued operations that do not qualify as a segment of a business as defined in APB Opinion No. 30 (or successor literature), (6) the impact of capital expenditures, (7) the impact of share repurchases and other changes in the number of outstanding shares, and (8) such other items as may be prescribed by Section 162(m) of the Code and the Treasury Regulations thereunder as may be in effect from time to time, and any amendments, revisions or successor provisions and any changes thereto.</w:t>
      </w:r>
    </w:p>
    <w:p>
      <w:pPr>
        <w:spacing w:after="0" w:line="33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Committee shall consist of two or more persons each of whom shall be an “outside director” within the meaning of Section 162(m) of the Code. All decisions, determinations and interpretations of the Committee shall be final and binding on all persons, including the Company and the Participant (or any person claiming any rights under the Plan from or through any Participant).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Section 162(m) of the Code or as otherwise required for compliance with other applicable law, the Committee may delegate all or any part of its authority under the Plan.</w:t>
      </w:r>
    </w:p>
    <w:p>
      <w:pPr>
        <w:spacing w:after="0" w:line="132" w:lineRule="exact"/>
        <w:rPr>
          <w:sz w:val="20"/>
          <w:szCs w:val="20"/>
          <w:color w:val="auto"/>
        </w:rPr>
      </w:pPr>
    </w:p>
    <w:p>
      <w:pPr>
        <w:jc w:val="both"/>
        <w:ind w:right="80" w:firstLine="464"/>
        <w:spacing w:after="0" w:line="259" w:lineRule="auto"/>
        <w:tabs>
          <w:tab w:leader="none" w:pos="6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to Participants in the sole discretion of the Committee. In determining the persons to whom Awards shall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Performance Factors relating to each Award, the Committee shall take into account such factors as the Committee shall deem relevant in connection with accomplishing the purposes of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5" w:name="page36"/>
    <w:bookmarkEnd w:id="35"/>
    <w:p>
      <w:pPr>
        <w:ind w:left="-40" w:right="340" w:firstLine="464"/>
        <w:spacing w:after="0" w:line="268" w:lineRule="auto"/>
        <w:tabs>
          <w:tab w:leader="none" w:pos="59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Terms of Awards. </w:t>
      </w:r>
      <w:r>
        <w:rPr>
          <w:rFonts w:ascii="Arial" w:cs="Arial" w:eastAsia="Arial" w:hAnsi="Arial"/>
          <w:sz w:val="18"/>
          <w:szCs w:val="18"/>
          <w:color w:val="auto"/>
        </w:rPr>
        <w:t>Awards granted pursuant to the Plan shall be communicated to Participants in such form as the Committee shall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 and the terms and conditions of such Awards shall be set forth therein.</w:t>
      </w:r>
    </w:p>
    <w:p>
      <w:pPr>
        <w:spacing w:after="0" w:line="77" w:lineRule="exact"/>
        <w:rPr>
          <w:rFonts w:ascii="Arial" w:cs="Arial" w:eastAsia="Arial" w:hAnsi="Arial"/>
          <w:sz w:val="18"/>
          <w:szCs w:val="18"/>
          <w:b w:val="1"/>
          <w:bCs w:val="1"/>
          <w:color w:val="auto"/>
        </w:rPr>
      </w:pPr>
    </w:p>
    <w:p>
      <w:pPr>
        <w:ind w:left="420" w:right="80" w:firstLine="443"/>
        <w:spacing w:after="0" w:line="229" w:lineRule="auto"/>
        <w:tabs>
          <w:tab w:leader="none" w:pos="109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 General. </w:t>
      </w:r>
      <w:r>
        <w:rPr>
          <w:rFonts w:ascii="Arial" w:cs="Arial" w:eastAsia="Arial" w:hAnsi="Arial"/>
          <w:sz w:val="18"/>
          <w:szCs w:val="18"/>
          <w:color w:val="auto"/>
        </w:rPr>
        <w:t>On or prior to the date on which 25% of a Performance Period has elapsed (but not later than the 90</w:t>
      </w:r>
      <w:r>
        <w:rPr>
          <w:rFonts w:ascii="Arial" w:cs="Arial" w:eastAsia="Arial" w:hAnsi="Arial"/>
          <w:sz w:val="22"/>
          <w:szCs w:val="22"/>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of such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specify in writing, by resolution of the Committee or other appropriate action, the Participants for such Performance Period and the Performance Factors applicable to each Award for each Participant with respect to such Performance Period. Unless otherwise provided by the Committee in connection with specified terminations of employment, payment in respect of Awards shall be made only if and to the extent the minimum Performance Factors with respect to such Performance Period are attained.</w:t>
      </w:r>
    </w:p>
    <w:p>
      <w:pPr>
        <w:spacing w:after="0" w:line="103" w:lineRule="exact"/>
        <w:rPr>
          <w:rFonts w:ascii="Arial" w:cs="Arial" w:eastAsia="Arial" w:hAnsi="Arial"/>
          <w:sz w:val="18"/>
          <w:szCs w:val="18"/>
          <w:color w:val="auto"/>
        </w:rPr>
      </w:pPr>
    </w:p>
    <w:p>
      <w:pPr>
        <w:ind w:left="420" w:firstLine="443"/>
        <w:spacing w:after="0" w:line="256" w:lineRule="auto"/>
        <w:tabs>
          <w:tab w:leader="none" w:pos="110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Provisions Regarding Awards. </w:t>
      </w:r>
      <w:r>
        <w:rPr>
          <w:rFonts w:ascii="Arial" w:cs="Arial" w:eastAsia="Arial" w:hAnsi="Arial"/>
          <w:sz w:val="18"/>
          <w:szCs w:val="18"/>
          <w:color w:val="auto"/>
        </w:rPr>
        <w:t>Notwithstanding anything to the contrary contained herein, in no event shall payment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hereunder exceed $2,500,000 to any one Participant in any one year. The Committee may at its discretion decrease the amount of an Award payable upon attainment of the specified Performance Factors, but in no event may the Committee increase at its discretion the amount of an Award payable upon attainment of the specified Performance Factors.</w:t>
      </w:r>
    </w:p>
    <w:p>
      <w:pPr>
        <w:spacing w:after="0" w:line="89" w:lineRule="exact"/>
        <w:rPr>
          <w:rFonts w:ascii="Arial" w:cs="Arial" w:eastAsia="Arial" w:hAnsi="Arial"/>
          <w:sz w:val="18"/>
          <w:szCs w:val="18"/>
          <w:color w:val="auto"/>
        </w:rPr>
      </w:pPr>
    </w:p>
    <w:p>
      <w:pPr>
        <w:ind w:left="420" w:right="300" w:firstLine="443"/>
        <w:spacing w:after="0" w:line="230" w:lineRule="auto"/>
        <w:tabs>
          <w:tab w:leader="none" w:pos="109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 and Form of Payment. </w:t>
      </w:r>
      <w:r>
        <w:rPr>
          <w:rFonts w:ascii="Arial" w:cs="Arial" w:eastAsia="Arial" w:hAnsi="Arial"/>
          <w:sz w:val="18"/>
          <w:szCs w:val="18"/>
          <w:color w:val="auto"/>
        </w:rPr>
        <w:t>All payments in respect of Awards granted under this Plan shall be made in cash within two and one-half (2</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after the end of the Performance Period, but in no event shall such payments be made later than December 31 of the year after the end of the Performance Period.</w:t>
      </w:r>
    </w:p>
    <w:p>
      <w:pPr>
        <w:spacing w:after="0" w:line="184" w:lineRule="exact"/>
        <w:rPr>
          <w:rFonts w:ascii="Arial" w:cs="Arial" w:eastAsia="Arial" w:hAnsi="Arial"/>
          <w:sz w:val="18"/>
          <w:szCs w:val="18"/>
          <w:color w:val="auto"/>
        </w:rPr>
      </w:pPr>
    </w:p>
    <w:p>
      <w:pPr>
        <w:ind w:left="-40" w:right="260" w:firstLine="464"/>
        <w:spacing w:after="0" w:line="306" w:lineRule="auto"/>
        <w:tabs>
          <w:tab w:leader="none" w:pos="59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Term. </w:t>
      </w:r>
      <w:r>
        <w:rPr>
          <w:rFonts w:ascii="Arial" w:cs="Arial" w:eastAsia="Arial" w:hAnsi="Arial"/>
          <w:sz w:val="16"/>
          <w:szCs w:val="16"/>
          <w:color w:val="auto"/>
        </w:rPr>
        <w:t>Subject to the approval of the Amended and Restated Plan by the holders of a majority of the Common Stock represented and voting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 at the annual meeting of Company stockholders to be held in 2007 (or any adjournment thereof), the Plan shall be effective as of January 1, 2007 and shall continue in effect until the fifth anniversary of the date of such stockholder approval, unless earlier terminated as provided below.</w:t>
      </w:r>
    </w:p>
    <w:p>
      <w:pPr>
        <w:spacing w:after="0" w:line="106" w:lineRule="exact"/>
        <w:rPr>
          <w:rFonts w:ascii="Arial" w:cs="Arial" w:eastAsia="Arial" w:hAnsi="Arial"/>
          <w:sz w:val="16"/>
          <w:szCs w:val="16"/>
          <w:b w:val="1"/>
          <w:bCs w:val="1"/>
          <w:color w:val="auto"/>
        </w:rPr>
      </w:pPr>
    </w:p>
    <w:p>
      <w:pPr>
        <w:ind w:left="600" w:hanging="176"/>
        <w:spacing w:after="0"/>
        <w:tabs>
          <w:tab w:leader="none" w:pos="6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w:t>
      </w:r>
    </w:p>
    <w:p>
      <w:pPr>
        <w:spacing w:after="0" w:line="90" w:lineRule="exact"/>
        <w:rPr>
          <w:rFonts w:ascii="Arial" w:cs="Arial" w:eastAsia="Arial" w:hAnsi="Arial"/>
          <w:sz w:val="18"/>
          <w:szCs w:val="18"/>
          <w:b w:val="1"/>
          <w:bCs w:val="1"/>
          <w:color w:val="auto"/>
        </w:rPr>
      </w:pPr>
    </w:p>
    <w:p>
      <w:pPr>
        <w:ind w:left="420" w:right="40" w:firstLine="443"/>
        <w:spacing w:after="0" w:line="259" w:lineRule="auto"/>
        <w:tabs>
          <w:tab w:leader="none" w:pos="109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Legal Requirements. </w:t>
      </w:r>
      <w:r>
        <w:rPr>
          <w:rFonts w:ascii="Arial" w:cs="Arial" w:eastAsia="Arial" w:hAnsi="Arial"/>
          <w:sz w:val="18"/>
          <w:szCs w:val="18"/>
          <w:color w:val="auto"/>
        </w:rPr>
        <w:t>The Plan and the granting and payment of Awards, and the other obligations of the Company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shall be subject to all applicable federal and state laws, rules and regulations, and to such approvals by any regulatory or governmental agency as may be required.</w:t>
      </w:r>
    </w:p>
    <w:p>
      <w:pPr>
        <w:spacing w:after="0" w:line="59" w:lineRule="exact"/>
        <w:rPr>
          <w:rFonts w:ascii="Arial" w:cs="Arial" w:eastAsia="Arial" w:hAnsi="Arial"/>
          <w:sz w:val="18"/>
          <w:szCs w:val="18"/>
          <w:color w:val="auto"/>
        </w:rPr>
      </w:pPr>
    </w:p>
    <w:p>
      <w:pPr>
        <w:ind w:left="1120" w:hanging="257"/>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Nontransferability. </w:t>
      </w:r>
      <w:r>
        <w:rPr>
          <w:rFonts w:ascii="Arial" w:cs="Arial" w:eastAsia="Arial" w:hAnsi="Arial"/>
          <w:sz w:val="18"/>
          <w:szCs w:val="18"/>
          <w:color w:val="auto"/>
        </w:rPr>
        <w:t>Awards shall not be transferable by a Participant.</w:t>
      </w:r>
    </w:p>
    <w:p>
      <w:pPr>
        <w:spacing w:after="0" w:line="90" w:lineRule="exact"/>
        <w:rPr>
          <w:rFonts w:ascii="Arial" w:cs="Arial" w:eastAsia="Arial" w:hAnsi="Arial"/>
          <w:sz w:val="18"/>
          <w:szCs w:val="18"/>
          <w:color w:val="auto"/>
        </w:rPr>
      </w:pPr>
    </w:p>
    <w:p>
      <w:pPr>
        <w:ind w:left="420" w:right="100" w:firstLine="443"/>
        <w:spacing w:after="0" w:line="256" w:lineRule="auto"/>
        <w:tabs>
          <w:tab w:leader="none" w:pos="109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Nothing in the Plan or in any Award granted pursuant hereto shall confer upon any Participant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in the employ of the Company or any of its Subsidiaries or to be entitled to any remuneration or benefits not set forth in the Plan or to interfere with or limit in any way whatever rights otherwise exist of the Company or its Subsidiaries to terminate such Participant’s employment or change such Participant’s remuneration.</w:t>
      </w:r>
    </w:p>
    <w:p>
      <w:pPr>
        <w:spacing w:after="0" w:line="62" w:lineRule="exact"/>
        <w:rPr>
          <w:rFonts w:ascii="Arial" w:cs="Arial" w:eastAsia="Arial" w:hAnsi="Arial"/>
          <w:sz w:val="18"/>
          <w:szCs w:val="18"/>
          <w:color w:val="auto"/>
        </w:rPr>
      </w:pPr>
    </w:p>
    <w:p>
      <w:pPr>
        <w:ind w:left="420" w:firstLine="443"/>
        <w:spacing w:after="0" w:line="306" w:lineRule="auto"/>
        <w:tabs>
          <w:tab w:leader="none" w:pos="1107"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Withholding Taxes. </w:t>
      </w:r>
      <w:r>
        <w:rPr>
          <w:rFonts w:ascii="Arial" w:cs="Arial" w:eastAsia="Arial" w:hAnsi="Arial"/>
          <w:sz w:val="16"/>
          <w:szCs w:val="16"/>
          <w:color w:val="auto"/>
        </w:rPr>
        <w:t>Where a Participant or other person is entitled to receive a payment pursuant to an Award hereunder, the Company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 either to deduct from the payment, or to require the Participant or such other person to pay to the Company prior to delivery of such payment, an amount sufficient to satisfy any federal, state, local or other withholding tax requirements related thereto.</w:t>
      </w:r>
    </w:p>
    <w:p>
      <w:pPr>
        <w:spacing w:after="0" w:line="25" w:lineRule="exact"/>
        <w:rPr>
          <w:rFonts w:ascii="Arial" w:cs="Arial" w:eastAsia="Arial" w:hAnsi="Arial"/>
          <w:sz w:val="16"/>
          <w:szCs w:val="16"/>
          <w:color w:val="auto"/>
        </w:rPr>
      </w:pPr>
    </w:p>
    <w:p>
      <w:pPr>
        <w:jc w:val="both"/>
        <w:ind w:left="420" w:right="80" w:firstLine="443"/>
        <w:spacing w:after="0" w:line="306" w:lineRule="auto"/>
        <w:tabs>
          <w:tab w:leader="none" w:pos="1097"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Amendment, Termination and Duration of the Plan. </w:t>
      </w:r>
      <w:r>
        <w:rPr>
          <w:rFonts w:ascii="Arial" w:cs="Arial" w:eastAsia="Arial" w:hAnsi="Arial"/>
          <w:sz w:val="16"/>
          <w:szCs w:val="16"/>
          <w:color w:val="auto"/>
        </w:rPr>
        <w:t>The Board or the Committee may at any time and from time to time alter, amend, suspend,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terminate the Plan in whole or in part; </w:t>
      </w:r>
      <w:r>
        <w:rPr>
          <w:rFonts w:ascii="Arial" w:cs="Arial" w:eastAsia="Arial" w:hAnsi="Arial"/>
          <w:sz w:val="16"/>
          <w:szCs w:val="16"/>
          <w:i w:val="1"/>
          <w:iCs w:val="1"/>
          <w:color w:val="auto"/>
        </w:rPr>
        <w:t>provided that</w:t>
      </w:r>
      <w:r>
        <w:rPr>
          <w:rFonts w:ascii="Arial" w:cs="Arial" w:eastAsia="Arial" w:hAnsi="Arial"/>
          <w:sz w:val="16"/>
          <w:szCs w:val="16"/>
          <w:color w:val="auto"/>
        </w:rPr>
        <w:t>, no amendment that requires stockholder approval in order for the Plan to continue to comply with Code Section 162(m) shall be effective unless the same shall be approved by the requisite vote of the stockholders of the Company.</w:t>
      </w:r>
    </w:p>
    <w:p>
      <w:pPr>
        <w:spacing w:after="0" w:line="25" w:lineRule="exact"/>
        <w:rPr>
          <w:rFonts w:ascii="Arial" w:cs="Arial" w:eastAsia="Arial" w:hAnsi="Arial"/>
          <w:sz w:val="16"/>
          <w:szCs w:val="16"/>
          <w:color w:val="auto"/>
        </w:rPr>
      </w:pPr>
    </w:p>
    <w:p>
      <w:pPr>
        <w:ind w:left="420" w:right="440" w:firstLine="443"/>
        <w:spacing w:after="0" w:line="268" w:lineRule="auto"/>
        <w:tabs>
          <w:tab w:leader="none" w:pos="1077" w:val="left"/>
        </w:tabs>
        <w:numPr>
          <w:ilvl w:val="1"/>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Rights. </w:t>
      </w:r>
      <w:r>
        <w:rPr>
          <w:rFonts w:ascii="Arial" w:cs="Arial" w:eastAsia="Arial" w:hAnsi="Arial"/>
          <w:sz w:val="18"/>
          <w:szCs w:val="18"/>
          <w:color w:val="auto"/>
        </w:rPr>
        <w:t>No Participant shall have any claim to be granted any Award under the Plan, and there is no obligation for uniformity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for Participants.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36" w:name="page37"/>
    <w:bookmarkEnd w:id="36"/>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p>
    <w:p>
      <w:pPr>
        <w:spacing w:after="0" w:line="9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Unless otherwise provided by the Committee, and except as set forth in subparagraph (ii) of this Section 7(g), a Participant must be actively employed by the Company or its Subsidiaries at the time Awards are generally paid with respect to a Performance Period in order to be eligible to receive payment in respect of such Award.</w:t>
      </w:r>
    </w:p>
    <w:p>
      <w:pPr>
        <w:spacing w:after="0" w:line="59" w:lineRule="exact"/>
        <w:rPr>
          <w:rFonts w:ascii="Arial" w:cs="Arial" w:eastAsia="Arial" w:hAnsi="Arial"/>
          <w:sz w:val="18"/>
          <w:szCs w:val="18"/>
          <w:color w:val="auto"/>
        </w:rPr>
      </w:pPr>
    </w:p>
    <w:p>
      <w:pPr>
        <w:ind w:left="460" w:firstLine="421"/>
        <w:spacing w:after="0" w:line="256" w:lineRule="auto"/>
        <w:tabs>
          <w:tab w:leader="none" w:pos="11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Unless otherwise provided by the Committee, if a Participant’s employment is terminated as result of death, Disability or voluntary retirement with the consent of the Company prior to the end of the Performance Period, such Participant shall receive a pro rata portion of the Award that he or she would have received with respect to the applicable Performance Period, which shall be payable at the time payment is made to other Participants in respect of such Performance Period.</w:t>
      </w:r>
    </w:p>
    <w:p>
      <w:pPr>
        <w:spacing w:after="0" w:line="62" w:lineRule="exact"/>
        <w:rPr>
          <w:rFonts w:ascii="Arial" w:cs="Arial" w:eastAsia="Arial" w:hAnsi="Arial"/>
          <w:sz w:val="18"/>
          <w:szCs w:val="18"/>
          <w:color w:val="auto"/>
        </w:rPr>
      </w:pPr>
    </w:p>
    <w:p>
      <w:pPr>
        <w:jc w:val="both"/>
        <w:ind w:firstLine="443"/>
        <w:spacing w:after="0" w:line="259"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Unfunded Status of Awards.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not yet made to a Participant pursuant to an Award, nothing contained in the Plan or any Award shall give any such Participant any rights that are greater than those of a general creditor of the Company.</w:t>
      </w:r>
    </w:p>
    <w:p>
      <w:pPr>
        <w:spacing w:after="0" w:line="59" w:lineRule="exact"/>
        <w:rPr>
          <w:rFonts w:ascii="Arial" w:cs="Arial" w:eastAsia="Arial" w:hAnsi="Arial"/>
          <w:sz w:val="18"/>
          <w:szCs w:val="18"/>
          <w:color w:val="auto"/>
        </w:rPr>
      </w:pPr>
    </w:p>
    <w:p>
      <w:pPr>
        <w:ind w:right="140" w:firstLine="443"/>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The Plan and all determinations made and actions taken pursuant hereto shall be governed by the laws of the State of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giving effect to the conflict of laws principles thereof.</w:t>
      </w:r>
    </w:p>
    <w:p>
      <w:pPr>
        <w:spacing w:after="0" w:line="50" w:lineRule="exact"/>
        <w:rPr>
          <w:rFonts w:ascii="Arial" w:cs="Arial" w:eastAsia="Arial" w:hAnsi="Arial"/>
          <w:sz w:val="18"/>
          <w:szCs w:val="18"/>
          <w:color w:val="auto"/>
        </w:rPr>
      </w:pPr>
    </w:p>
    <w:p>
      <w:pPr>
        <w:ind w:right="440" w:firstLine="443"/>
        <w:spacing w:after="0" w:line="259"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The Plan shall take effect upon its adoption by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Plan shall be subject to the requisite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stockholders of the Company in order to comply with Section 162(m) of the Code. In the absence of such approval, the Plan (and any Awards made pursuant to the Plan prior to the date of such approval) shall be null and void.</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Plan is designed and intended to comply, to the extent applicable, with Section 162(m) of the Code, and all provisions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in a manner to so comply.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ANNUAL INCENTIVE PLAN</w:t>
      </w:r>
    </w:p>
    <w:p>
      <w:pPr>
        <w:spacing w:after="0" w:line="177" w:lineRule="exact"/>
        <w:rPr>
          <w:sz w:val="20"/>
          <w:szCs w:val="20"/>
          <w:color w:val="auto"/>
        </w:rPr>
      </w:pPr>
    </w:p>
    <w:p>
      <w:pPr>
        <w:ind w:right="120" w:firstLine="464"/>
        <w:spacing w:after="0" w:line="268" w:lineRule="auto"/>
        <w:tabs>
          <w:tab w:leader="none" w:pos="6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CME Group Inc. Annual Incentive Plan is to align the interests of Company management with those of the shareholders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by encouraging management to achieve goals intended to increase shareholder value.</w:t>
      </w:r>
    </w:p>
    <w:p>
      <w:pPr>
        <w:spacing w:after="0" w:line="131" w:lineRule="exact"/>
        <w:rPr>
          <w:rFonts w:ascii="Arial" w:cs="Arial" w:eastAsia="Arial" w:hAnsi="Arial"/>
          <w:sz w:val="18"/>
          <w:szCs w:val="18"/>
          <w:b w:val="1"/>
          <w:bCs w:val="1"/>
          <w:color w:val="auto"/>
        </w:rPr>
      </w:pPr>
    </w:p>
    <w:p>
      <w:pPr>
        <w:ind w:left="640" w:hanging="176"/>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The following terms, as used herein, shall have the following meanings:</w:t>
      </w:r>
    </w:p>
    <w:p>
      <w:pPr>
        <w:spacing w:after="0" w:line="84" w:lineRule="exact"/>
        <w:rPr>
          <w:rFonts w:ascii="Arial" w:cs="Arial" w:eastAsia="Arial" w:hAnsi="Arial"/>
          <w:sz w:val="18"/>
          <w:szCs w:val="18"/>
          <w:b w:val="1"/>
          <w:bCs w:val="1"/>
          <w:color w:val="auto"/>
        </w:rPr>
      </w:pPr>
    </w:p>
    <w:p>
      <w:pPr>
        <w:ind w:left="460" w:right="320" w:firstLine="443"/>
        <w:spacing w:after="0" w:line="275"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 incentive compensation award, granted pursuant to the Plan, which is contingent upon the attainment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with respect to a Performance Period.</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90" w:lineRule="exact"/>
        <w:rPr>
          <w:rFonts w:ascii="Arial" w:cs="Arial" w:eastAsia="Arial" w:hAnsi="Arial"/>
          <w:sz w:val="18"/>
          <w:szCs w:val="18"/>
          <w:color w:val="auto"/>
        </w:rPr>
      </w:pPr>
    </w:p>
    <w:p>
      <w:pPr>
        <w:ind w:left="460" w:firstLine="443"/>
        <w:spacing w:after="0" w:line="275"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the Compensation Committee of the Board or such other committee as may be appointed by the Board to administer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accordance with Section 3 of the Plan.</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the Company, par value $0.01 per share.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CME Group Inc., a Delaware corporation, or any successor corporation.</w:t>
      </w:r>
    </w:p>
    <w:p>
      <w:pPr>
        <w:spacing w:after="0" w:line="90" w:lineRule="exact"/>
        <w:rPr>
          <w:rFonts w:ascii="Arial" w:cs="Arial" w:eastAsia="Arial" w:hAnsi="Arial"/>
          <w:sz w:val="18"/>
          <w:szCs w:val="18"/>
          <w:color w:val="auto"/>
        </w:rPr>
      </w:pPr>
    </w:p>
    <w:p>
      <w:pPr>
        <w:ind w:left="460" w:right="80" w:firstLine="443"/>
        <w:spacing w:after="0" w:line="275" w:lineRule="auto"/>
        <w:tabs>
          <w:tab w:leader="none" w:pos="111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permanent disability as determined pursuant to the long-term disability plan or policy of the Company or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such disability and applicable to a Participant.</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January 1, 2008.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w:t>
      </w:r>
    </w:p>
    <w:p>
      <w:pPr>
        <w:spacing w:after="0" w:line="90" w:lineRule="exact"/>
        <w:rPr>
          <w:rFonts w:ascii="Arial" w:cs="Arial" w:eastAsia="Arial" w:hAnsi="Arial"/>
          <w:sz w:val="18"/>
          <w:szCs w:val="18"/>
          <w:color w:val="auto"/>
        </w:rPr>
      </w:pPr>
    </w:p>
    <w:p>
      <w:pPr>
        <w:ind w:left="460" w:right="200" w:firstLine="443"/>
        <w:spacing w:after="0" w:line="275" w:lineRule="auto"/>
        <w:tabs>
          <w:tab w:leader="none" w:pos="110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employee of the Company or any Subsidiary of the Company who is, pursuant to Section 4 of the Plan, selected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herein.</w:t>
      </w:r>
    </w:p>
    <w:p>
      <w:pPr>
        <w:spacing w:after="0" w:line="38" w:lineRule="exact"/>
        <w:rPr>
          <w:rFonts w:ascii="Arial" w:cs="Arial" w:eastAsia="Arial" w:hAnsi="Arial"/>
          <w:sz w:val="18"/>
          <w:szCs w:val="18"/>
          <w:color w:val="auto"/>
        </w:rPr>
      </w:pPr>
    </w:p>
    <w:p>
      <w:pPr>
        <w:ind w:left="460" w:right="120" w:firstLine="443"/>
        <w:spacing w:after="0" w:line="286" w:lineRule="auto"/>
        <w:tabs>
          <w:tab w:leader="none" w:pos="1108"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“Performance Factors” </w:t>
      </w:r>
      <w:r>
        <w:rPr>
          <w:rFonts w:ascii="Arial" w:cs="Arial" w:eastAsia="Arial" w:hAnsi="Arial"/>
          <w:sz w:val="16"/>
          <w:szCs w:val="16"/>
          <w:color w:val="auto"/>
        </w:rPr>
        <w:t>shall mean the criteria and objectives, determined by the Committee, which must be met during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as a condition of the Participant’s receipt of payment with respect to an Award. Performance Factors may include any or all of the following or any combination thereof: gross margin, operating margin, revenue growth, free cash flow, cash earnings, operating expense, expense reductions, operations efficiency, operating cash flow, earnings per share, economic value added, cash-flow return on investment, net income, total shareholder return, return on investment, return on equity, return on assets or any increase or decrease of one or more of the foregoing over a specified period. Such Performance Factors may relate to the performance of the Company, a Subsidiary, any portion of the business, product line, or any combination thereof and may be expressed on an aggregate, per share (outstanding or fully diluted) or per unit basis. Where applicable, the Performance Factors may be expressed in terms of attaining a specified level of the particular criteria, the attainment of a percentage increase or decrease in the particular criteria, or may be applied to the performance of the Company, a Subsidiary, a business unit, a product line, or any combination thereof, relative to a market index, a group of other companies (or their subsidiaries, business units or product lines), or a combination thereof, all as determined by the Committee. Performance Factors may include a threshold level of performance below which no payment shall be made, levels of performance below the target level but above the threshold level at which specified percentages of the Award shall be paid, a target level of performance at which the full Award shall be paid, levels of performance</w:t>
      </w:r>
    </w:p>
    <w:p>
      <w:pPr>
        <w:sectPr>
          <w:pgSz w:w="11900" w:h="16838" w:orient="portrait"/>
          <w:cols w:equalWidth="0" w:num="1">
            <w:col w:w="11420"/>
          </w:cols>
          <w:pgMar w:left="240" w:top="125" w:right="239" w:bottom="1440" w:gutter="0" w:footer="0" w:header="0"/>
        </w:sectPr>
      </w:pPr>
    </w:p>
    <w:bookmarkStart w:id="38" w:name="page39"/>
    <w:bookmarkEnd w:id="38"/>
    <w:p>
      <w:pPr>
        <w:jc w:val="both"/>
        <w:ind w:left="4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above the target level but below the maximum level at which specified multiples of the Award shall be paid, and a maximum level of performance above which no additional payment shall be made. Performance Factors may also specify that payments for levels of performances between specified levels will be interpolated.</w:t>
      </w:r>
    </w:p>
    <w:p>
      <w:pPr>
        <w:spacing w:after="0" w:line="53" w:lineRule="exact"/>
        <w:rPr>
          <w:sz w:val="20"/>
          <w:szCs w:val="20"/>
          <w:color w:val="auto"/>
        </w:rPr>
      </w:pPr>
    </w:p>
    <w:p>
      <w:pPr>
        <w:ind w:left="420" w:right="20" w:firstLine="443"/>
        <w:spacing w:after="0" w:line="338" w:lineRule="auto"/>
        <w:tabs>
          <w:tab w:leader="none" w:pos="1107" w:val="left"/>
        </w:tabs>
        <w:numPr>
          <w:ilvl w:val="1"/>
          <w:numId w:val="24"/>
        </w:numPr>
        <w:rPr>
          <w:rFonts w:ascii="Arial" w:cs="Arial" w:eastAsia="Arial" w:hAnsi="Arial"/>
          <w:sz w:val="15"/>
          <w:szCs w:val="15"/>
          <w:color w:val="auto"/>
        </w:rPr>
      </w:pPr>
      <w:r>
        <w:rPr>
          <w:rFonts w:ascii="Arial" w:cs="Arial" w:eastAsia="Arial" w:hAnsi="Arial"/>
          <w:sz w:val="15"/>
          <w:szCs w:val="15"/>
          <w:b w:val="1"/>
          <w:bCs w:val="1"/>
          <w:color w:val="auto"/>
        </w:rPr>
        <w:t xml:space="preserve">“Performance Period” </w:t>
      </w:r>
      <w:r>
        <w:rPr>
          <w:rFonts w:ascii="Arial" w:cs="Arial" w:eastAsia="Arial" w:hAnsi="Arial"/>
          <w:sz w:val="15"/>
          <w:szCs w:val="15"/>
          <w:color w:val="auto"/>
        </w:rPr>
        <w:t>shall mean the twelve-month periods commencing on January 1, 2008 and each January 1 thereafter, or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as the Committee shall determine; provided that a Performance Period for a Participant who becomes employed by the Company or its Subsidiaries following the commencement of a Performance Period may be a shorter period that commences with the date of the commencement of such employment.</w:t>
      </w:r>
    </w:p>
    <w:p>
      <w:pPr>
        <w:ind w:left="1080" w:hanging="217"/>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this CME Group Inc. Annual Incentive Plan.</w:t>
      </w:r>
    </w:p>
    <w:p>
      <w:pPr>
        <w:spacing w:after="0" w:line="90" w:lineRule="exact"/>
        <w:rPr>
          <w:rFonts w:ascii="Arial" w:cs="Arial" w:eastAsia="Arial" w:hAnsi="Arial"/>
          <w:sz w:val="18"/>
          <w:szCs w:val="18"/>
          <w:color w:val="auto"/>
        </w:rPr>
      </w:pPr>
    </w:p>
    <w:p>
      <w:pPr>
        <w:jc w:val="both"/>
        <w:ind w:left="420" w:right="340" w:firstLine="443"/>
        <w:spacing w:after="0" w:line="339" w:lineRule="auto"/>
        <w:tabs>
          <w:tab w:leader="none" w:pos="1155"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any company, partnership, limited liability company, business or entity (other than the Company) of which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50% of the combined voting power of its voting securities is, or the operations and management are, directly or indirectly controlled by the Company.</w:t>
      </w:r>
    </w:p>
    <w:p>
      <w:pPr>
        <w:spacing w:after="0" w:line="80" w:lineRule="exact"/>
        <w:rPr>
          <w:rFonts w:ascii="Arial" w:cs="Arial" w:eastAsia="Arial" w:hAnsi="Arial"/>
          <w:sz w:val="16"/>
          <w:szCs w:val="16"/>
          <w:color w:val="auto"/>
        </w:rPr>
      </w:pPr>
    </w:p>
    <w:p>
      <w:pPr>
        <w:ind w:left="-40" w:firstLine="464"/>
        <w:spacing w:after="0" w:line="284" w:lineRule="auto"/>
        <w:tabs>
          <w:tab w:leader="none" w:pos="58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Plan shall be administered by a Committee of the Board. The Committee shall have the authority in its sole discretion,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terms, conditions, restrictions and Performance Factors relating to any Award; to determine whether, to what extent, and under what circumstances an Award may be settled, cancelled, forfeited, or surrendered; to make adjustments in the Performance Factors in recognition of unusual or non-recurring events affecting the Company or its Subsidiaries or the financial statements of the Company or its Subsidiaries, or in response to changes in applicable laws, regulations or accounting principles; to construe and interpret the Plan and any Award; to prescribe, amend and rescind rules and regulations relating to the Plan; to determine the terms and provisions of Awards (including provisions relating to a change in control of the Company); and to make all other determinations deemed necessary or advisable for the administration of the Plan. Without limiting the generality of the foregoing, the Committee shall have the sole discretion to determine whether, or to what extent, Performance Factors are achieved; provided, however, that the Committee shall have the authority to make appropriate adjustments in Performance Factors under an Award to reflect the impact of extraordinary items not reflected in such goals. For purposes of the Plan, extraordinary items shall be defined as (1) any profit or loss attributable to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all items of gain, loss or expense for the year related to discontinued operations that do not qualify as a segment of a business as defined in APB Opinion No. 30 (or successor literature), (6) the impact of capital expenditures, (7) the impact of share repurchases and other changes in the number of outstanding shares, and (8) such other items as the Committee shall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39" w:name="page40"/>
    <w:bookmarkEnd w:id="3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decisions, determinations and interpretations of the Committee shall be final and binding on all persons, including the Company and the Participant (or any person claiming any rights under the Plan from or through any Participant).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may delegate all or any part of its authority under the Plan.</w:t>
      </w:r>
    </w:p>
    <w:p>
      <w:pPr>
        <w:spacing w:after="0" w:line="171" w:lineRule="exact"/>
        <w:rPr>
          <w:sz w:val="20"/>
          <w:szCs w:val="20"/>
          <w:color w:val="auto"/>
        </w:rPr>
      </w:pPr>
    </w:p>
    <w:p>
      <w:pPr>
        <w:jc w:val="both"/>
        <w:ind w:right="80" w:firstLine="464"/>
        <w:spacing w:after="0" w:line="259" w:lineRule="auto"/>
        <w:tabs>
          <w:tab w:leader="none" w:pos="6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to Participants in the sole discretion of the Committee. In determining the persons to whom Awards shall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Performance Factors relating to each Award, the Committee shall take into account such factors as the Committee shall deem relevant in connection with accomplishing the purposes of the Plan.</w:t>
      </w:r>
    </w:p>
    <w:p>
      <w:pPr>
        <w:spacing w:after="0" w:line="140" w:lineRule="exact"/>
        <w:rPr>
          <w:rFonts w:ascii="Arial" w:cs="Arial" w:eastAsia="Arial" w:hAnsi="Arial"/>
          <w:sz w:val="18"/>
          <w:szCs w:val="18"/>
          <w:b w:val="1"/>
          <w:bCs w:val="1"/>
          <w:color w:val="auto"/>
        </w:rPr>
      </w:pPr>
    </w:p>
    <w:p>
      <w:pPr>
        <w:ind w:right="340" w:firstLine="464"/>
        <w:spacing w:after="0" w:line="268" w:lineRule="auto"/>
        <w:tabs>
          <w:tab w:leader="none" w:pos="6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Terms of Awards. </w:t>
      </w:r>
      <w:r>
        <w:rPr>
          <w:rFonts w:ascii="Arial" w:cs="Arial" w:eastAsia="Arial" w:hAnsi="Arial"/>
          <w:sz w:val="18"/>
          <w:szCs w:val="18"/>
          <w:color w:val="auto"/>
        </w:rPr>
        <w:t>Awards granted pursuant to the Plan shall be communicated to Participants in such form as the Committee shall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 and the terms and conditions of such Awards shall be set forth therein.</w:t>
      </w:r>
    </w:p>
    <w:p>
      <w:pPr>
        <w:spacing w:after="0" w:line="77" w:lineRule="exact"/>
        <w:rPr>
          <w:rFonts w:ascii="Arial" w:cs="Arial" w:eastAsia="Arial" w:hAnsi="Arial"/>
          <w:sz w:val="18"/>
          <w:szCs w:val="18"/>
          <w:b w:val="1"/>
          <w:bCs w:val="1"/>
          <w:color w:val="auto"/>
        </w:rPr>
      </w:pPr>
    </w:p>
    <w:p>
      <w:pPr>
        <w:ind w:left="460" w:right="80" w:firstLine="443"/>
        <w:spacing w:after="0" w:line="229"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 General. </w:t>
      </w:r>
      <w:r>
        <w:rPr>
          <w:rFonts w:ascii="Arial" w:cs="Arial" w:eastAsia="Arial" w:hAnsi="Arial"/>
          <w:sz w:val="18"/>
          <w:szCs w:val="18"/>
          <w:color w:val="auto"/>
        </w:rPr>
        <w:t>On or prior to the date on which 25% of a Performance Period has elapsed (but not later than the 90</w:t>
      </w:r>
      <w:r>
        <w:rPr>
          <w:rFonts w:ascii="Arial" w:cs="Arial" w:eastAsia="Arial" w:hAnsi="Arial"/>
          <w:sz w:val="22"/>
          <w:szCs w:val="22"/>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of such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specify in writing, by resolution of the Committee or other appropriate action, the Participants for such Performance Period and the Performance Factors applicable to each Award for each Participant with respect to such Performance Period. Unless otherwise provided by the Committee in connection with specified terminations of employment, payment in respect of Awards shall be made only if and to the extent the minimum Performance Factors with respect to such Performance Period are attained.</w:t>
      </w:r>
    </w:p>
    <w:p>
      <w:pPr>
        <w:spacing w:after="0" w:line="103"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Provisions Regarding Awards. </w:t>
      </w:r>
      <w:r>
        <w:rPr>
          <w:rFonts w:ascii="Arial" w:cs="Arial" w:eastAsia="Arial" w:hAnsi="Arial"/>
          <w:sz w:val="18"/>
          <w:szCs w:val="18"/>
          <w:color w:val="auto"/>
        </w:rPr>
        <w:t>Notwithstanding anything to the contrary contained herein, in no event shall payment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hereunder exceed $2,500,000 to any one Participant in any one year. The Committee may at its discretion increase or decrease the amount of an Award payable upon attainment of the specified Performance Factors.</w:t>
      </w:r>
    </w:p>
    <w:p>
      <w:pPr>
        <w:spacing w:after="0" w:line="86" w:lineRule="exact"/>
        <w:rPr>
          <w:rFonts w:ascii="Arial" w:cs="Arial" w:eastAsia="Arial" w:hAnsi="Arial"/>
          <w:sz w:val="18"/>
          <w:szCs w:val="18"/>
          <w:color w:val="auto"/>
        </w:rPr>
      </w:pPr>
    </w:p>
    <w:p>
      <w:pPr>
        <w:ind w:left="460" w:right="300" w:firstLine="443"/>
        <w:spacing w:after="0" w:line="230"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 and Form of Payment. </w:t>
      </w:r>
      <w:r>
        <w:rPr>
          <w:rFonts w:ascii="Arial" w:cs="Arial" w:eastAsia="Arial" w:hAnsi="Arial"/>
          <w:sz w:val="18"/>
          <w:szCs w:val="18"/>
          <w:color w:val="auto"/>
        </w:rPr>
        <w:t>All payments in respect of Awards granted under this Plan shall be made in cash within two and one-half (2</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after the end of the Performance Period, but in no event shall such payments be made later than December 31 of the year after the end of the Performance Period.</w:t>
      </w:r>
    </w:p>
    <w:p>
      <w:pPr>
        <w:spacing w:after="0" w:line="184"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Plan shall continue in effect until terminated as provided below.</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w:t>
      </w:r>
    </w:p>
    <w:p>
      <w:pPr>
        <w:spacing w:after="0" w:line="90" w:lineRule="exact"/>
        <w:rPr>
          <w:rFonts w:ascii="Arial" w:cs="Arial" w:eastAsia="Arial" w:hAnsi="Arial"/>
          <w:sz w:val="18"/>
          <w:szCs w:val="18"/>
          <w:b w:val="1"/>
          <w:bCs w:val="1"/>
          <w:color w:val="auto"/>
        </w:rPr>
      </w:pPr>
    </w:p>
    <w:p>
      <w:pPr>
        <w:ind w:left="460" w:right="40" w:firstLine="443"/>
        <w:spacing w:after="0" w:line="259"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Legal Requirements. </w:t>
      </w:r>
      <w:r>
        <w:rPr>
          <w:rFonts w:ascii="Arial" w:cs="Arial" w:eastAsia="Arial" w:hAnsi="Arial"/>
          <w:sz w:val="18"/>
          <w:szCs w:val="18"/>
          <w:color w:val="auto"/>
        </w:rPr>
        <w:t>The Plan and the granting and payment of Awards, and the other obligations of the Company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shall be subject to all applicable federal and state laws, rules and regulations, and to such approvals by any regulatory or governmental agency as may be required.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Nontransferability. </w:t>
      </w:r>
      <w:r>
        <w:rPr>
          <w:rFonts w:ascii="Arial" w:cs="Arial" w:eastAsia="Arial" w:hAnsi="Arial"/>
          <w:sz w:val="18"/>
          <w:szCs w:val="18"/>
          <w:color w:val="auto"/>
        </w:rPr>
        <w:t>Awards shall not be transferable by a Participant.</w:t>
      </w:r>
    </w:p>
    <w:p>
      <w:pPr>
        <w:spacing w:after="0" w:line="90" w:lineRule="exact"/>
        <w:rPr>
          <w:rFonts w:ascii="Arial" w:cs="Arial" w:eastAsia="Arial" w:hAnsi="Arial"/>
          <w:sz w:val="18"/>
          <w:szCs w:val="18"/>
          <w:color w:val="auto"/>
        </w:rPr>
      </w:pPr>
    </w:p>
    <w:p>
      <w:pPr>
        <w:ind w:left="460" w:right="100" w:firstLine="443"/>
        <w:spacing w:after="0" w:line="256"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Nothing in the Plan or in any Award granted pursuant hereto shall confer upon any Participant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in the employ of the Company or any of its Subsidiaries or to be entitled to any remuneration or benefits not set forth in the Plan or to interfere with or limit in any way whatever rights otherwise exist of the Company or its Subsidiaries to terminate such Participant’s employment or change such Participant’s remuneration.</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Withholding Taxes. </w:t>
      </w:r>
      <w:r>
        <w:rPr>
          <w:rFonts w:ascii="Arial" w:cs="Arial" w:eastAsia="Arial" w:hAnsi="Arial"/>
          <w:sz w:val="16"/>
          <w:szCs w:val="16"/>
          <w:color w:val="auto"/>
        </w:rPr>
        <w:t>Where a Participant or other person is entitled to receive a payment pursuant to an Award hereunder, the Company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 either to deduct from the payment, or to require the Participant or such other person to pay to the Company prior to delivery of such payment, an amount sufficient to satisfy any federal, state, local or other withholding tax requirements related thereto.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0" w:name="page41"/>
    <w:bookmarkEnd w:id="40"/>
    <w:p>
      <w:pPr>
        <w:ind w:right="60" w:firstLine="443"/>
        <w:spacing w:after="0" w:line="268" w:lineRule="auto"/>
        <w:tabs>
          <w:tab w:leader="none" w:pos="677"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Amendment, Termination and Duration of the Plan. </w:t>
      </w:r>
      <w:r>
        <w:rPr>
          <w:rFonts w:ascii="Arial" w:cs="Arial" w:eastAsia="Arial" w:hAnsi="Arial"/>
          <w:sz w:val="18"/>
          <w:szCs w:val="18"/>
          <w:color w:val="auto"/>
        </w:rPr>
        <w:t>The Board or the Committee may at any time and from time to time alter, amend, suspend,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terminate the Plan in whole or in part.</w:t>
      </w:r>
    </w:p>
    <w:p>
      <w:pPr>
        <w:spacing w:after="0" w:line="50" w:lineRule="exact"/>
        <w:rPr>
          <w:rFonts w:ascii="Arial" w:cs="Arial" w:eastAsia="Arial" w:hAnsi="Arial"/>
          <w:sz w:val="18"/>
          <w:szCs w:val="18"/>
          <w:color w:val="auto"/>
        </w:rPr>
      </w:pPr>
    </w:p>
    <w:p>
      <w:pPr>
        <w:ind w:right="420" w:firstLine="443"/>
        <w:spacing w:after="0" w:line="268" w:lineRule="auto"/>
        <w:tabs>
          <w:tab w:leader="none" w:pos="657"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Rights. </w:t>
      </w:r>
      <w:r>
        <w:rPr>
          <w:rFonts w:ascii="Arial" w:cs="Arial" w:eastAsia="Arial" w:hAnsi="Arial"/>
          <w:sz w:val="18"/>
          <w:szCs w:val="18"/>
          <w:color w:val="auto"/>
        </w:rPr>
        <w:t>No Participant shall have any claim to be granted any Award under the Plan, and there is no obligation for uniformity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for Participants.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Employment.</w:t>
      </w:r>
    </w:p>
    <w:p>
      <w:pPr>
        <w:spacing w:after="0" w:line="9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Unless otherwise provided by the Committee, and except as set forth in subparagraph (ii) of this Section 7(g), a Participant must be actively employed by the Company or its Subsidiaries at the time Awards are generally paid with respect to a Performance Period in order to be eligible to receive payment in respect of such Award.</w:t>
      </w:r>
    </w:p>
    <w:p>
      <w:pPr>
        <w:spacing w:after="0" w:line="59" w:lineRule="exact"/>
        <w:rPr>
          <w:rFonts w:ascii="Arial" w:cs="Arial" w:eastAsia="Arial" w:hAnsi="Arial"/>
          <w:sz w:val="18"/>
          <w:szCs w:val="18"/>
          <w:color w:val="auto"/>
        </w:rPr>
      </w:pPr>
    </w:p>
    <w:p>
      <w:pPr>
        <w:ind w:left="460" w:firstLine="421"/>
        <w:spacing w:after="0" w:line="256" w:lineRule="auto"/>
        <w:tabs>
          <w:tab w:leader="none" w:pos="1138"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Unless otherwise provided by the Committee, if a Participant’s employment is terminated as result of death, Disability or voluntary retirement with the consent of the Company prior to the end of the Performance Period, such Participant shall receive a pro rata portion of the Award that he or she would have received with respect to the applicable Performance Period, which shall be payable at the time payment is made to other Participants in respect of such Performance Period.</w:t>
      </w:r>
    </w:p>
    <w:p>
      <w:pPr>
        <w:spacing w:after="0" w:line="62" w:lineRule="exact"/>
        <w:rPr>
          <w:rFonts w:ascii="Arial" w:cs="Arial" w:eastAsia="Arial" w:hAnsi="Arial"/>
          <w:sz w:val="18"/>
          <w:szCs w:val="18"/>
          <w:color w:val="auto"/>
        </w:rPr>
      </w:pPr>
    </w:p>
    <w:p>
      <w:pPr>
        <w:jc w:val="both"/>
        <w:ind w:firstLine="443"/>
        <w:spacing w:after="0" w:line="259"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Unfunded Status of Awards.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not yet made to a Participant pursuant to an Award, nothing contained in the Plan or any Award shall give any such Participant any rights that are greater than those of a general creditor of the Company.</w:t>
      </w:r>
    </w:p>
    <w:p>
      <w:pPr>
        <w:spacing w:after="0" w:line="59" w:lineRule="exact"/>
        <w:rPr>
          <w:rFonts w:ascii="Arial" w:cs="Arial" w:eastAsia="Arial" w:hAnsi="Arial"/>
          <w:sz w:val="18"/>
          <w:szCs w:val="18"/>
          <w:color w:val="auto"/>
        </w:rPr>
      </w:pPr>
    </w:p>
    <w:p>
      <w:pPr>
        <w:ind w:right="140" w:firstLine="443"/>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The Plan and all determinations made and actions taken pursuant hereto shall be governed by the laws of the State of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giving effect to the conflict of laws principles thereof.</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The Plan shall take effect January 1, 2008.</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ind w:right="3100" w:firstLine="3096"/>
        <w:spacing w:after="0" w:line="440" w:lineRule="auto"/>
        <w:rPr>
          <w:sz w:val="20"/>
          <w:szCs w:val="20"/>
          <w:color w:val="auto"/>
        </w:rPr>
      </w:pPr>
      <w:r>
        <w:rPr>
          <w:rFonts w:ascii="Arial" w:cs="Arial" w:eastAsia="Arial" w:hAnsi="Arial"/>
          <w:sz w:val="16"/>
          <w:szCs w:val="16"/>
          <w:b w:val="1"/>
          <w:bCs w:val="1"/>
          <w:color w:val="auto"/>
        </w:rPr>
        <w:t xml:space="preserve">FIRST AMENDMENT TO THE SHAREHOLDERS’ AGREEMENT </w:t>
      </w:r>
      <w:r>
        <w:rPr>
          <w:rFonts w:ascii="Arial" w:cs="Arial" w:eastAsia="Arial" w:hAnsi="Arial"/>
          <w:sz w:val="16"/>
          <w:szCs w:val="16"/>
          <w:color w:val="auto"/>
        </w:rPr>
        <w:t xml:space="preserve">This amendment (“Amendment”) is entered into this </w:t>
      </w:r>
      <w:r>
        <w:rPr>
          <w:rFonts w:ascii="Arial" w:cs="Arial" w:eastAsia="Arial" w:hAnsi="Arial"/>
          <w:sz w:val="16"/>
          <w:szCs w:val="16"/>
          <w:i w:val="1"/>
          <w:iCs w:val="1"/>
          <w:color w:val="auto"/>
        </w:rPr>
        <w:t>22</w:t>
      </w:r>
      <w:r>
        <w:rPr>
          <w:rFonts w:ascii="Arial" w:cs="Arial" w:eastAsia="Arial" w:hAnsi="Arial"/>
          <w:sz w:val="16"/>
          <w:szCs w:val="16"/>
          <w:color w:val="auto"/>
        </w:rPr>
        <w:t xml:space="preserve"> day of February, 2008 by and between</w:t>
      </w:r>
    </w:p>
    <w:p>
      <w:pPr>
        <w:spacing w:after="0" w:line="1" w:lineRule="exact"/>
        <w:rPr>
          <w:sz w:val="20"/>
          <w:szCs w:val="20"/>
          <w:color w:val="auto"/>
        </w:rPr>
      </w:pPr>
    </w:p>
    <w:p>
      <w:pPr>
        <w:ind w:left="460" w:right="32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REUTERS HOLDINGS LIMITED, </w:t>
      </w:r>
      <w:r>
        <w:rPr>
          <w:rFonts w:ascii="Arial" w:cs="Arial" w:eastAsia="Arial" w:hAnsi="Arial"/>
          <w:sz w:val="18"/>
          <w:szCs w:val="18"/>
          <w:color w:val="auto"/>
        </w:rPr>
        <w:t>a company incorporated in England under registered number 01796065 whose registered office is at The Reuters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Building, South Colonnade, Canary Wharf, London, E14 5EP, United Kingdom </w:t>
      </w:r>
      <w:r>
        <w:rPr>
          <w:rFonts w:ascii="Arial" w:cs="Arial" w:eastAsia="Arial" w:hAnsi="Arial"/>
          <w:sz w:val="18"/>
          <w:szCs w:val="18"/>
          <w:b w:val="1"/>
          <w:bCs w:val="1"/>
          <w:color w:val="auto"/>
        </w:rPr>
        <w:t>(“Reuters”)</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CME FX MARKETPLACE INC., </w:t>
      </w:r>
      <w:r>
        <w:rPr>
          <w:rFonts w:ascii="Arial" w:cs="Arial" w:eastAsia="Arial" w:hAnsi="Arial"/>
          <w:sz w:val="18"/>
          <w:szCs w:val="18"/>
          <w:color w:val="auto"/>
        </w:rPr>
        <w:t>a company incorporated under the laws of the State of Delaware whose principal office is at 20 South Wacker Drive,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Chicago, Illinois 60606, United States of America </w:t>
      </w:r>
      <w:r>
        <w:rPr>
          <w:rFonts w:ascii="Arial" w:cs="Arial" w:eastAsia="Arial" w:hAnsi="Arial"/>
          <w:sz w:val="18"/>
          <w:szCs w:val="18"/>
          <w:b w:val="1"/>
          <w:bCs w:val="1"/>
          <w:color w:val="auto"/>
        </w:rPr>
        <w:t>(“CME”)</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50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RCFX LIMITED, </w:t>
      </w:r>
      <w:r>
        <w:rPr>
          <w:rFonts w:ascii="Arial" w:cs="Arial" w:eastAsia="Arial" w:hAnsi="Arial"/>
          <w:sz w:val="18"/>
          <w:szCs w:val="18"/>
          <w:color w:val="auto"/>
        </w:rPr>
        <w:t>a company incorporated in England under registered number 05764842 whose registered office is at The Reuters Building, South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Colonnade, Canary Wharf, London, E14 5EP, United Kingdom,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36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REUTERS GROUP PLC, </w:t>
      </w:r>
      <w:r>
        <w:rPr>
          <w:rFonts w:ascii="Arial" w:cs="Arial" w:eastAsia="Arial" w:hAnsi="Arial"/>
          <w:sz w:val="18"/>
          <w:szCs w:val="18"/>
          <w:color w:val="auto"/>
        </w:rPr>
        <w:t>a company incorporated in England under registered number 03296375 whose registered office is at The Reuters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South Colonnade, Canary Wharf, London, E14 5EP, United Kingdom </w:t>
      </w:r>
      <w:r>
        <w:rPr>
          <w:rFonts w:ascii="Arial" w:cs="Arial" w:eastAsia="Arial" w:hAnsi="Arial"/>
          <w:sz w:val="18"/>
          <w:szCs w:val="18"/>
          <w:b w:val="1"/>
          <w:bCs w:val="1"/>
          <w:color w:val="auto"/>
        </w:rPr>
        <w:t>(“Reuters Parent”)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4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REUTERS LIMITED, </w:t>
      </w:r>
      <w:r>
        <w:rPr>
          <w:rFonts w:ascii="Arial" w:cs="Arial" w:eastAsia="Arial" w:hAnsi="Arial"/>
          <w:sz w:val="18"/>
          <w:szCs w:val="18"/>
          <w:color w:val="auto"/>
        </w:rPr>
        <w:t>a company incorporated in England under registered number 00145516 whose registered office is at The Reuters Building, South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Colonnade, Canary Wharf, London, E14 5EP, United Kingdom </w:t>
      </w:r>
      <w:r>
        <w:rPr>
          <w:rFonts w:ascii="Arial" w:cs="Arial" w:eastAsia="Arial" w:hAnsi="Arial"/>
          <w:sz w:val="18"/>
          <w:szCs w:val="18"/>
          <w:b w:val="1"/>
          <w:bCs w:val="1"/>
          <w:color w:val="auto"/>
        </w:rPr>
        <w:t>(“Reuters Opco”)</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2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CHICAGO MERCANTILE EXCHANGE HOLDINGS INC., </w:t>
      </w:r>
      <w:r>
        <w:rPr>
          <w:rFonts w:ascii="Arial" w:cs="Arial" w:eastAsia="Arial" w:hAnsi="Arial"/>
          <w:sz w:val="18"/>
          <w:szCs w:val="18"/>
          <w:color w:val="auto"/>
        </w:rPr>
        <w:t>a company incorporated under the laws of the State of Delaware whose principal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20 South Wacker Drive, Chicago, Illinois 60606, United States of America </w:t>
      </w:r>
      <w:r>
        <w:rPr>
          <w:rFonts w:ascii="Arial" w:cs="Arial" w:eastAsia="Arial" w:hAnsi="Arial"/>
          <w:sz w:val="18"/>
          <w:szCs w:val="18"/>
          <w:b w:val="1"/>
          <w:bCs w:val="1"/>
          <w:color w:val="auto"/>
        </w:rPr>
        <w:t>(“CME Parent”)</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CHICAGO MERCANTILE EXCHANGE INC., </w:t>
      </w:r>
      <w:r>
        <w:rPr>
          <w:rFonts w:ascii="Arial" w:cs="Arial" w:eastAsia="Arial" w:hAnsi="Arial"/>
          <w:sz w:val="18"/>
          <w:szCs w:val="18"/>
          <w:color w:val="auto"/>
        </w:rPr>
        <w:t>a company incorporated under the laws of the State of Delaware whose principal office is at 20 South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Wacker Drive, Chicago, Illinois 60606, United States of America </w:t>
      </w:r>
      <w:r>
        <w:rPr>
          <w:rFonts w:ascii="Arial" w:cs="Arial" w:eastAsia="Arial" w:hAnsi="Arial"/>
          <w:sz w:val="18"/>
          <w:szCs w:val="18"/>
          <w:b w:val="1"/>
          <w:bCs w:val="1"/>
          <w:color w:val="auto"/>
        </w:rPr>
        <w:t>(“CME Opco”)</w:t>
      </w:r>
      <w:r>
        <w:rPr>
          <w:rFonts w:ascii="Arial" w:cs="Arial" w:eastAsia="Arial" w:hAnsi="Arial"/>
          <w:sz w:val="18"/>
          <w:szCs w:val="18"/>
          <w:color w:val="auto"/>
        </w:rPr>
        <w:t>.</w:t>
      </w:r>
    </w:p>
    <w:p>
      <w:pPr>
        <w:spacing w:after="0" w:line="12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This Amendment is entered into to modify the Shareholders Agreement between the parties dated May 4, 2006 (as amended and restated on July 20, 2006)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45" w:lineRule="exact"/>
        <w:rPr>
          <w:sz w:val="20"/>
          <w:szCs w:val="20"/>
          <w:color w:val="auto"/>
        </w:rPr>
      </w:pPr>
    </w:p>
    <w:p>
      <w:pPr>
        <w:ind w:left="460" w:right="20" w:hanging="452"/>
        <w:spacing w:after="0" w:line="275"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Revision of the Shareholders’ Agreement. </w:t>
      </w:r>
      <w:r>
        <w:rPr>
          <w:rFonts w:ascii="Arial" w:cs="Arial" w:eastAsia="Arial" w:hAnsi="Arial"/>
          <w:sz w:val="18"/>
          <w:szCs w:val="18"/>
          <w:color w:val="auto"/>
        </w:rPr>
        <w:t>The Parties agree that with effect from the date of this Amendment Agreement, clause 8.2 of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replaced with the following:</w:t>
      </w:r>
    </w:p>
    <w:p>
      <w:pPr>
        <w:spacing w:after="0" w:line="11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“8.2 Appointment and removal of certain Directors</w:t>
      </w:r>
    </w:p>
    <w:p>
      <w:pPr>
        <w:spacing w:after="0" w:line="177"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Reuters shall be entitled (by notice in writing to the Company and to CME) to appoint up to four Directors and to remove or replace any such appointee from time to time, and CME shall be entitled (by notice in writing to the Company and to Reuters) to appoint up to four Directors and to remove or replace any such appointee from time to time, provided that each Director appointed by a Shareholder shall, for the duration of such appointment, also be:</w:t>
      </w:r>
    </w:p>
    <w:p>
      <w:pPr>
        <w:spacing w:after="0" w:line="25"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director of such Shareholder’s Ultimate Parent Company;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 or executive of such Shareholder, its Ultimate Parent Company or any of its corporate Affiliates.”</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No Other Changes</w:t>
      </w:r>
      <w:r>
        <w:rPr>
          <w:rFonts w:ascii="Arial" w:cs="Arial" w:eastAsia="Arial" w:hAnsi="Arial"/>
          <w:sz w:val="16"/>
          <w:szCs w:val="16"/>
          <w:color w:val="auto"/>
        </w:rPr>
        <w:t>. Except as set forth herein, all of the terms and conditions of the Agreement shall remain unchanged and in full effect.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Amendment by their duly authorized representatives as of the date set forth above.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Executed as a deed by</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8"/>
                <w:szCs w:val="18"/>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b w:val="1"/>
                <w:bCs w:val="1"/>
                <w:color w:val="auto"/>
              </w:rPr>
              <w:t>REUTERS HOLDINGS LIMITED</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Borders>
              <w:bottom w:val="single" w:sz="8" w:color="auto"/>
            </w:tcBorders>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acting by its attorney</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Attorney</w:t>
            </w: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18"/>
                <w:szCs w:val="18"/>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b w:val="1"/>
                <w:bCs w:val="1"/>
                <w:color w:val="auto"/>
              </w:rPr>
              <w:t>REUTERS HOLDINGS LIMITED</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58"/>
        </w:trPr>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412"/>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24"/>
                <w:szCs w:val="24"/>
                <w:color w:val="auto"/>
              </w:rPr>
            </w:pPr>
          </w:p>
        </w:tc>
      </w:tr>
      <w:tr>
        <w:trPr>
          <w:trHeight w:val="201"/>
        </w:trPr>
        <w:tc>
          <w:tcPr>
            <w:tcW w:w="4640" w:type="dxa"/>
            <w:vAlign w:val="bottom"/>
          </w:tcPr>
          <w:p>
            <w:pPr>
              <w:spacing w:after="0" w:line="201" w:lineRule="exact"/>
              <w:rPr>
                <w:sz w:val="20"/>
                <w:szCs w:val="20"/>
                <w:color w:val="auto"/>
              </w:rPr>
            </w:pPr>
            <w:r>
              <w:rPr>
                <w:rFonts w:ascii="Arial" w:cs="Arial" w:eastAsia="Arial" w:hAnsi="Arial"/>
                <w:sz w:val="18"/>
                <w:szCs w:val="18"/>
                <w:b w:val="1"/>
                <w:bCs w:val="1"/>
                <w:color w:val="auto"/>
              </w:rPr>
              <w:t>CME FX MARKETPLACE INC.</w:t>
            </w:r>
          </w:p>
        </w:tc>
        <w:tc>
          <w:tcPr>
            <w:tcW w:w="1220" w:type="dxa"/>
            <w:vAlign w:val="bottom"/>
          </w:tcPr>
          <w:p>
            <w:pPr>
              <w:ind w:left="1140"/>
              <w:spacing w:after="0" w:line="201" w:lineRule="exact"/>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line="201" w:lineRule="exact"/>
              <w:rPr>
                <w:sz w:val="20"/>
                <w:szCs w:val="20"/>
                <w:color w:val="auto"/>
              </w:rPr>
            </w:pPr>
            <w:r>
              <w:rPr>
                <w:rFonts w:ascii="Arial" w:cs="Arial" w:eastAsia="Arial" w:hAnsi="Arial"/>
                <w:sz w:val="18"/>
                <w:szCs w:val="18"/>
                <w:color w:val="auto"/>
              </w:rPr>
              <w:t>President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acting by its president and its secretary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18"/>
                <w:szCs w:val="18"/>
                <w:color w:val="auto"/>
              </w:rPr>
            </w:pPr>
          </w:p>
        </w:tc>
      </w:tr>
      <w:tr>
        <w:trPr>
          <w:trHeight w:val="211"/>
        </w:trPr>
        <w:tc>
          <w:tcPr>
            <w:tcW w:w="4640" w:type="dxa"/>
            <w:vAlign w:val="bottom"/>
          </w:tcPr>
          <w:p>
            <w:pPr>
              <w:spacing w:after="0"/>
              <w:rPr>
                <w:sz w:val="20"/>
                <w:szCs w:val="20"/>
                <w:color w:val="auto"/>
              </w:rPr>
            </w:pPr>
            <w:r>
              <w:rPr>
                <w:rFonts w:ascii="Arial" w:cs="Arial" w:eastAsia="Arial" w:hAnsi="Arial"/>
                <w:sz w:val="18"/>
                <w:szCs w:val="18"/>
                <w:color w:val="auto"/>
              </w:rPr>
              <w:t>in accordance with the laws of the territory in</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which CME FX Marketplace Inc. is incorporated</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Secretary</w:t>
            </w: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24"/>
                <w:szCs w:val="24"/>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b w:val="1"/>
                <w:bCs w:val="1"/>
                <w:color w:val="auto"/>
              </w:rPr>
              <w:t>FXMARKETSPACE LIMITED</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acting by its attorney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Attorney</w:t>
            </w: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24"/>
                <w:szCs w:val="24"/>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b w:val="1"/>
                <w:bCs w:val="1"/>
                <w:color w:val="auto"/>
              </w:rPr>
              <w:t>REUTERS GROUP PLC</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560"/>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24"/>
                <w:szCs w:val="24"/>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b w:val="1"/>
                <w:bCs w:val="1"/>
                <w:color w:val="auto"/>
              </w:rPr>
              <w:t>REUTERS LIMITED</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358"/>
        </w:trPr>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Secretary</w:t>
            </w:r>
          </w:p>
        </w:tc>
      </w:tr>
      <w:tr>
        <w:trPr>
          <w:trHeight w:val="412"/>
        </w:trPr>
        <w:tc>
          <w:tcPr>
            <w:tcW w:w="4640" w:type="dxa"/>
            <w:vAlign w:val="bottom"/>
          </w:tcPr>
          <w:p>
            <w:pPr>
              <w:spacing w:after="0"/>
              <w:rPr>
                <w:sz w:val="20"/>
                <w:szCs w:val="20"/>
                <w:color w:val="auto"/>
              </w:rPr>
            </w:pPr>
            <w:r>
              <w:rPr>
                <w:rFonts w:ascii="Arial" w:cs="Arial" w:eastAsia="Arial" w:hAnsi="Arial"/>
                <w:sz w:val="18"/>
                <w:szCs w:val="18"/>
                <w:color w:val="auto"/>
              </w:rPr>
              <w:t>Executed as a deed by</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Borders>
              <w:bottom w:val="single" w:sz="8" w:color="auto"/>
            </w:tcBorders>
          </w:tcPr>
          <w:p>
            <w:pPr>
              <w:spacing w:after="0"/>
              <w:rPr>
                <w:sz w:val="24"/>
                <w:szCs w:val="24"/>
                <w:color w:val="auto"/>
              </w:rPr>
            </w:pPr>
          </w:p>
        </w:tc>
      </w:tr>
      <w:tr>
        <w:trPr>
          <w:trHeight w:val="195"/>
        </w:trPr>
        <w:tc>
          <w:tcPr>
            <w:tcW w:w="4640" w:type="dxa"/>
            <w:vAlign w:val="bottom"/>
          </w:tcPr>
          <w:p>
            <w:pPr>
              <w:spacing w:after="0" w:line="195" w:lineRule="exact"/>
              <w:rPr>
                <w:sz w:val="20"/>
                <w:szCs w:val="20"/>
                <w:color w:val="auto"/>
              </w:rPr>
            </w:pPr>
            <w:r>
              <w:rPr>
                <w:rFonts w:ascii="Arial" w:cs="Arial" w:eastAsia="Arial" w:hAnsi="Arial"/>
                <w:sz w:val="18"/>
                <w:szCs w:val="18"/>
                <w:b w:val="1"/>
                <w:bCs w:val="1"/>
                <w:color w:val="auto"/>
              </w:rPr>
              <w:t>CHICAGO MERCANTILE EXCHANGE</w:t>
            </w:r>
          </w:p>
        </w:tc>
        <w:tc>
          <w:tcPr>
            <w:tcW w:w="1220" w:type="dxa"/>
            <w:vAlign w:val="bottom"/>
          </w:tcPr>
          <w:p>
            <w:pPr>
              <w:ind w:left="1140"/>
              <w:spacing w:after="0" w:line="195" w:lineRule="exact"/>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line="195" w:lineRule="exact"/>
              <w:rPr>
                <w:sz w:val="20"/>
                <w:szCs w:val="20"/>
                <w:color w:val="auto"/>
              </w:rPr>
            </w:pPr>
            <w:r>
              <w:rPr>
                <w:rFonts w:ascii="Arial" w:cs="Arial" w:eastAsia="Arial" w:hAnsi="Arial"/>
                <w:sz w:val="18"/>
                <w:szCs w:val="18"/>
                <w:color w:val="auto"/>
              </w:rPr>
              <w:t>Chief Executive Officer</w:t>
            </w:r>
          </w:p>
        </w:tc>
      </w:tr>
      <w:tr>
        <w:trPr>
          <w:trHeight w:val="222"/>
        </w:trPr>
        <w:tc>
          <w:tcPr>
            <w:tcW w:w="4640" w:type="dxa"/>
            <w:vAlign w:val="bottom"/>
          </w:tcPr>
          <w:p>
            <w:pPr>
              <w:spacing w:after="0"/>
              <w:rPr>
                <w:sz w:val="20"/>
                <w:szCs w:val="20"/>
                <w:color w:val="auto"/>
              </w:rPr>
            </w:pPr>
            <w:r>
              <w:rPr>
                <w:rFonts w:ascii="Arial" w:cs="Arial" w:eastAsia="Arial" w:hAnsi="Arial"/>
                <w:sz w:val="18"/>
                <w:szCs w:val="18"/>
                <w:b w:val="1"/>
                <w:bCs w:val="1"/>
                <w:color w:val="auto"/>
              </w:rPr>
              <w:t>HOLDINGS INC.</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19"/>
                <w:szCs w:val="19"/>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acting by its chief executive officer and corporate</w:t>
            </w:r>
          </w:p>
        </w:tc>
        <w:tc>
          <w:tcPr>
            <w:tcW w:w="6780" w:type="dxa"/>
            <w:vAlign w:val="bottom"/>
            <w:gridSpan w:val="2"/>
          </w:tcPr>
          <w:p>
            <w:pPr>
              <w:ind w:left="1140"/>
              <w:spacing w:after="0"/>
              <w:rPr>
                <w:sz w:val="20"/>
                <w:szCs w:val="20"/>
                <w:color w:val="auto"/>
              </w:rPr>
            </w:pPr>
            <w:r>
              <w:rPr>
                <w:rFonts w:ascii="Arial" w:cs="Arial" w:eastAsia="Arial" w:hAnsi="Arial"/>
                <w:sz w:val="18"/>
                <w:szCs w:val="18"/>
                <w:color w:val="auto"/>
              </w:rPr>
              <w:t>)   Managing Director, General Counsel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secretary in accordance with the laws of the</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ind w:left="220"/>
              <w:spacing w:after="0"/>
              <w:rPr>
                <w:sz w:val="20"/>
                <w:szCs w:val="20"/>
                <w:color w:val="auto"/>
              </w:rPr>
            </w:pPr>
            <w:r>
              <w:rPr>
                <w:rFonts w:ascii="Arial" w:cs="Arial" w:eastAsia="Arial" w:hAnsi="Arial"/>
                <w:sz w:val="18"/>
                <w:szCs w:val="18"/>
                <w:color w:val="auto"/>
              </w:rPr>
              <w:t>and Corporate Secretary</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territory in which Chicago Mercantile Exchange</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18"/>
                <w:szCs w:val="18"/>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Holdings Inc. is incorporated</w:t>
            </w:r>
          </w:p>
        </w:tc>
        <w:tc>
          <w:tcPr>
            <w:tcW w:w="122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56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2008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lowerLetter"/>
      <w:start w:val="1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1."/>
      <w:numFmt w:val="decimal"/>
      <w:start w:val="5"/>
    </w:lvl>
    <w:lvl w:ilvl="1">
      <w:lvlJc w:val="left"/>
      <w:lvlText w:val="(%2)"/>
      <w:numFmt w:val="lowerLetter"/>
      <w:start w:val="1"/>
    </w:lvl>
  </w:abstractNum>
  <w:abstractNum w:abstractNumId="21">
    <w:nsid w:val="8138641"/>
    <w:multiLevelType w:val="hybridMultilevel"/>
    <w:lvl w:ilvl="0">
      <w:lvlJc w:val="left"/>
      <w:lvlText w:val="(%1)"/>
      <w:numFmt w:val="lowerLetter"/>
      <w:start w:val="7"/>
    </w:lvl>
    <w:lvl w:ilvl="1">
      <w:lvlJc w:val="left"/>
      <w:lvlText w:val="(%2)"/>
      <w:numFmt w:val="lowerRoman"/>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abstractNum>
  <w:abstractNum w:abstractNumId="23">
    <w:nsid w:val="7C3DBD3D"/>
    <w:multiLevelType w:val="hybridMultilevel"/>
    <w:lvl w:ilvl="0">
      <w:lvlJc w:val="left"/>
      <w:lvlText w:val="%1"/>
      <w:numFmt w:val="decimal"/>
      <w:start w:val="1"/>
    </w:lvl>
    <w:lvl w:ilvl="1">
      <w:lvlJc w:val="left"/>
      <w:lvlText w:val="(%2)"/>
      <w:numFmt w:val="lowerLetter"/>
      <w:start w:val="11"/>
    </w:lvl>
  </w:abstractNum>
  <w:abstractNum w:abstractNumId="24">
    <w:nsid w:val="737B8DDC"/>
    <w:multiLevelType w:val="hybridMultilevel"/>
    <w:lvl w:ilvl="0">
      <w:lvlJc w:val="left"/>
      <w:lvlText w:val="%1."/>
      <w:numFmt w:val="decimal"/>
      <w:start w:val="3"/>
    </w:lvl>
    <w:lvl w:ilvl="1">
      <w:lvlJc w:val="left"/>
      <w:lvlText w:val="%2"/>
      <w:numFmt w:val="lowerLetter"/>
      <w:start w:val="1"/>
    </w:lvl>
  </w:abstractNum>
  <w:abstractNum w:abstractNumId="25">
    <w:nsid w:val="6CEAF087"/>
    <w:multiLevelType w:val="hybridMultilevel"/>
    <w:lvl w:ilvl="0">
      <w:lvlJc w:val="left"/>
      <w:lvlText w:val="%1."/>
      <w:numFmt w:val="decimal"/>
      <w:start w:val="4"/>
    </w:lvl>
    <w:lvl w:ilvl="1">
      <w:lvlJc w:val="left"/>
      <w:lvlText w:val="(%2)"/>
      <w:numFmt w:val="lowerLetter"/>
      <w:start w:val="1"/>
    </w:lvl>
  </w:abstractNum>
  <w:abstractNum w:abstractNumId="26">
    <w:nsid w:val="22221A70"/>
    <w:multiLevelType w:val="hybridMultilevel"/>
    <w:lvl w:ilvl="0">
      <w:lvlJc w:val="left"/>
      <w:lvlText w:val="(%1)"/>
      <w:numFmt w:val="lowerLetter"/>
      <w:start w:val="5"/>
    </w:lvl>
    <w:lvl w:ilvl="1">
      <w:lvlJc w:val="left"/>
      <w:lvlText w:val="(%2)"/>
      <w:numFmt w:val="lowerRoman"/>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lvl w:ilvl="1">
      <w:lvlJc w:val="left"/>
      <w:lvlText w:val="(%2)"/>
      <w:numFmt w:val="upperLetter"/>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2019-12-15T04:18:58Z</dcterms:created>
  <dcterms:modified xsi:type="dcterms:W3CDTF">2019-12-15T04:18:58Z</dcterms:modified>
</cp:coreProperties>
</file>