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20"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3"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207"/>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8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61"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2"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163" w:lineRule="exact"/>
        <w:rPr>
          <w:sz w:val="24"/>
          <w:szCs w:val="24"/>
          <w:color w:val="auto"/>
        </w:rPr>
      </w:pPr>
    </w:p>
    <w:p>
      <w:pPr>
        <w:sectPr>
          <w:pgSz w:w="11900" w:h="16838" w:orient="portrait"/>
          <w:cols w:equalWidth="0" w:num="4">
            <w:col w:w="1260" w:space="140"/>
            <w:col w:w="80" w:space="720"/>
            <w:col w:w="5380" w:space="720"/>
            <w:col w:w="3120"/>
          </w:cols>
          <w:pgMar w:left="240" w:top="778" w:right="239" w:bottom="1440" w:gutter="0" w:footer="0" w:header="0"/>
          <w:type w:val="continuous"/>
        </w:sect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2017, was approximately $42.2 billion (based on the closing price per share of CME Group Inc. Class A common stock on the NASDAQ Global Select Market (NASDAQ) on such date). The number of shares outstanding of each of the registrant’s classes of common stock as of February 7, 2018 was as follows: 340,382,147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2018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38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Business</w:t>
              </w:r>
            </w:hyperlink>
          </w:p>
        </w:tc>
        <w:tc>
          <w:tcPr>
            <w:tcW w:w="7860" w:type="dxa"/>
            <w:vAlign w:val="bottom"/>
            <w:gridSpan w:val="2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8520" w:type="dxa"/>
            <w:vAlign w:val="bottom"/>
            <w:gridSpan w:val="2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Factors</w:t>
              </w:r>
            </w:hyperlink>
          </w:p>
        </w:tc>
        <w:tc>
          <w:tcPr>
            <w:tcW w:w="14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8520" w:type="dxa"/>
            <w:vAlign w:val="bottom"/>
            <w:gridSpan w:val="2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Unresolved Staff Comments</w:t>
              </w:r>
            </w:hyperlink>
          </w:p>
        </w:tc>
        <w:tc>
          <w:tcPr>
            <w:tcW w:w="1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Properties</w:t>
              </w:r>
            </w:hyperlink>
          </w:p>
        </w:tc>
        <w:tc>
          <w:tcPr>
            <w:tcW w:w="638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Legal Proceedings</w:t>
              </w:r>
            </w:hyperlink>
          </w:p>
        </w:tc>
        <w:tc>
          <w:tcPr>
            <w:tcW w:w="712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52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547"/>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PART II.</w:t>
              </w:r>
            </w:hyperlink>
          </w:p>
        </w:tc>
        <w:tc>
          <w:tcPr>
            <w:tcW w:w="680" w:type="dxa"/>
            <w:vAlign w:val="bottom"/>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790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24">
              <w:r>
                <w:rPr>
                  <w:rFonts w:ascii="Arial" w:cs="Arial" w:eastAsia="Arial" w:hAnsi="Arial"/>
                  <w:sz w:val="18"/>
                  <w:szCs w:val="18"/>
                  <w:b w:val="1"/>
                  <w:bCs w:val="1"/>
                  <w:color w:val="0000EE"/>
                  <w:w w:val="90"/>
                </w:rPr>
                <w:t>Market for Registrant’s Common Equity, Related Shareholder Matters and Issuer Purchases of Equity</w:t>
              </w:r>
            </w:hyperlink>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20" w:type="dxa"/>
            <w:vAlign w:val="bottom"/>
            <w:gridSpan w:val="22"/>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Securities</w:t>
              </w:r>
            </w:hyperlink>
          </w:p>
        </w:tc>
        <w:tc>
          <w:tcPr>
            <w:tcW w:w="1480" w:type="dxa"/>
            <w:vAlign w:val="bottom"/>
          </w:tcPr>
          <w:p>
            <w:pPr>
              <w:jc w:val="right"/>
              <w:spacing w:after="0" w:line="196" w:lineRule="exact"/>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520" w:type="dxa"/>
            <w:vAlign w:val="bottom"/>
            <w:gridSpan w:val="2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Financial Data</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852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462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2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8520" w:type="dxa"/>
            <w:vAlign w:val="bottom"/>
            <w:gridSpan w:val="22"/>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84">
              <w:r>
                <w:rPr>
                  <w:rFonts w:ascii="Arial" w:cs="Arial" w:eastAsia="Arial" w:hAnsi="Arial"/>
                  <w:sz w:val="18"/>
                  <w:szCs w:val="18"/>
                  <w:b w:val="1"/>
                  <w:bCs w:val="1"/>
                  <w:color w:val="0000EE"/>
                  <w:w w:val="88"/>
                </w:rPr>
                <w:t>Controls and Procedures</w:t>
              </w:r>
            </w:hyperlink>
          </w:p>
        </w:tc>
        <w:tc>
          <w:tcPr>
            <w:tcW w:w="4920" w:type="dxa"/>
            <w:vAlign w:val="bottom"/>
            <w:tcBorders>
              <w:top w:val="single" w:sz="8" w:color="0000EE"/>
            </w:tcBorders>
            <w:gridSpan w:val="9"/>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520" w:type="dxa"/>
            <w:vAlign w:val="bottom"/>
            <w:gridSpan w:val="22"/>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Other Information</w:t>
              </w:r>
            </w:hyperlink>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620" w:type="dxa"/>
            <w:vAlign w:val="bottom"/>
            <w:gridSpan w:val="2"/>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Directors, Executive Officers and Corporate Governance</w:t>
              </w:r>
            </w:hyperlink>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87">
              <w:r>
                <w:rPr>
                  <w:rFonts w:ascii="Arial" w:cs="Arial" w:eastAsia="Arial" w:hAnsi="Arial"/>
                  <w:sz w:val="18"/>
                  <w:szCs w:val="18"/>
                  <w:b w:val="1"/>
                  <w:bCs w:val="1"/>
                  <w:color w:val="0000EE"/>
                  <w:w w:val="87"/>
                </w:rPr>
                <w:t>Executive Compensation</w:t>
              </w:r>
            </w:hyperlink>
          </w:p>
        </w:tc>
        <w:tc>
          <w:tcPr>
            <w:tcW w:w="2460" w:type="dxa"/>
            <w:vAlign w:val="bottom"/>
            <w:tcBorders>
              <w:top w:val="single" w:sz="8" w:color="0000EE"/>
            </w:tcBorders>
            <w:gridSpan w:val="6"/>
          </w:tcPr>
          <w:p>
            <w:pPr>
              <w:spacing w:after="0"/>
              <w:rPr>
                <w:sz w:val="24"/>
                <w:szCs w:val="24"/>
                <w:color w:val="auto"/>
              </w:rPr>
            </w:pPr>
          </w:p>
        </w:tc>
        <w:tc>
          <w:tcPr>
            <w:tcW w:w="416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782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87">
              <w:r>
                <w:rPr>
                  <w:rFonts w:ascii="Arial" w:cs="Arial" w:eastAsia="Arial" w:hAnsi="Arial"/>
                  <w:sz w:val="18"/>
                  <w:szCs w:val="18"/>
                  <w:b w:val="1"/>
                  <w:bCs w:val="1"/>
                  <w:color w:val="0000EE"/>
                  <w:w w:val="90"/>
                </w:rPr>
                <w:t>Security Ownership of Certain Beneficial Owners and Management and Related Shareholder Matters</w:t>
              </w:r>
            </w:hyperlink>
          </w:p>
        </w:tc>
        <w:tc>
          <w:tcPr>
            <w:tcW w:w="7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8520" w:type="dxa"/>
            <w:vAlign w:val="bottom"/>
            <w:gridSpan w:val="22"/>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Certain Relationships, Related Transactions and Director Independence</w:t>
              </w:r>
            </w:hyperlink>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Principal Accountant Fees and Services</w:t>
              </w:r>
            </w:hyperlink>
          </w:p>
        </w:tc>
        <w:tc>
          <w:tcPr>
            <w:tcW w:w="30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372"/>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60" w:type="dxa"/>
            <w:vAlign w:val="bottom"/>
            <w:gridSpan w:val="3"/>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336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Form 10-K Summary</w:t>
              </w:r>
            </w:hyperlink>
          </w:p>
        </w:tc>
        <w:tc>
          <w:tcPr>
            <w:tcW w:w="5160" w:type="dxa"/>
            <w:vAlign w:val="bottom"/>
            <w:gridSpan w:val="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r>
      <w:tr>
        <w:trPr>
          <w:trHeight w:val="372"/>
        </w:trPr>
        <w:tc>
          <w:tcPr>
            <w:tcW w:w="82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93">
              <w:r>
                <w:rPr>
                  <w:rFonts w:ascii="Arial" w:cs="Arial" w:eastAsia="Arial" w:hAnsi="Arial"/>
                  <w:sz w:val="18"/>
                  <w:szCs w:val="18"/>
                  <w:b w:val="1"/>
                  <w:bCs w:val="1"/>
                  <w:color w:val="0000EE"/>
                  <w:w w:val="85"/>
                </w:rPr>
                <w:t>Signatures</w:t>
              </w:r>
            </w:hyperlink>
          </w:p>
        </w:tc>
        <w:tc>
          <w:tcPr>
            <w:tcW w:w="5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unless otherwise noted. In September 2017, we announced we will exit the credit default swaps business by mid-2018.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ectPr>
          <w:pgSz w:w="11900" w:h="16838" w:orient="portrait"/>
          <w:cols w:equalWidth="0" w:num="1">
            <w:col w:w="11400"/>
          </w:cols>
          <w:pgMar w:left="240" w:top="121"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of the ultimate impact of the Tax Cuts and Jobs Act (2017 Tax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CME Group serves the risk management and investment needs of customers around the globe.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Inc. and acquired NYMEX and COMEX. On NYMEX, customers primarily trade energy futures and options contracts, including contracts for crude oil, natural gas, heating oil and gasoline. On COMEX, customers trade metal futures and options contracts, including contracts for gold, silver and copper. In 2012, we acquired The Board of Trade of Kansas City, Missouri, Inc. (KCBT) and its hard red winter wheat product line and effective December 2013, KCBT operations were transferred to CBOT. In April 2013, we purchased the non-controlling interest in CME Group Index Services from Dow Jones &amp; Company (Dow Jones) resulting in an increase in our ownership to 27% of the S&amp;P/Dow Jones Indices LLC (S&amp;P/DJI) joint venture with S&amp;P Global, Inc. (formerly known as McGraw-Hill), originally established in 2012. In 2013, we began offering repository services and now offer global trade repository services in the United States, United Kingdom, Canada and Australia. In April 2017, we announced the wind down of CME Clearing Europe Limited and CME Europe Limited, which has been completed. In September 2017, we also announced we will exit the credit default swaps business by mid-2018.</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has historically been subject to the extensive regulation of the U.S. Commodity Futures Trading Commission (CFTC). As a result of our global operations, we are also subject to the rules and regulations of the local jurisdictions in which we conduct business, including the European Securities and Markets Authority (ESMA) and the Financial Conduct Authority (FCA). Additionally, our U.S. clearing house has been designated as systemically important, which carries with it enhanced regulatory oversight of certain of our risk-management standards, clearing and settlement activities, including additional oversight by the Federal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reports the results of its operations as one reporting segment primarily comprised of the CME, CBOT, NYMEX and COMEX exchanges. The remaining operations do not meet the thresholds for reporting separate segment information. Financial information about our reporting segment is hereby incorporated by reference to "Item 6. Selected Financial Data" on page 27 and "Item 8. Financial Statements and Supplementary Data" on page 50.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CME Group is where the world comes to manage risk. Through its exchanges, CME Group offers the widest range of global benchmark products across all major asset classes, including futures and options based on interest rates, equity indexes, foreign exchange, energy, agricultural products and metals. CME Group provides electronic trading globally on its CME Globex platform. The company also offers clearing and settlement services across asset classes for exchange-traded and over-the-counter derivatives through its clearing house, CME Clearing. CME Group's products and services are designed to provide businesses around the world with the means to effectively manage risk. We also provide hosting, connectivity and customer support for electronic trading through our co-location services. Our CME Direct platform offers side-by-side trading of exchange-listed and privately negotiated markets. We provide clearing and settlement services for exchange-traded contracts, as well as for cleared swaps, and provide regulatory reporting solutions for market participants through our global repository services in the United States, United Kingdom, Canada and Australia. Finally, we offer a wide range of market data services — including live quotes, delayed quotes, market reports and a comprehensive historical data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provide innovative ways to manage risk and offer a number of key differentiating elements that set us apart from others in our industry, including:</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Highly Liquid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listed futures and options markets provide an effective forum for our customers to manage their risk and meet their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relating to our markets. We believe our customers choose to trade on our centralized market due to its liquidity and price transparency. Market liquidity</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or the ability of a market to absorb the execution of large purchases or sales quickly and efficiently, whereby the market recovers quickly following the execution of large orders — is key to attracting customers and contributing to a market's success.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i w:val="1"/>
          <w:iCs w:val="1"/>
          <w:color w:val="auto"/>
        </w:rPr>
        <w:t xml:space="preserve">Most Diverse Product Line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and changes in the prices of agricultural, energy and metal commodities. The estimated percentage of clearing and transaction fees revenue contributed by each product line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33%</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24</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believe the breadth and diversity of our product lines and the variety of their underlying contracts are beneficial to our overall performance. Our asset classes contain products designed to address differing risk management needs, and customers are able to achieve operational and capital efficiencies by accessing our diverse products through our platforms and our clearing house.</w:t>
      </w:r>
    </w:p>
    <w:p>
      <w:pPr>
        <w:spacing w:after="0" w:line="15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2017, we reached record average daily volume of 16.3 million contracts, up 4% from 2016, despite a lower volatility environment. Year-end open interest was up 5% from the end of 2016, and we reached an all-time high record open interest during the year of 129.1 million contracts on June 14, 2017.</w:t>
      </w:r>
    </w:p>
    <w:p>
      <w:pPr>
        <w:spacing w:after="0" w:line="9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products are traded primarily through CME Globex and other electronic trading platforms, by open outcry auction market in Chicago,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3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3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4420" w:type="dxa"/>
            <w:vAlign w:val="bottom"/>
          </w:tcPr>
          <w:p>
            <w:pPr>
              <w:ind w:left="40"/>
              <w:spacing w:after="0" w:line="270" w:lineRule="exact"/>
              <w:rPr>
                <w:sz w:val="20"/>
                <w:szCs w:val="20"/>
                <w:color w:val="auto"/>
              </w:rPr>
            </w:pPr>
            <w:r>
              <w:rPr>
                <w:rFonts w:ascii="Arial" w:cs="Arial" w:eastAsia="Arial" w:hAnsi="Arial"/>
                <w:sz w:val="18"/>
                <w:szCs w:val="18"/>
                <w:color w:val="auto"/>
              </w:rPr>
              <w:t>Open outcry</w:t>
            </w:r>
            <w:r>
              <w:rPr>
                <w:rFonts w:ascii="Arial" w:cs="Arial" w:eastAsia="Arial" w:hAnsi="Arial"/>
                <w:sz w:val="25"/>
                <w:szCs w:val="25"/>
                <w:color w:val="auto"/>
                <w:vertAlign w:val="superscript"/>
              </w:rPr>
              <w:t>(1)</w:t>
            </w:r>
          </w:p>
        </w:tc>
        <w:tc>
          <w:tcPr>
            <w:tcW w:w="3220" w:type="dxa"/>
            <w:vAlign w:val="bottom"/>
          </w:tcPr>
          <w:p>
            <w:pPr>
              <w:spacing w:after="0"/>
              <w:rPr>
                <w:sz w:val="23"/>
                <w:szCs w:val="23"/>
                <w:color w:val="auto"/>
              </w:rPr>
            </w:pPr>
          </w:p>
        </w:tc>
        <w:tc>
          <w:tcPr>
            <w:tcW w:w="1640" w:type="dxa"/>
            <w:vAlign w:val="bottom"/>
          </w:tcPr>
          <w:p>
            <w:pPr>
              <w:jc w:val="right"/>
              <w:ind w:right="1254"/>
              <w:spacing w:after="0"/>
              <w:rPr>
                <w:sz w:val="20"/>
                <w:szCs w:val="20"/>
                <w:color w:val="auto"/>
              </w:rPr>
            </w:pPr>
            <w:r>
              <w:rPr>
                <w:rFonts w:ascii="Arial" w:cs="Arial" w:eastAsia="Arial" w:hAnsi="Arial"/>
                <w:sz w:val="18"/>
                <w:szCs w:val="18"/>
                <w:color w:val="auto"/>
              </w:rPr>
              <w:t>5</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Privately negotiated</w:t>
            </w:r>
            <w:r>
              <w:rPr>
                <w:rFonts w:ascii="Arial" w:cs="Arial" w:eastAsia="Arial" w:hAnsi="Arial"/>
                <w:sz w:val="25"/>
                <w:szCs w:val="25"/>
                <w:color w:val="auto"/>
                <w:vertAlign w:val="superscript"/>
              </w:rPr>
              <w:t>(2)</w:t>
            </w:r>
          </w:p>
        </w:tc>
        <w:tc>
          <w:tcPr>
            <w:tcW w:w="3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bl>
    <w:p>
      <w:pPr>
        <w:spacing w:after="0" w:line="206" w:lineRule="exact"/>
        <w:rPr>
          <w:sz w:val="20"/>
          <w:szCs w:val="20"/>
          <w:color w:val="auto"/>
        </w:rPr>
      </w:pPr>
    </w:p>
    <w:p>
      <w:pPr>
        <w:ind w:right="400" w:firstLine="8"/>
        <w:spacing w:after="0" w:line="275" w:lineRule="auto"/>
        <w:tabs>
          <w:tab w:leader="none" w:pos="23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July 2015, we closed most of the futures pits in Chicago and New York. On December 31, 2016, we closed the remaining open outcry pits in New York. Most open outcry options markets remain open in Chicago.</w:t>
      </w:r>
    </w:p>
    <w:p>
      <w:pPr>
        <w:spacing w:after="0" w:line="172" w:lineRule="exact"/>
        <w:rPr>
          <w:rFonts w:ascii="Arial" w:cs="Arial" w:eastAsia="Arial" w:hAnsi="Arial"/>
          <w:sz w:val="16"/>
          <w:szCs w:val="16"/>
          <w:color w:val="auto"/>
        </w:rPr>
      </w:pPr>
    </w:p>
    <w:p>
      <w:pPr>
        <w:ind w:right="40" w:firstLine="8"/>
        <w:spacing w:after="0" w:line="275" w:lineRule="auto"/>
        <w:tabs>
          <w:tab w:leader="none" w:pos="23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Privately negotiated average daily volume includes both traditional block trades, off-exchange trades, which were historically categorized as CME ClearPort (now executed as futures block trades), and Exchange for Related Positions (EFRP).</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our cleared-only CME interest rate swap and CME credit default swap contracts contributed approximately 2% of total revenue in each of the last three years. In September 2017, we announced we will exit the credit default swap business by mid-2018.</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Customers pay a subscription fee for real-time market data and have the choice of receiving their market data either directly from us or through a variety of third party quote vendors and data providers. We also offer customers detailed historical market data for use in their development and analysis of various trading strategies. The estimated contributions of our market data and information services products, excluding our index market data offerings, based on percentage of total revenue, were 11% in both 2017 and 2016 and 12% in 2015.</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Safety and Soundness of our Markets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understand the importance of ensuring our customers are able to manage and contain their trading risks.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the economy have evolved, we have worked to adapt our clearing services to meet the needs of our customers. We apply robust risk management standards and enforce and facilitate applicable regulatory customer protection standards for exchange-traded products and cleared swaps. Clearing firms are continually monitored and examined to assess their outstanding risk, capital adequacy and compliance with customer protection rules and regulations. We utilize a combination of risk management capabilities to assess our clearing firms and their account exposure levels for all asset classes 24 hours a day throughout the trading week. Our clearing house, CME Clearing, is a division of CME. In April 2017, we announced the wind down of our European clearing house, which was completed in late 2017.</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integrated clearing function is designed to ensure the safety and soundness of our markets by serving as the counterparty to every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and requires</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payment from clearing firms whose positions have lost value and makes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and swaps. See "Item 7A. Quantitative and Qualitative Disclosures About Market Risk," beginning on page 46 and "Item 1A. Risk Factors," beginning on page 14, for more information on our financial safeguards package and the associated credit risks related to our clearing services.</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Superior Trading Technology and Distribution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strive to provide the most flexible and scalable platforms to support the operational and capacity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privately negotiated markets, we offer brokers and customers the CME Direct platform for arranging, executing, recording and risk-managing trades. CME Direct includes CME One for mobile access, CME Messenger for instant-message capabilities and CME Straight-Through Processing. CME Straight-Through Processing enables direct connectivity for trade information directly with customer order management and risk management systems and is designed to reduce errors and improve efficiency. In 2017, 89% of our contract volume was conducted electronically.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convenience and efficiency;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also offer co-location services at a data center facility, which houses our trading match engines for all products traded on the CME Globex electronic trading platform. The service provides low latency connection for our customers. The offering is made available to all customers on equal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Leading Core Business Innovation and Expanded Product Offerings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focus on cross-selling our products, expanding the strength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benchmark products, launching new products and services and deepening open interest in our core futures and options on futures offerings. During this decade, our key product launches have included the Ultra U.S. Treasury Bond futures and options and most recently the Ultra 10 Year Treasury futures, numerous Eurodollar mid-curve options, end-of-month equity options, weekly options for various financial and commodity products, short-dated options across asset classes, new base metal products, expanded crude oil grades, S&amp;P Dividend futures, E-mini Russell 1000 and 2000 futures, CME Bloomberg Spot Dollar Spot Index futures and a cash-settled bitcoin futures contract. In June 2017, we announced our intention to launch products on the new secured overnight financing rate. During 2017, we experienced multiple volume records across our core product portfolio, including interest rates, energy, agricultural commodities and metals. We also had record volume in overall options, with electronic options representing 62% of total options volume in 2017. We continued to deepen liquidity and add diverse participation as evidenced by the growth in large open interest holders with records achieved across several product lines in 2017.</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Globalizing our Company and our Business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expand and diversify our customer base worldwide and offer customers around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broadly diversified portfolio of benchmark products. We have expanded our international product suite with the launch of a number of regionally specific products, including European wheat and aluminum futures, Mexican peso futures and Brazilian real futures, which help us appeal to risk management needs unique to a particular geography. We believe we have significant opportunity to expand the participation of our non-U.S. customer base in our markets. We are focused on core growth in global markets because we believe that Australia, Asia, Latin America, and other emerging markets will experience significant growth and development of their financial markets. In addition, we continue to expand our presence in major global financial centers, grow our business outside the United States and penetrate emerging markets, such as China, South Korea, Brazil and Mexico. In 2017, approximately 26% of our electronic volume was transactions customers reported to us as from outside the United States and 50% of our market data revenue was derived from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outside the United States. We also achieved 34% growth in liquidity during European trading hours and 18% growth during Asian trading hours.</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accelerate our long-term integration in the global economy, CME Group has built out its international infrastructure and strategic relationships. In recent years, we have expanded our ability to support physical delivery of locally relevant products in both Europe and Asia.</w:t>
      </w:r>
    </w:p>
    <w:p>
      <w:pPr>
        <w:spacing w:after="0" w:line="58"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Expanding our Customer Base and Enhancing Customer Participation in our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grow our business by targeting cross-asset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client segments, driving international sales and generating new client participation across all regions. We have a long history of providing customer value and responsiveness and believe our products and services make us well positioned to help our customers adapt and comply with new regulations, while enabling them to efficiently manage their risks. We have a broad distribution network comprised of a combination of internal and external channels and front-end capabilities. With changing regulatory capital requirements for many of our customers and the need for greater efficiencies, we have added tools to enable customers to build and manage trading and clearing positions in our markets in an efficient manner.</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customer-centric approach to sales and distribution has continued to deepen our liquidity and added diverse customer participation as evidenced by reaching record large open interest holders across several product lines during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the ongoing implementation of regulatory reform in the United States and in Europe, we expect capital efficiencies and centralized clearing to continue to be important for our global client base.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remain focused on expanding our sales and marketing capabilities and tools to broaden customer participation and to simplify and enrich the customer experience resulting in increased trading and a reduction in their regulatory burdens. Over the past decade, we have also expanded our education, sales, and customer support efforts, opening offices in Hong Kong, Seoul, Beijing, Bangalore and Sydney.</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 xml:space="preserve">Extending our Risk Management and Post-Trade Offerings and Solutions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comprehensive multi-asset class clearing solution to the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We also offer clearing services for interest rate, foreign exchange and commodity swaps. In 2017, we launched clearing services for OTC FX options. We also added OTC interest rate clearing services for the Korean Won and Indian Rupee denominated contracts.</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 Group continues to introduce tools and services to assist customers with portfolio margining. As of December 31, 2017, 42 unique marketplace participants utilized CME Group’s portfolio margining services. In the past few years, we have introduced compression via coupon blending as well as CME CORE, an interactive margin calculator that enables clients to optimize their capital by providing insights on margin requirements prior to trading. We also introduced multilateral compression for our cleared swap customers through a partnership with TriOptima, a NEX Group business, and we have added trade reporting services in the United States, Europe, Canada and Australia.</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Establishing Ourselves as the Leading Exchange Provider of Information Products and Index Services and Enhancing our Intellectual Property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variety of market data services for the futures, equities and the cleared swaps markets. Our market data platform includes historical,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and derived data offerings. Our joint venture with S&amp;P Global, Inc. combines the world class capabilities of S&amp;P Indices and Dow Jones Indices. As part of the joint venture, we acquired a long-term, ownership-linked, exclusive license to list futures and options on futures based on the S&amp;P 500 Index and certain other S&amp;P indices. In 2015, CME obtained exclusive licensing rights to list contracts on FTSE Russell indexes beginning in mid-2017. In July 2017, CME launched both futures and options based on the Russell 2000 Index. In 2017, we also secured the rights to the TOPIX futures contract and renewed our existing licensing agreement with Platts. We also continue to expand our existing intellectual property portfolio for our technology, products and services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offer equity index futures and options on key benchmarks, including S&amp;P, NASDAQ, Dow Jones and the FTSE Russell indexes. These products are listed by us subject to license agreements with the applicable owners of the indexes, some of which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are exclusive. In connection with our joint venture with S&amp;P Global, Inc., we entered into a new license agreement (S&amp;P License Agreement), which superseded our prior licensing arrangements and was assigned to the joint venture.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through 2019. In 2015, we entered into an exclusive license agreement with FTSE Russell and launched the E-mini Russell 2000 futures in 2017. Copies of our S&amp;P, Dow Jones and NASDAQ license arrangements have been filed as material contracts. We pay the applicable third party per trade fees based on contract volume under the terms of these licensing agreements.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have a long-term, non-exclusive licensing arrangement with ICE Benchmark Administration for the use of LIBOR to settle several of our interest rate products, including our Eurodollar contract.</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cannot assure you that we will be able to maintain the exclusivity of our licensing agreements with S&amp;P, Dow Jones, NASDAQ and FTSE Russell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NASDAQ or Russell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Financial Condition and Results of Operations — Liquidity and Capital Resources," beginning on page 42,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governments and central banks. Our customers can connect to our electronic trading platforms from access points across the globe. Customers may be members of one or more of our CME, CBOT, NYMEX or COMEX exchanges. Rights to directly access our markets will depend upon the nature of the customer, such as whether the individual is a member of one of our exchanges or has executed an agreement with us for direct access.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U.S. trading rights and privileges are exchange-specific. Open outcry trading is conducted exclusively by our members. Membership on one of our futures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2017, 83% of our contract volume was conducted by our members.</w:t>
      </w:r>
    </w:p>
    <w:p>
      <w:pPr>
        <w:spacing w:after="0" w:line="18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One firm represented 13% and another firm represented 12% of our clearing and transaction fees revenue for 2017. In the event a clearing firm were to withdraw, our experience indicates that the customer portion of the firm's trading activity would likely transfer to another clearing firm of the exchange.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Markets in Financial Instruments Directive II (MiFID II), Capital Requirements Directive IV (CRD IV), Market Abuse Regulation, Benchmarks Regulation, Basel III, and various other laws and regulations.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20"/>
        <w:spacing w:after="0" w:line="402" w:lineRule="auto"/>
        <w:rPr>
          <w:sz w:val="20"/>
          <w:szCs w:val="20"/>
          <w:color w:val="auto"/>
        </w:rPr>
      </w:pPr>
      <w:r>
        <w:rPr>
          <w:rFonts w:ascii="Arial" w:cs="Arial" w:eastAsia="Arial" w:hAnsi="Arial"/>
          <w:sz w:val="18"/>
          <w:szCs w:val="18"/>
          <w:color w:val="auto"/>
        </w:rPr>
        <w:t xml:space="preserve">Please also refer to the discussion below and in the “Risk Factors” section beginning on page 14 for a description of competitive risks and uncertainties. </w:t>
      </w:r>
      <w:r>
        <w:rPr>
          <w:rFonts w:ascii="Arial" w:cs="Arial" w:eastAsia="Arial" w:hAnsi="Arial"/>
          <w:sz w:val="18"/>
          <w:szCs w:val="18"/>
          <w:b w:val="1"/>
          <w:bCs w:val="1"/>
          <w:i w:val="1"/>
          <w:iCs w:val="1"/>
          <w:color w:val="auto"/>
        </w:rPr>
        <w:t>Competition in our Derivatives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and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diversity of product offerings and rate and quality of new product development and innovative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and seamless customer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transparency, reliability, anonymity and security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transaction costs.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others in the industry. We believe that in order to maintain our competitive position, we must continue to expand globally; develop new and innovative products; enhance our technology infrastructure, including its reliability and functionality; maintain liquidity and low transaction costs, and implement customer protections designed to ensure the integrity of our market and the confidence of our customers.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compete in a large financial services trading, clearing and settlement marketplace globally. Our competitors include, among other entities, exchanges such as Intercontinental Exchange, Inc. (ICE), the Hong Kong Exchanges and Clearing Limited, and Deutsche Börse AG. Competition in our industry continues to be dynamic and recent developments and alliances may result in a growing number of well-capitalized trading service providers that compete with all or a portion of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we face a number of competitors in our transaction processing and other business services. In the past few years, there has been increased competition in the provision of clearing services and we expect competition to continue to increase in connection with compliance with Dodd-Frank, Basel III, MiFID II and other various laws and regulations.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competitors in the clearing services space include, among others, companies such as ICE, LCH.Clearnet Ltd., the Options Clearing Corporation, Depository Trust &amp; Clearing Corporation and Deutsche Börse AG. In light of the implementation of regulatory requirements and other reforms of the financial services industry, we believe that other exchanges and infrastructure providers also may undertake to provide clearing and other related post-trade services.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believe competition in transaction processing and business services is based on, among other things, the value of providing customers with capital and margin efficiencies; quality and reliability of the services; creditworthiness of the clearing house; timely delivery of the services; reputation; diversity of the service offerings; confidentiality of positions and information security protective measures, and the fees charged for the services provided.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ectPr>
          <w:pgSz w:w="11900" w:h="16838" w:orient="portrait"/>
          <w:cols w:equalWidth="0" w:num="1">
            <w:col w:w="11380"/>
          </w:cols>
          <w:pgMar w:left="240" w:top="121" w:right="27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121" w:right="279" w:bottom="1054"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United States, the United Kingdom and the European Union. We also are subject to varying levels of regulation by foreign jurisdictions that permit our exchanges and other businesses to offer our products and services to their citizens.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14 for a description of regulatory and legislative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States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operation of U.S. futures exchanges and our clearing house is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 The CFTC is subject to reauthorization every five years. Following the enactment of Dodd-Frank, the CFTC has moved from a principles-based to a more prescriptive regulatory approach over most aspects of our trading and clearing operations.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Regulations implementing Dodd-Frank include rules relating to the implementation of mandatory clearing of certain over-the-counter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these regulations provide opportunities for our business, which we continue to explore.</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clearing house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Federal Reserve Bank and the CFTC.</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U.S. swap data repository service and swap execution facility are also subject to the requirements of the Commodity Exchange Act and the regulations of the CFTC.</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2017, President Trump signed an executive order calling for the current U.S. presidential administration to review U.S. financial laws and regulations to determine their consistency with a set of core principles identified in the order. Some areas identified as subject to potential change, amendment or repeal include the Dodd-Frank Act and the authorities of the Federal Reserve and the Financial Stability Oversight Council. We cannot predict, which, if any, of these or other actions will be taken or, if taken, their effect on our business.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U.S. income tax reform efforts could have a material impact on our business. On December 22, 2017, the 2017 Tax Act, was signed into law. The 2017 Tax Act enacts broad changes to the existing U.S. federal income tax code, including reducing the federal corporate income tax rate from 35% to 21%, amongst many other complex provisions. The ultimate impact of such tax reforms may differ from our current estimates due to changes in interpretations and assumptions made by us as well as the issuance of any further regulations or guidance that may alter the operation of the U.S. federal income tax code. Various uncertainties also exist in terms of how U.S. states and any foreign countries within which we operate will react to these U.S. federal income tax reforms, which could have additional impacts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Kingdom and the European Union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United Kingdom, parts of our operations are subject to the oversight of ESMA and the FCA. Our clearing house is subject to certain conditions and reporting obligations as a result of its recognition by ESMA. Multiple directives and regulations, such as MiFID II and the Markets in Financial Instruments Regulation (MiFIR), the CRD IV, and the Market Abuse Regulation, have been implemented either in full or on a phased basis with provisions similar to those contained in Dodd-Frank. Further regulation, such as EMIR and the Benchmarks Regulation, or changes to such legislation, may impact our business and operations.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June 2016, the United Kingdom held a referendum in which U.K. voters voted in favor of withdrawal from the European Union (Brexit). The ultimate impact of Brexit on the relevant law and scope of regulation applicable to our U.K. operations, including the recognition of our clearing house, is unclear and is contingent upon the terms of withdrawal and the ongoing relationship between the United Kingdom and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225"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comparable trading venues in foreign jurisdictions are not subject to equivalent limitations.</w:t>
      </w:r>
    </w:p>
    <w:p>
      <w:pPr>
        <w:spacing w:after="0" w:line="170" w:lineRule="exact"/>
        <w:rPr>
          <w:rFonts w:ascii="Arial" w:cs="Arial" w:eastAsia="Arial" w:hAnsi="Arial"/>
          <w:sz w:val="18"/>
          <w:szCs w:val="18"/>
          <w:color w:val="auto"/>
        </w:rPr>
      </w:pPr>
    </w:p>
    <w:p>
      <w:pPr>
        <w:ind w:left="660" w:right="1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Rules respecting capital charges under Basel III with respect to clearing members of central counterparties. There is a risk that these new standards may impose overly burdensome capital requirements on our clearing members and customers. Additional risks could arise through inconsistent adoption of the Basel III capital charges globally, potentially leading to disparate impacts on our customers.</w:t>
      </w:r>
    </w:p>
    <w:p>
      <w:pPr>
        <w:spacing w:after="0" w:line="165"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the E.U. equivalence and recognition regime on non-European Union clearing houses and exchanges with customers based in Europe, which could require us to allocate increased amounts of contributed capital to the default waterfall and make changes to our governance structure. A failure of our clearing house to retain its recognition may result in our clearing members and certain customers in Europe being subject to higher capital costs thus creating a disincentive to use our markets.</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futures and options contracts, which would impose a significant increase in tax rates applicable to certain market participants and could result in a decrease in their trading activity.</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implementation of a transaction tax or user fee in the United States or European Union, which could discourage institutions and individuals from using our markets or products or encourage them to trade in another less costly jurisdiction. From time to time, the proposed Presidential budget has, including the currently proposed budget, included a proposal to impose a user fee to fund the CFTC.</w:t>
      </w:r>
    </w:p>
    <w:p>
      <w:pPr>
        <w:spacing w:after="0" w:line="165" w:lineRule="exact"/>
        <w:rPr>
          <w:rFonts w:ascii="Arial" w:cs="Arial" w:eastAsia="Arial" w:hAnsi="Arial"/>
          <w:sz w:val="17"/>
          <w:szCs w:val="17"/>
          <w:color w:val="auto"/>
        </w:rPr>
      </w:pPr>
    </w:p>
    <w:p>
      <w:pPr>
        <w:ind w:left="660" w:right="22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Regulations implementing the core principles for designated contract markets, including any changes to the rules implementing the competitive execution requirements of Core Principle 9</w:t>
      </w:r>
      <w:r>
        <w:rPr>
          <w:rFonts w:ascii="Arial" w:cs="Arial" w:eastAsia="Arial" w:hAnsi="Arial"/>
          <w:sz w:val="16"/>
          <w:szCs w:val="16"/>
          <w:i w:val="1"/>
          <w:iCs w:val="1"/>
          <w:color w:val="auto"/>
        </w:rPr>
        <w:t>.</w:t>
      </w:r>
      <w:r>
        <w:rPr>
          <w:rFonts w:ascii="Arial" w:cs="Arial" w:eastAsia="Arial" w:hAnsi="Arial"/>
          <w:sz w:val="16"/>
          <w:szCs w:val="16"/>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that legislators will prohibit or restrict exclusive licenses for benchmark indexes, which might impact the profitability of several of our most popular contracts.</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approximately 2,830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10, 2018.</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59. </w:t>
      </w:r>
      <w:r>
        <w:rPr>
          <w:rFonts w:ascii="Arial" w:cs="Arial" w:eastAsia="Arial" w:hAnsi="Arial"/>
          <w:sz w:val="17"/>
          <w:szCs w:val="17"/>
          <w:color w:val="auto"/>
        </w:rPr>
        <w:t>Mr. Duffy has served as our Chairman and Chief Executive Officer since November 2016. Mr. Duffy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 xml:space="preserve">Kathleen M. Cronin, 54. </w:t>
      </w:r>
      <w:r>
        <w:rPr>
          <w:rFonts w:ascii="Arial" w:cs="Arial" w:eastAsia="Arial" w:hAnsi="Arial"/>
          <w:sz w:val="18"/>
          <w:szCs w:val="18"/>
          <w:color w:val="auto"/>
        </w:rPr>
        <w:t>Ms. Cronin has served as our Senior Managing Director, General Counsel and Corporate Secretary since 2003.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Cronin was a corporate attorney at Skadden, Arps, Slate, Meagher &amp; Flom LLP from 1989 through 1995 and from 1997 through 2002. Ms. Cronin also serves as a director of Kemper Corporation.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46. </w:t>
      </w:r>
      <w:r>
        <w:rPr>
          <w:rFonts w:ascii="Arial" w:cs="Arial" w:eastAsia="Arial" w:hAnsi="Arial"/>
          <w:sz w:val="18"/>
          <w:szCs w:val="18"/>
          <w:color w:val="auto"/>
        </w:rPr>
        <w:t>Mr. Cutinho has served as President of CME Clearing since September 2014. He joined CME Group in 2002 and since then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of increasing responsibility within the organization and, most recently served as Managing Director, Deputy Head of CME Clearing from April 2014 through September 2014.</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Bryan T. Durkin, 57. </w:t>
      </w:r>
      <w:r>
        <w:rPr>
          <w:rFonts w:ascii="Arial" w:cs="Arial" w:eastAsia="Arial" w:hAnsi="Arial"/>
          <w:sz w:val="18"/>
          <w:szCs w:val="18"/>
          <w:color w:val="auto"/>
        </w:rPr>
        <w:t>Mr. Durkin has served as President since November 2016. Mr. Durkin previously served as Senior Managing Director,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Officer since 2014 and as our 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w:t>
      </w:r>
    </w:p>
    <w:p>
      <w:pPr>
        <w:spacing w:after="0" w:line="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Julie Holzrichter, 49. </w:t>
      </w:r>
      <w:r>
        <w:rPr>
          <w:rFonts w:ascii="Arial" w:cs="Arial" w:eastAsia="Arial" w:hAnsi="Arial"/>
          <w:sz w:val="16"/>
          <w:szCs w:val="16"/>
          <w:color w:val="auto"/>
        </w:rPr>
        <w:t>Ms. Holzrichter has served as our Senior Managing Director, Chief Operating Officer since September 2014. She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Kevin Kometer, 53.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50.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John W. Pietrowicz, 53. </w:t>
      </w:r>
      <w:r>
        <w:rPr>
          <w:rFonts w:ascii="Arial" w:cs="Arial" w:eastAsia="Arial" w:hAnsi="Arial"/>
          <w:sz w:val="17"/>
          <w:szCs w:val="17"/>
          <w:color w:val="auto"/>
        </w:rPr>
        <w:t>Mr. Pietrowicz has served as our Chief Financial Officer since December 2014. Previously, Mr. Pietrowicz served as our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S&amp;P/Dow Jones Indices LLC.</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Derek Sammann, 49. </w:t>
      </w:r>
      <w:r>
        <w:rPr>
          <w:rFonts w:ascii="Arial" w:cs="Arial" w:eastAsia="Arial" w:hAnsi="Arial"/>
          <w:sz w:val="18"/>
          <w:szCs w:val="18"/>
          <w:color w:val="auto"/>
        </w:rPr>
        <w:t>Mr. Sammann has served as our Senior Managing Director, Commodities and Options Products since September 2014.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Jack Tobin, 54. </w:t>
      </w:r>
      <w:r>
        <w:rPr>
          <w:rFonts w:ascii="Arial" w:cs="Arial" w:eastAsia="Arial" w:hAnsi="Arial"/>
          <w:sz w:val="18"/>
          <w:szCs w:val="18"/>
          <w:color w:val="auto"/>
        </w:rPr>
        <w:t>Mr. Tobin has served as our Chief Accounting Officer since February 2015. Mr. Tobin most recently served as our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Finance since 2007. Prior to our merger with CBOT Holdings, Mr. Tobin served as the Director, Corporate Finance for CBOT Holdings, Inc. and CBOT from 2002 to 2007. Prior to joining CBOT, Mr. Tobin served as a principal consultant with PricewaterhouseCoopers from 1997 to 2002. Mr. Tobin is a registered certified public accountant.</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Sean Tully, 54. </w:t>
      </w:r>
      <w:r>
        <w:rPr>
          <w:rFonts w:ascii="Arial" w:cs="Arial" w:eastAsia="Arial" w:hAnsi="Arial"/>
          <w:sz w:val="17"/>
          <w:szCs w:val="17"/>
          <w:color w:val="auto"/>
        </w:rPr>
        <w:t>Mr. Tully has served as Senior Managing Director, Financial and OTC Products of CME Group since September 2014.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Julie Winkler, 43. </w:t>
      </w:r>
      <w:r>
        <w:rPr>
          <w:rFonts w:ascii="Arial" w:cs="Arial" w:eastAsia="Arial" w:hAnsi="Arial"/>
          <w:sz w:val="18"/>
          <w:szCs w:val="18"/>
          <w:color w:val="auto"/>
        </w:rPr>
        <w:t>Ms. Winkler has served as our Senior Managing Director, Chief Commercial Officer since December 2016.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We track trading volume based on the country of origin of the transaction as disclosed to us by the customer. During 2017, we estimate that approximately 26% of our electronic trading volume was reported to us as originating from outside the United States. This was an increase from 2016 and 2015, when we estimated approximately 24% of our electronic trading volume was reported to us as originating from outside the 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U.S. Securities and Exchange Commission (SEC).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that are beyond our control and that could significantly reduce our contract volumes and make our financial results more volatile.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price levels, contract volumes and volatility in the derivatives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shifts in global or regional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or expansion in our customer base and within our industry.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disturbance of 2008 may or may not recur in the future, and our business will be affected by future economic uncertainties, which may result in decreased trading volume and a more difficult business environment for us. Material decreases in trading volume would have a material adverse effect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primarily subject to the jurisdiction of the regulatory agencies in the United States. As a result of our global operations, we are also subject to the rules and regulations of the local jurisdictions in which we conduct business, including ESMA and the FCA. We also have obtained certain licenses from foreign jurisdictions that permit our exchanges and clearing house to offer our products and services to their citizens.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Due to the global financial crisis that began in 2008, the United States and numerous other governments have undertaken reviews of the legal framework governing financial markets and have either passed new laws and regulations, or are in the process of debating or enacting new laws and regulations that will impact our business. Moreover, in February 2017, President</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Trump signed an executive order calling for the current U.S. presidential administration to review U.S. financial laws and regulations to determine their consistency with a set of core principles identified in the order. Some areas identified as subject to potential change, amendment or repeal include the Dodd-Frank Act and the authorities of the Federal Reserve and Financial Stability Oversight Council. In December 2017, the 2017 Tax Act was signed into law and the ultimate impact to our business remains uncertain. While certain of these changes may have a positive impact on our business, some of these changes could adversely affect our business, including areas of regulatory focus discussed under "Item 1 – Business – Regulatory Matters" beginning on page 11. Compliance with regulations may require us and our customers to dedicate significant financial and operational resources that could result in some participants leaving our markets or decreasing their trading activity, which would negatively affect our profitability. We have incurred and expect to continue to incur significant additional costs to comply with the extensive regulations that apply to our business. To the extent the regulatory environment is less beneficial for us or our customers, our business, financial condition and operating results could be negatively affected.</w:t>
      </w:r>
    </w:p>
    <w:p>
      <w:pPr>
        <w:spacing w:after="0" w:line="16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financial condition and operating results will be materially harmed.</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reforms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over-the-counter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see "Item 1 – Business – Competition" beginning on page 9 for additional information on the competitive environment and its potential impact on our business.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success of our business depends, in part, on our ability to maintain and increase our contract volume. To do so, we must maintain and expand our product offerings, our customer base and our trade execution and clearing facilities. Our success also</w:t>
      </w:r>
    </w:p>
    <w:p>
      <w:pPr>
        <w:sectPr>
          <w:pgSz w:w="11900" w:h="16838" w:orient="portrait"/>
          <w:cols w:equalWidth="0" w:num="1">
            <w:col w:w="11380"/>
          </w:cols>
          <w:pgMar w:left="240" w:top="122"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22" w:right="27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depends on our ability to offer competitive prices and services in an increasingly price-sensitive business. For example, some of our competitors have engaged in aggressive pricing strategies in the past, such as lowering the fees that they charge for taking liquidity and increasing liquidity payments or rebates. We cannot provide assurances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The majority of clearing and transaction fees received from clearing firms represent charges for trades executed and cleared on behalf of their customers. One firm represented 13% and another firm represented 12% of our clearing and transaction fees revenue for 2017. Should a clearing firm withdraw, our experience indicates that the customer portion of the firm's trading activity would likely transfer to another clearing firm of the exchange. However, there is the possibility we would lose a portion of the customer business.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Furthermore, declines in contract volume due to loss of customers may negatively impact market liquidity, which could lead to further loss of contract volume.</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places us at greater risk than other public companies for a cyber attack and other cyber security risks. Our technology, our people and those of our third-party service providers may be vulnerable to cyber security threats, which could result in wrongful use of our information or cause interruptions in our operations that cause us to lose customers and contract volume, and result in substantial liabilities. We also could be required to incur significant expense to protect our systems and/or investigate any alleged attack.</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regard the secure transmission of confidential information and the ability to continuously transact and clear on our electronic trading platforms as critical elements of our operations. Our technology, our people and those of our third-party service providers and our customers may be vulnerable to targeted attacks, unauthorized access, fraud, computer viruses, denial of service attacks, terrorism, "ransom" attacks, firewall or encryption failures and other security problems. Criminal groups, political activist groups and nation-state actors have targeted the financial services industry and our role in the global marketplace places us at greater risk than other public companies for a cyber attack and other information security threats. While the company has not experienced cyber incidents that are individually, or in the aggregate, material, the company has experienced cyber attacks of varying degrees in the past. The company has designed its cyber defense program to mitigate such attacks by preventative, detective, and responsive measures. Our usage of mobile and cloud technologies may increase our risk for a cyber attack. Our security measures may also be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burdensome obligations by regulators. In addition, as the regulatory environment related to information security, data collection and use, and privacy becomes increasingly rigorous, with new and constantly changing requirements applicable to our business, compliance with those requirements could also result in additional costs and may carry significant penalties for non-compliance.</w:t>
      </w:r>
    </w:p>
    <w:p>
      <w:pPr>
        <w:spacing w:after="0" w:line="1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Additionally, our role as a leading derivatives marketplace and the operation of our technology platforms may place us at greater risk for misappropriation of our intellectual property, and persons who circumvent security measures could wrongfully use or steal our information or cause interruptions or malfunctions in our operations. In the past, we have been the victim of trade secret theft by an employee.</w:t>
      </w:r>
    </w:p>
    <w:p>
      <w:pPr>
        <w:spacing w:after="0" w:line="12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part of our global information security program, we employ resources to monitor and protect our technology infrastructure and employees against such cyber attacks, including the rapid response to zero-day vulnerabilities, and the potential misappropriation of our intellectual property assets. However, our security measures or those of our third-party providers, including any cloud-based technologies, may prove insufficient depending upon the attack or threat posed. Any security attack or breach could result in system failures and delays, loss of customers and lower contract volume, loss of competitive position, damage to our reputation, disruption of our business, legal liability or regulatory fines, significant costs, which in turn, may cause our revenues and earnings to decline. Though we have insurance against some cyber risks and attacks, we may be subject to litigation and financial losses that exceed our policy limits or are not covered under any of our current insurance policies.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commodity and securities law liability.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aspects of our business involve substantial litigation risks. While we generally are protected by our rules limiting liability for system failures and certain forms of negligence and by statutory limits on the ability to bring private causes of actions in cases where we have not acted in bad faith, we could be exposed to substantial liability under federal and state laws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and court decisions, as well as rules and regulations promulgated and/or direct actions brought by the SEC and the CFTC.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impairing our profitability.</w:t>
      </w:r>
    </w:p>
    <w:p>
      <w:pPr>
        <w:spacing w:after="0" w:line="166" w:lineRule="exact"/>
        <w:rPr>
          <w:sz w:val="20"/>
          <w:szCs w:val="20"/>
          <w:color w:val="auto"/>
        </w:rPr>
      </w:pPr>
    </w:p>
    <w:p>
      <w:pPr>
        <w:jc w:val="both"/>
        <w:ind w:right="440"/>
        <w:spacing w:after="0" w:line="327"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clearing house seeks to offer customers, intermediaries and clearing firms universal access in order to maximize the efficient use of capital, exercise appropriate oversight of value at risk and maintain operating leverage from clearing activities.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on futures from an exchange-owned clearing house to a clearing house owned and controlled by clearing firms. If these legislative or regulatory changes are adopted, our revenues and profits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damage our business.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Maintaining our reputation and brand is critical to attracting and retaining customers and investors and for maintaining our relationships with our regulators. Negative publicity regarding our company or actual, alleged or perceived issues regarding our products or services could give rise to reputational risk which could significantly harm our business prospects. These issues may include, but are not limited to, any of the risks discussed in this Item 1A, including risks from trading disputes, system failures or intrusions, failures to meet our regulatory obligations, failures of a clearing firm, issues relating to our third party suppliers, misconduct and ineffective risk management.</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in a wide range of derivatives products, that have the required functionality, performance, capacity, reliability and speed to attract and retain customers. In 2017, 89% of our overall volume was generated through electronic trading on our CME Globex electronic platform.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must continue to enhance our electronic trading platform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competitiveness of our fee structure;</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 and other technology offerings.</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If we do not successfully enhance our electronic trading systems and technology offerings, if we are unable to develop them to include other products and markets or if they do not have the required functionality, performance, capacity, reliability and speed desired by our customers, our ability to successfully compete and our revenues and profits will be adversely affected.</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highly dependent on our ability to process and monitor, on a daily basis, a large number of transactions which occur at high volume and frequencies across multiple systems. We are heavily reliant on the capacity, reliability and security of the computer and communications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response times and delays in our customers' trade execution and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cannot assure you that we will not experience systems failures from power or telecommunications failure, acts of God, war or terrorism, human error on our part or on the part of our vendors,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or have a material adverse effect on our business, financial condition and operating results.</w:t>
      </w:r>
    </w:p>
    <w:p>
      <w:pPr>
        <w:sectPr>
          <w:pgSz w:w="11900" w:h="16838" w:orient="portrait"/>
          <w:cols w:equalWidth="0" w:num="1">
            <w:col w:w="11420"/>
          </w:cols>
          <w:pgMar w:left="240" w:top="122"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 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cloud hosting providers, data center providers,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our clearing firms and, consequently, a diminishment in their financial resources could adversely affect us.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We could be adversely impacted by the financial distress or failure of one or more of our clearing firms.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$98 million) to provide payments, up to certain maximum levels, to qualified family farmers, ranchers and other agricultural industry participants who use our products and who suffer losses to their segregated account balances if their clearing firm member becomes insolvent.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select ETFs, foreign sovereign debt, Canadian Provincials and corporate bonds, and subject them to established haircuts based on the type of collateral and maturity. There is no guarantee the collateral will maintain its value. To</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products.</w:t>
      </w:r>
    </w:p>
    <w:p>
      <w:pPr>
        <w:spacing w:after="0" w:line="18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third-party price reporting agencies form the basis for many of our products from which we derive a significant portion of our volume and revenue. Regulatory scrutiny into such benchmarks could have a negative impact on our ability to offer such products.</w:t>
      </w:r>
    </w:p>
    <w:p>
      <w:pPr>
        <w:spacing w:after="0" w:line="10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significantly dependent on the contract volume of products which are based on intellectual property rights of indexes derived from third-party price reporting agencies. To comply with CFTC core principles, we must be able to demonstrate that our products may not be readily subject to manipulation. Our inability to offer products based on these indexes could have a negative impact on our contract volume and revenues.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or a significant change in how market participants trade and use market data.</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11% of our total revenues during both years ended December 31, 2017 and 2016. A decrease in overall contract volume may lead to a decreased demand for our market data. For example, in both 2017 and 2016, we experienced a decrease in the average number of market data devices due to continued economic uncertainty, high unemployment levels in the financial services sector and aggressive cost cutting initiatives at customer firms and the continued impact of legacy incentive programs tied to trading terminals.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continue to focus on strategic initiatives to grow our business, including our efforts to serve the over-the-counter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1" w:right="29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global operations involves special challenges that we may not be able to meet, which could adversely affect our financial results.</w:t>
      </w:r>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plan to continue to expand our global operations. We face certain risks inherent in doing business in international markets, particularly in the regulated derivatives exchange business. These risks include:</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ultimate impact of Brexit on the relevant law and scope of regulation applicable to our U.K. operations and to our European expansion is unclear and is contingent upon the terms of withdrawal and the ongoing relationship between the United Kingdom and the European Union. Brexit may result in legal uncertainty and potentially divergent national laws and regulations as the withdrawal process progresses. This could increase legal, compliance and operational costs.</w:t>
      </w:r>
    </w:p>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2013, the CFTC filed suit against NYMEX and two former employees alleging disclosure of confidential customer information in violation of the Commodity Exchange Act. Based on our review of the allegations, we believe that we have strong factual and legal defenses to the claim.</w:t>
      </w:r>
    </w:p>
    <w:p>
      <w:pPr>
        <w:spacing w:after="0" w:line="18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the past. Misconduct by our employees and agents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own the rights to a large number of trademarks, service marks, domain names and trade names in the United States, Europe and other parts of the world. We have registered many of our most important trademarks in the United States and other</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one of our former employees pled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services.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2017, we had approximately $2.2 billion of total indebtedness and we had excess borrowing capacity for general corporate purposes under our existing facilities of approximately $2.3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and clearing house also are required to maintain capital as defined by the CFTC.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of, and investments in, businesses outside of the United States subject us to currency risk.</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global company with operations outside of the United States, portions of our revenues and expenses are denominated in the local currency of the particular subsidiary. Because our consolidated financial statements are presented in U.S. dollars, we must translate non-U.S. dollar denominated revenues, income and expenses, as well as assets and liabilities, into U.S. dollars at exchange rates in effect during or at the end of each reporting period. Therefore, increases or decreases in the value of the U.S. dollar against the other currencies may affect our operating income and the value of balance sheet items denominated in foreign currencies.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may not be able to rely on our average rate per contract in any particular period as an indication of our future average rate per contract.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cost structure is largely fixed. If demand for our products and services and our resulting revenues decline, we may not be able to adjust our cost structure on a timely basis. In that event, our profitability would be adversely affected.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Twelve of our board members own trading rights or are officers or directors of firms that own trading rights on our exchanges. As members, these individuals may have interests that differ from or conflict with those of shareholders who are not also members. Our dependence on the trading and clearing activities of our members, combined with the CME members' rights to elect six directors, may enable them to exert substantial influence over the operation of our business.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Twelve of our directors own or are officers or directors of firms that own trading rights on our exchanges. We are dependent on the revenues from the trading and clearing activities of our members. In 2017, 83% of our contract volume was derived from our members. This dependence may give them substantial influence over how we operate our business.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for options products still meeting certain volume thresholds and, in the case of our Class B shareholders, provide them with special board representation.</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global headquarters are located in Chicago, Illinois, at 20 South Wacker Drive. The following is a description of our key locations and facilities.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r>
      <w:tr>
        <w:trPr>
          <w:trHeight w:val="222"/>
        </w:trPr>
        <w:tc>
          <w:tcPr>
            <w:tcW w:w="3240" w:type="dxa"/>
            <w:vAlign w:val="bottom"/>
            <w:tcBorders>
              <w:left w:val="single" w:sz="8" w:color="auto"/>
              <w:right w:val="single" w:sz="8" w:color="auto"/>
            </w:tcBorders>
            <w:shd w:val="clear" w:color="auto" w:fill="CCEEFF"/>
          </w:tcPr>
          <w:p>
            <w:pPr>
              <w:spacing w:after="0"/>
              <w:rPr>
                <w:sz w:val="19"/>
                <w:szCs w:val="19"/>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2032</w:t>
            </w:r>
            <w:r>
              <w:rPr>
                <w:rFonts w:ascii="Arial" w:cs="Arial" w:eastAsia="Arial" w:hAnsi="Arial"/>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512,000</w:t>
            </w:r>
          </w:p>
        </w:tc>
      </w:tr>
      <w:tr>
        <w:trPr>
          <w:trHeight w:val="222"/>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floor and 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Trading floor and office 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Trading floor and office 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2028</w:t>
            </w:r>
            <w:r>
              <w:rPr>
                <w:rFonts w:ascii="Arial" w:cs="Arial" w:eastAsia="Arial" w:hAnsi="Arial"/>
                <w:sz w:val="25"/>
                <w:szCs w:val="25"/>
                <w:color w:val="auto"/>
                <w:vertAlign w:val="superscript"/>
              </w:rPr>
              <w:t>(4)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240,000</w:t>
            </w:r>
          </w:p>
        </w:tc>
      </w:tr>
      <w:tr>
        <w:trPr>
          <w:trHeight w:val="237"/>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New Change London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2026</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Data Center 3</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Business continuity and co-location</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2031</w:t>
            </w:r>
            <w:r>
              <w:rPr>
                <w:rFonts w:ascii="Arial" w:cs="Arial" w:eastAsia="Arial" w:hAnsi="Arial"/>
                <w:sz w:val="25"/>
                <w:szCs w:val="25"/>
                <w:color w:val="auto"/>
                <w:vertAlign w:val="superscript"/>
              </w:rPr>
              <w:t>(5)</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83,000</w:t>
            </w:r>
          </w:p>
        </w:tc>
      </w:tr>
      <w:tr>
        <w:trPr>
          <w:trHeight w:val="264"/>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Bagmane Tech Park Bangalore, India</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64"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(6)</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72,000</w:t>
            </w:r>
          </w:p>
        </w:tc>
      </w:tr>
    </w:tbl>
    <w:p>
      <w:pPr>
        <w:spacing w:after="0" w:line="20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Size represents the amount of space leased or owned by us unless otherwise noted.</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2032 with two consecutive options to extend the term for five years each.</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2027 and contains options to extend the term and expand the premises.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initial lease expires in 2028 and contains options to extend the term and expand the premises. In 2019, the premises will be reduced to 225,000 square feet.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March 2016, the company sold its datacenter in the Chicago area for $130.0 million. At the time of the sale, the company leased back a portion of the property.</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2020 and contains an option to extend the term as well as an option to terminate early.</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"Legal and Regulatory Matters" in note 12. Contingencies to the Consolidated Financial Statements beginning on page 75 for CME Group’s legal proceedings disclosure which is incorporated herein by reference.</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7, 2018, there were approximately 2,715 holders of record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Low</w:t>
            </w:r>
          </w:p>
        </w:tc>
        <w:tc>
          <w:tcPr>
            <w:tcW w:w="2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127.00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114.40</w:t>
            </w: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81.99</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127.44</w:t>
            </w:r>
          </w:p>
        </w:tc>
        <w:tc>
          <w:tcPr>
            <w:tcW w:w="4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115.12</w:t>
            </w:r>
          </w:p>
        </w:tc>
        <w:tc>
          <w:tcPr>
            <w:tcW w:w="208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98.61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89.09</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135.86</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120.17</w:t>
            </w: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109.76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96.33</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153.41</w:t>
            </w:r>
          </w:p>
        </w:tc>
        <w:tc>
          <w:tcPr>
            <w:tcW w:w="4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133.85</w:t>
            </w:r>
          </w:p>
        </w:tc>
        <w:tc>
          <w:tcPr>
            <w:tcW w:w="208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123.43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99.64</w:t>
            </w:r>
          </w:p>
        </w:tc>
      </w:tr>
      <w:tr>
        <w:trPr>
          <w:trHeight w:val="594"/>
        </w:trPr>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7"/>
          <w:szCs w:val="17"/>
          <w:color w:val="auto"/>
        </w:rPr>
        <w:t>.</w:t>
      </w:r>
      <w:r>
        <w:rPr>
          <w:rFonts w:ascii="Arial" w:cs="Arial" w:eastAsia="Arial" w:hAnsi="Arial"/>
          <w:sz w:val="16"/>
          <w:szCs w:val="16"/>
          <w:color w:val="auto"/>
        </w:rPr>
        <w:t xml:space="preserve"> As of February 7, 2018, there were approximately 1,590 holders of record of our Class B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declared on our Class A and Class B common stock in the last two years: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Dividend per Share</w:t>
            </w:r>
          </w:p>
        </w:tc>
        <w:tc>
          <w:tcPr>
            <w:tcW w:w="2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10,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0.66</w:t>
            </w:r>
          </w:p>
        </w:tc>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10, 2016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0.60</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June 9, 2017</w:t>
            </w:r>
          </w:p>
        </w:tc>
        <w:tc>
          <w:tcPr>
            <w:tcW w:w="140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2820" w:type="dxa"/>
            <w:vAlign w:val="bottom"/>
          </w:tcPr>
          <w:p>
            <w:pPr>
              <w:ind w:left="120"/>
              <w:spacing w:after="0"/>
              <w:rPr>
                <w:sz w:val="20"/>
                <w:szCs w:val="20"/>
                <w:color w:val="auto"/>
              </w:rPr>
            </w:pPr>
            <w:r>
              <w:rPr>
                <w:rFonts w:ascii="Arial" w:cs="Arial" w:eastAsia="Arial" w:hAnsi="Arial"/>
                <w:sz w:val="18"/>
                <w:szCs w:val="18"/>
                <w:color w:val="auto"/>
              </w:rPr>
              <w:t>June 10, 2016</w:t>
            </w:r>
          </w:p>
        </w:tc>
        <w:tc>
          <w:tcPr>
            <w:tcW w:w="14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0.60</w:t>
            </w:r>
          </w:p>
        </w:tc>
      </w:tr>
      <w:tr>
        <w:trPr>
          <w:trHeight w:val="27"/>
        </w:trPr>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8, 2017</w:t>
            </w:r>
          </w:p>
        </w:tc>
        <w:tc>
          <w:tcPr>
            <w:tcW w:w="1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0.66</w:t>
            </w:r>
          </w:p>
        </w:tc>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9, 2016</w:t>
            </w:r>
          </w:p>
        </w:tc>
        <w:tc>
          <w:tcPr>
            <w:tcW w:w="1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0.60</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December 8, 2017</w:t>
            </w:r>
          </w:p>
        </w:tc>
        <w:tc>
          <w:tcPr>
            <w:tcW w:w="140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2820" w:type="dxa"/>
            <w:vAlign w:val="bottom"/>
          </w:tcPr>
          <w:p>
            <w:pPr>
              <w:ind w:left="120"/>
              <w:spacing w:after="0"/>
              <w:rPr>
                <w:sz w:val="20"/>
                <w:szCs w:val="20"/>
                <w:color w:val="auto"/>
              </w:rPr>
            </w:pPr>
            <w:r>
              <w:rPr>
                <w:rFonts w:ascii="Arial" w:cs="Arial" w:eastAsia="Arial" w:hAnsi="Arial"/>
                <w:sz w:val="18"/>
                <w:szCs w:val="18"/>
                <w:color w:val="auto"/>
              </w:rPr>
              <w:t>December 9, 2016</w:t>
            </w:r>
          </w:p>
        </w:tc>
        <w:tc>
          <w:tcPr>
            <w:tcW w:w="14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0.60</w:t>
            </w:r>
          </w:p>
        </w:tc>
      </w:tr>
      <w:tr>
        <w:trPr>
          <w:trHeight w:val="27"/>
        </w:trPr>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28, 2017</w:t>
            </w:r>
          </w:p>
        </w:tc>
        <w:tc>
          <w:tcPr>
            <w:tcW w:w="14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28, 2016</w:t>
            </w:r>
          </w:p>
        </w:tc>
        <w:tc>
          <w:tcPr>
            <w:tcW w:w="1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7"/>
        </w:trPr>
        <w:tc>
          <w:tcPr>
            <w:tcW w:w="2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intend to continue to pay a regular quarterly dividend to our shareholders according to our annual dividend policy, which is set at between 50% and 60% of the prior year's cash earnings. The decision to declare a dividend and the amount of the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7, 2018, the board of directors declared a regular quarterly dividend of $0.70 per share. The dividend will be payable on March 26, 2018, to shareholders of record on March 9, 2018. Assuming no changes in the number of shares outstanding, the total first quarter dividend payment will be approximately $237.0 million. The board of directors also declared an additional, annual variable dividend of $3.50 per share on December 6, 2017, paid on January 16, 2018, to the shareholders of record on December 28, 2017. In general, the amount of the annual variable dividend will be determined at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pacing w:after="0" w:line="16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indentures governing our fixed rate notes, our 364-day clearing house credit facility for $7.0 billion and our $2.3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For example, under our senior credit facility, we are required to remain in compliance with a consolidated net worth test, defined as our consolidated shareholders’ equity as of September 30, 2017 after giving effect to actual share repurchases made and special dividends paid (including annual variable dividends), but only up to the amount of such repurchases and dividends publicly announced and made or paid after September 30, 2017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$800.0 million.</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following graph and table compares the cumulative five-year total return provided to shareholders on our Class A common stock relative to the cumulative total returns of the S&amp;P 500 index and our customized peer group. The peer group includes CBOE Holdings, Inc., IntercontinentalExchange Group, Inc. and Nasdaq, Inc. An investment of $100 (with reinvestment of all dividends) is assumed to have been made in our Class A common stock, in the peer group and the S&amp;P 500 index on December 31, 2012, and its relative performance is tracked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848985" cy="4862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194.06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208.95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279.85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370.32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132.39</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150.51</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152.59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170.84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208.14</w:t>
            </w:r>
          </w:p>
        </w:tc>
      </w:tr>
      <w:tr>
        <w:trPr>
          <w:trHeight w:val="27"/>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176.61</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187.48</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219.99</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249.31</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323.23</w:t>
            </w:r>
          </w:p>
        </w:tc>
      </w:tr>
      <w:tr>
        <w:trPr>
          <w:trHeight w:val="27"/>
        </w:trPr>
        <w:tc>
          <w:tcPr>
            <w:tcW w:w="2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past three years there have not been any unregistered sales by the company of equity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250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Average Price</w:t>
            </w: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60" w:type="dxa"/>
            <w:vAlign w:val="bottom"/>
          </w:tcPr>
          <w:p>
            <w:pPr>
              <w:spacing w:after="0"/>
              <w:rPr>
                <w:sz w:val="12"/>
                <w:szCs w:val="12"/>
                <w:color w:val="auto"/>
              </w:rPr>
            </w:pPr>
          </w:p>
        </w:tc>
        <w:tc>
          <w:tcPr>
            <w:tcW w:w="14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Paid Per Share (or</w:t>
            </w:r>
          </w:p>
        </w:tc>
        <w:tc>
          <w:tcPr>
            <w:tcW w:w="15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Unit)</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Plans or Programs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137.17</w:t>
            </w: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5,764</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146.98</w:t>
            </w:r>
          </w:p>
        </w:tc>
        <w:tc>
          <w:tcPr>
            <w:tcW w:w="1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5,883</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320" w:hanging="652"/>
        <w:spacing w:after="0" w:line="27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purchased consist of an aggregate of 5,883 shares of Class A common stock surrendered to satisfy employee tax obligations upon the vesting of restricted stock.</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3,644.7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3,595.2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3,326.8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3,112.5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2,936.3</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1,988.7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214.3</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2,526.3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2,287.6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1,956.8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4,063.4</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1,534.1</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1,247.0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1,127.1</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976.8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75,791.2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69,369.4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67,359.4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72,228.6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54,263.8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2,233.1</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2,231.2</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2,229.3</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2,095.0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2,093.2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22,411.8</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20,340.7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20,551.8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20,923.5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r>
      <w:tr>
        <w:trPr>
          <w:trHeight w:val="56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All amounts exclude our interest rate swaps and credit default swaps contracts.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Agricultural commodity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16,292</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Data:</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4,089,175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3,943,670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3,532,521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3,443,051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3,161,477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108,043</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102,930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91,369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83,726</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48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2017, 2016 and 2015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Commodity Exchange, Inc. (COMEX), collectively,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COMEX and their respective subsidiaries.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exchange consists of designated contract markets for the trading of futures and options on futures contracts. We also clear futures, options on futures and swaps contracts through our clearing house. Futures contracts, options on futures contracts and swaps contracts provide investors with vehicles for protecting against, and potentially profiting from, price changes in financial instruments and physical commodities.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derivatives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interest rate swaps and credit default swaps contracts. In September 2017, we announced we will exit the credit default swaps business by mid-2018.</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Most of our products are available for trading through our electronic trading platform. This execution facility offers our customers immediate trade execution and price transparency. In addition, trades can be executed through privately negotiated transactions that are cleared and settled through our clearing house.</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Economic Environment. </w:t>
      </w:r>
      <w:r>
        <w:rPr>
          <w:rFonts w:ascii="Arial" w:cs="Arial" w:eastAsia="Arial" w:hAnsi="Arial"/>
          <w:sz w:val="17"/>
          <w:szCs w:val="17"/>
          <w:color w:val="auto"/>
        </w:rPr>
        <w:t>Our customers continue to use our markets as an effective and transparent means to manage risk and meet their investment needs</w:t>
      </w:r>
      <w:r>
        <w:rPr>
          <w:rFonts w:ascii="Arial" w:cs="Arial" w:eastAsia="Arial" w:hAnsi="Arial"/>
          <w:sz w:val="17"/>
          <w:szCs w:val="17"/>
          <w:b w:val="1"/>
          <w:bCs w:val="1"/>
          <w:color w:val="auto"/>
        </w:rPr>
        <w:t xml:space="preserve"> </w:t>
      </w:r>
      <w:r>
        <w:rPr>
          <w:rFonts w:ascii="Arial" w:cs="Arial" w:eastAsia="Arial" w:hAnsi="Arial"/>
          <w:sz w:val="17"/>
          <w:szCs w:val="17"/>
          <w:color w:val="auto"/>
        </w:rPr>
        <w:t>despite economic uncertainty and volatility.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Competitive Environment. </w:t>
      </w:r>
      <w:r>
        <w:rPr>
          <w:rFonts w:ascii="Arial" w:cs="Arial" w:eastAsia="Arial" w:hAnsi="Arial"/>
          <w:sz w:val="16"/>
          <w:szCs w:val="16"/>
          <w:color w:val="auto"/>
        </w:rPr>
        <w:t>Our industry is competitive and we continue to encounter competition in all aspects of our business. We expect competition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intensify, especially in light of ongoing regulatory reform in the financial services industry. Competition is influenced by our brand and reputation; the efficiency and security of our services; depth and liquidity of our markets; breadth of product offerings including rate and quality of new product development and innovative services; our ability to position and expand upon existing products; efficient and seamless customer experience; transparency, reliability and anonymity of transaction processing; the regulatory environment; efficient and innovative technology and connectivity, as well as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now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As a result of the widespread difficulties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economy over the last several years, various domestic and foreign governments have undertaken reviews of the existing legal framework governing financial markets and have passed laws and regulations that apply to our business. Compliance with regulations may require us and our customers to dedicate significant financial and operational resources which could adversely affect our profitability.</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U.S. futures exchanges and our clearing house are subject to extensive regulation by the U.S. Commodity Futures Trading Commission (CFTC), which carries out the regulation of the futures markets in accordance with the provisions of the Commodity Exchange Act, the Commodity Futures Modernization Act and the Dodd-Frank Wall Street Reform and Consumer Protection Act (Dodd-Frank). We believe that the regulations provide opportunities for our business. Our U.S. clearing house has been designated by the CFTC as a systemically important derivatives clearing organization, which imposes various procedural and substantive requirements. Our U.S. swap data repository service swap execution facility is also subject to the requirements of the Commodity Exchange Act and the regulations of the CFTC. We have incurred and expect to continue to incur significant additional costs to comply with the provisions of Dodd-Frank and any new regulations. In February 2017, President Trump signed an executive order calling for the current U.S. presidential administration to review U.S. financial laws and regulations to determine their consistency with a set of core principles identified in the order. Some areas identified as subject to potential change, amendment or repeal include the Dodd-Frank Act and the authorities of the Federal Reserve and the Financial Stability Oversight Council. We cannot predict, which, if any, of these or other actions will be taken or, if taken, their effect on our business.</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global company with operations and locations around the world, we are also subject to laws and regulations in foreign locations where we do business. The financial services industry in Europe has recently undergone regulatory reform and a re-organization of its regulatory framework. Our European operations are overseen by several regulators, including the European Securities Market Authority (ESMA) and the Financial Conduct Authority (FCA). In June 2016, the United Kingdom held a referendum in which voters decided in favor of withdrawal from the European Union. The ultimate impact of this referendum in regards to the laws and regulations applicable to our European operations remains unclear and is contingent on the terms of the withdrawal and the ongoing relationship between the United Kingdom and the European Union. We have incurred and expect to continue to incur significant additional costs to comply with the new regulations in Europe as well as the effects of this referendum.</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strategy focuses on building upon our benchmark products, globalizing our company, expanding our customer base, extending our risk management and post trade offerings, and establishing ourselves as the leading exchange company provider of information products and index services as well as enhancing our intellectual property portfolio. We focus specifically on opportunities created by increased market awareness and acceptance of derivatives, increased price volatility, technological advances and the increasing need for counterparty risk mitigation and clearing services. This strategy allows us to continue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develop into a more broadly diversified financial exchange that provides trading and clearing solutions across a wide range of products and asset classes. Our strategic initiatives are discussed in "Item 1. Business" on page 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Clearing and transaction fees. </w:t>
      </w:r>
      <w:r>
        <w:rPr>
          <w:rFonts w:ascii="Arial" w:cs="Arial" w:eastAsia="Arial" w:hAnsi="Arial"/>
          <w:sz w:val="17"/>
          <w:szCs w:val="17"/>
          <w:color w:val="auto"/>
        </w:rPr>
        <w:t>A majority of our revenue is derived from clearing and transaction fees, which include electronic trading fees, surcharges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privately negotiated transactions and other volume-related charges for exchange-traded and cleared swaps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14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Rate structure. </w:t>
      </w:r>
      <w:r>
        <w:rPr>
          <w:rFonts w:ascii="Arial" w:cs="Arial" w:eastAsia="Arial" w:hAnsi="Arial"/>
          <w:sz w:val="17"/>
          <w:szCs w:val="17"/>
          <w:color w:val="auto"/>
        </w:rPr>
        <w:t>Customers benefit from volume discounts and limits on fees as part of our effort to increase liquidity in certain products. We offer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Product mix. </w:t>
      </w:r>
      <w:r>
        <w:rPr>
          <w:rFonts w:ascii="Arial" w:cs="Arial" w:eastAsia="Arial" w:hAnsi="Arial"/>
          <w:sz w:val="16"/>
          <w:szCs w:val="16"/>
          <w:color w:val="auto"/>
        </w:rPr>
        <w:t>We offer exchange-traded futures and options on futures contracts as well as cleared-only interest rate and credit default swap contracts. Rates</w:t>
      </w:r>
      <w:r>
        <w:rPr>
          <w:rFonts w:ascii="Arial" w:cs="Arial" w:eastAsia="Arial" w:hAnsi="Arial"/>
          <w:sz w:val="16"/>
          <w:szCs w:val="16"/>
          <w:i w:val="1"/>
          <w:iCs w:val="1"/>
          <w:color w:val="auto"/>
        </w:rPr>
        <w:t xml:space="preserve"> </w:t>
      </w:r>
      <w:r>
        <w:rPr>
          <w:rFonts w:ascii="Arial" w:cs="Arial" w:eastAsia="Arial" w:hAnsi="Arial"/>
          <w:sz w:val="16"/>
          <w:szCs w:val="16"/>
          <w:color w:val="auto"/>
        </w:rPr>
        <w:t>are varied by product in order to optimize revenue on existing products and to encourage contract volume upon introduction of new products.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is an international marketplace that brings together buyers and sellers mainly through our electronic trading as well as through open</w:t>
      </w:r>
      <w:r>
        <w:rPr>
          <w:rFonts w:ascii="Arial" w:cs="Arial" w:eastAsia="Arial" w:hAnsi="Arial"/>
          <w:sz w:val="18"/>
          <w:szCs w:val="18"/>
          <w:i w:val="1"/>
          <w:iCs w:val="1"/>
          <w:color w:val="auto"/>
        </w:rPr>
        <w:t xml:space="preserve"> </w:t>
      </w:r>
      <w:r>
        <w:rPr>
          <w:rFonts w:ascii="Arial" w:cs="Arial" w:eastAsia="Arial" w:hAnsi="Arial"/>
          <w:sz w:val="18"/>
          <w:szCs w:val="18"/>
          <w:color w:val="auto"/>
        </w:rPr>
        <w:t>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 Privately negotiated transactions also include volume submitted through CME ClearPort and Exchange for Related Positions (EFRPs).</w:t>
      </w:r>
    </w:p>
    <w:p>
      <w:pPr>
        <w:spacing w:after="0" w:line="188"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other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 party distributors.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Access and communication fees. </w:t>
      </w:r>
      <w:r>
        <w:rPr>
          <w:rFonts w:ascii="Arial" w:cs="Arial" w:eastAsia="Arial" w:hAnsi="Arial"/>
          <w:sz w:val="17"/>
          <w:szCs w:val="17"/>
          <w:color w:val="auto"/>
        </w:rPr>
        <w:t>Access and communication fees are charges to members and clearing firms that utilize our various telecommunications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16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fees for collateral management and fees for trade order routing through agreements from various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as well as other services to members and clearing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14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177"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158"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amortization of intangible assets and additional ongoing expenses for communications, technology support services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other activities necessary to support our operations.</w:t>
      </w:r>
    </w:p>
    <w:p>
      <w:pPr>
        <w:spacing w:after="0" w:line="112" w:lineRule="exact"/>
        <w:rPr>
          <w:sz w:val="20"/>
          <w:szCs w:val="20"/>
          <w:color w:val="auto"/>
        </w:rPr>
      </w:pPr>
    </w:p>
    <w:p>
      <w:pPr>
        <w:jc w:val="both"/>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24"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Technology support services expense consists of costs related to maintenance of the hardware and software required to support our technology. Our technology support services costs are driven by system capacity, functionality and redundancy requirements.</w:t>
      </w:r>
    </w:p>
    <w:p>
      <w:pPr>
        <w:spacing w:after="0" w:line="8"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intangible assets obtained in our mergers with CBOT Holdings, Inc. and NYMEX Holdings, Inc. as well as other asset and business acquisitions. Intangible assets subject to amortization consist primarily of clearing firm, market data and other customer relationships.</w:t>
      </w:r>
    </w:p>
    <w:p>
      <w:pPr>
        <w:spacing w:after="0" w:line="19"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property including rent, maintenance, real estate taxes, utilities and other related costs. We have significant operations located in Chicago, New York, India and the United Kingdom as well as other smaller offices located throughout the world.</w:t>
      </w:r>
    </w:p>
    <w:p>
      <w:pPr>
        <w:spacing w:after="0" w:line="19"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21" w:right="3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and foreign currency transaction gains and losses resulting from changes in exchange rates on certain foreign deposits.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70" w:lineRule="exact"/>
        <w:rPr>
          <w:sz w:val="20"/>
          <w:szCs w:val="20"/>
          <w:color w:val="auto"/>
        </w:rPr>
      </w:pPr>
    </w:p>
    <w:p>
      <w:pPr>
        <w:jc w:val="both"/>
        <w:ind w:left="660" w:right="140" w:hanging="328"/>
        <w:spacing w:after="0" w:line="28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as well as dividend income from our strategic equity investments, and gains and losses on trading securities in our non-qualified deferred compensation plans.</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156" w:lineRule="exact"/>
        <w:rPr>
          <w:rFonts w:ascii="Arial" w:cs="Arial" w:eastAsia="Arial" w:hAnsi="Arial"/>
          <w:sz w:val="16"/>
          <w:szCs w:val="16"/>
          <w:color w:val="auto"/>
        </w:rPr>
      </w:pPr>
    </w:p>
    <w:p>
      <w:pPr>
        <w:ind w:left="660" w:right="8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 net earnings (losses) of unconsolidated subsidiaries includes income and losses from our investments in S&amp;P/Dow Jones Indices LLC (S&amp;P/DJI), Dubai Mercantile Exchange and Bursa Malaysia Derivatives Berhad.</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income (expense) includes expenses related to the distribution of interest earned on performance bond collateral reinvestment to the clearing firms as well as other various income and expenses outside our core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2—Inputs are either directly or indirectly observable and corroborated by market data or are based on quoted prices in markets that are not active.</w:t>
      </w:r>
    </w:p>
    <w:p>
      <w:pPr>
        <w:spacing w:after="0" w:line="35"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17 of the notes to the consolidated financial statements.</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 quarterly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assumptions about forecasts of revenue growth, operating margins and economic conditions as well as overall market and industry-specific trends.</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16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Internal use software costs. </w:t>
      </w:r>
      <w:r>
        <w:rPr>
          <w:rFonts w:ascii="Arial" w:cs="Arial" w:eastAsia="Arial" w:hAnsi="Arial"/>
          <w:sz w:val="18"/>
          <w:szCs w:val="18"/>
          <w:color w:val="auto"/>
        </w:rPr>
        <w:t>Certain internal and external costs that are incurred in connection with developing or obtaining computer software for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use are capitalized.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two to four years. Amortization of capitalized costs begins only when the software becomes ready for its intended use. We also enter into software hosting arrangements for software projects maintained in the cloud. The costs associated with these cloud-based hosting arrangements do not qualify for capitalization and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Refer to Note 2 in our notes to the consolidated financial statements for information on new and recently adopted accounting pronouncements that are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7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2017-2016</w:t>
            </w: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3,644.7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3,595.2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3,326.8</w:t>
            </w:r>
          </w:p>
        </w:tc>
        <w:tc>
          <w:tcPr>
            <w:tcW w:w="17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720" w:type="dxa"/>
            <w:vAlign w:val="bottom"/>
          </w:tcPr>
          <w:p>
            <w:pPr>
              <w:spacing w:after="0"/>
              <w:rPr>
                <w:sz w:val="21"/>
                <w:szCs w:val="21"/>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1,332.7</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1,392.5</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1,338.1</w:t>
            </w:r>
          </w:p>
        </w:tc>
        <w:tc>
          <w:tcPr>
            <w:tcW w:w="1780" w:type="dxa"/>
            <w:vAlign w:val="bottom"/>
          </w:tcPr>
          <w:p>
            <w:pPr>
              <w:jc w:val="right"/>
              <w:ind w:right="334"/>
              <w:spacing w:after="0"/>
              <w:rPr>
                <w:sz w:val="20"/>
                <w:szCs w:val="20"/>
                <w:color w:val="auto"/>
              </w:rPr>
            </w:pPr>
            <w:r>
              <w:rPr>
                <w:rFonts w:ascii="Arial" w:cs="Arial" w:eastAsia="Arial" w:hAnsi="Arial"/>
                <w:sz w:val="18"/>
                <w:szCs w:val="18"/>
                <w:color w:val="auto"/>
              </w:rPr>
              <w:t>(4)</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3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63 %</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214.3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84.9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(31.9)</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n.m.</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3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expense (benefit) rate</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4,063.4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1,534.1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1,247.0</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165</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23</w:t>
            </w:r>
          </w:p>
        </w:tc>
      </w:tr>
      <w:tr>
        <w:trPr>
          <w:trHeight w:val="27"/>
        </w:trPr>
        <w:tc>
          <w:tcPr>
            <w:tcW w:w="3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11.94</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4.53</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3.69</w:t>
            </w:r>
          </w:p>
        </w:tc>
        <w:tc>
          <w:tcPr>
            <w:tcW w:w="17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164</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Pr>
          <w:p>
            <w:pPr>
              <w:spacing w:after="0"/>
              <w:rPr>
                <w:sz w:val="21"/>
                <w:szCs w:val="21"/>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1,840.4</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1,742.8</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1,532.5</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9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2017-2016</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2,783.9</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2 %</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399.4</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(4)</w:t>
            </w:r>
          </w:p>
        </w:tc>
        <w:tc>
          <w:tcPr>
            <w:tcW w:w="1380" w:type="dxa"/>
            <w:vAlign w:val="bottom"/>
          </w:tcPr>
          <w:p>
            <w:pPr>
              <w:ind w:left="1100"/>
              <w:spacing w:after="0"/>
              <w:rPr>
                <w:sz w:val="20"/>
                <w:szCs w:val="20"/>
                <w:color w:val="auto"/>
              </w:rPr>
            </w:pPr>
            <w:r>
              <w:rPr>
                <w:rFonts w:ascii="Arial" w:cs="Arial" w:eastAsia="Arial" w:hAnsi="Arial"/>
                <w:sz w:val="18"/>
                <w:szCs w:val="18"/>
                <w:color w:val="auto"/>
              </w:rPr>
              <w:t>2</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6</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(12)</w:t>
            </w:r>
          </w:p>
        </w:tc>
        <w:tc>
          <w:tcPr>
            <w:tcW w:w="1380" w:type="dxa"/>
            <w:vAlign w:val="bottom"/>
          </w:tcPr>
          <w:p>
            <w:pPr>
              <w:ind w:left="1100"/>
              <w:spacing w:after="0"/>
              <w:rPr>
                <w:sz w:val="20"/>
                <w:szCs w:val="20"/>
                <w:color w:val="auto"/>
              </w:rPr>
            </w:pPr>
            <w:r>
              <w:rPr>
                <w:rFonts w:ascii="Arial" w:cs="Arial" w:eastAsia="Arial" w:hAnsi="Arial"/>
                <w:sz w:val="18"/>
                <w:szCs w:val="18"/>
                <w:color w:val="auto"/>
              </w:rPr>
              <w:t>6</w:t>
            </w:r>
          </w:p>
        </w:tc>
      </w:tr>
      <w:tr>
        <w:trPr>
          <w:trHeight w:val="27"/>
        </w:trPr>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3,644.7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3,326.8</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8</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credit default swaps and interest rate swaps.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2017-2016</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4,089.2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3,943.7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3,532.5</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4 %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3,029.9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2,974.4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2,716.9</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2</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9</w:t>
            </w:r>
          </w:p>
        </w:tc>
      </w:tr>
      <w:tr>
        <w:trPr>
          <w:trHeight w:val="27"/>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0.741</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0.754</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0.769</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7"/>
        </w:trPr>
        <w:tc>
          <w:tcPr>
            <w:tcW w:w="3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changes in total contract volume and changes in average rate per contract during 2017 compared with 2016, and during 2016 compared with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Increase (decrease) due to change in average rate per contract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257.5</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9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2017-2016</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Average Daily Volume by Product Line: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8,189</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7,517</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6,720</w:t>
            </w:r>
          </w:p>
        </w:tc>
        <w:tc>
          <w:tcPr>
            <w:tcW w:w="1920" w:type="dxa"/>
            <w:vAlign w:val="bottom"/>
            <w:gridSpan w:val="2"/>
          </w:tcPr>
          <w:p>
            <w:pPr>
              <w:jc w:val="right"/>
              <w:ind w:right="228"/>
              <w:spacing w:after="0"/>
              <w:rPr>
                <w:sz w:val="20"/>
                <w:szCs w:val="20"/>
                <w:color w:val="auto"/>
              </w:rPr>
            </w:pPr>
            <w:r>
              <w:rPr>
                <w:rFonts w:ascii="Arial" w:cs="Arial" w:eastAsia="Arial" w:hAnsi="Arial"/>
                <w:sz w:val="18"/>
                <w:szCs w:val="18"/>
                <w:color w:val="auto"/>
              </w:rPr>
              <w:t>9 %</w:t>
            </w:r>
          </w:p>
        </w:tc>
        <w:tc>
          <w:tcPr>
            <w:tcW w:w="13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2,792</w:t>
            </w:r>
          </w:p>
        </w:tc>
        <w:tc>
          <w:tcPr>
            <w:tcW w:w="192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872</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1,265</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Energy</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1,970</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23</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13,963</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3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12,185</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5</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1,139</w:t>
            </w:r>
          </w:p>
        </w:tc>
        <w:tc>
          <w:tcPr>
            <w:tcW w:w="1920" w:type="dxa"/>
            <w:vAlign w:val="bottom"/>
            <w:gridSpan w:val="2"/>
          </w:tcPr>
          <w:p>
            <w:pPr>
              <w:jc w:val="right"/>
              <w:ind w:right="368"/>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639</w:t>
            </w:r>
          </w:p>
        </w:tc>
        <w:tc>
          <w:tcPr>
            <w:tcW w:w="192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13,963</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Electronic Volume as a Percentage of Total</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7"/>
        </w:trPr>
        <w:tc>
          <w:tcPr>
            <w:tcW w:w="3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Overall contract volume increased in 2017 when compared with 2016. Interest rate volatility remained high in 2017 as the markets continued to experience uncertainty surrounding the Federal Reserve's interest rate policy. In December, the Federal Open Markets Committee raised the federal funds rate for the third time in 2017 and also raised the expectation for additional rate increases in 2018. The equity markets experienced lower volatility in 2017 due to fewer market-moving geopolitical events, which resulted in lower equity contract volume. Crude oil volumes continued to grow throughout 2017 as crude oil market volatility remained high, which contributed to an increase in energy contract volume. There was a shift in crude oil supplies caused by an increase in United States crude oil production following the Organization of Petroleum Exporting Countries' (OPEC) decision to cut oil supplies in the fourth quarter of 2016.</w:t>
      </w:r>
    </w:p>
    <w:p>
      <w:pPr>
        <w:spacing w:after="0" w:line="1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2016 when compared with 2015, overall contract volume remained high throughout 2016 due to periods of high volatility. Throughout 2016, we believe that global market concerns, considerable uncertainty regarding the Federal Reserve's interest rate policy and the anticipation of the United Kingdom's European Union membership referendum contributed to considerable volatility. In the second half of 2016, volume across most of our products lines spiked as the U.S. presidential and congressional elections injected considerable uncertainty into the markets. The crude oil markets continued to show considerable uncertainty in early 2016 regarding the direction of future oil prices as global supplies continued to remain high, which resulted in an increase in energy contract volume.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8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2017</w:t>
            </w:r>
          </w:p>
        </w:tc>
        <w:tc>
          <w:tcPr>
            <w:tcW w:w="15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2017-2016</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1,745</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1,828</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1,580</w:t>
            </w:r>
          </w:p>
        </w:tc>
        <w:tc>
          <w:tcPr>
            <w:tcW w:w="1860" w:type="dxa"/>
            <w:vAlign w:val="bottom"/>
          </w:tcPr>
          <w:p>
            <w:pPr>
              <w:jc w:val="right"/>
              <w:ind w:right="214"/>
              <w:spacing w:after="0"/>
              <w:rPr>
                <w:sz w:val="20"/>
                <w:szCs w:val="20"/>
                <w:color w:val="auto"/>
              </w:rPr>
            </w:pPr>
            <w:r>
              <w:rPr>
                <w:rFonts w:ascii="Arial" w:cs="Arial" w:eastAsia="Arial" w:hAnsi="Arial"/>
                <w:sz w:val="18"/>
                <w:szCs w:val="18"/>
                <w:color w:val="auto"/>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8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769</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729</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724</w:t>
            </w: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5</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Options</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1,368</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1,225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963</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12</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27</w:t>
            </w: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10-Year</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1,914</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1,717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1,613</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8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1,003</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886</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830</w:t>
            </w: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2-Year</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396</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331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338</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20</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bond</w:t>
            </w:r>
          </w:p>
        </w:tc>
        <w:tc>
          <w:tcPr>
            <w:tcW w:w="18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380</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347</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355</w:t>
            </w: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Federal Funds futures and options</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191</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133</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44</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Overall interest rate contract volume from 2015 to 2017 increased due to volatility caused by continued uncertainty surrounding the Federal Reserve's interest rate policy, including volatility resulting from the Federal Open Markets Committee raising the federal funds rate three times during 2017. The increase in short-term interest rate contract volume was also due to the uncertainty surrounding other global events, including the 2017 elections throughout Europe and the U.S. presidential and congressional elections in the fourth quarter of 2016. In addition, we believe the increase in long-term interest rate contract volume was due to the volatility resulting from the uncertainty surrounding the policies of the political administration in the United States, concern regarding future rates of inflation, and potential for changes in fiscal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7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2017-2016</w:t>
            </w: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7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2,062</w:t>
            </w:r>
          </w:p>
        </w:tc>
        <w:tc>
          <w:tcPr>
            <w:tcW w:w="15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2,449</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2,200</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4"/>
              </w:rPr>
              <w:t>11%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720" w:type="dxa"/>
            <w:vAlign w:val="bottom"/>
          </w:tcPr>
          <w:p>
            <w:pPr>
              <w:jc w:val="right"/>
              <w:ind w:right="276"/>
              <w:spacing w:after="0"/>
              <w:rPr>
                <w:sz w:val="20"/>
                <w:szCs w:val="20"/>
                <w:color w:val="auto"/>
              </w:rPr>
            </w:pPr>
            <w:r>
              <w:rPr>
                <w:rFonts w:ascii="Arial" w:cs="Arial" w:eastAsia="Arial" w:hAnsi="Arial"/>
                <w:sz w:val="18"/>
                <w:szCs w:val="18"/>
                <w:color w:val="auto"/>
              </w:rPr>
              <w:t>289</w:t>
            </w: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271</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272</w:t>
            </w:r>
          </w:p>
        </w:tc>
        <w:tc>
          <w:tcPr>
            <w:tcW w:w="1860" w:type="dxa"/>
            <w:vAlign w:val="bottom"/>
          </w:tcPr>
          <w:p>
            <w:pPr>
              <w:jc w:val="right"/>
              <w:ind w:right="439"/>
              <w:spacing w:after="0"/>
              <w:rPr>
                <w:sz w:val="20"/>
                <w:szCs w:val="20"/>
                <w:color w:val="auto"/>
              </w:rPr>
            </w:pPr>
            <w:r>
              <w:rPr>
                <w:rFonts w:ascii="Arial" w:cs="Arial" w:eastAsia="Arial" w:hAnsi="Arial"/>
                <w:sz w:val="18"/>
                <w:szCs w:val="18"/>
                <w:color w:val="auto"/>
              </w:rPr>
              <w:t>6</w:t>
            </w:r>
          </w:p>
        </w:tc>
        <w:tc>
          <w:tcPr>
            <w:tcW w:w="1380" w:type="dxa"/>
            <w:vAlign w:val="bottom"/>
          </w:tcPr>
          <w:p>
            <w:pPr>
              <w:ind w:left="10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decrease in overall equity contract volume in 2017 when compared with 2016 resulted from periods of lower equity market volatility, as measured by the CBOE Volatility Index. The comparatively low volatility is believed to be caused by fewer market-moving geopolitical and macro-level events that impacted these indexes in 2017. During 2016, there were periods of higher volatility within the equity markets due to uncertainty regarding whether the Federal Open Markets Committee would begin to raise the federal funds rate in 2016, the deceleration of the Chinese economy, the results of the U.S. presidential and congressional elections, and declining global crude oil prices.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Overall equity contract volume increased in 2016 when compared with 2015 as the equity markets experienced periods of higher volatility due to the continued ambiguity surrounding the Federal Reserve's interest rate policy, uncertainty surrounding the United Kingdom's European Union membership referendum and declining global crude oil prices. The results of the U.S. presidential and congressional elections injected new uncertainty into the markets in the fourth quarter of 2016, which we believe led to additional volatility.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2017</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2017-2016</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261</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226</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w:t>
            </w:r>
          </w:p>
        </w:tc>
        <w:tc>
          <w:tcPr>
            <w:tcW w:w="18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15 %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181</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159</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154</w:t>
            </w:r>
          </w:p>
        </w:tc>
        <w:tc>
          <w:tcPr>
            <w:tcW w:w="1860" w:type="dxa"/>
            <w:vAlign w:val="bottom"/>
          </w:tcPr>
          <w:p>
            <w:pPr>
              <w:jc w:val="right"/>
              <w:ind w:right="435"/>
              <w:spacing w:after="0"/>
              <w:rPr>
                <w:sz w:val="20"/>
                <w:szCs w:val="20"/>
                <w:color w:val="auto"/>
              </w:rPr>
            </w:pPr>
            <w:r>
              <w:rPr>
                <w:rFonts w:ascii="Arial" w:cs="Arial" w:eastAsia="Arial" w:hAnsi="Arial"/>
                <w:sz w:val="18"/>
                <w:szCs w:val="18"/>
                <w:color w:val="auto"/>
              </w:rPr>
              <w:t>14</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3</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137</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125</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w:t>
            </w:r>
          </w:p>
        </w:tc>
        <w:tc>
          <w:tcPr>
            <w:tcW w:w="186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102</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106</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1860" w:type="dxa"/>
            <w:vAlign w:val="bottom"/>
          </w:tcPr>
          <w:p>
            <w:pPr>
              <w:jc w:val="right"/>
              <w:ind w:right="375"/>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8</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84</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80</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18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Foreign exchange contract volume increased in 2017 when compared with 2016, primarily due to higher Euro contract volume due to uncertainty surrounding the European Central Bank policy. We believe the Japanese yen contract volume increased as market participants turned to the yen as a safe-haven currency as currency rates steadied.</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2016 when compared with 2015, the overall foreign exchange contract volume remained relatively flat. The decline in Euro contract volume resulted from low volatility, which we believe was due to a lack of global macroeconomic drivers meaningfully affecting the Euro in 2016. The decline in Euro contract volume was partially offset by an increase in British pound contract volume, which we believe was caused by volatility resulting from the uncertainty surrounding the United Kingdom European Union membership referendum in mid-2016.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2017-2016</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449</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424</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415</w:t>
            </w:r>
          </w:p>
        </w:tc>
        <w:tc>
          <w:tcPr>
            <w:tcW w:w="18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6 %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283</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323</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284</w:t>
            </w:r>
          </w:p>
        </w:tc>
        <w:tc>
          <w:tcPr>
            <w:tcW w:w="1840" w:type="dxa"/>
            <w:vAlign w:val="bottom"/>
          </w:tcPr>
          <w:p>
            <w:pPr>
              <w:jc w:val="right"/>
              <w:ind w:right="356"/>
              <w:spacing w:after="0"/>
              <w:rPr>
                <w:sz w:val="20"/>
                <w:szCs w:val="20"/>
                <w:color w:val="auto"/>
              </w:rPr>
            </w:pPr>
            <w:r>
              <w:rPr>
                <w:rFonts w:ascii="Arial" w:cs="Arial" w:eastAsia="Arial" w:hAnsi="Arial"/>
                <w:sz w:val="18"/>
                <w:szCs w:val="18"/>
                <w:color w:val="auto"/>
              </w:rPr>
              <w:t>(12)</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217</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191</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183</w:t>
            </w: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14</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129</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126</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123</w:t>
            </w:r>
          </w:p>
        </w:tc>
        <w:tc>
          <w:tcPr>
            <w:tcW w:w="1840" w:type="dxa"/>
            <w:vAlign w:val="bottom"/>
          </w:tcPr>
          <w:p>
            <w:pPr>
              <w:jc w:val="right"/>
              <w:ind w:right="416"/>
              <w:spacing w:after="0"/>
              <w:rPr>
                <w:sz w:val="20"/>
                <w:szCs w:val="20"/>
                <w:color w:val="auto"/>
              </w:rPr>
            </w:pPr>
            <w:r>
              <w:rPr>
                <w:rFonts w:ascii="Arial" w:cs="Arial" w:eastAsia="Arial" w:hAnsi="Arial"/>
                <w:sz w:val="18"/>
                <w:szCs w:val="18"/>
                <w:color w:val="auto"/>
              </w:rPr>
              <w:t>2</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Agricultural commodity contract volume increased in 2017 when compared with 2016 largely due to higher corn and wheat volumes resulting from greater uncertainty related to weather conditions in 2017. The increase was partially offset by lower soybean volume due to lower uncertainty related to crop production versus 2016.</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2016 when compared with 2015, agricultural commodity contract volume increased due to higher price volatility in the first half of 2016, which we believe was caused by greater uncertainty related to weather conditions and crop production for the 2016 growing season.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2017-2016</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1,442</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1,321</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994</w:t>
            </w:r>
          </w:p>
        </w:tc>
        <w:tc>
          <w:tcPr>
            <w:tcW w:w="18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9 %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597</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549</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468</w:t>
            </w:r>
          </w:p>
        </w:tc>
        <w:tc>
          <w:tcPr>
            <w:tcW w:w="1840" w:type="dxa"/>
            <w:vAlign w:val="bottom"/>
          </w:tcPr>
          <w:p>
            <w:pPr>
              <w:jc w:val="right"/>
              <w:ind w:right="416"/>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17</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392</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363</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w:t>
            </w: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8</w:t>
            </w:r>
          </w:p>
        </w:tc>
        <w:tc>
          <w:tcPr>
            <w:tcW w:w="14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94</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98</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108</w:t>
            </w:r>
          </w:p>
        </w:tc>
        <w:tc>
          <w:tcPr>
            <w:tcW w:w="1840" w:type="dxa"/>
            <w:vAlign w:val="bottom"/>
          </w:tcPr>
          <w:p>
            <w:pPr>
              <w:jc w:val="right"/>
              <w:ind w:right="356"/>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2017 when compared with 2016, overall energy contract volume increased largely due to an increase in crude oil contract volume caused by higher volatility in 2017. We believe the increased volatility was caused by a shift in crude oil supplies as United States crude oil production rose along with the Organization of Petroleum Exporting Countries' decision to cut oil supplies in the fourth quarter of 2016. Natural gas and refined products contract volumes also increased in 2017 due to higher price volatility caused by shifts in supply and demand in the underlying markets.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Overall energy contract volume increased in 2016 when compared with 2015 largely due to an increase in WTI crude oil trading, which we believe resulted from continued price volatility caused by excess global crude oil supplies and the marketplace's increased weighting of WTI pricing as a global benchmark price for crude oil.</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2017-2016</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335</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273</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18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4"/>
              </w:rPr>
              <w:t>38%</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Copper</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108</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86</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820" w:type="dxa"/>
            <w:vAlign w:val="bottom"/>
          </w:tcPr>
          <w:p>
            <w:pPr>
              <w:ind w:left="1180"/>
              <w:spacing w:after="0"/>
              <w:rPr>
                <w:sz w:val="20"/>
                <w:szCs w:val="20"/>
                <w:color w:val="auto"/>
              </w:rPr>
            </w:pPr>
            <w:r>
              <w:rPr>
                <w:rFonts w:ascii="Arial" w:cs="Arial" w:eastAsia="Arial" w:hAnsi="Arial"/>
                <w:sz w:val="18"/>
                <w:szCs w:val="18"/>
                <w:color w:val="auto"/>
              </w:rPr>
              <w:t>26</w:t>
            </w:r>
          </w:p>
        </w:tc>
        <w:tc>
          <w:tcPr>
            <w:tcW w:w="1400" w:type="dxa"/>
            <w:vAlign w:val="bottom"/>
          </w:tcPr>
          <w:p>
            <w:pPr>
              <w:ind w:left="1040"/>
              <w:spacing w:after="0"/>
              <w:rPr>
                <w:sz w:val="20"/>
                <w:szCs w:val="20"/>
                <w:color w:val="auto"/>
              </w:rPr>
            </w:pPr>
            <w:r>
              <w:rPr>
                <w:rFonts w:ascii="Arial" w:cs="Arial" w:eastAsia="Arial" w:hAnsi="Arial"/>
                <w:sz w:val="18"/>
                <w:szCs w:val="18"/>
                <w:color w:val="auto"/>
              </w:rPr>
              <w:t>27</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98</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78</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8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25</w:t>
            </w:r>
          </w:p>
        </w:tc>
        <w:tc>
          <w:tcPr>
            <w:tcW w:w="1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34</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overall increase in metal contract volume from 2015 to 2017 was due to investors using gold and other precious metals as safe-haven alternative investments to other markets. The increase in metal contract volume was driven by consistent periods of high price volatility caused by the uncertainties surrounding the policies of the political administration in the United States and future rates of inflation.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average rate per contract decreased in 2017 when compared with 2016 as interest rate, energy, and metal contract volumes collectively increased by 3 percentage points, as a percentage of total volume, while agricultural commodity and equity contract volumes collectively decreased by 3 percentage points. Agricultural commodity and equity contracts have a higher average rate per contract compared with interest rate contracts. The overall decreases in average rates per contract were partially offset by a rate increase that was effective in the first quarter of 2017.</w:t>
      </w:r>
    </w:p>
    <w:p>
      <w:pPr>
        <w:spacing w:after="0" w:line="3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2016 when compared with 2015, the average rate per contract decreased due to an increase in trades executed by members, as a percentage of total trading volume, as well as higher volume-based incentives. This decrease was partially offset by the impact from a rate increase in early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another firm represented 12% of our clearing and transaction fees revenue in 2017. One firm represented 13% and another firm represented 11% of our clearing and transaction fees revenue in 2016, and one firm represented 13% of our clearing and transaction fees revenue in 2015.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0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Beginning in 2016, the partial fee waivers that existed in 2015 ended, contributing to an increase in market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services revenue in 2016 when compared with 2015. The increase was partially offset in 2016 and fully offset in 2017 due to declines in screen counts from cost-cutting initiatives at member firms and some rationalization as customer firms transitioned into full-priced offerings.</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two largest resellers of our market data represented, in aggregate, 45%, 40% and 43% of our market data and information services revenue in 2017, 2016 and 2015,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9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2017-2016</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553.7</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122.8</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(19)</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129.2</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(8)</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1,338.1</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4</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by $59.8 million in 2017 when compared with 2016. The following table shows the estimated impact of key factors resulting in the net decrease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Decreases in operating expenses in 2017 when compared with 2016 were as follows:</w:t>
      </w:r>
    </w:p>
    <w:p>
      <w:pPr>
        <w:spacing w:after="0" w:line="225" w:lineRule="exact"/>
        <w:rPr>
          <w:sz w:val="20"/>
          <w:szCs w:val="20"/>
          <w:color w:val="auto"/>
        </w:rPr>
      </w:pPr>
    </w:p>
    <w:p>
      <w:pPr>
        <w:jc w:val="both"/>
        <w:ind w:left="660" w:right="12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2017, we recognized a net gain of $9.4 million due to a favorable change in exchange rates on foreign cash balances, compared with a net loss of $24.5 million in 2016. Gains and losses from exchange rate fluctuations result when subsidiaries with a U.S. dollar functional currency hold cash as well as certain other monetary assets and liabilities denominated in foreign currencies.</w:t>
      </w:r>
    </w:p>
    <w:p>
      <w:pPr>
        <w:spacing w:after="0" w:line="181"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pacing w:after="0" w:line="146"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Professional fees and outside services expense decreased in 2017 compared to 2016, largely due to higher legal and regulatory fees in 2016 related to our business activities and product offerings as well as higher professional fees related to a greater reliance on consultants for security and systems enhancement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overall decrease in operating expenses in 2017 when compared with 2016 was partially offset by the following increases:</w:t>
      </w:r>
    </w:p>
    <w:p>
      <w:pPr>
        <w:spacing w:after="0" w:line="225" w:lineRule="exact"/>
        <w:rPr>
          <w:sz w:val="20"/>
          <w:szCs w:val="20"/>
          <w:color w:val="auto"/>
        </w:rPr>
      </w:pPr>
    </w:p>
    <w:p>
      <w:pPr>
        <w:ind w:left="660" w:right="28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Licensing and other fee sharing agreements expense increased due to higher expense resulting from incentive payments made to facilitate the transition of the Russell contract open interest, as well as increased costs of revenue sharing agreements for certain licensed products. The overall increase in 2017 was partially offset by lower expense related to revenue sharing agreements for certain equity and energy contracts due to lower volume for these products compared to 2016.</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higher average headcount primarily in our international locations as well as normal cost of living adjustments.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expenses increased by $54.4 million in 2016 when compared with 2015. The following table shows the estimated impact of key factors resulting in the net decrease in operating expenses.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Over-Year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2015 Expenses</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datacenter and related legal fees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fluctuation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severance and retirement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Real estate taxes and fees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increased in 2016 when compared with 2015 due to the following reasons:</w:t>
      </w:r>
    </w:p>
    <w:p>
      <w:pPr>
        <w:spacing w:after="0" w:line="225" w:lineRule="exact"/>
        <w:rPr>
          <w:sz w:val="20"/>
          <w:szCs w:val="20"/>
          <w:color w:val="auto"/>
        </w:rPr>
      </w:pPr>
    </w:p>
    <w:p>
      <w:pPr>
        <w:ind w:left="660" w:right="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2016, we recognized total losses and expenses of $28.6 million, including a net loss on write-down to fair value of the assets and certain other transaction fees of $27.1 million within other expenses and $1.5 million of legal and other fees as a result of our sale and leaseback of our datacenter.</w:t>
      </w:r>
    </w:p>
    <w:p>
      <w:pPr>
        <w:spacing w:after="0" w:line="123" w:lineRule="exact"/>
        <w:rPr>
          <w:rFonts w:ascii="Arial" w:cs="Arial" w:eastAsia="Arial" w:hAnsi="Arial"/>
          <w:sz w:val="16"/>
          <w:szCs w:val="16"/>
          <w:color w:val="auto"/>
        </w:rPr>
      </w:pPr>
    </w:p>
    <w:p>
      <w:pPr>
        <w:ind w:left="660" w:right="3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 fees and outside services expense increased in 2016 largely due to an increase in legal and regulatory efforts related to our business activities and product offerings as well as an increase in professional fees related to a greater reliance on consultants for security and systems enhancement work.</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2016, we recognized a net loss of $24.5 million due to an unfavorable change in exchange rates on foreign cash balances, compared with a net loss of $11.3 million in 2015.</w:t>
      </w:r>
    </w:p>
    <w:p>
      <w:pPr>
        <w:spacing w:after="0" w:line="170"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Licensing and other fee sharing agreements expense increased due to higher expense related to revenue sharing agreements for certain equity and energy contracts due to both higher volume and an increase in license rates for certain equity and energy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overall operating expenses in 2016 when compared with 2015 was partially offset by the following decreases:</w:t>
      </w:r>
    </w:p>
    <w:p>
      <w:pPr>
        <w:spacing w:after="0" w:line="225" w:lineRule="exact"/>
        <w:rPr>
          <w:sz w:val="20"/>
          <w:szCs w:val="20"/>
          <w:color w:val="auto"/>
        </w:rPr>
      </w:pPr>
    </w:p>
    <w:p>
      <w:pPr>
        <w:ind w:left="660" w:right="22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Severance and other costs related to the reorganization announced in October 2014 and the reduction of our trading floors in mid-2015 were recognized in the first quarter of 2015, in addition to costs related to a reorganization in the third quarter of 2015. At the end of 2016, our CEO announced his retirement, leading to additional compensation and stock-based compensation expense in 2016. We also recognized additional severance and other costs related to the reduction of our New York trading floors in 2016. These factors resulted in a net decrease in compensation and benefits expense in 2016 when compared with the same period in 2015.</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2015, we recognized additional real estate taxes and fees related to the transfer of the ownership of the NYMEX building.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jc w:val="right"/>
              <w:ind w:right="71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82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2017-2016</w:t>
            </w: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2016-2015</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7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20" w:type="dxa"/>
            <w:vAlign w:val="bottom"/>
            <w:tcBorders>
              <w:bottom w:val="single" w:sz="8" w:color="CCEEFF"/>
            </w:tcBorders>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Equity in net earnings (losses)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unconsolidated subsidiaries</w:t>
            </w:r>
          </w:p>
        </w:tc>
        <w:tc>
          <w:tcPr>
            <w:tcW w:w="3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820" w:type="dxa"/>
            <w:vAlign w:val="bottom"/>
            <w:gridSpan w:val="2"/>
          </w:tcPr>
          <w:p>
            <w:pPr>
              <w:jc w:val="right"/>
              <w:ind w:right="254"/>
              <w:spacing w:after="0"/>
              <w:rPr>
                <w:sz w:val="20"/>
                <w:szCs w:val="20"/>
                <w:color w:val="auto"/>
              </w:rPr>
            </w:pPr>
            <w:r>
              <w:rPr>
                <w:rFonts w:ascii="Arial" w:cs="Arial" w:eastAsia="Arial" w:hAnsi="Arial"/>
                <w:sz w:val="18"/>
                <w:szCs w:val="18"/>
                <w:color w:val="auto"/>
              </w:rPr>
              <w:t>17</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1720" w:type="dxa"/>
            <w:vAlign w:val="bottom"/>
          </w:tcPr>
          <w:p>
            <w:pPr>
              <w:jc w:val="right"/>
              <w:ind w:right="254"/>
              <w:spacing w:after="0"/>
              <w:rPr>
                <w:sz w:val="20"/>
                <w:szCs w:val="20"/>
                <w:color w:val="auto"/>
              </w:rPr>
            </w:pPr>
            <w:r>
              <w:rPr>
                <w:rFonts w:ascii="Arial" w:cs="Arial" w:eastAsia="Arial" w:hAnsi="Arial"/>
                <w:sz w:val="18"/>
                <w:szCs w:val="18"/>
                <w:color w:val="auto"/>
              </w:rPr>
              <w:t>n.m.</w:t>
            </w: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The increase in investment income from 2015 to 2017 was largely due to an increase in earnings from cash performance bond and</w:t>
      </w:r>
      <w:r>
        <w:rPr>
          <w:rFonts w:ascii="Arial" w:cs="Arial" w:eastAsia="Arial" w:hAnsi="Arial"/>
          <w:sz w:val="18"/>
          <w:szCs w:val="18"/>
          <w:i w:val="1"/>
          <w:iCs w:val="1"/>
          <w:color w:val="auto"/>
        </w:rPr>
        <w:t xml:space="preserve"> </w:t>
      </w:r>
      <w:r>
        <w:rPr>
          <w:rFonts w:ascii="Arial" w:cs="Arial" w:eastAsia="Arial" w:hAnsi="Arial"/>
          <w:sz w:val="18"/>
          <w:szCs w:val="18"/>
          <w:color w:val="auto"/>
        </w:rPr>
        <w:t>guaranty fund contributions that are reinvested, which resulted primarily from higher average reinvestment balances and higher rates of interest earned in the cash account at the Federal Reserve Bank of Chicago. In addition, the increase in investment income from 2015 to 2017 was also due to higher net gains on sales of investments. In 2017, we sold our remaining ownership interest in BM&amp;FBOVESPA S.A. (BM&amp;FBOVESPA) and recognized a gain of $86.5 million, net of transaction costs. We also sold our 2% interest in Bolsa Mexicana de Valores, S.A.B. de C.V. and recognized a gain of $2.3 million, net of transaction costs. In 2016, we recognized a net gain of $48.4 million on sales of 28.0 million shares of our investment in BM&amp;FBOVESPA compared with a net loss of $8.5 million on sales of 41.0 million shares of BM&amp;FBOVESPA in 2015. The increases in investment income were partially offset by decreases in dividend income from 2015 to 2017.</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Interest and other borrowing costs were higher in 2016 when compared with 2015 and 2017 due to an increase in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commitment fees in 2016.</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contributed to increases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net earnings (losses) of unconsolidated subsidiaries from 2015 through 2017.</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From 2015 to 2017, we recognized higher expenses related to the distribution of interest earned on performance bond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reinvestment to the clearing firms. These expenses are included in other non-operating income (expense).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April 2015, we repurchased the $612.5 million 4.40% notes due 2018 and paid a call premium of $60.5 million. As a result of the transaction, we recognized debt prepayment costs of $61.8 million, including the call premium, as other non-operating income (expense). In the first quarter of 2015, we received a termination fee of $22.5 million, net of the portion paid to outside advisers, related to our proposed acquisition of GFI Group, which also was classified as other non-operating income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0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7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2017-2016</w:t>
            </w: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2016-2015</w:t>
            </w:r>
          </w:p>
        </w:tc>
      </w:tr>
      <w:tr>
        <w:trPr>
          <w:trHeight w:val="243"/>
        </w:trPr>
        <w:tc>
          <w:tcPr>
            <w:tcW w:w="4340" w:type="dxa"/>
            <w:vAlign w:val="bottom"/>
            <w:shd w:val="clear" w:color="auto" w:fill="CCEEFF"/>
          </w:tcPr>
          <w:p>
            <w:pPr>
              <w:jc w:val="right"/>
              <w:ind w:right="2399"/>
              <w:spacing w:after="0"/>
              <w:rPr>
                <w:sz w:val="20"/>
                <w:szCs w:val="20"/>
                <w:color w:val="auto"/>
              </w:rPr>
            </w:pPr>
            <w:r>
              <w:rPr>
                <w:rFonts w:ascii="Arial" w:cs="Arial" w:eastAsia="Arial" w:hAnsi="Arial"/>
                <w:sz w:val="18"/>
                <w:szCs w:val="18"/>
                <w:color w:val="auto"/>
                <w:w w:val="89"/>
              </w:rPr>
              <w:t>Year ended December 31</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1"/>
              </w:rPr>
              <w:t>(60.8)%</w:t>
            </w:r>
          </w:p>
        </w:tc>
        <w:tc>
          <w:tcPr>
            <w:tcW w:w="1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32.9%</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36.3%</w:t>
            </w:r>
          </w:p>
        </w:tc>
        <w:tc>
          <w:tcPr>
            <w:tcW w:w="17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overall decrease in the effective tax rate in 2017 when compared with 2016 was primarily due to the remeasurement of the deferred tax liabilities as a result of the recent U.S. income tax reform. The decrease was partially offset by expense from a state and local tax law change recorded in the third quarter of 2017 as well as from reclassifying income tax expense from other comprehensive income for the sale of the remaining BM&amp;FBOVESPA shares in the first quarter of 2017.</w:t>
      </w:r>
    </w:p>
    <w:p>
      <w:pPr>
        <w:spacing w:after="0" w:line="13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overall decrease in the effective tax rate in 2016 when compared with 2015 was due to an implementation of strategies to realize additional income tax benefits from the investment in BM&amp;FBOVESPA stock. The overall decrease in the effective tax rate was partially offset by additional tax expense recognized from the remeasurement of tax positions resulting from a state and local income tax law change in the second quarter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historically met our funding requirements with cash generated by our ongoing operations. While our cost structure is fixed in the short term, our sources of operating cash are largely dependent on contract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 through our committed revolving credit facilities.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2017. These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2021-2022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3,581.6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738.2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4,407.4</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240" w:hanging="652"/>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liability for gross unrecognized income tax benefits, including interest and penalties, of $342.8 million for uncertain tax positions are not included in the table due to uncertainty about the date of their settlement.</w:t>
      </w:r>
    </w:p>
    <w:p>
      <w:pPr>
        <w:spacing w:after="0" w:line="1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leases include rent payments for office space in Chicago, New York and other smaller offices in the United States and in various foreign countries. The operating lease for our headquarters in Chicago expires in 2032. Annual minimum rental payments under this lease range from $12.5 million to $19.7 million. We also maintain operating leases for additional office spaces and datacenter spaces in Chicago, which expire in November 2023, April 2027 and March 2031. Annual minimum rental payments under these leases range from $5.7 million to $6.2 million, $3.4 million to $4.3 million, and $16.8 million to $18.3 million, respectively. The operating lease for our office space in New York expires in December 2028. Annual minimum rental payments under this lease range from $13.1 million to $14.5 million.</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Purchase obligations include minimum payments due under agreements to advertising, licensing, hardware, software and maintenance as well as telecommunication services. Debt obligations include repayment of principal and interest associated with the debt obligations. Other long-term liabilities include funding obligations for other post-retirement benefit plans.</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increased system capacity, performance improvements as well as improvements to some of our office spaces. Each year, capital expenditures are incurred for improvements to and expansion of our offices, remote data centers, telecommunications network and other operating equipment. In 2018, we expect capital expenditures to total approximately $90.0 million to $100.0 million. We continue to monitor our capital needs and may revise our forecasted expenditures as necessary in the future.</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which is set at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7, 2018, the board of directors declared a regular quarterly dividend of $0.70 per share. The dividend will be payable on March 26, 2018 to shareholders of record on March 9, 2018. Assuming no changes in the number of shares outstanding, the first quarter dividend payment will total approximately $237.0 million. The board of directors also declared an additional, annual variable dividend of $3.50 per share on December 6, 2017 paid on January 16, 2018 to the shareholders of record on December 28, 2017. In general, the amount of the annual variable dividend will be determined by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1,840.4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4"/>
              </w:rPr>
              <w:t>14%</w:t>
            </w:r>
          </w:p>
        </w:tc>
      </w:tr>
      <w:tr>
        <w:trPr>
          <w:trHeight w:val="243"/>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179.9</w:t>
            </w:r>
          </w:p>
        </w:tc>
        <w:tc>
          <w:tcPr>
            <w:tcW w:w="4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53.7</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660" w:type="dxa"/>
            <w:vAlign w:val="bottom"/>
            <w:gridSpan w:val="2"/>
          </w:tcPr>
          <w:p>
            <w:pPr>
              <w:ind w:left="1040"/>
              <w:spacing w:after="0"/>
              <w:rPr>
                <w:sz w:val="20"/>
                <w:szCs w:val="20"/>
                <w:color w:val="auto"/>
              </w:rPr>
            </w:pPr>
            <w:r>
              <w:rPr>
                <w:rFonts w:ascii="Arial" w:cs="Arial" w:eastAsia="Arial" w:hAnsi="Arial"/>
                <w:sz w:val="18"/>
                <w:szCs w:val="18"/>
                <w:color w:val="auto"/>
              </w:rPr>
              <w:t>n.m.</w:t>
            </w:r>
          </w:p>
        </w:tc>
        <w:tc>
          <w:tcPr>
            <w:tcW w:w="1560" w:type="dxa"/>
            <w:vAlign w:val="bottom"/>
          </w:tcPr>
          <w:p>
            <w:pPr>
              <w:ind w:left="1060"/>
              <w:spacing w:after="0"/>
              <w:rPr>
                <w:sz w:val="20"/>
                <w:szCs w:val="20"/>
                <w:color w:val="auto"/>
              </w:rPr>
            </w:pPr>
            <w:r>
              <w:rPr>
                <w:rFonts w:ascii="Arial" w:cs="Arial" w:eastAsia="Arial" w:hAnsi="Arial"/>
                <w:sz w:val="18"/>
                <w:szCs w:val="18"/>
                <w:color w:val="auto"/>
              </w:rPr>
              <w:t>n.m.</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(1,985.3)</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(1,620.5)</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32</w:t>
            </w:r>
          </w:p>
        </w:tc>
      </w:tr>
      <w:tr>
        <w:trPr>
          <w:trHeight w:val="27"/>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increase in net cash provided by operating activities in 2017 when compared with 2016 was largely attributable to higher investment income related to our reinvestment of cash performance bonds and guaranty fund collateral, net of the distribution of interest earned to the clearing firms, as well as an increase in trading volumes and the reduction of restricted cash related to the CME Clearing Europe Limited (CMECE) guaranty fund.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2016 when compared with 2015 was attributable to higher clearing and transaction fees and market data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increases in cash provided by investing activities from 2015 through 2017 were due to proceeds from the sale of BM&amp;FBOVESPA shares as well as declines in purchases of property and equipment. The increase in 2017 when compared with 2016 was also attributable to the sale of the remaining Bolsa Mexicana de Valores, S.A.B. de C.V.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increases in cash used by financing activities from 2015 through 2017 were attributable to higher cash dividends declared in 2017 and 2016. The increase in 2016 was partially offset by proceeds from a finance lease obligation related to the sale leaseback of the datacenter in the first quarter of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0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30"/>
        </w:trPr>
        <w:tc>
          <w:tcPr>
            <w:tcW w:w="73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30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2" w:lineRule="exact"/>
        <w:rPr>
          <w:sz w:val="20"/>
          <w:szCs w:val="20"/>
          <w:color w:val="auto"/>
        </w:rPr>
      </w:pPr>
    </w:p>
    <w:p>
      <w:pPr>
        <w:ind w:left="660" w:right="200" w:hanging="328"/>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December 2014, we entered into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effectively became fixed at a rate of 4.73%.</w:t>
      </w:r>
    </w:p>
    <w:p>
      <w:pPr>
        <w:spacing w:after="0" w:line="14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maintain a $2.3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w:t>
      </w:r>
    </w:p>
    <w:p>
      <w:pPr>
        <w:sectPr>
          <w:pgSz w:w="11900" w:h="16838" w:orient="portrait"/>
          <w:cols w:equalWidth="0" w:num="1">
            <w:col w:w="11420"/>
          </w:cols>
          <w:pgMar w:left="240" w:top="122"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term of the agreements (and in no event greater than $2.0 billion in aggregate), multiplied by 0.65. We currently do not have any borrowings outstanding under this facility.</w:t>
      </w:r>
    </w:p>
    <w:p>
      <w:pPr>
        <w:spacing w:after="0" w:line="11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of a defaulting firm can be used to collateralize the facility. At December 31, 2017, guaranty funds available to collateralize the facility totaled $7.8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2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we sold our datacenter in the Chicago area for $130.0 million. At the time of the sale, we leased back a portion of the property. Under generally accepted accounting principles, the transaction has been accounted for under the financing method instead of a sale leaseback arrangement because our participation in future revenues and development work constitute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2017, we have excess borrowing capacity for general corporate purposes of approximately $2.3 billion under our multi-currency revolving senior credit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were in compliance with the various covenant requirements of all our debt facilities.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or U.S. dollars in lieu of, or in combination with, irrevocable letters of credit. At December 31, 2017, we had pledged letters of credit totaling $285.0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did not have any off-balance sheet arrangements as defined by Securities and Exchange Commission rules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Cash and cash equivalents totaled $1.9 billion at both December 31, 2017 and 2016.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general corporate purposes because of regulatory requirements or other restrictions is classified as restricted cash and is included in other current assets or other assets in the consolidated balance sheets.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no contribution will be necessary in 2018 as we have exceeded our funding goal by $74.1 million in 2017. However, the amount of the actual contribution is contingent on various factors, including the actual rate of return on our plan assets during 2018 and the December 31, 2018 discount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CME is regulated by the CFTC as U.S. Derivatives Clearing Organizations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Dodd-Frank. As a result, CME must comply with the requirements for financial resources and liquidity resources. CME is in compliance with all DCO financial requirements.</w:t>
      </w:r>
    </w:p>
    <w:p>
      <w:pPr>
        <w:spacing w:after="0" w:line="10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Debt outstanding at December 31, 2017 consisted of fixed-rate borrowings of $2.2 billion. Changes in interest rates impact the fair values of fixed-rate debt, but do not impact earnings or cash flows. We did not have any variable-rate borrowings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clearing house acts as the counterparty to all trades consummated on our exchanges as well as through third 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swaps products, including interest rate swaps and credit default swaps.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16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separate financial safeguard packages:</w:t>
      </w:r>
    </w:p>
    <w:p>
      <w:pPr>
        <w:spacing w:after="0" w:line="225" w:lineRule="exact"/>
        <w:rPr>
          <w:sz w:val="20"/>
          <w:szCs w:val="20"/>
          <w:color w:val="auto"/>
        </w:rPr>
      </w:pPr>
    </w:p>
    <w:p>
      <w:pPr>
        <w:ind w:left="660" w:right="5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interest rate swap and credit default swap contracts (base package);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financial safeguard package for cleared credit default swap contracts.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2017, aggregate performance bond deposits for clearing firms for all three financial safeguard packages was $130.9 billion, including $41.8 billion of cash performance bond deposits and $2.3 billion of letters of credit. A defaulting firm's performance bond deposits can be used in the event of default of that clearing firm.</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2017 in the event of a payment default by a clearing firm for the base financial safeguard package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6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8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4,635.8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8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12,748.4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CME Clearing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ind w:left="660" w:right="20" w:hanging="652"/>
        <w:spacing w:after="0" w:line="24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2017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1560" w:type="dxa"/>
            <w:vAlign w:val="bottom"/>
          </w:tcPr>
          <w:p>
            <w:pPr>
              <w:jc w:val="right"/>
              <w:ind w:right="39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73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2,571.7</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CME Clearing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240" w:hanging="652"/>
        <w:spacing w:after="0" w:line="25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w:t>
      </w:r>
    </w:p>
    <w:p>
      <w:pPr>
        <w:spacing w:after="0" w:line="18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following shows the available assets for the credit default swap financial safeguard package at December 31, 2017 in the event of a payment default by a clearing firm that clears credit default swap contracts, after first utilizing the defaulting firm's available assets: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154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Designated corporate contributions for credit default swap contracts</w:t>
            </w:r>
            <w:r>
              <w:rPr>
                <w:rFonts w:ascii="Arial" w:cs="Arial" w:eastAsia="Arial" w:hAnsi="Arial"/>
                <w:sz w:val="25"/>
                <w:szCs w:val="25"/>
                <w:color w:val="auto"/>
                <w:vertAlign w:val="superscript"/>
              </w:rPr>
              <w:t>(1)</w:t>
            </w:r>
          </w:p>
        </w:tc>
        <w:tc>
          <w:tcPr>
            <w:tcW w:w="2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0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20" w:hanging="652"/>
        <w:spacing w:after="0" w:line="24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140" w:hanging="652"/>
        <w:spacing w:after="0" w:line="25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credit default swap guaranty fund.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September 2017, we announced our plans to exit the credit default swap business by mid-2018.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foreign currency transaction risk related to changes in exchange rates on British pound cash balances held at subsidiaries with a U.S. dollar functional currency. Gains and losses on foreign currency transactions result when subsidiaries with a U.S. dollar functional currency hold cash as well as certain other assets and liabilities denominated in foreign currencies. During 2017, the exchange rate between the British pound and the U.S. dollar fluctuated from a high of $1.36 per pound to a low of $1.20 per pound. Aggregate transaction gains (losses) for 2017, 2016 and 2015 were $9.4 million, $(24.5) million and $(11.3) million, respectively. We expect the foreign currency gain/loss to continue to fluctuate as long as we continue to hold cash as well as certain assets and liabilities at those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2017, 2016 and 2015 were $7.5 million, $(6.9) million and $(6.6) million,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portion of performance bond deposits is denominated in foreign currency.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122" w:right="4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2"/>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$2.2 and $3.5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$0 and $30.0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46,906.5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40,031.5</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$2.4 and $61.7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1,726.6</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69,369.4</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44,185.3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37,542.7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45,672.9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38,945.6</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2,231.2</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7,291.0</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560.9</w:t>
            </w: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49,028.7</w:t>
            </w:r>
          </w:p>
        </w:tc>
      </w:tr>
      <w:tr>
        <w:trPr>
          <w:trHeight w:val="183"/>
        </w:trPr>
        <w:tc>
          <w:tcPr>
            <w:tcW w:w="12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December 31, 2017 and 2016; none issued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as of December 31, 2017 and 2016,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339,235 and 338,240 shares issued and outstanding as of December 31, 2017 and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89"/>
              </w:rPr>
              <w:t>Class B common stock, $0.01 par value, 3 shares authorized, issued and outstanding as of December 31, 2017</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40" w:type="dxa"/>
            <w:vAlign w:val="bottom"/>
          </w:tcPr>
          <w:p>
            <w:pPr>
              <w:ind w:left="380"/>
              <w:spacing w:after="0"/>
              <w:rPr>
                <w:sz w:val="20"/>
                <w:szCs w:val="20"/>
                <w:color w:val="auto"/>
              </w:rPr>
            </w:pPr>
            <w:r>
              <w:rPr>
                <w:rFonts w:ascii="Arial" w:cs="Arial" w:eastAsia="Arial" w:hAnsi="Arial"/>
                <w:sz w:val="18"/>
                <w:szCs w:val="18"/>
                <w:color w:val="auto"/>
              </w:rPr>
              <w:t>and 2016</w:t>
            </w:r>
          </w:p>
        </w:tc>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17,826.9</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4,497.2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2,524.5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22,411.8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75,791.2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69,369.4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3,098.6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709.8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336,224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340,226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337,894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7"/>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Ineffectiveness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6"/>
              </w:rPr>
              <w:t>Amortization of effective portion of net (gains) losses on cash flow hedges included in interest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4,091.8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1,600.8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1,160.0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2" w:name="page53"/>
    <w:bookmarkEnd w:id="52"/>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on common stock of $4.90 per share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(1,656.7)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effect and gain related to purchase of non-controlling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Excess tax benefits from option exercises and restricted stock</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17,725.0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2,907.6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1"/>
              </w:rPr>
              <w:t>$ 17,725.0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1,534.1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attributable to CME Group</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on common stock of $5.65 per share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(1,917.2)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w w:val="98"/>
              </w:rPr>
              <w:t>Excess tax benefits from option exercises and restricted stock</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1"/>
              </w:rPr>
              <w:t>$ 17,830.3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4,063.4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4,063.4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attributable to CME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on common stock of $6.14 per share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Impact of adoption of standards update on employee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payments, net of tax</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Shares issued under 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339,235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17,900.3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4,497.2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4,063.4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datacenter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sale of BM&amp;FBOVESPA shares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Bolsa Mexicana de Valores, S.A.B de C.V.</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3"/>
              </w:rPr>
              <w:t>Income tax expense reclassified from accumulated other comprehensive income upon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final sale of BM&amp;FBOVESPA shares</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prepayment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1,532.5</w:t>
            </w:r>
          </w:p>
        </w:tc>
      </w:tr>
      <w:tr>
        <w:trPr>
          <w:trHeight w:val="169"/>
        </w:trPr>
        <w:tc>
          <w:tcPr>
            <w:tcW w:w="6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business ventures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Bolsa Mexicana de Valores, S.A.B de C.V.</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1,366.1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762.8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Declaration of annual variable dividend, payable in January 2018, January 2017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January 2016</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977.1</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Inc. (CME Group), are designated contract markets for the trading of futures and options on futures contracts. CME, CBOT, NYMEX, COMEX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8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CME Group offers a wide range of products for trading and/or clearing, including those based on interest rates, equity indexes, foreign exchange, energy, agricultural commodities and metals. Trades are executed through CME Group's electronic trading platforms, open outcry and privately negotiated transactions. Through its clearing house, CME Group offers clearing, settlement and guarantees for all products cleared through the exchange.</w:t>
      </w:r>
    </w:p>
    <w:p>
      <w:pPr>
        <w:spacing w:after="0" w:line="14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April 2017, the company announced the wind down of CME Clearing Europe Limited (CMECE) and CME Europe Limited (CME Europe) which was completed by year end. In September 2017, the company also announced we will exit the credit default swaps business by mid-2018.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and include the accounts of the company and its subsidiaries. All intercompany transactions and balances have been eliminated.</w:t>
      </w:r>
    </w:p>
    <w:p>
      <w:pPr>
        <w:spacing w:after="0" w:line="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Financial Investments. </w:t>
      </w:r>
      <w:r>
        <w:rPr>
          <w:rFonts w:ascii="Arial" w:cs="Arial" w:eastAsia="Arial" w:hAnsi="Arial"/>
          <w:sz w:val="16"/>
          <w:szCs w:val="16"/>
          <w:color w:val="auto"/>
        </w:rPr>
        <w:t>The company maintains short-term and long-term investments, classified as available-for-sale or trading securities. Available-for-sale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Also, the company maintains long-term investments accounted for under the cost method and equity method, depending upon the degree of influence over the investee as held by the company.</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69"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Derivative Investments. </w:t>
      </w:r>
      <w:r>
        <w:rPr>
          <w:rFonts w:ascii="Arial" w:cs="Arial" w:eastAsia="Arial" w:hAnsi="Arial"/>
          <w:sz w:val="17"/>
          <w:szCs w:val="17"/>
          <w:color w:val="auto"/>
        </w:rPr>
        <w:t>The company uses derivative instruments, designated as cash flow hedges, to limit exposure to changes in interest rates.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recorded at fair value in the consolidated balance sheets. The effective portion of the changes in the fair value of cash flow hedges is deferred in accumulated other comprehensive income. Any realized gains and losses from effective hedges are classified as interest expense in the consolidated statements of income, and any ineffective or excluded portion of a hedge is recognized in earnings immediately.</w:t>
      </w:r>
    </w:p>
    <w:p>
      <w:pPr>
        <w:spacing w:after="0" w:line="5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comprised of trade receivables and unbilled revenue. All accounts receivable are stated at cost.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on receivables for clearing and transaction fees and other amounts owed by clearing firms is dependent on each clearing firm's financial condition and the memberships that collateralize fees owed to the exchange. The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exchange retains the right to liquidate exchange memberships to satisfy a clearing firm's receivable. The allowance for doubtful accounts is calculated based on historical losses and management's assessment of probable future collections.</w:t>
      </w:r>
    </w:p>
    <w:p>
      <w:pPr>
        <w:spacing w:after="0" w:line="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CME investments accrues to CME and is included in investment income in the consolidated statements of income. CME may distribute any interest earned on its investments to the clearing firms at its discretion. Because CME has control of the cash collateral and the benefits and risks of ownership accrue to CME, cash performance bonds and guaranty fund contributions are reflected in the consolidated balance sheets. Performance bonds and guaranty fund contributions assets on the consolidated balance sheets can include reinvestments in U.S. Treasury and U.S. government agency securities with maturity dates of 90 days or less. U.S. Treasury and U.S. government agency securities can be purchased by CME, at its discretion, using cash collateral.</w:t>
      </w:r>
    </w:p>
    <w:p>
      <w:pPr>
        <w:spacing w:after="0" w:line="7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w:t>
      </w:r>
    </w:p>
    <w:p>
      <w:pPr>
        <w:spacing w:after="0" w:line="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Most leases in which the company is the tenant are accounted for as operating leases. Landlord allowances are recorded as a reduction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rent expense on a straight-line basis over the term of the lease. For sale leaseback transactions, the company evaluates the sale and the lease arrangement based on the company's continuing involvement and recognizes the sale leaseback as either a sale leaseback transaction or under the financing method, which requires the asset to remain on the consolidated balance sheets throughout the term of the lease and the proceeds to be recognized as a finance lease obligation. A portion of the lease payments is recognized as a reduction of the finance lease obligation and a portion is recognized as interest expense based on an imputed interest rate.</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represents the excess of the purchase price over the fair value of the net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company reviews goodwill and indefinite-lived intangible assets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evaluates the recoverability of indefinite-lived intangible assets at least quarterly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book value of the amortizing asset to undiscounted cash flows. If the book value exceeds the undiscounted cash flows,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is then required to estimate the fair value of the assets and record an impairment loss for the excess of the carrying value over the fair value and annually challenge the useful lives.</w:t>
      </w:r>
    </w:p>
    <w:p>
      <w:pPr>
        <w:spacing w:after="0" w:line="58"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acquisition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currency denominated assets and liabilities are re-measured into the functional currency using period-end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2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earned for the dissemination of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9"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360"/>
        <w:spacing w:after="0" w:line="34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various telecommunications hubs located internationally as well as networks and services in the Chicago and New York City facilities. Revenue is billed and recognized on a monthly basis.</w:t>
      </w:r>
    </w:p>
    <w:p>
      <w:pPr>
        <w:spacing w:after="0" w:line="16" w:lineRule="exact"/>
        <w:rPr>
          <w:sz w:val="20"/>
          <w:szCs w:val="20"/>
          <w:color w:val="auto"/>
        </w:rPr>
      </w:pPr>
    </w:p>
    <w:p>
      <w:pPr>
        <w:ind w:left="440" w:right="360"/>
        <w:spacing w:after="0" w:line="308" w:lineRule="auto"/>
        <w:rPr>
          <w:sz w:val="20"/>
          <w:szCs w:val="20"/>
          <w:color w:val="auto"/>
        </w:rPr>
      </w:pPr>
      <w:r>
        <w:rPr>
          <w:rFonts w:ascii="Arial" w:cs="Arial" w:eastAsia="Arial" w:hAnsi="Arial"/>
          <w:sz w:val="17"/>
          <w:szCs w:val="17"/>
          <w:i w:val="1"/>
          <w:iCs w:val="1"/>
          <w:color w:val="auto"/>
        </w:rPr>
        <w:t xml:space="preserve">Other Revenues. </w:t>
      </w:r>
      <w:r>
        <w:rPr>
          <w:rFonts w:ascii="Arial" w:cs="Arial" w:eastAsia="Arial" w:hAnsi="Arial"/>
          <w:sz w:val="17"/>
          <w:szCs w:val="17"/>
          <w:color w:val="auto"/>
        </w:rPr>
        <w:t>Other revenues include fees for collateral management and fees for trade order routing through agreements from various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as well as other services to members and clearing firms. Revenue is recognized as services are provided.</w:t>
      </w:r>
    </w:p>
    <w:p>
      <w:pPr>
        <w:spacing w:after="0" w:line="38" w:lineRule="exact"/>
        <w:rPr>
          <w:sz w:val="20"/>
          <w:szCs w:val="20"/>
          <w:color w:val="auto"/>
        </w:rPr>
      </w:pPr>
    </w:p>
    <w:p>
      <w:pPr>
        <w:ind w:left="440" w:right="60"/>
        <w:spacing w:after="0" w:line="297" w:lineRule="auto"/>
        <w:rPr>
          <w:sz w:val="20"/>
          <w:szCs w:val="20"/>
          <w:color w:val="auto"/>
        </w:rPr>
      </w:pPr>
      <w:r>
        <w:rPr>
          <w:rFonts w:ascii="Arial" w:cs="Arial" w:eastAsia="Arial" w:hAnsi="Arial"/>
          <w:sz w:val="16"/>
          <w:szCs w:val="16"/>
          <w:i w:val="1"/>
          <w:iCs w:val="1"/>
          <w:color w:val="auto"/>
        </w:rPr>
        <w:t xml:space="preserve">Concentration of Revenue. </w:t>
      </w:r>
      <w:r>
        <w:rPr>
          <w:rFonts w:ascii="Arial" w:cs="Arial" w:eastAsia="Arial" w:hAnsi="Arial"/>
          <w:sz w:val="16"/>
          <w:szCs w:val="16"/>
          <w:color w:val="auto"/>
        </w:rPr>
        <w:t>One firm represented 13% and another firm represented 12% of the company's clearing and transaction fees revenue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One firm represented 13% and another firm represented 11% of the company's clearing and transaction fees revenue in 2016. One firm represented 13% of the company's clearing and transaction fees revenue in 2015.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50"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The two largest resellers of market data represented approximately 45% of market data and information services revenue in 2017, 40% in 2016, and 43% in 2015. Should one of these vendors no longer subscribe to the company's market data,</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200"/>
        <w:spacing w:after="0" w:line="342" w:lineRule="auto"/>
        <w:rPr>
          <w:sz w:val="20"/>
          <w:szCs w:val="20"/>
          <w:color w:val="auto"/>
        </w:rPr>
      </w:pPr>
      <w:r>
        <w:rPr>
          <w:rFonts w:ascii="Arial" w:cs="Arial" w:eastAsia="Arial" w:hAnsi="Arial"/>
          <w:sz w:val="16"/>
          <w:szCs w:val="16"/>
          <w:color w:val="auto"/>
        </w:rPr>
        <w:t>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1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at fair value, which is based on the grant date price of the equity awards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Beginning in 2017, the company recognizes expense for forfeitures of stock grants as they occur.</w:t>
      </w:r>
    </w:p>
    <w:p>
      <w:pPr>
        <w:spacing w:after="0" w:line="7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CME, CBOT, NYMEX and</w:t>
      </w:r>
      <w:r>
        <w:rPr>
          <w:rFonts w:ascii="Arial" w:cs="Arial" w:eastAsia="Arial" w:hAnsi="Arial"/>
          <w:sz w:val="18"/>
          <w:szCs w:val="18"/>
          <w:b w:val="1"/>
          <w:bCs w:val="1"/>
          <w:color w:val="auto"/>
        </w:rPr>
        <w:t xml:space="preserve"> </w:t>
      </w:r>
      <w:r>
        <w:rPr>
          <w:rFonts w:ascii="Arial" w:cs="Arial" w:eastAsia="Arial" w:hAnsi="Arial"/>
          <w:sz w:val="18"/>
          <w:szCs w:val="18"/>
          <w:color w:val="auto"/>
        </w:rPr>
        <w:t>COMEX. The remaining operations do not meet the thresholds for reporting separate segment information.</w:t>
      </w:r>
    </w:p>
    <w:p>
      <w:pPr>
        <w:spacing w:after="0" w:line="5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Newly Adopted and Recently Issued Accounting Pronouncements. </w:t>
      </w:r>
      <w:r>
        <w:rPr>
          <w:rFonts w:ascii="Arial" w:cs="Arial" w:eastAsia="Arial" w:hAnsi="Arial"/>
          <w:sz w:val="16"/>
          <w:szCs w:val="16"/>
          <w:color w:val="auto"/>
        </w:rPr>
        <w:t>In March 2016, the Financial Accounting Standards Board (FASB) issued a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update that changes certain aspects of accounting for share-based payments to employees. The guidance requires all income tax effects of awards to be recognized in the income statement when the awards vest or are settled. It also allows an employer to repurchase more of an employee’s shares for tax withholding purposes without triggering liability accounting and to make a policy election to account for forfeitures as they occur. The company implemented this standards update as of January 1, 2017 on a prospective basis. Starting in the first quarter of 2017, all income tax effects of awards are recognized in the income statement as part of income tax expense when the awards vest or are settled. For the year-ended 2017, the company recognized a net tax benefit of $13.9 million related to the income tax effects of awards as part of income tax expense. The company also adopted a policy to recognize forfeitures as compensation expense as the forfeitures occur. Previously, the company estimated the number of awards that would be forfeited and recognized the estimate as part of compensation expense. This policy change was adopted on a modified retrospective basis with a cumulative-effect adjustment to additional paid in capital and retained earnings as of January 1, 2017. The excess tax benefits are now reported as an operating activity within the change in income taxes payable instead of a financing activity on the statements of cash flows. Prior periods have not been adjusted for this change. The employee taxes paid by the company when the company withholds shares for tax-withholding purposes when restricted stock awards vest are now classified as a financing activity on the statements of cash flows. Prior periods have been adjusted for this change.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The company has completed the contract review and implementation phases and will adopt the standard as of January 1, 2018 using the modified retrospective approach. Management will recognize a $8.7 million reduction to the opening balance of retained earnings as of January 1, 2018 upon adoption of the standard, which it believes to be an immaterial impact to the consolidated financial statements. The adjustment to the opening balance of retained earnings primarily relates to a deferral of a portion of clearing and transaction fees revenue earned and recognized subsequent to the contract trade execution date. The on-going application of the new standard is not expected to have a material impact on the company's financial statements. The adoption of the guidance will also include expanded disclosures within the notes to the consolidated financial statements.</w:t>
      </w:r>
    </w:p>
    <w:p>
      <w:pPr>
        <w:spacing w:after="0" w:line="40"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effective for reporting periods beginning after December 15, 2017. Early adoption is permitted. The company does not believe that the adoption of this guidance in 2018 will have a material impact on the consolidated financial statements.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Adoption of the guidance in 2019 will result in the gross-up of our balance sheet to reflect the present value of the lease payments over the lease term and offsetting lease liability at the lease commencement date. Presentation of lease expense and the pattern of expense recognition in the income statement is expected to remain materially consistent with existing lease accounting guidance.</w:t>
      </w:r>
    </w:p>
    <w:p>
      <w:pPr>
        <w:spacing w:after="0" w:line="1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does not believe that the adoption of this guidance in 2020 will have a material impact on the consolidated financial statements.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The adoption of this guidance in 2018 will not have a material impact on the consolidated financial statements.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The company will change the presentation of certain components of pension cost upon adoption of this guidance in 2018; however, this change will not have a material impact on the consolidated financial statements.</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2017, the FASB issued a standards update that amends the existing hedge accounting model to enable entities to better reflect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The guidance is effective for fiscal years beginning after December 15, 2018. Early adoption is permitted. The company does not believe that the adoption of this standard will have a material impact on the consolidated financial statements.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2017, the staff of the Securities and Exchange Commission (SEC) issued a staff accounting bulletin that addresses situations where the accounting is incomplete for certain income tax effects of the Tax Cuts and Jobs Act (2017 Tax Act) by the time an entity issues its financial statements for 2017. The guidance provides for a measurement period of up to one year after the enactment date to finalize the recording of the related tax impacts. Under existing accounting guidance, entities are required to adjust current and deferred tax liabilities and assets for the effects of changes in tax laws or rates at their date of</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enactment. However, pursuant to the staff accounting bulletin, if an entity does not have the necessary information available, prepared, or analyzed for certain income tax effects of the 2017 Tax Act at the time an entity's financial statements are issued, an entity may include provisional amounts to reflect its accounting for the change in tax law. The measurement period ends when the company has obtained, prepared and analyzed the information necessary to finalize its accounting, but cannot extend beyond one year. Additional information regarding the adoption of this guidance is contained in note 9.</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February 2018, the FASB issued guidance that gives entities the option to reclassify to retained earnings the tax effects related to items in accumulated other comprehensive income (AOCI) that were previously stranded within AOCI as a result of applying the 2017 Tax Act. An entity that elects to reclassify these amounts must reclassify stranded tax effects related to the change in federal tax rate for all items accounted for within AOCI. Entities can also elect to reclassify other stranded tax effects that relate to the 2017 Tax Act but do not directly relate to the change in federal rate. Tax effects that are stranded in AOCI for other reasons may not be reclassified. These amendments should be applied either in the period of adoption as a cumulative adjustment to the opening balance of retained earnings or retrospectively to each period in which the effect of the 2017 Tax Act is recognized. This guidance is effective for entities with fiscal years beginning after December 15, 2018. Early adoption is permitted. The company is in the process of evaluating the impact of this guidance on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6"/>
              </w:rPr>
              <w:t>2016</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 debt securities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corporate debt securities are maintained for a non-qualified retirement and benefit plan under the COMEX Members' Recognition and Retention Plan (MRRP) (note</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10).</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and gross unrealized losses of the asset-backed security were $0.3 million and $0.3 million, respectively, at December 31, 2017. The asset-backed security was in an unrealized loss position for more than 12 months at December 31, 2017 and was deemed not to be other-than-temporarily impaired. The company does not intend to sell and is not required to sell this asset-backed security prior to maturity.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corporate debt securities and asset-backed security at December 31, 2017, by contractual maturity,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The company maintains additional investments in a diverse portfolio of mutual funds related to its non-qualified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plans (note 10). The fair value of these securities was $68.9 million and $62.7 million at December 31, 2017 and 2016,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clearing house clears and guarantees the settlement of contracts traded in its markets. In its guarantor role, the clearing house has precisely equal and offsetting claims to and from clearing firms on opposite sides of each contract, standing as an intermediary on every contract cleared. Clearing firm positions in the United States are held according to Commodity and</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clearing firm is required to deposit and maintain balances in the form of cash, U.S. government securities, certain foreign government securities, bank letters of credit or other approved investments to satisfy performance bond and guaranty fund requirements. All non-cash deposits are marked-to-market and haircut on a daily basis. Securities deposited by the clearing firms are not reflected in the consolidated financial statements and the clearing house does not earn any interest on these deposits. These balances may fluctuate significantly over time due to investment choices available to clearing firms and changes in the amount of contributions required.</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or letters of credit.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clearing house marks-to-market open positions at least once a day (twice a day for futures and options contracts), and require payment from clearing firms whose positions have lost value and make payments to clearing firms whose positions have gained value. The clearing house has the capability to mark-to-market more frequently as market conditions warrant.</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extremely unlikely scenario of simultaneous default by every clearing firm who has open positions with unrealized losses, the maximum exposure related to positions other than credit default and interest rate swap contracts would be one half day of changes in fair value of all open positions, before considering the clearing houses' ability to access defaulting clearing firms' collateral deposits. For cleared credit default swap and interest rate swap contracts, the maximum exposure related to CME's guarantee would be one full day of changes in fair value of all open positions, before considering CME's ability to access defaulting clearing firms' collateral. During 2017, the clearing house transferred an average of approximately $2.4 billion a day through the clearing system for settlement from clearing firms whose positions had lost value to clearing firms whose positions had gained value. The clearing house reduces the guarantee exposure through initial and maintenance performance bond requirements and mandatory guaranty fund contributions. The company believes that the guarantee liability is immaterial and therefore has not recorded any liability at December 31, 2017.</w:t>
      </w:r>
    </w:p>
    <w:p>
      <w:pPr>
        <w:spacing w:after="0" w:line="13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31, 2016, performance bond and guaranty fund contribution assets on the consolidated balance sheets included cash as well as U.S. Treasury and U.S. government agency securities with maturity dates of 90 days or less. The U.S. Treasury and U.S. government agency securities were purchased by CME, at its discretion, using cash collateral. The benefits, including interest earned, and risks of ownership accrue to CME. Interest earned is included in investment income on the consolidated statements of income. There were no U.S. Treasury and U.S. government agency securities held at December 31,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these securities at December 31, 2016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2016</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96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Amortized</w:t>
            </w:r>
          </w:p>
        </w:tc>
        <w:tc>
          <w:tcPr>
            <w:tcW w:w="480" w:type="dxa"/>
            <w:vAlign w:val="bottom"/>
          </w:tcPr>
          <w:p>
            <w:pPr>
              <w:spacing w:after="0"/>
              <w:rPr>
                <w:sz w:val="13"/>
                <w:szCs w:val="13"/>
                <w:color w:val="auto"/>
              </w:rPr>
            </w:pPr>
          </w:p>
        </w:tc>
        <w:tc>
          <w:tcPr>
            <w:tcW w:w="98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5,548.9</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5,549.0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1,228.3</w:t>
            </w:r>
          </w:p>
        </w:tc>
        <w:tc>
          <w:tcPr>
            <w:tcW w:w="4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maintains a cash account at the Federal Reserve Bank of Chicago. At December 31, 2017 and December 31, 2016, CME maintained $34.2 billion and $6.2 billion, respectively, within the cash account at the Federal Reserve Bank of Chicago.</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Clearing firms, at their option, may instruct CME to deposit the cash held by CME into one of the IEF programs. The total principal in the IEF programs was $1.1 billion at December 31, 2017 and $6.8 billion at December 31, 2016.</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2017.</w:t>
      </w:r>
    </w:p>
    <w:p>
      <w:pPr>
        <w:sectPr>
          <w:pgSz w:w="11900" w:h="16838" w:orient="portrait"/>
          <w:cols w:equalWidth="0" w:num="1">
            <w:col w:w="11420"/>
          </w:cols>
          <w:pgMar w:left="240" w:top="1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2017.</w:t>
      </w:r>
    </w:p>
    <w:p>
      <w:pPr>
        <w:spacing w:after="0" w:line="16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CME maintains separate guaranty funds to support the clearing firms that clear interest rate swap products and credit default swap products. The funds for interest rate and credit default swaps are independent of the base guaranty fund and are isolated to clearing firms for products in the respective asset class. Each clearing firm for cleared interest rate swaps and cleared credit default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 In the event that performance bonds, guaranty fund contributions and other assets required to support clearing membership of a defaulting clearing firm for cleared credit default swap contracts are inadequate to fulfill that clearing firm's outstanding financial obligation, the credit default swaps contracts guaranty fund is available to cover potential losses after first utilizing corporate contributions designated by CME to be used in the event of default of a cleared credit default swap clearing firm, which is equal to the greater of $50.0 million and 5% of the credit default swap guaranty fund, up to a maximum of $100.0 million. In September 2017, the company announced its plan to exit the credit default business by mid-2018. The disposal of the credit default swap business does not represent a strategic shift that would have a major effect on the company's operations and financial results and therefore will not be classified as discontinued operations.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2017, guaranty fund contributions available for CME clearing firms were $7.8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CME is required under the Commodity Exchange Act in the United States to segregate cash and securities deposited by clearing firms on behalf of its customers. In addition, CME requires segregation of all funds deposited by its clearing firms from operating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Cash and non-cash deposits held as performance bonds and guaranty fund contributions at fair value at December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2017</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2016</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bonds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41,809.5</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86,730.4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111,764.2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6,102.4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5,246.3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44,185.3</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92,854.3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37,543.5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117,361.8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Cash performance bonds include cash collateral reinvested in U.S. Treasury securities and U.S. government agency securities at December 31, 2016.</w:t>
      </w:r>
    </w:p>
    <w:p>
      <w:pPr>
        <w:spacing w:after="0" w:line="2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Cross-margin arrangements include collateral for the cross-margin accounts with OCC and FICC. The performance bond collateral for delivery includes deposits to meet CBOT delivery requirements.</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$111.0 million and $131.7 million at December 31, 2017 and 2016, respectively. Intraday settlements may be invested on an overnight basis and are offset by an equal liability owed to clearing firms.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4,033.5</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179.4</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293.4</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361.5</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1,022.4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ectPr>
          <w:pgSz w:w="11900" w:h="16838" w:orient="portrait"/>
          <w:cols w:equalWidth="0" w:num="1">
            <w:col w:w="11420"/>
          </w:cols>
          <w:pgMar w:left="240" w:top="122"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(943.7)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1,895.1</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1,896.3</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54"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2017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4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40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
        </w:trPr>
        <w:tc>
          <w:tcPr>
            <w:tcW w:w="73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r>
        <w:trPr>
          <w:trHeight w:val="27"/>
        </w:trPr>
        <w:tc>
          <w:tcPr>
            <w:tcW w:w="7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Total amortization expense for intangible assets was $95.5 million, $96.1 million and $99.4 million for the years ended December 31, 2017, 2016 and 2015, respectively. As of December 31, 2017,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within goodwill during the years ended December 31, 2017 and 2016</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BM&amp;FBOVESPA S.A. </w:t>
      </w:r>
      <w:r>
        <w:rPr>
          <w:rFonts w:ascii="Arial" w:cs="Arial" w:eastAsia="Arial" w:hAnsi="Arial"/>
          <w:sz w:val="17"/>
          <w:szCs w:val="17"/>
          <w:color w:val="auto"/>
        </w:rPr>
        <w:t>In 2017, the company sold its remaining 43.4 million shares of BM&amp;FBOVESPA S.A. (BM&amp;FBOVESPA) and recognized a gain of</w:t>
      </w:r>
      <w:r>
        <w:rPr>
          <w:rFonts w:ascii="Arial" w:cs="Arial" w:eastAsia="Arial" w:hAnsi="Arial"/>
          <w:sz w:val="17"/>
          <w:szCs w:val="17"/>
          <w:b w:val="1"/>
          <w:bCs w:val="1"/>
          <w:color w:val="auto"/>
        </w:rPr>
        <w:t xml:space="preserve"> </w:t>
      </w:r>
      <w:r>
        <w:rPr>
          <w:rFonts w:ascii="Arial" w:cs="Arial" w:eastAsia="Arial" w:hAnsi="Arial"/>
          <w:sz w:val="17"/>
          <w:szCs w:val="17"/>
          <w:color w:val="auto"/>
        </w:rPr>
        <w:t>$86.5 million, net of transaction costs, within investment income on the consolidated statements of income based on the average cost method. In conjunction with the final sale of shares, the company reclassified income tax expense of $87.8 million from accumulated other comprehensive income to the income tax provision. The company accounted for its investment in BM&amp;FBOVESPA as an available-for-sale security. The fair value and cost basis of the investment were $218.7 million and $157.0 million, respectively, at December 31, 2016.</w:t>
      </w:r>
    </w:p>
    <w:p>
      <w:pPr>
        <w:sectPr>
          <w:pgSz w:w="11900" w:h="16838" w:orient="portrait"/>
          <w:cols w:equalWidth="0" w:num="1">
            <w:col w:w="11420"/>
          </w:cols>
          <w:pgMar w:left="240" w:top="122"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Bolsa Mexicana de Valores, S.A.B de C.V. </w:t>
      </w:r>
      <w:r>
        <w:rPr>
          <w:rFonts w:ascii="Arial" w:cs="Arial" w:eastAsia="Arial" w:hAnsi="Arial"/>
          <w:sz w:val="17"/>
          <w:szCs w:val="17"/>
          <w:color w:val="auto"/>
        </w:rPr>
        <w:t>In 2017, the company sold its approximate 2% interest in Bolsa Mexicana de Valores, S.A.B. de C.V. (Bolsa</w:t>
      </w:r>
      <w:r>
        <w:rPr>
          <w:rFonts w:ascii="Arial" w:cs="Arial" w:eastAsia="Arial" w:hAnsi="Arial"/>
          <w:sz w:val="17"/>
          <w:szCs w:val="17"/>
          <w:b w:val="1"/>
          <w:bCs w:val="1"/>
          <w:color w:val="auto"/>
        </w:rPr>
        <w:t xml:space="preserve"> </w:t>
      </w:r>
      <w:r>
        <w:rPr>
          <w:rFonts w:ascii="Arial" w:cs="Arial" w:eastAsia="Arial" w:hAnsi="Arial"/>
          <w:sz w:val="17"/>
          <w:szCs w:val="17"/>
          <w:color w:val="auto"/>
        </w:rPr>
        <w:t>Mexicana), a financial exchange operator in Mexico, and recognized a gain of $2.3 million, net of transaction costs, within investment income on the consolidated statements of income. The company accounted for its investment in Bolsa Mexicana stock as an available-for-sale security. The fair value and cost basis of the investment in Bolsa Mexicana at December 31, 2016 was $15.4 million and $17.3 million, respectively.</w:t>
      </w:r>
    </w:p>
    <w:p>
      <w:pPr>
        <w:spacing w:after="0" w:line="165"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The company owns a 25% interest in Bursa Malaysia Derivatives Berhad (Bursa Malaysia), and accounts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Bursa Malaysia using the equity method of accounting. The company's investment in Bursa Malaysia was $27.1 million at December 31, 2017. The company and Bursa Malaysia have entered into several agreements including agreements to provide licensing, order routing and trade matching services.</w:t>
      </w:r>
    </w:p>
    <w:p>
      <w:pPr>
        <w:spacing w:after="0" w:line="14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$16.9 million at December 31, 2017. The company and DME Holdings maintain an agreement for Dubai Mercantile Exchange futures contracts to be exclusively traded on the CME Globex platform.</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S&amp;P/DJI Indices LLC. </w:t>
      </w:r>
      <w:r>
        <w:rPr>
          <w:rFonts w:ascii="Arial" w:cs="Arial" w:eastAsia="Arial" w:hAnsi="Arial"/>
          <w:sz w:val="17"/>
          <w:szCs w:val="17"/>
          <w:color w:val="auto"/>
        </w:rPr>
        <w:t>The company owns a 27% interest in S&amp;P/Dow Jones Indices LLC (S&amp;P/DJI) and accounts for its investment in S&amp;P/DJI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The company's investment in S&amp;P/DJI was $955.0 million at December 31, 2017. The company has long-term exclusive licensing agreements with S&amp;P/DJI to list products based on the Standard &amp; Poor's Indices and Dow Jones Indices.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24"/>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$750.0 million fixed rate notes due September 2022, stated rate of 3.00%</w:t>
            </w:r>
          </w:p>
        </w:tc>
        <w:tc>
          <w:tcPr>
            <w:tcW w:w="3040" w:type="dxa"/>
            <w:vAlign w:val="bottom"/>
            <w:shd w:val="clear" w:color="auto" w:fill="CCEEFF"/>
          </w:tcPr>
          <w:p>
            <w:pPr>
              <w:jc w:val="right"/>
              <w:ind w:right="2797"/>
              <w:spacing w:after="0"/>
              <w:rPr>
                <w:sz w:val="20"/>
                <w:szCs w:val="20"/>
                <w:color w:val="auto"/>
              </w:rPr>
            </w:pPr>
            <w:r>
              <w:rPr>
                <w:rFonts w:ascii="Arial" w:cs="Arial" w:eastAsia="Arial" w:hAnsi="Arial"/>
                <w:sz w:val="13"/>
                <w:szCs w:val="13"/>
                <w:color w:val="auto"/>
              </w:rPr>
              <w:t>(1)</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88"/>
        </w:trPr>
        <w:tc>
          <w:tcPr>
            <w:tcW w:w="5320" w:type="dxa"/>
            <w:vAlign w:val="bottom"/>
            <w:tcBorders>
              <w:bottom w:val="single" w:sz="8" w:color="CCEEFF"/>
            </w:tcBorders>
            <w:shd w:val="clear" w:color="auto" w:fill="CCEEFF"/>
          </w:tcPr>
          <w:p>
            <w:pPr>
              <w:spacing w:after="0"/>
              <w:rPr>
                <w:sz w:val="7"/>
                <w:szCs w:val="7"/>
                <w:color w:val="auto"/>
              </w:rPr>
            </w:pPr>
          </w:p>
        </w:tc>
        <w:tc>
          <w:tcPr>
            <w:tcW w:w="30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vMerge w:val="continue"/>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vMerge w:val="continue"/>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5320" w:type="dxa"/>
            <w:vAlign w:val="bottom"/>
          </w:tcPr>
          <w:p>
            <w:pPr>
              <w:ind w:left="40"/>
              <w:spacing w:after="0"/>
              <w:rPr>
                <w:sz w:val="20"/>
                <w:szCs w:val="20"/>
                <w:color w:val="auto"/>
              </w:rPr>
            </w:pPr>
            <w:r>
              <w:rPr>
                <w:rFonts w:ascii="Arial" w:cs="Arial" w:eastAsia="Arial" w:hAnsi="Arial"/>
                <w:sz w:val="18"/>
                <w:szCs w:val="18"/>
                <w:color w:val="auto"/>
                <w:w w:val="92"/>
              </w:rPr>
              <w:t xml:space="preserve">$750.0 million fixed rate notes due March 2025, stated rate of 3.00% </w:t>
            </w:r>
            <w:r>
              <w:rPr>
                <w:rFonts w:ascii="Arial" w:cs="Arial" w:eastAsia="Arial" w:hAnsi="Arial"/>
                <w:sz w:val="25"/>
                <w:szCs w:val="25"/>
                <w:color w:val="auto"/>
                <w:w w:val="92"/>
                <w:vertAlign w:val="superscript"/>
              </w:rPr>
              <w:t>(2)</w:t>
            </w: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$750.0 million fixed rate notes due September 2043, stated rate of 5.30%</w:t>
            </w:r>
          </w:p>
        </w:tc>
        <w:tc>
          <w:tcPr>
            <w:tcW w:w="3040" w:type="dxa"/>
            <w:vAlign w:val="bottom"/>
            <w:shd w:val="clear" w:color="auto" w:fill="CCEEFF"/>
          </w:tcPr>
          <w:p>
            <w:pPr>
              <w:jc w:val="right"/>
              <w:ind w:right="2797"/>
              <w:spacing w:after="0"/>
              <w:rPr>
                <w:sz w:val="20"/>
                <w:szCs w:val="20"/>
                <w:color w:val="auto"/>
              </w:rPr>
            </w:pPr>
            <w:r>
              <w:rPr>
                <w:rFonts w:ascii="Arial" w:cs="Arial" w:eastAsia="Arial" w:hAnsi="Arial"/>
                <w:sz w:val="13"/>
                <w:szCs w:val="13"/>
                <w:color w:val="auto"/>
              </w:rPr>
              <w:t>(3)</w:t>
            </w: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108"/>
        </w:trPr>
        <w:tc>
          <w:tcPr>
            <w:tcW w:w="5320" w:type="dxa"/>
            <w:vAlign w:val="bottom"/>
            <w:tcBorders>
              <w:bottom w:val="single" w:sz="8" w:color="CCEEFF"/>
            </w:tcBorders>
            <w:shd w:val="clear" w:color="auto" w:fill="CCEEFF"/>
          </w:tcPr>
          <w:p>
            <w:pPr>
              <w:spacing w:after="0"/>
              <w:rPr>
                <w:sz w:val="9"/>
                <w:szCs w:val="9"/>
                <w:color w:val="auto"/>
              </w:rPr>
            </w:pPr>
          </w:p>
        </w:tc>
        <w:tc>
          <w:tcPr>
            <w:tcW w:w="304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0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2,231.2</w:t>
            </w:r>
          </w:p>
        </w:tc>
        <w:tc>
          <w:tcPr>
            <w:tcW w:w="0" w:type="dxa"/>
            <w:vAlign w:val="bottom"/>
          </w:tcPr>
          <w:p>
            <w:pPr>
              <w:spacing w:after="0"/>
              <w:rPr>
                <w:sz w:val="1"/>
                <w:szCs w:val="1"/>
                <w:color w:val="auto"/>
              </w:rPr>
            </w:pPr>
          </w:p>
        </w:tc>
      </w:tr>
      <w:tr>
        <w:trPr>
          <w:trHeight w:val="27"/>
        </w:trPr>
        <w:tc>
          <w:tcPr>
            <w:tcW w:w="53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8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2017:</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70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70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70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0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0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1,500.0</w:t>
            </w:r>
          </w:p>
        </w:tc>
      </w:tr>
      <w:tr>
        <w:trPr>
          <w:trHeight w:val="594"/>
        </w:trPr>
        <w:tc>
          <w:tcPr>
            <w:tcW w:w="3200" w:type="dxa"/>
            <w:vAlign w:val="bottom"/>
          </w:tcPr>
          <w:p>
            <w:pPr>
              <w:spacing w:after="0"/>
              <w:rPr>
                <w:sz w:val="24"/>
                <w:szCs w:val="24"/>
                <w:color w:val="auto"/>
              </w:rPr>
            </w:pPr>
          </w:p>
        </w:tc>
        <w:tc>
          <w:tcPr>
            <w:tcW w:w="7020" w:type="dxa"/>
            <w:vAlign w:val="bottom"/>
          </w:tcPr>
          <w:p>
            <w:pPr>
              <w:jc w:val="right"/>
              <w:ind w:right="4330"/>
              <w:spacing w:after="0"/>
              <w:rPr>
                <w:sz w:val="20"/>
                <w:szCs w:val="20"/>
                <w:color w:val="auto"/>
              </w:rPr>
            </w:pPr>
            <w:r>
              <w:rPr>
                <w:rFonts w:ascii="Arial" w:cs="Arial" w:eastAsia="Arial" w:hAnsi="Arial"/>
                <w:sz w:val="18"/>
                <w:szCs w:val="18"/>
                <w:color w:val="auto"/>
              </w:rPr>
              <w:t>68</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1,927.3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1,956.8</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Income Tax Provision (Benefit)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709.8</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2017 Tax Act). The 2017 Tax Act establishes new tax laws that will affect 2018 and after, including a reduction in the U.S. federal corporate income tax rate from 35% to 21%. The 2017 Tax Act makes broad and complex changes to the U.S. tax code including, but not limited to, the repeal of the IRC Section 199 domestic production activities deduction in 2018 and accelerated depreciation that allows for full expensing of qualified property beginning in the fourth quarter of 2017.</w:t>
      </w:r>
    </w:p>
    <w:p>
      <w:pPr>
        <w:spacing w:after="0" w:line="188"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On December 22, 2017, the SEC staff issued a staff accounting bulletin that provides guidance on accounting for the tax effects of the 2017 Tax Act. The guidance provides a measurement period that should not extend beyond one year from the 2017 Tax Act enactment date for companies to complete the accounting for income taxes related to changes associated with the 2017 Tax Act. According to the staff accounting bulletin, entities must recognize the impact in the financial statements for the activities that they have completed the work to understand the impact as a result of the tax reform law. For those activities which have not completed, the company would include provisional amounts if a reasonable estimate is available.</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reduction of the federal corporate income tax rate, the company has revalued its net deferred tax liability, excluding after tax credits, as of December 31, 2017. Based on this revaluation and other impacts of the 2017 Tax Act, the company has recognized a net tax benefit of $2.6 billion, which was recorded as a reduction to income tax expense for the year ended December 31, 2017. The company has recognized provisional adjustments but management has not completed its accounting for income tax effects for certain elements of the 2017 Tax Act, principally due to the accelerated depreciation that will allow for full expensing of qualified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statutory U.S. federal income tax rate to the effective tax rate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Reclassification of accumulated other comprehensive income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2017 Tax Act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Expense (Benefit)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2017, the effective rate was lower than the statutory tax rate due to the remeasurement of the deferred tax liabilities as a result of the 2017 Tax Act. This decrease was partially offset by an increase in the state apportionment impact of the Illinois income tax rate change on deferred tax liabilities as well as the reclassification of income tax expense from accumulated other comprehensive income related to the disposal of BM&amp;FBOVESPA shares.</w:t>
      </w:r>
    </w:p>
    <w:p>
      <w:pPr>
        <w:spacing w:after="0" w:line="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2016, the effective rate was lower than the statutory tax rate largely due to the release of the valuation allowances related to the sale of BM&amp;FBOVESPA shares. The decrease was partially offset by an increase in state tax expense and the state apportionment impact on deferred tax liabilities.</w:t>
      </w:r>
    </w:p>
    <w:p>
      <w:pPr>
        <w:spacing w:after="0" w:line="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2015, the effective rate was higher than the statutory tax rate primarily due to the impact of state and local income taxes. The effective rate was primarily reduced by the Section 199 Domestic Productions Activities Deduction (Section 199 deduction) and the impact of state and local apportionment factors in deferred tax expense. The Section 199 deduction is related to certain activities performed by the company's electronic platform.</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compensation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(7,445.3)</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(7,291.0)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December 31, 2017 and 2016, the company had domestic and foreign income tax loss carry forwards of $73.3 million and $96.8 million, respectively. These amounts primarily related to losses from the acquisition of Swapstream Limited and its affiliates, the acquisition of Pivot, Inc., losses incurred in the operation of various foreign entities and capital losses from the sales of securities. At December 31, 2016, the company also had a net built-in, unrealized capital gain of $19.3 million. At December 31, 2017 and 2016, the company determined that it was not more-likely-than-not that deferred income tax assets related to the acquisition of Swapstream Limited and its affiliates and other deferred income tax assets created from the start-up of various foreign operations will be fully realized. As a result, valuation allowances of $11.2 million and $14.9 million were recorded at December 31, 2017 and 2016,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276.0</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216.1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2017, substantially all federal and state income tax matters had been concluded through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239.9</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$245.4 million and $211.4 million at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609"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238.8</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December 31, 2017, the fair value of pension plan assets exceeded the projected benefit obligation by $74.1 million and the excess was recorded as a non-current pension asset in other assets. At December 31, 2016, the projected benefit obligation exceeded the fair value of pension plan asset by $1.1 million and the excess was recorded as a non-current pension liability in other liabilities.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In 2017, the company contributed $90.0 million to the plan, which resulted in plan assets exceeding the projected benefit obligation by $74.1 million. Year-end 2017 assumptions have been used to project the assets and liabilities from December 31, 2017 to December 31, 2018. The result of this projection is that estimated liabilities would not exceed the fair value of the plan assets at December 31, 2018. Accordingly, the company anticipates based on this projection that no additional contribution in 2018 will be necessary for it to meet its funding goal. However, the amount of the actual contribution is contingent on various factors, including the actual rate of return on the plan assets during 2018 and the December 31, 2018 discount rate.</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18.4</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14.6</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27.5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13.2</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24.0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16.9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27.0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2018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large-cap equity</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20.0%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mid-cap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10.0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small-cap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developed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small-cap equity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Emerging markets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pre-tax balance and activity of actuarial losses for the pension plan, which are included in other comprehensive income (loss), for 2017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Unrecognized net loss</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$2.9 million of actuarial loss and prior service costs from accumulated other comprehensive income (loss) into net periodic benefit costs in 2018.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2019</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2023-2027</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112.4</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$11.8 million, $11.3 million and $11.7 million in 2017, 2016 and 2015, respectively.</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$68.9 million and $62.7 million at December 31, 2017 and 2016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non-qualified retirement and benefit plan under the COMEX MRRP.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2017. Total contributions to the plan were $3.0 million in 2016 and $2.0 million in 2015. At December 31, 2017 and 2016, the obligation for the MRRP totaled $18.6 million and $19.4 million, respectively. Assets with a fair value of $21.6 million and $22.0 million have been allocated to this plan at December 31, 2017 and 2016, respectively, and are included in marketable securities and cash and cash equivalents in the consolidated balance sheets. The balances in this plan are subject to the claims of general creditors of COMEX.</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jc w:val="both"/>
        <w:ind w:left="660" w:right="1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March 2016, the company sold its datacenter and leased back a portion of the property. The sale leaseback transaction was recognized under the financing method and not as a sale leaseback arrangement. The operating lease, which has an initial lease term ending in March 2031, contains two consecutive renewal options for five years.</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January 2011, the company entered into an operating lease for office space in London. The initial lease term terminates on March 24, 2026, with an option to terminate without penalty in January 2021.</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maintains an operating lease for its headquarters at 20 South Wacker Drive in Chicago. In January 2018, the company signed a lease extension. The new lease expires in 2032 and contains two consecutive renewal options for five years each.</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August 2006, the company entered into an operating lease for additional office space in Chicago. The initial lease term ends on November 30, 2023. The lease contains two 5-year renewal options beginning in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435.2</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$41.7 million in 2017, $47.9 million in 2016 and $54.8 million in 2015.</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2017,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While the complaint requests treble damages, given the uncertainty of factors which may potentially impact the resolution of the matter, at this time the company is unable to estimate the reasonably possible loss or range of reasonably possible losses in the unlikely event it were found to be liable at trial in the matter. A trial date is set for June 4, 2018. Based on its investigation to date and advice from legal counsel, the company believes that it has strong factual and legal defenses to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that were probable and estimable as of December 31, 2017 and 2016.</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2018.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2017, CME was contingently liable to SGX on irrevocable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2017.</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339,235</w:t>
            </w:r>
          </w:p>
        </w:tc>
        <w:tc>
          <w:tcPr>
            <w:tcW w:w="1000" w:type="dxa"/>
            <w:vAlign w:val="bottom"/>
          </w:tcPr>
          <w:p>
            <w:pPr>
              <w:jc w:val="right"/>
              <w:spacing w:after="0"/>
              <w:rPr>
                <w:sz w:val="20"/>
                <w:szCs w:val="20"/>
                <w:color w:val="auto"/>
              </w:rPr>
            </w:pPr>
            <w:r>
              <w:rPr>
                <w:rFonts w:ascii="Arial" w:cs="Arial" w:eastAsia="Arial" w:hAnsi="Arial"/>
                <w:sz w:val="18"/>
                <w:szCs w:val="18"/>
                <w:color w:val="auto"/>
              </w:rPr>
              <w:t>338,240</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open outcry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ectPr>
          <w:pgSz w:w="11900" w:h="16838" w:orient="portrait"/>
          <w:cols w:equalWidth="0" w:num="1">
            <w:col w:w="11420"/>
          </w:cols>
          <w:pgMar w:left="240" w:top="122"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7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20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24.0 million shares have been granted and are outstanding or have been exercised under this plan at December 31, 2017 (note 15).</w:t>
      </w:r>
    </w:p>
    <w:p>
      <w:pPr>
        <w:spacing w:after="0" w:line="176"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366,000 shares have been awarded through December 31, 2017.</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260,000 shares have been purchased through December 31, 2017 (note 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PAYMENTS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24.0 million shares have been granted and are outstanding or have been exercised under the plan as of December 31, 2017. Awards granted generally vest over a four-year period, with 25% vesting one year after the grant date and on that same date in each of the following three years.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61.0</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32.4</w:t>
            </w:r>
          </w:p>
        </w:tc>
      </w:tr>
    </w:tbl>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At December 31, 2017, there was $106.6 million of total unrecognized compensation expense related to employee stock-based compensation arrangements that had not yet vested. This expense is expected to be recognized over a weighted average period of 2.2 years.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Stock options have not been granted since 2012. The following table summarizes stock option activity for 2017. Aggregate intrinsic value is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1,021,537</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(443,911)</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572,976</w:t>
            </w:r>
          </w:p>
        </w:tc>
        <w:tc>
          <w:tcPr>
            <w:tcW w:w="1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58</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2017</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572,976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2017, 2016 and 2015 was $20.4 million, $19.9 million and $29.5 million, respectively.</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2017, the company granted 440,076 shares of restricted Class A common stock and 7,568 shares of restricted stock units. Restricted common stock and restricted stock units generally have a vesting period of two to four years. The fair value related to these grants was $58.7 million, which is recognized as compensation expense on an accelerated basis over the vesting period. Dividends are accrued on restricted Class A common stock and restricted stock units and are paid once the restricted stock vests. In 2017, the company also granted 203,298 performance shares. The fair value related to these grants was $25.3 million, which is recognized as compensation expense on an accelerated and straight-lined basis over the vesting period. The vesting of these shares is contingent on meeting stated performance or 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1,820,578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650,942</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(510,590)</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(401,699)</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1,559,231</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2017, 2016 and 2015 was $66.0 million, $59.8 million and $43.3 million, respectively.</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2017, 2016 and 2015, a total of 19,936, 19,858 and 19,756 shares, respectively, of Class A common stock were issued to participating employees. These shares are subject to a six-month holding period. Annual expense of $0.3 million for the purchase discount was recognized in 2017, and $0.2 million was recognized in both 2016 and 2015.</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Non-executive directors receive an annual award of Class A common stock with a value equal to $100,000. Non-executive directors may also elect to receive some or all of the cash portion of their annual stipend, up to $60,000, in shares of stock based on the closing price at the date of distribution. As a result, 19,736 shares, 26,439 shares and 25,853 shares of Class A common stock were issued to non-executive directors during 2017, 2016 and 2015, respectively. These shares are not subject to any vesting restrictions. Expense of $2.5 million, $2.4 million and $2.5 million related to these stock-based payments was recognized for the years ended December 31, 2017, 2016 and 2015,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1 assets generally include U.S. Treasury securities, U.S. government agency securities,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Financial assets and liabilities recorded at fair value in the consolidated balance sheets as of December 31, 2017 and 2016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agencies securities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7,094.7</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firstLine="8"/>
        <w:spacing w:after="0" w:line="275" w:lineRule="auto"/>
        <w:tabs>
          <w:tab w:leader="none" w:pos="2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Performance bonds and guaranty fund contributions on the consolidated balance sheet at December 31, 2016 include cash collateral that has been invested in U.S. Treasury securities and U.S. government agencies securities.</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transfers of assets between level 1, level 2 and level 3 during 2017 and 2016. There were no level 3 assets or liabilities valued at fair value on a recurring basis during 2017 and 2016.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level 3 liabilities valued at fair value on a recurring basis during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2016</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Included in other expense</w:t>
            </w:r>
          </w:p>
        </w:tc>
        <w:tc>
          <w:tcPr>
            <w:tcW w:w="2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first quarter of 2016, the company sold a datacenter and leased back a portion of the property. Under generally accepted accounting principles, the transaction has been recognized under the financing method instead of recognized as a sale leaseback arrangement. As a result, the property and equipment legally sold will continue to be recognized on the consolidated balance sheets and was written down to a fair value of $130.0 million at March 31, 2016. During 2016, the company also recorded impairment charges totaling $5.5 million on one of its strategic investments. The fair value of the investment was estimated to be zero at September 30, 2016. Both assessments were based on qualitative indications of impairment and a quantitative analysis of undiscounted cash flows. The fair values of the datacenter and strategic investment are considered level 3 and nonrecurring. There were no other level 3 assets or liabilities valued at fair value on a nonrecurring basis during 2017 and 2016.</w:t>
      </w:r>
    </w:p>
    <w:p>
      <w:pPr>
        <w:spacing w:after="0" w:line="15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December 31, 2017, the fair values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764.9</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758.2</w:t>
            </w:r>
          </w:p>
        </w:tc>
      </w:tr>
      <w:tr>
        <w:trPr>
          <w:trHeight w:val="27"/>
        </w:trPr>
        <w:tc>
          <w:tcPr>
            <w:tcW w:w="7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960.0</w:t>
            </w:r>
          </w:p>
        </w:tc>
      </w:tr>
      <w:tr>
        <w:trPr>
          <w:trHeight w:val="27"/>
        </w:trPr>
        <w:tc>
          <w:tcPr>
            <w:tcW w:w="7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14"/>
        </w:trPr>
        <w:tc>
          <w:tcPr>
            <w:tcW w:w="674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14"/>
        </w:trPr>
        <w:tc>
          <w:tcPr>
            <w:tcW w:w="6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1,247.0</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336,224</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Effect of stock options and stock awards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340,226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338,966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337,894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INFORMATION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64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4"/>
                <w:szCs w:val="14"/>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Year to Date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gridSpan w:val="3"/>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2017</w:t>
            </w: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929.3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924.6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890.8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3,644.7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601.2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537.3</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2,312.0</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16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707.0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574.7</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2,526.3</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399.8</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415.8</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308.6</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2,939.2</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4,063.4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0.91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8.63</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3"/>
        </w:trPr>
        <w:tc>
          <w:tcPr>
            <w:tcW w:w="38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2016</w:t>
            </w: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3,595.2</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573.9</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563.3</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525.3</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540.2</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578.5</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566.1</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548.8</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594.2</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367.8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373.4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w:t>
            </w:r>
          </w:p>
        </w:tc>
        <w:tc>
          <w:tcPr>
            <w:tcW w:w="1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9019"/>
          </w:cols>
          <w:pgMar w:left="1440" w:top="125" w:right="1440"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2017 that have materially affected, or are reasonably likely to materially affect, the company's internal control over financial reporting. During 2017, we completed the implementation of our new enterprise resource planning (ERP) system. The company has evaluated the impact of the system on its internal control over financial reporting and where appropriate, made changes to these controls to address related system functionality and potential gaps. There were no other changes in the company’s internal control over financial reporting which occurred during 2017, that have materially affected, or are reasonably likely to materially affect, the company’s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2017.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2017, our internal control over financial reporting is effective. The effectiveness of our internal control over financial reporting as of December 31, 2017 has been audited by Ernst &amp; Young LLP, an independent registered public accounting firm, as stated in the report on page 84.</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40"/>
          </w:cols>
          <w:pgMar w:left="240" w:top="121" w:right="31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62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CME Group Inc. and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CME Group Inc. and subsidiaries (the Company) as of December 31, 2017 and 2016, the related consolidated statements of income, comprehensive income, equity and cash flows for each of the three years in the period ended December 31, 2017,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w:t>
      </w:r>
      <w:r>
        <w:rPr>
          <w:rFonts w:ascii="Arial" w:cs="Arial" w:eastAsia="Arial" w:hAnsi="Arial"/>
          <w:sz w:val="18"/>
          <w:szCs w:val="18"/>
          <w:b w:val="1"/>
          <w:bCs w:val="1"/>
          <w:color w:val="auto"/>
        </w:rPr>
        <w:t>)</w:t>
      </w:r>
      <w:r>
        <w:rPr>
          <w:rFonts w:ascii="Arial" w:cs="Arial" w:eastAsia="Arial" w:hAnsi="Arial"/>
          <w:sz w:val="18"/>
          <w:szCs w:val="18"/>
          <w:color w:val="auto"/>
        </w:rPr>
        <w:t xml:space="preserve"> and our report dated February 28,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62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CME Group Inc. and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CME Group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December 31, 2017, based on the COSO criteria.</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CME Group Inc. and subsidiaries as of December 31, 2017 and 2016, the related consolidated statements of income, comprehensive income, equity, and cash flows for each of the three years in the period ended December 31, 2017, and the related notes and financial statement schedule listed in the Index at Item 15(a) and our report dated February 28, 2018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a written code of conduct applicable to all of our employees, including our Chairman and Chief Executive Officer, President, Chief Financial Officer, Chief Accounting Officer and other senior financial officers. In accordance with SEC rules and regulations, our Code of Conduct is available on our website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 — 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 — Available Information."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9, 2018, to be filed by CME Group with the SEC pursuant to Regulation 14A within 120 days after December 31, 2017 (Proxy Statement). Additional information called for by this item is contained in Item 1 of this Annual Report on Form 10-K under the caption "Employees — 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15 of the notes to consolidated financial statements. The numbers in the following table are as of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 Remaining Available for Future</w:t>
            </w: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52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3"/>
              </w:rPr>
              <w:t>Weighted-Average Exercise Price</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1"/>
              </w:rPr>
              <w:t>Issuance Under Equity Compensation Plans (excluding</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(a)</w:t>
            </w:r>
          </w:p>
        </w:tc>
        <w:tc>
          <w:tcPr>
            <w:tcW w:w="280" w:type="dxa"/>
            <w:vAlign w:val="bottom"/>
          </w:tcPr>
          <w:p>
            <w:pPr>
              <w:spacing w:after="0"/>
              <w:rPr>
                <w:sz w:val="19"/>
                <w:szCs w:val="19"/>
                <w:color w:val="auto"/>
              </w:rPr>
            </w:pPr>
          </w:p>
        </w:tc>
        <w:tc>
          <w:tcPr>
            <w:tcW w:w="2240" w:type="dxa"/>
            <w:vAlign w:val="bottom"/>
          </w:tcPr>
          <w:p>
            <w:pPr>
              <w:jc w:val="right"/>
              <w:ind w:right="353"/>
              <w:spacing w:after="0"/>
              <w:rPr>
                <w:sz w:val="20"/>
                <w:szCs w:val="20"/>
                <w:color w:val="auto"/>
              </w:rPr>
            </w:pPr>
            <w:r>
              <w:rPr>
                <w:rFonts w:ascii="Arial" w:cs="Arial" w:eastAsia="Arial" w:hAnsi="Arial"/>
                <w:sz w:val="16"/>
                <w:szCs w:val="16"/>
                <w:b w:val="1"/>
                <w:bCs w:val="1"/>
                <w:color w:val="auto"/>
                <w:w w:val="99"/>
              </w:rPr>
              <w:t>of Outstanding Options</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 (a))</w:t>
            </w:r>
          </w:p>
        </w:tc>
      </w:tr>
      <w:tr>
        <w:trPr>
          <w:trHeight w:val="33"/>
        </w:trPr>
        <w:tc>
          <w:tcPr>
            <w:tcW w:w="3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22"/>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572,976</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58.20</w:t>
            </w:r>
          </w:p>
        </w:tc>
        <w:tc>
          <w:tcPr>
            <w:tcW w:w="3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16,776,402</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572,976</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16,776,402</w:t>
            </w: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2017 and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2017, 2016 and 2015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2017, 2016 and 2015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8"/>
        </w:trPr>
        <w:tc>
          <w:tcPr>
            <w:tcW w:w="62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write-offs of doubtful accounts and additions to allowance for deferred tax assets through accumulated other comprehensive income (loss).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20" w:hanging="1385"/>
        <w:spacing w:after="0"/>
        <w:tabs>
          <w:tab w:leader="none" w:pos="14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3.1</w:t>
            </w:r>
          </w:p>
        </w:tc>
        <w:tc>
          <w:tcPr>
            <w:tcW w:w="9780" w:type="dxa"/>
            <w:vAlign w:val="bottom"/>
            <w:tcBorders>
              <w:bottom w:val="single" w:sz="8" w:color="0000FF"/>
            </w:tcBorders>
            <w:gridSpan w:val="4"/>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Fourth Amended and Restated Certificate of Incorporation of CME Group Inc. (incorporated by reference to Exhibit 3.1 to CME Group</w:t>
              </w:r>
            </w:hyperlink>
          </w:p>
        </w:tc>
      </w:tr>
      <w:tr>
        <w:trPr>
          <w:trHeight w:val="196"/>
        </w:trPr>
        <w:tc>
          <w:tcPr>
            <w:tcW w:w="13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Inc.’s Current Report on Form 8-K, filed with the SEC on May 29, 2012).</w:t>
              </w:r>
            </w:hyperlink>
          </w:p>
        </w:tc>
      </w:tr>
      <w:tr>
        <w:trPr>
          <w:trHeight w:val="20"/>
        </w:trPr>
        <w:tc>
          <w:tcPr>
            <w:tcW w:w="138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3.2</w:t>
            </w:r>
          </w:p>
        </w:tc>
        <w:tc>
          <w:tcPr>
            <w:tcW w:w="9680" w:type="dxa"/>
            <w:vAlign w:val="bottom"/>
            <w:tcBorders>
              <w:bottom w:val="single" w:sz="8" w:color="0000FF"/>
            </w:tcBorders>
            <w:gridSpan w:val="3"/>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Fourteenth Amended and Restated Bylaws of CME Group Inc. (incorporated by reference to Exhibit 3.1 to CME Group Inc.’s Current</w:t>
              </w:r>
            </w:hyperlink>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Report on Form 8-K, filed with the SEC on November 15, 2017).</w:t>
              </w:r>
            </w:hyperlink>
          </w:p>
        </w:tc>
      </w:tr>
      <w:tr>
        <w:trPr>
          <w:trHeight w:val="20"/>
        </w:trPr>
        <w:tc>
          <w:tcPr>
            <w:tcW w:w="138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4.1</w:t>
            </w:r>
          </w:p>
        </w:tc>
        <w:tc>
          <w:tcPr>
            <w:tcW w:w="9760" w:type="dxa"/>
            <w:vAlign w:val="bottom"/>
            <w:gridSpan w:val="5"/>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Amended and Restated Commercial Paper Dealer Agreement, dated as of October 20, 2014, among CME Group Inc., as Issuer, and</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w w:val="94"/>
              </w:rPr>
            </w:pPr>
            <w:hyperlink r:id="rId12">
              <w:r>
                <w:rPr>
                  <w:rFonts w:ascii="Arial" w:cs="Arial" w:eastAsia="Arial" w:hAnsi="Arial"/>
                  <w:sz w:val="18"/>
                  <w:szCs w:val="18"/>
                  <w:color w:val="0000FF"/>
                  <w:w w:val="94"/>
                </w:rPr>
                <w:t>Barclays Capital Inc., as Dealer (incorporated by reference to Exhibit 4.1 to CME Group's 10-K, filed with the SEC on February 26,</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
              <w:r>
                <w:rPr>
                  <w:rFonts w:ascii="Arial" w:cs="Arial" w:eastAsia="Arial" w:hAnsi="Arial"/>
                  <w:sz w:val="18"/>
                  <w:szCs w:val="18"/>
                  <w:color w:val="0000FF"/>
                  <w:w w:val="86"/>
                </w:rPr>
                <w:t>2015).</w:t>
              </w:r>
            </w:hyperlink>
          </w:p>
        </w:tc>
        <w:tc>
          <w:tcPr>
            <w:tcW w:w="1820" w:type="dxa"/>
            <w:vAlign w:val="bottom"/>
            <w:tcBorders>
              <w:top w:val="single" w:sz="8" w:color="0000FF"/>
            </w:tcBorders>
          </w:tcPr>
          <w:p>
            <w:pPr>
              <w:spacing w:after="0"/>
              <w:rPr>
                <w:sz w:val="17"/>
                <w:szCs w:val="17"/>
                <w:color w:val="auto"/>
              </w:rPr>
            </w:pPr>
          </w:p>
        </w:tc>
        <w:tc>
          <w:tcPr>
            <w:tcW w:w="7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4.2</w:t>
            </w:r>
          </w:p>
        </w:tc>
        <w:tc>
          <w:tcPr>
            <w:tcW w:w="9480" w:type="dxa"/>
            <w:vAlign w:val="bottom"/>
            <w:tcBorders>
              <w:bottom w:val="single" w:sz="8" w:color="0000FF"/>
            </w:tcBorders>
            <w:gridSpan w:val="3"/>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2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America, National Association, as Issuing and Paying Agent (incorporated by reference to Exhibit 4.2 to CME Group's 10-K, filed with</w:t>
              </w:r>
            </w:hyperlink>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the SEC on February 26, 2015).</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149"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4.5</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ind w:right="20"/>
        <w:spacing w:after="0" w:line="264"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Merrill Lynch, Pierce, Fenner &amp; Smith Incorporated, as Dealer (incorporated by reference to Exhibit 4.3 to CME Group's 10-K, filed with</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the SEC on February 26, 2015).</w:t>
        </w:r>
      </w:hyperlink>
    </w:p>
    <w:p>
      <w:pPr>
        <w:spacing w:after="0" w:line="141" w:lineRule="exact"/>
        <w:rPr>
          <w:rFonts w:ascii="Arial" w:cs="Arial" w:eastAsia="Arial" w:hAnsi="Arial"/>
          <w:sz w:val="18"/>
          <w:szCs w:val="18"/>
          <w:u w:val="single" w:color="auto"/>
          <w:color w:val="0000FF"/>
        </w:rPr>
      </w:pPr>
    </w:p>
    <w:p>
      <w:pPr>
        <w:jc w:val="both"/>
        <w:ind w:right="280"/>
        <w:spacing w:after="0" w:line="264"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Goldman, Sachs &amp; Co., as Dealer (incorporated by reference to Exhibit 4.4 to CME Group's 10-K, filed with the SEC on February 26,</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2015).</w:t>
        </w:r>
      </w:hyperlink>
    </w:p>
    <w:p>
      <w:pPr>
        <w:spacing w:after="0" w:line="141" w:lineRule="exact"/>
        <w:rPr>
          <w:rFonts w:ascii="Arial" w:cs="Arial" w:eastAsia="Arial" w:hAnsi="Arial"/>
          <w:sz w:val="18"/>
          <w:szCs w:val="18"/>
          <w:u w:val="single" w:color="auto"/>
          <w:color w:val="0000FF"/>
        </w:rPr>
      </w:pPr>
    </w:p>
    <w:p>
      <w:pPr>
        <w:ind w:right="220"/>
        <w:spacing w:after="0" w:line="277"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Indenture, dated August 12, 2008, between CME Group Inc. and U.S. Bank National Association (incorporated by reference to Exhibit</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4.1 to CME Group Inc.’s Current Report on Form 8-K, filed with the SEC on August 13, 2008).</w:t>
        </w:r>
      </w:hyperlink>
    </w:p>
    <w:p>
      <w:pPr>
        <w:spacing w:after="0" w:line="211" w:lineRule="exact"/>
        <w:rPr>
          <w:sz w:val="20"/>
          <w:szCs w:val="20"/>
          <w:color w:val="auto"/>
        </w:rPr>
      </w:pPr>
    </w:p>
    <w:p>
      <w:pPr>
        <w:ind w:right="220"/>
        <w:spacing w:after="0" w:line="264"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Fifth Supplemental Indenture (including the form of 3.00% note due 2022), dated September 10, 2012, between CME Group Inc. and</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U.S. Bank National Association (incorporated by reference to Exhibit 4.2 to CME Group Inc.'s Current Report on Form 8-K, filed with</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the SEC on September 10, 2012).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00" w:space="720"/>
            <w:col w:w="9940"/>
          </w:cols>
          <w:pgMar w:left="240" w:top="121" w:right="299" w:bottom="1149" w:gutter="0" w:footer="0" w:header="0"/>
          <w:type w:val="continuous"/>
        </w:sectPr>
      </w:pPr>
    </w:p>
    <w:p>
      <w:pPr>
        <w:spacing w:after="0" w:line="22"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4.7</w:t>
            </w:r>
          </w:p>
        </w:tc>
        <w:tc>
          <w:tcPr>
            <w:tcW w:w="9940" w:type="dxa"/>
            <w:vAlign w:val="bottom"/>
            <w:gridSpan w:val="6"/>
            <w:vMerge w:val="restart"/>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Sixth Supplemental Indenture (including the form of 5.300% note due 2043), dated as of September 9, 2013, between CME Group Inc.</w:t>
              </w:r>
            </w:hyperlink>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9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FF"/>
            </w:tcBorders>
            <w:gridSpan w:val="4"/>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and U.S. Bank National Association (incorporated by reference to Exhibit 4.2 to CME Group Inc.'s Current Report on Form 8-K, filed</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with the SEC on September 9, 2013).</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4.8</w:t>
            </w:r>
          </w:p>
        </w:tc>
        <w:tc>
          <w:tcPr>
            <w:tcW w:w="9940" w:type="dxa"/>
            <w:vAlign w:val="bottom"/>
            <w:gridSpan w:val="6"/>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Seventh Supplemental Indenture (including the form of 3.000% note due 2025), dated as of March 9, 2015, between CME Group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20" w:type="dxa"/>
            <w:vAlign w:val="bottom"/>
            <w:tcBorders>
              <w:top w:val="single" w:sz="8" w:color="0000FF"/>
            </w:tcBorders>
            <w:gridSpan w:val="5"/>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U.S. Bank National Association (incorporated by reference to Exhibit 4.2 to CME Group Inc.'s Current Report on Form 8-K,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the SEC on March 9, 2015).</w:t>
              </w:r>
            </w:hyperlink>
          </w:p>
        </w:tc>
        <w:tc>
          <w:tcPr>
            <w:tcW w:w="7700" w:type="dxa"/>
            <w:vAlign w:val="bottom"/>
            <w:tcBorders>
              <w:top w:val="single" w:sz="8" w:color="0000FF"/>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800" w:type="dxa"/>
            <w:vAlign w:val="bottom"/>
            <w:tcBorders>
              <w:bottom w:val="single" w:sz="8" w:color="0000FF"/>
            </w:tcBorders>
            <w:gridSpan w:val="10"/>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CME Group Inc. Second Amended and Restated Omnibus Stock Plan, amended and restated effective as of May 24, 2017 (incorporated</w:t>
              </w:r>
            </w:hyperlink>
          </w:p>
        </w:tc>
      </w:tr>
      <w:tr>
        <w:trPr>
          <w:trHeight w:val="196"/>
        </w:trPr>
        <w:tc>
          <w:tcPr>
            <w:tcW w:w="1380" w:type="dxa"/>
            <w:vAlign w:val="bottom"/>
          </w:tcPr>
          <w:p>
            <w:pPr>
              <w:spacing w:after="0"/>
              <w:rPr>
                <w:sz w:val="17"/>
                <w:szCs w:val="17"/>
                <w:color w:val="auto"/>
              </w:rPr>
            </w:pPr>
          </w:p>
        </w:tc>
        <w:tc>
          <w:tcPr>
            <w:tcW w:w="71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by reference to Exhibit 10.2 to CME Group Inc.’s Form 8-K, filed with the SEC on May 30, 2017).</w:t>
              </w:r>
            </w:hyperlink>
          </w:p>
        </w:tc>
        <w:tc>
          <w:tcPr>
            <w:tcW w:w="2660" w:type="dxa"/>
            <w:vAlign w:val="bottom"/>
            <w:gridSpan w:val="3"/>
          </w:tcPr>
          <w:p>
            <w:pPr>
              <w:spacing w:after="0"/>
              <w:rPr>
                <w:sz w:val="17"/>
                <w:szCs w:val="17"/>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3640" w:type="dxa"/>
            <w:vAlign w:val="bottom"/>
            <w:tcBorders>
              <w:bottom w:val="single" w:sz="8" w:color="0000FF"/>
            </w:tcBorders>
          </w:tcPr>
          <w:p>
            <w:pP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Form of Equity Grant Letter for Restricted Shares.</w:t>
              </w:r>
            </w:hyperlink>
          </w:p>
        </w:tc>
        <w:tc>
          <w:tcPr>
            <w:tcW w:w="6160" w:type="dxa"/>
            <w:vAlign w:val="bottom"/>
            <w:gridSpan w:val="9"/>
          </w:tcPr>
          <w:p>
            <w:pPr>
              <w:spacing w:after="0"/>
              <w:rPr>
                <w:sz w:val="24"/>
                <w:szCs w:val="24"/>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10.3(1)*</w:t>
            </w:r>
          </w:p>
        </w:tc>
        <w:tc>
          <w:tcPr>
            <w:tcW w:w="9800" w:type="dxa"/>
            <w:vAlign w:val="bottom"/>
            <w:gridSpan w:val="10"/>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Form of Equity Grant Letter for Annual Grant of Performance Shares.</w:t>
              </w:r>
            </w:hyperlink>
          </w:p>
        </w:tc>
      </w:tr>
      <w:tr>
        <w:trPr>
          <w:trHeight w:val="20"/>
        </w:trPr>
        <w:tc>
          <w:tcPr>
            <w:tcW w:w="138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10.4(1)</w:t>
            </w:r>
          </w:p>
        </w:tc>
        <w:tc>
          <w:tcPr>
            <w:tcW w:w="9700" w:type="dxa"/>
            <w:vAlign w:val="bottom"/>
            <w:tcBorders>
              <w:bottom w:val="single" w:sz="8" w:color="0000FF"/>
            </w:tcBorders>
            <w:gridSpan w:val="9"/>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CME Group Inc. Director Stock Plan, amended and restated effective as of May 21, 2014 (incorporated by reference to Exhibit 10.1 to</w:t>
              </w:r>
            </w:hyperlink>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CME Group Inc.'s Current Report on Form 8-K, filed with the SEC on May 28, 2014).</w:t>
              </w:r>
            </w:hyperlink>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47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Form of Equity Stipend Grant Letter for Non-Executive Directors.</w:t>
              </w:r>
            </w:hyperlink>
          </w:p>
        </w:tc>
        <w:tc>
          <w:tcPr>
            <w:tcW w:w="1440" w:type="dxa"/>
            <w:vAlign w:val="bottom"/>
            <w:tcBorders>
              <w:top w:val="single" w:sz="8" w:color="0000FF"/>
            </w:tcBorders>
            <w:gridSpan w:val="2"/>
          </w:tcPr>
          <w:p>
            <w:pPr>
              <w:spacing w:after="0"/>
              <w:rPr>
                <w:sz w:val="24"/>
                <w:szCs w:val="24"/>
                <w:color w:val="auto"/>
              </w:rPr>
            </w:pPr>
          </w:p>
        </w:tc>
        <w:tc>
          <w:tcPr>
            <w:tcW w:w="3580" w:type="dxa"/>
            <w:vAlign w:val="bottom"/>
            <w:gridSpan w:val="6"/>
          </w:tcPr>
          <w:p>
            <w:pPr>
              <w:spacing w:after="0"/>
              <w:rPr>
                <w:sz w:val="24"/>
                <w:szCs w:val="24"/>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10.6(1)</w:t>
            </w:r>
          </w:p>
        </w:tc>
        <w:tc>
          <w:tcPr>
            <w:tcW w:w="9800" w:type="dxa"/>
            <w:vAlign w:val="bottom"/>
            <w:gridSpan w:val="10"/>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CME Group Inc.'s Amended and Restated Employee Stock Purchase Plan, amended and restated as of May 23, 2012 (incorporated by</w:t>
              </w:r>
            </w:hyperlink>
          </w:p>
        </w:tc>
      </w:tr>
      <w:tr>
        <w:trPr>
          <w:trHeight w:val="20"/>
        </w:trPr>
        <w:tc>
          <w:tcPr>
            <w:tcW w:w="1380" w:type="dxa"/>
            <w:vAlign w:val="bottom"/>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reference to Exhibit 10.2 to CME Group Inc.'s Form 8-K, filed with the SEC on May 29, 2012</w:t>
              </w:r>
              <w:r>
                <w:rPr>
                  <w:rFonts w:ascii="Arial" w:cs="Arial" w:eastAsia="Arial" w:hAnsi="Arial"/>
                  <w:sz w:val="18"/>
                  <w:szCs w:val="18"/>
                  <w:color w:val="000000"/>
                  <w:w w:val="93"/>
                </w:rPr>
                <w:t>;</w:t>
              </w:r>
              <w:r>
                <w:rPr>
                  <w:rFonts w:ascii="Arial" w:cs="Arial" w:eastAsia="Arial" w:hAnsi="Arial"/>
                  <w:sz w:val="18"/>
                  <w:szCs w:val="18"/>
                  <w:color w:val="0000FF"/>
                  <w:w w:val="93"/>
                </w:rPr>
                <w:t xml:space="preserve"> First Amendment to the Amended and</w:t>
              </w:r>
            </w:hyperlink>
          </w:p>
        </w:tc>
      </w:tr>
      <w:tr>
        <w:trPr>
          <w:trHeight w:val="20"/>
        </w:trPr>
        <w:tc>
          <w:tcPr>
            <w:tcW w:w="138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1420" w:right="360"/>
        <w:spacing w:after="0" w:line="277"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Restated Employee Stock Purchase Plan, effective as of December 5, 2012 (incorporated by reference to Exhibit 10.7 to CME Group</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Inc.'s Form 10-K, filed with the SEC on February 28, 2013).</w:t>
        </w:r>
      </w:hyperlink>
    </w:p>
    <w:p>
      <w:pPr>
        <w:sectPr>
          <w:pgSz w:w="11900" w:h="16838" w:orient="portrait"/>
          <w:cols w:equalWidth="0" w:num="1">
            <w:col w:w="11360"/>
          </w:cols>
          <w:pgMar w:left="240" w:top="121" w:right="299" w:bottom="1149" w:gutter="0" w:footer="0" w:header="0"/>
          <w:type w:val="continuous"/>
        </w:sect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60"/>
          </w:cols>
          <w:pgMar w:left="240" w:top="121" w:right="299" w:bottom="1149"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gridSpan w:val="33"/>
            <w:vMerge w:val="restart"/>
          </w:tcPr>
          <w:p>
            <w:pPr>
              <w:ind w:left="10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10.7(1)</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700" w:type="dxa"/>
            <w:vAlign w:val="bottom"/>
            <w:tcBorders>
              <w:top w:val="single" w:sz="8" w:color="auto"/>
              <w:bottom w:val="single" w:sz="8" w:color="0000FF"/>
            </w:tcBorders>
            <w:gridSpan w:val="31"/>
          </w:tcPr>
          <w:p>
            <w:pPr>
              <w:spacing w:after="0" w:line="202"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Chicago Mercantile Exchange Inc. Senior Management Supplemental Deferred Savings Plan (SMSDSP), Amended and Restated as of</w:t>
              </w:r>
            </w:hyperlink>
          </w:p>
        </w:tc>
        <w:tc>
          <w:tcPr>
            <w:tcW w:w="300" w:type="dxa"/>
            <w:vAlign w:val="bottom"/>
            <w:tcBorders>
              <w:top w:val="single" w:sz="8" w:color="auto"/>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January 1, 2017 (incorporated by reference to Exhibit 10.1 to CME Group Inc.'s Form 10-Q, filed with the SEC on August 2, 2017).</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Chicago Mercantile Exchange Inc. Directors' Deferred Compensation Plan, amended and restated as of January 1, 2009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reference to Exhibit 10.9 to CME Group Inc.'s Form 10-K, filed with the SEC on March 2, 2009).</w:t>
              </w:r>
            </w:hyperlink>
          </w:p>
        </w:tc>
        <w:tc>
          <w:tcPr>
            <w:tcW w:w="2800" w:type="dxa"/>
            <w:vAlign w:val="bottom"/>
            <w:tcBorders>
              <w:top w:val="single" w:sz="8" w:color="0000FF"/>
            </w:tcBorders>
            <w:gridSpan w:val="20"/>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32"/>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Chicago Mercantile Exchange Inc. Supplemental Executive Retirement Plan consisting of the Grandfathered Supplemental Retirement</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Plan, amended and restated as of January 1, 2008, and the Amended and Restated 409A Supplemental Executive Retirement Plan,</w:t>
              </w:r>
            </w:hyperlink>
          </w:p>
        </w:tc>
        <w:tc>
          <w:tcPr>
            <w:tcW w:w="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amended and restated as of January 1, 2008 (incorporated by reference to Exhibit 10.9 to CME Group Inc.'s Form 10-K, filed with the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SEC on February 28,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tcBorders>
              <w:bottom w:val="single" w:sz="8" w:color="0000FF"/>
            </w:tcBorders>
            <w:gridSpan w:val="22"/>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Chicago Mercantile Exchange Inc. Supplemental Executive Retirement Trust; First Amendment thereto, dated September 7, 1993</w:t>
              </w:r>
            </w:hyperlink>
          </w:p>
        </w:tc>
        <w:tc>
          <w:tcPr>
            <w:tcW w:w="6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(incorporated by reference to Exhibit 10.5 to Chicago Mercantile Exchange Inc.'s Form S-4, filed with the SEC on February 24, 2000).</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Recognition and Retention Plan for Members of the COMEX Division of New York Mercantile Exchange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33"/>
          </w:tcPr>
          <w:p>
            <w:pPr>
              <w:spacing w:after="0" w:line="196" w:lineRule="exact"/>
              <w:rPr>
                <w:rFonts w:ascii="Arial" w:cs="Arial" w:eastAsia="Arial" w:hAnsi="Arial"/>
                <w:sz w:val="18"/>
                <w:szCs w:val="18"/>
                <w:color w:val="0000FF"/>
                <w:w w:val="96"/>
              </w:rPr>
            </w:pPr>
            <w:hyperlink r:id="rId29">
              <w:r>
                <w:rPr>
                  <w:rFonts w:ascii="Arial" w:cs="Arial" w:eastAsia="Arial" w:hAnsi="Arial"/>
                  <w:sz w:val="18"/>
                  <w:szCs w:val="18"/>
                  <w:color w:val="0000FF"/>
                  <w:w w:val="96"/>
                </w:rPr>
                <w:t>Exhibit 10.11 to NYMEX Holdings, Inc.'s Form 10-K, filed with the SEC on March 29, 2001)</w:t>
              </w:r>
              <w:r>
                <w:rPr>
                  <w:rFonts w:ascii="Arial" w:cs="Arial" w:eastAsia="Arial" w:hAnsi="Arial"/>
                  <w:sz w:val="18"/>
                  <w:szCs w:val="18"/>
                  <w:color w:val="000000"/>
                  <w:w w:val="96"/>
                </w:rPr>
                <w:t>;</w:t>
              </w:r>
              <w:r>
                <w:rPr>
                  <w:rFonts w:ascii="Arial" w:cs="Arial" w:eastAsia="Arial" w:hAnsi="Arial"/>
                  <w:sz w:val="18"/>
                  <w:szCs w:val="18"/>
                  <w:color w:val="0000FF"/>
                  <w:w w:val="96"/>
                </w:rPr>
                <w:t xml:space="preserve"> Amendment to the Recognition and</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Retention Plan for Members of the COMEX Division of the New York Mercantile Exchange, dated October 22, 2015 (incorporated by</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reference to Exhibit 10.1 to CME Group's Form 10-Q, filed with the SEC on November 6,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Borders>
              <w:bottom w:val="single" w:sz="8" w:color="0000FF"/>
            </w:tcBorders>
            <w:gridSpan w:val="28"/>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Second Amended and Restated CME Group Inc. Incentive Plan for Named Executive Officers (Amended and Restated as of May 24,</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2017) (incorporated by reference to Exhibit 10.1 to CME Group Inc.’s Form 8-K, filed with the SEC on May 30, 2017).</w:t>
              </w:r>
            </w:hyperlink>
          </w:p>
        </w:tc>
        <w:tc>
          <w:tcPr>
            <w:tcW w:w="13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3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CME Group Inc. Severance Plan for Eligible Executives, amended and restated effective January 1, 2013 (incorporated by reference to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Exhibit 10.16 to CME Group Inc.'s Form 10-K, filed with the SEC on February 28, 2014)</w:t>
              </w:r>
              <w:r>
                <w:rPr>
                  <w:rFonts w:ascii="Arial" w:cs="Arial" w:eastAsia="Arial" w:hAnsi="Arial"/>
                  <w:sz w:val="18"/>
                  <w:szCs w:val="18"/>
                  <w:color w:val="000000"/>
                </w:rPr>
                <w:t>;</w:t>
              </w:r>
              <w:r>
                <w:rPr>
                  <w:rFonts w:ascii="Arial" w:cs="Arial" w:eastAsia="Arial" w:hAnsi="Arial"/>
                  <w:sz w:val="18"/>
                  <w:szCs w:val="18"/>
                  <w:color w:val="0000FF"/>
                </w:rPr>
                <w:t xml:space="preserve"> First Amendment to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Severance Plan for Eligible Executives, effective as of October 13, 2014 (incorporated by reference to Exhibit 10.16 to CME Group's 10-</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K, filed with the SEC on February 26,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bottom w:val="single" w:sz="8" w:color="0000FF"/>
            </w:tcBorders>
            <w:gridSpan w:val="29"/>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CME Group Inc. Severance Plan, amended and restated effective January 1, 2013 (incorporated by reference to Exhibit 10.17 to CME</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Group Inc.'s Form 10-K, filed with the SEC on February 28, 2014)</w:t>
              </w:r>
              <w:r>
                <w:rPr>
                  <w:rFonts w:ascii="Arial" w:cs="Arial" w:eastAsia="Arial" w:hAnsi="Arial"/>
                  <w:sz w:val="18"/>
                  <w:szCs w:val="18"/>
                  <w:color w:val="000000"/>
                  <w:w w:val="95"/>
                </w:rPr>
                <w:t>;</w:t>
              </w:r>
              <w:r>
                <w:rPr>
                  <w:rFonts w:ascii="Arial" w:cs="Arial" w:eastAsia="Arial" w:hAnsi="Arial"/>
                  <w:sz w:val="18"/>
                  <w:szCs w:val="18"/>
                  <w:color w:val="0000FF"/>
                  <w:w w:val="95"/>
                </w:rPr>
                <w:t xml:space="preserve"> First Amendment to the Amended and Restated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Severance Plan, effective October 13, 2014 (incorporated by reference to Exhibit 10.17 to CME Group's 10-K, filed with the SEC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February 26, 2015).</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10.15(1)</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gridSpan w:val="34"/>
            <w:vMerge w:val="restart"/>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Severance Protection Agreement (incorporated by reference to Exhibit 10.2 to CME Group Inc.'s Form 8-K, filed with the SEC</w:t>
              </w:r>
            </w:hyperlink>
          </w:p>
        </w:tc>
        <w:tc>
          <w:tcPr>
            <w:tcW w:w="2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0" w:type="dxa"/>
            <w:vAlign w:val="bottom"/>
            <w:tcBorders>
              <w:bottom w:val="single" w:sz="8" w:color="0000FF"/>
            </w:tcBorders>
            <w:gridSpan w:val="34"/>
            <w:vMerge w:val="continue"/>
          </w:tcPr>
          <w:p>
            <w:pPr>
              <w:spacing w:after="0"/>
              <w:rPr>
                <w:sz w:val="3"/>
                <w:szCs w:val="3"/>
                <w:color w:val="auto"/>
              </w:rPr>
            </w:pPr>
          </w:p>
        </w:tc>
        <w:tc>
          <w:tcPr>
            <w:tcW w:w="2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on December 9,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Borders>
              <w:bottom w:val="single" w:sz="8" w:color="0000FF"/>
            </w:tcBorders>
            <w:gridSpan w:val="35"/>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Amended and Restated Agreement, effective as of December 7, 2016, between CME Group Inc. and Terrence A. Duffy (incorporated by</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reference to Exhibit 10.1 to CME Group Inc.'s Form 8-K, filed with the SEC on December 9, 2016).</w:t>
              </w:r>
            </w:hyperlink>
          </w:p>
        </w:tc>
        <w:tc>
          <w:tcPr>
            <w:tcW w:w="27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tcBorders>
              <w:bottom w:val="single" w:sz="8" w:color="0000FF"/>
            </w:tcBorders>
            <w:gridSpan w:val="20"/>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Retirement Agreement, effective as of November 30, 2017, between Chicago Mercantile Exchange Inc. and Kimberly S. Taylor</w:t>
              </w:r>
            </w:hyperlink>
          </w:p>
        </w:tc>
        <w:tc>
          <w:tcPr>
            <w:tcW w:w="8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(incorporated by reference to Exhibit 10.1 to CME Group Inc.'s Form 8-K, filed with the SEC on December 1, 2017).</w:t>
              </w:r>
            </w:hyperlink>
          </w:p>
        </w:tc>
        <w:tc>
          <w:tcPr>
            <w:tcW w:w="1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tcBorders>
              <w:bottom w:val="single" w:sz="8" w:color="0000FF"/>
            </w:tcBorders>
            <w:gridSpan w:val="30"/>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Consulting Agreement between Leo Melamed and CME Group Inc., dated June 26, 2009 (incorporated by reference to Exhibit 10.2 to</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CME Group Inc.'s Form 10-Q, filed with the SEC on August 6, 2009).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Consulting Agreement between Leo Melamed and Chicago Mercantile Exchange Holdings Inc., dated November 14, 2005 (incorporated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top w:val="single" w:sz="8" w:color="0000FF"/>
            </w:tcBorders>
            <w:gridSpan w:val="35"/>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by reference to Exhibit 10.28 to Chicago Mercantile Exchange Holdings Inc.'s Form 10-K filed with the SEC on March 6, 2006)</w:t>
              </w:r>
              <w:r>
                <w:rPr>
                  <w:rFonts w:ascii="Arial" w:cs="Arial" w:eastAsia="Arial" w:hAnsi="Arial"/>
                  <w:sz w:val="18"/>
                  <w:szCs w:val="18"/>
                  <w:color w:val="000000"/>
                  <w:w w:val="97"/>
                </w:rPr>
                <w:t>;</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300" w:type="dxa"/>
            <w:vAlign w:val="bottom"/>
            <w:gridSpan w:val="1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Amendment, dated as of June 21, 2012 (incorporated by reference to Exhibit 10.4 to CME Group Inc.'s Form 10-Q, filed with the SEC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FF"/>
            </w:tcBorders>
            <w:gridSpan w:val="38"/>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August 8, 2012).</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Description of consulting arrangements for Leo Melamed and Jack Sander (incorporated by reference to CME Group Inc.'s Form 8-K,</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filed with the SEC on February 13, 2018).</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10.21(2)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0" w:type="dxa"/>
            <w:vAlign w:val="bottom"/>
            <w:tcBorders>
              <w:bottom w:val="single" w:sz="8" w:color="0000FF"/>
            </w:tcBorders>
            <w:gridSpan w:val="27"/>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License Agreement, dated June 29, 2012, between Standard &amp; Poor's Financial Services LLC and Chicago Mercantile Exchange Inc.</w:t>
              </w:r>
            </w:hyperlink>
          </w:p>
        </w:tc>
        <w:tc>
          <w:tcPr>
            <w:tcW w:w="40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(incorporated by reference to Exhibit 10.6 to CME Group Inc.'s Form 10-Q, filed with the SEC on August 8, 2012).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900" w:type="dxa"/>
            <w:vAlign w:val="bottom"/>
            <w:gridSpan w:val="15"/>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Amended and Restated Index License Agreement, between CME Group Index Services LLC and the Board of Trade of the City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7980" w:type="dxa"/>
            <w:vAlign w:val="bottom"/>
            <w:gridSpan w:val="22"/>
            <w:shd w:val="clear" w:color="auto" w:fill="0000FF"/>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9"/>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Chicago, Inc., effective as of July 1, 2011 (incorporated by reference to Exhibit 10.5 to CME Group Inc.'s Form 10-Q, filed with the SEC</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on August 8, 2012).</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top w:val="single" w:sz="8" w:color="0000FF"/>
            </w:tcBorders>
            <w:gridSpan w:val="2"/>
          </w:tcPr>
          <w:p>
            <w:pPr>
              <w:spacing w:after="0"/>
              <w:rPr>
                <w:sz w:val="24"/>
                <w:szCs w:val="24"/>
                <w:color w:val="auto"/>
              </w:rPr>
            </w:pPr>
          </w:p>
        </w:tc>
        <w:tc>
          <w:tcPr>
            <w:tcW w:w="3380" w:type="dxa"/>
            <w:vAlign w:val="bottom"/>
            <w:gridSpan w:val="5"/>
          </w:tcPr>
          <w:p>
            <w:pPr>
              <w:jc w:val="right"/>
              <w:ind w:right="348"/>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80" w:type="dxa"/>
            <w:vAlign w:val="bottom"/>
            <w:gridSpan w:val="20"/>
            <w:vMerge w:val="restart"/>
          </w:tcPr>
          <w:p>
            <w:pPr>
              <w:ind w:left="1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8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10.23(2)</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20" w:type="dxa"/>
            <w:vAlign w:val="bottom"/>
            <w:tcBorders>
              <w:top w:val="single" w:sz="8" w:color="auto"/>
              <w:bottom w:val="single" w:sz="8" w:color="0000FF"/>
            </w:tcBorders>
            <w:gridSpan w:val="26"/>
          </w:tcPr>
          <w:p>
            <w:pPr>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License Agreement, effective as of October 9, 2003, between The Nasdaq Stock Market, Inc., a subsidiary of National Association of</w:t>
              </w:r>
            </w:hyperlink>
          </w:p>
        </w:tc>
        <w:tc>
          <w:tcPr>
            <w:tcW w:w="380" w:type="dxa"/>
            <w:vAlign w:val="bottom"/>
            <w:tcBorders>
              <w:top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Securities Dealers, Inc., and Chicago Mercantile Exchange Inc. (incorporated by reference to Exhibit 10.9 to Chicago Mercantile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w w:val="98"/>
              </w:rPr>
            </w:pPr>
            <w:hyperlink r:id="rId45">
              <w:r>
                <w:rPr>
                  <w:rFonts w:ascii="Arial" w:cs="Arial" w:eastAsia="Arial" w:hAnsi="Arial"/>
                  <w:sz w:val="18"/>
                  <w:szCs w:val="18"/>
                  <w:color w:val="0000FF"/>
                  <w:w w:val="98"/>
                </w:rPr>
                <w:t>Exchange Holdings Inc.'s Form 10-K, filed with the SEC on March 11, 2004)</w:t>
              </w:r>
              <w:r>
                <w:rPr>
                  <w:rFonts w:ascii="Arial" w:cs="Arial" w:eastAsia="Arial" w:hAnsi="Arial"/>
                  <w:sz w:val="18"/>
                  <w:szCs w:val="18"/>
                  <w:color w:val="000000"/>
                  <w:w w:val="98"/>
                </w:rPr>
                <w:t>,</w:t>
              </w:r>
              <w:r>
                <w:rPr>
                  <w:rFonts w:ascii="Arial" w:cs="Arial" w:eastAsia="Arial" w:hAnsi="Arial"/>
                  <w:sz w:val="18"/>
                  <w:szCs w:val="18"/>
                  <w:color w:val="0000FF"/>
                  <w:w w:val="98"/>
                </w:rPr>
                <w:t xml:space="preserve"> Amendment, dated April 26, 2005 (incorporated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reference to Exhibit 10.1 to Chicago Mercantile Exchange Holdings Inc.'s Form 10-Q, filed with the SEC on August 4, 2005)</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Amendment, dated June 22, 2005 (incorporated by reference to Exhibit 10.2 to Chicago Mercantile Exchange Holdings Inc.'s Form 10-Q,</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filed with the SEC on August 4, 2005)</w:t>
              </w:r>
              <w:r>
                <w:rPr>
                  <w:rFonts w:ascii="Arial" w:cs="Arial" w:eastAsia="Arial" w:hAnsi="Arial"/>
                  <w:sz w:val="18"/>
                  <w:szCs w:val="18"/>
                  <w:color w:val="000000"/>
                  <w:w w:val="92"/>
                </w:rPr>
                <w:t>;</w:t>
              </w:r>
              <w:r>
                <w:rPr>
                  <w:rFonts w:ascii="Arial" w:cs="Arial" w:eastAsia="Arial" w:hAnsi="Arial"/>
                  <w:sz w:val="18"/>
                  <w:szCs w:val="18"/>
                  <w:color w:val="0000FF"/>
                  <w:w w:val="92"/>
                </w:rPr>
                <w:t xml:space="preserve"> Amendment, dated as of June 26, 2008 (incorporated by reference to Exhibit 10.1 to CME Group</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Inc.'s Form 10-Q, filed with the SEC on August 7,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FF"/>
                <w:w w:val="98"/>
              </w:rPr>
            </w:pPr>
            <w:hyperlink r:id="rId48">
              <w:r>
                <w:rPr>
                  <w:rFonts w:ascii="Arial" w:cs="Arial" w:eastAsia="Arial" w:hAnsi="Arial"/>
                  <w:sz w:val="18"/>
                  <w:szCs w:val="18"/>
                  <w:u w:val="single" w:color="auto"/>
                  <w:color w:val="0000FF"/>
                  <w:w w:val="98"/>
                </w:rPr>
                <w:t>$</w:t>
              </w:r>
              <w:r>
                <w:rPr>
                  <w:rFonts w:ascii="Arial" w:cs="Arial" w:eastAsia="Arial" w:hAnsi="Arial"/>
                  <w:sz w:val="18"/>
                  <w:szCs w:val="18"/>
                  <w:color w:val="0000FF"/>
                  <w:w w:val="98"/>
                </w:rPr>
                <w:t>2,250,000,000 Credit Agreement, dated as of November 21, 2017, among CME Group Inc., certain lenders, agents, arrangers,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bookrunners and Bank of America, N.A., as Administrative Agent (incorporated by reference to Exhibit 10.1 to CME Group Inc.'s Form</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8-K, filed with the SEC on November 27, 2017).</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vMerge w:val="restart"/>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Chicago Mercantile Exchange Credit Agreement, dated as of November 2, 2017, between Chicago Mercantile Exchange Inc., certain</w:t>
              </w:r>
            </w:hyperlink>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0" w:type="dxa"/>
            <w:vAlign w:val="bottom"/>
            <w:gridSpan w:val="3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lenders and Bank of America, N.A., as Administrative Agent (incorporated by reference to Exhibit 10.1 to CME Group Inc.'s Form 8-K,</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filed with the SEC on November 7,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FF"/>
                <w:w w:val="94"/>
              </w:rPr>
            </w:pPr>
            <w:hyperlink r:id="rId12">
              <w:r>
                <w:rPr>
                  <w:rFonts w:ascii="Arial" w:cs="Arial" w:eastAsia="Arial" w:hAnsi="Arial"/>
                  <w:sz w:val="18"/>
                  <w:szCs w:val="18"/>
                  <w:color w:val="0000FF"/>
                  <w:w w:val="94"/>
                </w:rPr>
                <w:t>Amended and Restated Commercial Paper Dealer Agreement, dated as of October 20, 2014, among CME Group Inc., as Issuer,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Barclays Capital Inc., as Dealer (incorporated by reference to Exhibit 4.1 above).</w:t>
              </w:r>
            </w:hyperlink>
          </w:p>
        </w:tc>
        <w:tc>
          <w:tcPr>
            <w:tcW w:w="3640" w:type="dxa"/>
            <w:vAlign w:val="bottom"/>
            <w:tcBorders>
              <w:top w:val="single" w:sz="8" w:color="0000FF"/>
            </w:tcBorders>
            <w:gridSpan w:val="10"/>
          </w:tcPr>
          <w:p>
            <w:pPr>
              <w:spacing w:after="0"/>
              <w:rPr>
                <w:sz w:val="17"/>
                <w:szCs w:val="17"/>
                <w:color w:val="auto"/>
              </w:rPr>
            </w:pPr>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22"/>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America, National Association, as Issuing and Paying Agent (incorporated by reference to Exhibit 4.2 above).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bottom w:val="single" w:sz="8" w:color="0000FF"/>
            </w:tcBorders>
            <w:gridSpan w:val="25"/>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Amended and Restated Commercial Paper Dealer Agreement, dated as of October 20, 2014, between CME Group Inc., as Issuer, and</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Merrill Lynch, Pierce, Fenner &amp; Smith Incorporated, as Dealer (incorporated by reference to Exhibit 4.3 above).</w:t>
              </w:r>
            </w:hyperlink>
          </w:p>
        </w:tc>
        <w:tc>
          <w:tcPr>
            <w:tcW w:w="1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bottom w:val="single" w:sz="8" w:color="0000FF"/>
            </w:tcBorders>
            <w:gridSpan w:val="25"/>
          </w:tcPr>
          <w:p>
            <w:pPr>
              <w:spacing w:after="0"/>
              <w:rPr>
                <w:rFonts w:ascii="Arial" w:cs="Arial" w:eastAsia="Arial" w:hAnsi="Arial"/>
                <w:sz w:val="18"/>
                <w:szCs w:val="18"/>
                <w:color w:val="0000FF"/>
                <w:w w:val="89"/>
              </w:rPr>
            </w:pPr>
            <w:hyperlink r:id="rId15">
              <w:r>
                <w:rPr>
                  <w:rFonts w:ascii="Arial" w:cs="Arial" w:eastAsia="Arial" w:hAnsi="Arial"/>
                  <w:sz w:val="18"/>
                  <w:szCs w:val="18"/>
                  <w:color w:val="0000FF"/>
                  <w:w w:val="89"/>
                </w:rPr>
                <w:t>Amended and Restated Commercial Paper Dealer Agreement, dated as of October 20, 2014, between CME Group Inc., as Issuer, and</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Goldman, Sachs &amp; Co., as Dealer (incorporated by reference to Exhibit 4.4 above).</w:t>
              </w:r>
            </w:hyperlink>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Ratio of Earnings to Fixed Charges.</w:t>
              </w:r>
            </w:hyperlink>
          </w:p>
        </w:tc>
        <w:tc>
          <w:tcPr>
            <w:tcW w:w="3400" w:type="dxa"/>
            <w:vAlign w:val="bottom"/>
            <w:tcBorders>
              <w:top w:val="single" w:sz="8" w:color="0000FF"/>
            </w:tcBorders>
            <w:gridSpan w:val="12"/>
          </w:tcPr>
          <w:p>
            <w:pPr>
              <w:spacing w:after="0"/>
              <w:rPr>
                <w:sz w:val="24"/>
                <w:szCs w:val="24"/>
                <w:color w:val="auto"/>
              </w:rPr>
            </w:pPr>
          </w:p>
        </w:tc>
        <w:tc>
          <w:tcPr>
            <w:tcW w:w="40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List of Subsidiaries of CME Group Inc.</w:t>
              </w:r>
            </w:hyperlink>
          </w:p>
        </w:tc>
        <w:tc>
          <w:tcPr>
            <w:tcW w:w="0" w:type="dxa"/>
            <w:vAlign w:val="bottom"/>
          </w:tcPr>
          <w:p>
            <w:pPr>
              <w:spacing w:after="0"/>
              <w:rPr>
                <w:sz w:val="1"/>
                <w:szCs w:val="1"/>
                <w:color w:val="auto"/>
              </w:rPr>
            </w:pPr>
          </w:p>
        </w:tc>
      </w:tr>
      <w:tr>
        <w:trPr>
          <w:trHeight w:val="385"/>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Consent of Ernst &amp; Young LLP.</w:t>
              </w:r>
            </w:hyperlink>
          </w:p>
        </w:tc>
        <w:tc>
          <w:tcPr>
            <w:tcW w:w="540" w:type="dxa"/>
            <w:vAlign w:val="bottom"/>
            <w:tcBorders>
              <w:top w:val="single" w:sz="8" w:color="0000FF"/>
            </w:tcBorders>
            <w:gridSpan w:val="3"/>
          </w:tcPr>
          <w:p>
            <w:pPr>
              <w:spacing w:after="0"/>
              <w:rPr>
                <w:sz w:val="24"/>
                <w:szCs w:val="24"/>
                <w:color w:val="auto"/>
              </w:rPr>
            </w:pPr>
          </w:p>
        </w:tc>
        <w:tc>
          <w:tcPr>
            <w:tcW w:w="716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Section 302—Certification of Terrence A. Duffy.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Section 302—Certification of John W. Pietrowicz.</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9"/>
            <w:shd w:val="clear" w:color="auto" w:fill="0000FF"/>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Certification Pursuant to 18 U.S.C. Section 1350, as Adopted Pursuant to Section 906 of the Sarbanes-Oxley Act of 2002.</w:t>
              </w:r>
            </w:hyperlink>
          </w:p>
        </w:tc>
        <w:tc>
          <w:tcPr>
            <w:tcW w:w="12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3"/>
          </w:tcPr>
          <w:p>
            <w:pPr>
              <w:spacing w:after="0"/>
              <w:rPr>
                <w:sz w:val="20"/>
                <w:szCs w:val="20"/>
                <w:color w:val="auto"/>
              </w:rPr>
            </w:pPr>
            <w:r>
              <w:rPr>
                <w:rFonts w:ascii="Arial" w:cs="Arial" w:eastAsia="Arial" w:hAnsi="Arial"/>
                <w:sz w:val="18"/>
                <w:szCs w:val="18"/>
                <w:color w:val="auto"/>
                <w:w w:val="90"/>
              </w:rPr>
              <w:t>_______________</w:t>
            </w:r>
          </w:p>
        </w:tc>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ectPr>
          <w:pgSz w:w="11900" w:h="16838" w:orient="portrait"/>
          <w:cols w:equalWidth="0" w:num="1">
            <w:col w:w="11420"/>
          </w:cols>
          <w:pgMar w:left="240" w:top="113"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13"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19"/>
          </w:cols>
          <w:pgMar w:left="240" w:top="122" w:right="1440"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2018.</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By:</w:t>
            </w:r>
          </w:p>
        </w:tc>
        <w:tc>
          <w:tcPr>
            <w:tcW w:w="4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tc>
      </w:tr>
      <w:tr>
        <w:trPr>
          <w:trHeight w:val="27"/>
        </w:trPr>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6"/>
        </w:trPr>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4"/>
              </w:rPr>
              <w:t>John W. Pietrowicz</w:t>
            </w:r>
          </w:p>
        </w:tc>
      </w:tr>
      <w:tr>
        <w:trPr>
          <w:trHeight w:val="186"/>
        </w:trPr>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r>
      <w:tr>
        <w:trPr>
          <w:trHeight w:val="749"/>
        </w:trPr>
        <w:tc>
          <w:tcPr>
            <w:tcW w:w="1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2184"/>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364"/>
        </w:trPr>
        <w:tc>
          <w:tcPr>
            <w:tcW w:w="192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of the Board, Director and Chief Executive Officer</w:t>
            </w: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5"/>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60" w:type="dxa"/>
            <w:vAlign w:val="bottom"/>
            <w:gridSpan w:val="2"/>
          </w:tcPr>
          <w:p>
            <w:pPr>
              <w:jc w:val="center"/>
              <w:ind w:right="1464"/>
              <w:spacing w:after="0"/>
              <w:rPr>
                <w:sz w:val="20"/>
                <w:szCs w:val="20"/>
                <w:color w:val="auto"/>
              </w:rPr>
            </w:pPr>
            <w:r>
              <w:rPr>
                <w:rFonts w:ascii="Arial" w:cs="Arial" w:eastAsia="Arial" w:hAnsi="Arial"/>
                <w:sz w:val="18"/>
                <w:szCs w:val="18"/>
                <w:color w:val="auto"/>
                <w:w w:val="94"/>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4"/>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00" w:type="dxa"/>
            <w:vAlign w:val="bottom"/>
          </w:tcPr>
          <w:p>
            <w:pPr>
              <w:jc w:val="center"/>
              <w:ind w:right="1824"/>
              <w:spacing w:after="0"/>
              <w:rPr>
                <w:sz w:val="20"/>
                <w:szCs w:val="20"/>
                <w:color w:val="auto"/>
              </w:rPr>
            </w:pPr>
            <w:r>
              <w:rPr>
                <w:rFonts w:ascii="Arial" w:cs="Arial" w:eastAsia="Arial" w:hAnsi="Arial"/>
                <w:sz w:val="18"/>
                <w:szCs w:val="18"/>
                <w:color w:val="auto"/>
                <w:w w:val="98"/>
              </w:rPr>
              <w:t>JACK TOBIN</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2"/>
              </w:rPr>
              <w:t>Jack Tobin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Pr>
          <w:p>
            <w:pPr>
              <w:jc w:val="center"/>
              <w:ind w:right="1884"/>
              <w:spacing w:after="0"/>
              <w:rPr>
                <w:sz w:val="20"/>
                <w:szCs w:val="20"/>
                <w:color w:val="auto"/>
              </w:rPr>
            </w:pPr>
            <w:r>
              <w:rPr>
                <w:rFonts w:ascii="Arial" w:cs="Arial" w:eastAsia="Arial" w:hAnsi="Arial"/>
                <w:sz w:val="18"/>
                <w:szCs w:val="18"/>
                <w:color w:val="auto"/>
                <w:w w:val="99"/>
              </w:rPr>
              <w:t>LEO MELAMED</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Emeritus and Director</w:t>
            </w: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4"/>
              </w:rPr>
              <w:t>Leo Melamed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60" w:type="dxa"/>
            <w:vAlign w:val="bottom"/>
            <w:gridSpan w:val="2"/>
          </w:tcPr>
          <w:p>
            <w:pPr>
              <w:jc w:val="center"/>
              <w:ind w:right="1504"/>
              <w:spacing w:after="0"/>
              <w:rPr>
                <w:sz w:val="20"/>
                <w:szCs w:val="20"/>
                <w:color w:val="auto"/>
              </w:rPr>
            </w:pPr>
            <w:r>
              <w:rPr>
                <w:rFonts w:ascii="Arial" w:cs="Arial" w:eastAsia="Arial" w:hAnsi="Arial"/>
                <w:sz w:val="18"/>
                <w:szCs w:val="18"/>
                <w:color w:val="auto"/>
                <w:w w:val="96"/>
              </w:rPr>
              <w:t>JEFFREY M. BERNACCHI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Jeffrey M. Bernacchi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3"/>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CHARLES P. CAREY</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3"/>
              </w:rPr>
              <w:t>Charles P. Carey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90"/>
        </w:trPr>
        <w:tc>
          <w:tcPr>
            <w:tcW w:w="5580" w:type="dxa"/>
            <w:vAlign w:val="bottom"/>
            <w:gridSpan w:val="3"/>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2"/>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spacing w:after="0"/>
              <w:rPr>
                <w:sz w:val="24"/>
                <w:szCs w:val="24"/>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8"/>
                <w:szCs w:val="18"/>
                <w:color w:val="auto"/>
                <w:w w:val="99"/>
              </w:rPr>
              <w:t>/s/ ANA DUTRA</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204"/>
              <w:spacing w:after="0"/>
              <w:rPr>
                <w:sz w:val="20"/>
                <w:szCs w:val="20"/>
                <w:color w:val="auto"/>
              </w:rPr>
            </w:pPr>
            <w:r>
              <w:rPr>
                <w:rFonts w:ascii="Arial" w:cs="Arial" w:eastAsia="Arial" w:hAnsi="Arial"/>
                <w:sz w:val="14"/>
                <w:szCs w:val="14"/>
                <w:b w:val="1"/>
                <w:bCs w:val="1"/>
                <w:color w:val="auto"/>
                <w:w w:val="98"/>
              </w:rPr>
              <w:t>Ana Dutra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ind w:left="17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660" w:type="dxa"/>
            <w:vAlign w:val="bottom"/>
            <w:gridSpan w:val="2"/>
          </w:tcPr>
          <w:p>
            <w:pPr>
              <w:jc w:val="center"/>
              <w:ind w:right="1464"/>
              <w:spacing w:after="0"/>
              <w:rPr>
                <w:sz w:val="20"/>
                <w:szCs w:val="20"/>
                <w:color w:val="auto"/>
              </w:rPr>
            </w:pPr>
            <w:r>
              <w:rPr>
                <w:rFonts w:ascii="Arial" w:cs="Arial" w:eastAsia="Arial" w:hAnsi="Arial"/>
                <w:sz w:val="18"/>
                <w:szCs w:val="18"/>
                <w:color w:val="auto"/>
                <w:w w:val="96"/>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5"/>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60" w:type="dxa"/>
            <w:vAlign w:val="bottom"/>
            <w:gridSpan w:val="2"/>
          </w:tcPr>
          <w:p>
            <w:pPr>
              <w:ind w:left="140"/>
              <w:spacing w:after="0"/>
              <w:rPr>
                <w:sz w:val="20"/>
                <w:szCs w:val="20"/>
                <w:color w:val="auto"/>
              </w:rPr>
            </w:pPr>
            <w:r>
              <w:rPr>
                <w:rFonts w:ascii="Arial" w:cs="Arial" w:eastAsia="Arial" w:hAnsi="Arial"/>
                <w:sz w:val="18"/>
                <w:szCs w:val="18"/>
                <w:color w:val="auto"/>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8"/>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20" w:type="dxa"/>
            <w:vAlign w:val="bottom"/>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60" w:type="dxa"/>
            <w:vAlign w:val="bottom"/>
            <w:gridSpan w:val="2"/>
          </w:tcPr>
          <w:p>
            <w:pPr>
              <w:jc w:val="center"/>
              <w:ind w:right="1524"/>
              <w:spacing w:after="0"/>
              <w:rPr>
                <w:sz w:val="20"/>
                <w:szCs w:val="20"/>
                <w:color w:val="auto"/>
              </w:rPr>
            </w:pPr>
            <w:r>
              <w:rPr>
                <w:rFonts w:ascii="Arial" w:cs="Arial" w:eastAsia="Arial" w:hAnsi="Arial"/>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6"/>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jc w:val="center"/>
              <w:spacing w:after="0"/>
              <w:rPr>
                <w:sz w:val="20"/>
                <w:szCs w:val="20"/>
                <w:color w:val="auto"/>
              </w:rPr>
            </w:pPr>
            <w:r>
              <w:rPr>
                <w:rFonts w:ascii="Arial" w:cs="Arial" w:eastAsia="Arial" w:hAnsi="Arial"/>
                <w:sz w:val="18"/>
                <w:szCs w:val="18"/>
                <w:color w:val="auto"/>
                <w:w w:val="93"/>
              </w:rPr>
              <w:t>/s/ GEDON HERTSHTEN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3"/>
              </w:rPr>
              <w:t>Gedon Hertshten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4"/>
                <w:szCs w:val="14"/>
                <w:b w:val="1"/>
                <w:bCs w:val="1"/>
                <w:color w:val="auto"/>
                <w:w w:val="94"/>
              </w:rPr>
              <w:t>Ronald A. Pankau</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660"/>
        </w:trPr>
        <w:tc>
          <w:tcPr>
            <w:tcW w:w="1920" w:type="dxa"/>
            <w:vAlign w:val="bottom"/>
          </w:tcPr>
          <w:p>
            <w:pPr>
              <w:spacing w:after="0"/>
              <w:rPr>
                <w:sz w:val="24"/>
                <w:szCs w:val="24"/>
                <w:color w:val="auto"/>
              </w:rPr>
            </w:pPr>
          </w:p>
        </w:tc>
        <w:tc>
          <w:tcPr>
            <w:tcW w:w="3660" w:type="dxa"/>
            <w:vAlign w:val="bottom"/>
            <w:gridSpan w:val="2"/>
          </w:tcPr>
          <w:p>
            <w:pPr>
              <w:jc w:val="center"/>
              <w:ind w:right="1824"/>
              <w:spacing w:after="0"/>
              <w:rPr>
                <w:sz w:val="20"/>
                <w:szCs w:val="20"/>
                <w:color w:val="auto"/>
              </w:rPr>
            </w:pPr>
            <w:r>
              <w:rPr>
                <w:rFonts w:ascii="Arial" w:cs="Arial" w:eastAsia="Arial" w:hAnsi="Arial"/>
                <w:sz w:val="18"/>
                <w:szCs w:val="18"/>
                <w:color w:val="auto"/>
                <w:w w:val="96"/>
              </w:rPr>
              <w:t>/s/ ALEX J. POLLOCK</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3"/>
              </w:rPr>
              <w:t>Alex J. Pollock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ind w:left="18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40" w:type="dxa"/>
            <w:vAlign w:val="bottom"/>
          </w:tcPr>
          <w:p>
            <w:pPr>
              <w:jc w:val="center"/>
              <w:ind w:right="1580"/>
              <w:spacing w:after="0"/>
              <w:rPr>
                <w:sz w:val="20"/>
                <w:szCs w:val="20"/>
                <w:color w:val="auto"/>
              </w:rPr>
            </w:pPr>
            <w:r>
              <w:rPr>
                <w:rFonts w:ascii="Arial" w:cs="Arial" w:eastAsia="Arial" w:hAnsi="Arial"/>
                <w:sz w:val="18"/>
                <w:szCs w:val="18"/>
                <w:color w:val="auto"/>
                <w:w w:val="93"/>
              </w:rPr>
              <w:t>JOHN F. SANDNER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0"/>
              <w:spacing w:after="0"/>
              <w:rPr>
                <w:sz w:val="20"/>
                <w:szCs w:val="20"/>
                <w:color w:val="auto"/>
              </w:rPr>
            </w:pPr>
            <w:r>
              <w:rPr>
                <w:rFonts w:ascii="Arial" w:cs="Arial" w:eastAsia="Arial" w:hAnsi="Arial"/>
                <w:sz w:val="14"/>
                <w:szCs w:val="14"/>
                <w:b w:val="1"/>
                <w:bCs w:val="1"/>
                <w:color w:val="auto"/>
                <w:w w:val="91"/>
              </w:rPr>
              <w:t>John F. Sandner</w:t>
            </w:r>
          </w:p>
        </w:tc>
        <w:tc>
          <w:tcPr>
            <w:tcW w:w="76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/S/ TERRY L. SAVAGE</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0"/>
              <w:spacing w:after="0"/>
              <w:rPr>
                <w:sz w:val="20"/>
                <w:szCs w:val="20"/>
                <w:color w:val="auto"/>
              </w:rPr>
            </w:pPr>
            <w:r>
              <w:rPr>
                <w:rFonts w:ascii="Arial" w:cs="Arial" w:eastAsia="Arial" w:hAnsi="Arial"/>
                <w:sz w:val="14"/>
                <w:szCs w:val="14"/>
                <w:b w:val="1"/>
                <w:bCs w:val="1"/>
                <w:color w:val="auto"/>
                <w:w w:val="93"/>
              </w:rPr>
              <w:t>Terry L. Savage</w:t>
            </w:r>
          </w:p>
        </w:tc>
        <w:tc>
          <w:tcPr>
            <w:tcW w:w="760" w:type="dxa"/>
            <w:vAlign w:val="bottom"/>
          </w:tcPr>
          <w:p>
            <w:pPr>
              <w:spacing w:after="0"/>
              <w:rPr>
                <w:sz w:val="20"/>
                <w:szCs w:val="20"/>
                <w:color w:val="auto"/>
              </w:rPr>
            </w:pPr>
          </w:p>
        </w:tc>
      </w:tr>
      <w:tr>
        <w:trPr>
          <w:trHeight w:val="377"/>
        </w:trPr>
        <w:tc>
          <w:tcPr>
            <w:tcW w:w="20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0"/>
              <w:spacing w:after="0"/>
              <w:rPr>
                <w:sz w:val="20"/>
                <w:szCs w:val="20"/>
                <w:color w:val="auto"/>
              </w:rPr>
            </w:pPr>
            <w:r>
              <w:rPr>
                <w:rFonts w:ascii="Arial" w:cs="Arial" w:eastAsia="Arial" w:hAnsi="Arial"/>
                <w:sz w:val="18"/>
                <w:szCs w:val="18"/>
                <w:color w:val="auto"/>
                <w:w w:val="98"/>
              </w:rPr>
              <w:t>WILLIAM R. SHEPARD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William R. Shepard</w:t>
            </w:r>
          </w:p>
        </w:tc>
        <w:tc>
          <w:tcPr>
            <w:tcW w:w="760" w:type="dxa"/>
            <w:vAlign w:val="bottom"/>
          </w:tcPr>
          <w:p>
            <w:pPr>
              <w:spacing w:after="0"/>
              <w:rPr>
                <w:sz w:val="20"/>
                <w:szCs w:val="20"/>
                <w:color w:val="auto"/>
              </w:rPr>
            </w:pPr>
          </w:p>
        </w:tc>
      </w:tr>
      <w:tr>
        <w:trPr>
          <w:trHeight w:val="417"/>
        </w:trPr>
        <w:tc>
          <w:tcPr>
            <w:tcW w:w="2040" w:type="dxa"/>
            <w:vAlign w:val="bottom"/>
          </w:tcPr>
          <w:p>
            <w:pPr>
              <w:ind w:left="18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Pr>
          <w:p>
            <w:pPr>
              <w:jc w:val="center"/>
              <w:ind w:right="1640"/>
              <w:spacing w:after="0"/>
              <w:rPr>
                <w:sz w:val="20"/>
                <w:szCs w:val="20"/>
                <w:color w:val="auto"/>
              </w:rPr>
            </w:pPr>
            <w:r>
              <w:rPr>
                <w:rFonts w:ascii="Arial" w:cs="Arial" w:eastAsia="Arial" w:hAnsi="Arial"/>
                <w:sz w:val="18"/>
                <w:szCs w:val="18"/>
                <w:color w:val="auto"/>
                <w:w w:val="94"/>
              </w:rPr>
              <w:t>HOWARD J. SIEGEL</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0"/>
              <w:spacing w:after="0"/>
              <w:rPr>
                <w:sz w:val="20"/>
                <w:szCs w:val="20"/>
                <w:color w:val="auto"/>
              </w:rPr>
            </w:pPr>
            <w:r>
              <w:rPr>
                <w:rFonts w:ascii="Arial" w:cs="Arial" w:eastAsia="Arial" w:hAnsi="Arial"/>
                <w:sz w:val="14"/>
                <w:szCs w:val="14"/>
                <w:b w:val="1"/>
                <w:bCs w:val="1"/>
                <w:color w:val="auto"/>
                <w:w w:val="92"/>
              </w:rPr>
              <w:t>Howard J. Siegel</w:t>
            </w:r>
          </w:p>
        </w:tc>
        <w:tc>
          <w:tcPr>
            <w:tcW w:w="760" w:type="dxa"/>
            <w:vAlign w:val="bottom"/>
          </w:tcPr>
          <w:p>
            <w:pPr>
              <w:spacing w:after="0"/>
              <w:rPr>
                <w:sz w:val="20"/>
                <w:szCs w:val="20"/>
                <w:color w:val="auto"/>
              </w:rPr>
            </w:pPr>
          </w:p>
        </w:tc>
      </w:tr>
      <w:tr>
        <w:trPr>
          <w:trHeight w:val="377"/>
        </w:trPr>
        <w:tc>
          <w:tcPr>
            <w:tcW w:w="2040" w:type="dxa"/>
            <w:vAlign w:val="bottom"/>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0"/>
              <w:spacing w:after="0"/>
              <w:rPr>
                <w:sz w:val="20"/>
                <w:szCs w:val="20"/>
                <w:color w:val="auto"/>
              </w:rPr>
            </w:pPr>
            <w:r>
              <w:rPr>
                <w:rFonts w:ascii="Arial" w:cs="Arial" w:eastAsia="Arial" w:hAnsi="Arial"/>
                <w:sz w:val="18"/>
                <w:szCs w:val="18"/>
                <w:color w:val="auto"/>
                <w:w w:val="97"/>
              </w:rPr>
              <w:t>DENNIS A. SUSKIND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0"/>
              <w:spacing w:after="0"/>
              <w:rPr>
                <w:sz w:val="20"/>
                <w:szCs w:val="20"/>
                <w:color w:val="auto"/>
              </w:rPr>
            </w:pPr>
            <w:r>
              <w:rPr>
                <w:rFonts w:ascii="Arial" w:cs="Arial" w:eastAsia="Arial" w:hAnsi="Arial"/>
                <w:sz w:val="14"/>
                <w:szCs w:val="14"/>
                <w:b w:val="1"/>
                <w:bCs w:val="1"/>
                <w:color w:val="auto"/>
                <w:w w:val="91"/>
              </w:rPr>
              <w:t>Dennis A. Suskind</w:t>
            </w:r>
          </w:p>
        </w:tc>
        <w:tc>
          <w:tcPr>
            <w:tcW w:w="760" w:type="dxa"/>
            <w:vAlign w:val="bottom"/>
          </w:tcPr>
          <w:p>
            <w:pPr>
              <w:spacing w:after="0"/>
              <w:rPr>
                <w:sz w:val="20"/>
                <w:szCs w:val="20"/>
                <w:color w:val="auto"/>
              </w:rPr>
            </w:pPr>
          </w:p>
        </w:tc>
      </w:tr>
      <w:tr>
        <w:trPr>
          <w:trHeight w:val="377"/>
        </w:trPr>
        <w:tc>
          <w:tcPr>
            <w:tcW w:w="2040" w:type="dxa"/>
            <w:vAlign w:val="bottom"/>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20"/>
              <w:spacing w:after="0"/>
              <w:rPr>
                <w:sz w:val="20"/>
                <w:szCs w:val="20"/>
                <w:color w:val="auto"/>
              </w:rPr>
            </w:pPr>
            <w:r>
              <w:rPr>
                <w:rFonts w:ascii="Arial" w:cs="Arial" w:eastAsia="Arial" w:hAnsi="Arial"/>
                <w:sz w:val="18"/>
                <w:szCs w:val="18"/>
                <w:color w:val="auto"/>
                <w:w w:val="94"/>
              </w:rPr>
              <w:t>DAVID J. WESCOTT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0"/>
              <w:spacing w:after="0"/>
              <w:rPr>
                <w:sz w:val="20"/>
                <w:szCs w:val="20"/>
                <w:color w:val="auto"/>
              </w:rPr>
            </w:pPr>
            <w:r>
              <w:rPr>
                <w:rFonts w:ascii="Arial" w:cs="Arial" w:eastAsia="Arial" w:hAnsi="Arial"/>
                <w:sz w:val="14"/>
                <w:szCs w:val="14"/>
                <w:b w:val="1"/>
                <w:bCs w:val="1"/>
                <w:color w:val="auto"/>
                <w:w w:val="92"/>
              </w:rPr>
              <w:t>David J. Wescott</w:t>
            </w: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12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617474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extLst>
                    </a:blip>
                    <a:srcRect/>
                    <a:stretch>
                      <a:fillRect/>
                    </a:stretch>
                  </pic:blipFill>
                  <pic:spPr bwMode="auto">
                    <a:xfrm>
                      <a:off x="0" y="0"/>
                      <a:ext cx="617474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w:t>
      </w:r>
    </w:p>
    <w:p>
      <w:pPr>
        <w:spacing w:after="0" w:line="2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Congratulations! We are pleased to provide you with an equity grant under the CME Group Inc. Amended and Restated Omnibus Stock Plan (the “Plan”). This equity grant is in recognition of the anticipated positive impact you will make toward the future success of CME Group. Your equity grant may enable you to acquire ownership in CME Group Inc., which is a means for you to share in the success of the company while creating shareholder value. Certain terms of your equity grant follow:</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Terms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:You have been granted [ ] restricted shares of Class A common stock, $.01 par value, of CME Group Inc.</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w:t>
      </w:r>
    </w:p>
    <w:p>
      <w:pPr>
        <w:spacing w:after="0" w:line="239" w:lineRule="exact"/>
        <w:rPr>
          <w:sz w:val="20"/>
          <w:szCs w:val="20"/>
          <w:color w:val="auto"/>
        </w:rPr>
      </w:pPr>
    </w:p>
    <w:p>
      <w:pPr>
        <w:jc w:val="both"/>
        <w:ind w:left="1960" w:hanging="1944"/>
        <w:spacing w:after="0" w:line="287" w:lineRule="auto"/>
        <w:tabs>
          <w:tab w:leader="none" w:pos="1940" w:val="left"/>
        </w:tabs>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Except as otherwise provided in the Plan, 25 percent of the restricted stock grant shall become vested on each anniversary of the grant date, with 100 percent of the restricted stock grant becoming vested on the fourth anniversary of the grant date.</w:t>
      </w:r>
    </w:p>
    <w:p>
      <w:pPr>
        <w:spacing w:after="0" w:line="203" w:lineRule="exact"/>
        <w:rPr>
          <w:sz w:val="20"/>
          <w:szCs w:val="20"/>
          <w:color w:val="auto"/>
        </w:rPr>
      </w:pPr>
    </w:p>
    <w:p>
      <w:pPr>
        <w:jc w:val="both"/>
        <w:ind w:left="1960" w:right="20" w:hanging="1944"/>
        <w:spacing w:after="0" w:line="293" w:lineRule="auto"/>
        <w:tabs>
          <w:tab w:leader="none" w:pos="1940" w:val="left"/>
        </w:tabs>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Dividends paid on unvested restricted shares will be accrued and paid out via E*Trade according to the vesting schedule.</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6"/>
          <w:szCs w:val="16"/>
          <w:i w:val="1"/>
          <w:iCs w:val="1"/>
          <w:color w:val="auto"/>
        </w:rPr>
        <w:t>Your equity grant has a total planned economic value of $[ ] which is [ ]% of your current base salary. The planned value was used to calculate the number of restricted shares granted, using the closing stock price on the grant date.</w:t>
      </w:r>
    </w:p>
    <w:p>
      <w:pPr>
        <w:spacing w:after="0" w:line="146" w:lineRule="exact"/>
        <w:rPr>
          <w:sz w:val="20"/>
          <w:szCs w:val="20"/>
          <w:color w:val="auto"/>
        </w:rPr>
      </w:pPr>
    </w:p>
    <w:p>
      <w:pPr>
        <w:ind w:right="2840"/>
        <w:spacing w:after="0" w:line="249" w:lineRule="auto"/>
        <w:rPr>
          <w:sz w:val="20"/>
          <w:szCs w:val="20"/>
          <w:color w:val="auto"/>
        </w:rPr>
      </w:pPr>
      <w:r>
        <w:rPr>
          <w:rFonts w:ascii="Arial" w:cs="Arial" w:eastAsia="Arial" w:hAnsi="Arial"/>
          <w:sz w:val="14"/>
          <w:szCs w:val="14"/>
          <w:i w:val="1"/>
          <w:iCs w:val="1"/>
          <w:color w:val="auto"/>
        </w:rPr>
        <w:t>To be eligible to receive this grant, you must have entered into a Confidentiality, Non-Competition and Non-Solicitation Agreement with CME Group Inc. In addition to the terms stated in this grant letter, your equity grant shall be subject to the terms and conditions of the Plan. All documents relating to the Plan, including the cover letter, grant letter, Plan Document, Prospectus, Frequently Asked Questions, 83b Election Memo (for U.S. employees only) and Beneficiary Form, are available online by logging on to your E*TRADE account at www.etrade.com/ stockplans or by calling E*TRADE at 800-838-0908 (+1-650-599-0125 outside the U.S.). A copy of the current CME Group Form 10-K can be found at: http://investor.cmegroup.com/investor-relations/financials.cfm. Please complete your W-9 Form (or W-8BEN Form if outside the U.S.) during activation of your E*TRADE account and submit your completed Beneficiary Designation Form to CME Group’s Compensation Department, 20 S. Wacker, 2N, Chicago, IL 60606.</w:t>
      </w:r>
    </w:p>
    <w:p>
      <w:pPr>
        <w:spacing w:after="0" w:line="226" w:lineRule="exact"/>
        <w:rPr>
          <w:sz w:val="20"/>
          <w:szCs w:val="20"/>
          <w:color w:val="auto"/>
        </w:rPr>
      </w:pPr>
    </w:p>
    <w:p>
      <w:pPr>
        <w:jc w:val="both"/>
        <w:spacing w:after="0" w:line="300" w:lineRule="auto"/>
        <w:rPr>
          <w:sz w:val="20"/>
          <w:szCs w:val="20"/>
          <w:color w:val="auto"/>
        </w:rPr>
      </w:pPr>
      <w:r>
        <w:rPr>
          <w:rFonts w:ascii="Arial" w:cs="Arial" w:eastAsia="Arial" w:hAnsi="Arial"/>
          <w:sz w:val="14"/>
          <w:szCs w:val="14"/>
          <w:i w:val="1"/>
          <w:iCs w:val="1"/>
          <w:color w:val="auto"/>
        </w:rPr>
        <w:t>By accepting this equity grant, you hereby agree to the terms and conditions of the Plan, which are subject to change at any time. In addition, you acknowledge and agree that you are receiving this grant pursuant to CME Group’s Annual Grant Program, which is in place at the discretion of CME Group. Accordingly, your receipt of this grant and your eligibility for any future grants are subject to the continued existence of the Annual Grant Program.</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b w:val="1"/>
          <w:bCs w:val="1"/>
          <w:color w:val="auto"/>
        </w:rPr>
        <w:t xml:space="preserve">No Right to Future Grants; No Right of Employment; Extraordinary Item: </w:t>
      </w:r>
      <w:r>
        <w:rPr>
          <w:rFonts w:ascii="Arial" w:cs="Arial" w:eastAsia="Arial" w:hAnsi="Arial"/>
          <w:sz w:val="14"/>
          <w:szCs w:val="14"/>
          <w:color w:val="auto"/>
        </w:rPr>
        <w:t>In accepting the grant, you acknowledge that: (a) the Plan is established voluntarily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it is discretionary in nature and it may be modified, suspended or terminated by the Company at any time, as provided in the Plan and this Award Agreement; (b) the grant of the Award is voluntary and occasional and does not create any contractual or other right to receive future grants of Awards, or benefits in lieu of Awards, even if Awards have been granted repeatedly in the past; (c) all decisions with respect to future grants, if any, will be at the sole discretion of the Company; (d) your participation in the Plan is voluntary; (e) the Awards are an extraordinary item that does not constitute compensation of any kind for services of any kind rendered to the Company and which is outside the scope of your employment contract, if any; (f) the Awards are not part of normal or expected compensation or salary for any purposes, including, but not limited to, calculating any severance, resignation, termination, redundancy, end of service payments, bonuses, long-service awards, pension or retirement benefits or similar payments; (g) in the event that you are an employee of an affiliate or subsidiary of the Company, the grant will not be interpreted to form an employment contract or relationship with the Company; and furthermore, the grant will not be interpreted to form an employment contract with the affiliate or subsidiary that is your employer; (h) the future value of the underlying Shares is unknown and cannot be predicted with certainty; (i) no claim or entitlement to compensation or damages arises from forfeiture or termination of the Awards or diminution in value of the Awards or the Shares and you irrevocably release the Company, its affiliates and/or its subsidiaries from any such claim that may arise; and (j) notwithstanding any terms or conditions of the Plan to the contrary, in the event of involuntary termination of your employment, your right to receive Awards and vest in the Awards under the Plan, if any, will terminate effective as of the date that you are no longer actively employed and will not be extended by any notice period mandated under local law; furthermore, in the event of involuntary termination of employment, your right to vest in the Awards after termination of employment, if any, will be measured by the date of termination of your active employment and will not be extended by any notice period mandated under local law.</w:t>
      </w:r>
    </w:p>
    <w:p>
      <w:pPr>
        <w:sectPr>
          <w:pgSz w:w="11900" w:h="16838" w:orient="portrait"/>
          <w:cols w:equalWidth="0" w:num="1">
            <w:col w:w="11420"/>
          </w:cols>
          <w:pgMar w:left="240" w:top="14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36664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extLst>
                    </a:blip>
                    <a:srcRect/>
                    <a:stretch>
                      <a:fillRect/>
                    </a:stretch>
                  </pic:blipFill>
                  <pic:spPr bwMode="auto">
                    <a:xfrm>
                      <a:off x="0" y="0"/>
                      <a:ext cx="2366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First Name Last Name:</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Congratulations! We are pleased to provide you with a long-term incentive opportunity under the CME Group Inc. Amended and Restated Omnibus Stock Plan (the “Plan”). This long-term incentive opportunity is in recognition of the anticipated positive impact you will make toward the future success of the company. Your grant provides you with the opportunity to earn a range of performance shares based on the achievement of the performance goals set forth below. If earned, the ultimate payout for achieving the performance goals will be in the form of CME Group Inc. stock, which is a means for you to share in the success of the overall company. Certain terms of your long-term incentive opportunity follow:</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Performance Share Terms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Your grant has a target of [ ] Performance Shares for the achievement of Performance Goals at the target levels. Payouts will be settled after the</w:t>
      </w:r>
    </w:p>
    <w:p>
      <w:pPr>
        <w:spacing w:after="0" w:line="5" w:lineRule="exact"/>
        <w:rPr>
          <w:sz w:val="20"/>
          <w:szCs w:val="20"/>
          <w:color w:val="auto"/>
        </w:rPr>
      </w:pPr>
    </w:p>
    <w:p>
      <w:pPr>
        <w:ind w:left="2880" w:right="80" w:hanging="2876"/>
        <w:spacing w:after="0" w:line="260" w:lineRule="auto"/>
        <w:tabs>
          <w:tab w:leader="none" w:pos="2860" w:val="left"/>
        </w:tabs>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end of the Performance Period by the issuance of Class A common stock, $.01 par value, of CME Group Inc. if certain specified Performance Goals are achieved for the Performance Period as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4"/>
          </w:tcPr>
          <w:p>
            <w:pPr>
              <w:spacing w:after="0"/>
              <w:rPr>
                <w:sz w:val="20"/>
                <w:szCs w:val="20"/>
                <w:color w:val="auto"/>
              </w:rPr>
            </w:pPr>
            <w:r>
              <w:rPr>
                <w:rFonts w:ascii="Arial" w:cs="Arial" w:eastAsia="Arial" w:hAnsi="Arial"/>
                <w:sz w:val="16"/>
                <w:szCs w:val="16"/>
                <w:color w:val="auto"/>
              </w:rPr>
              <w:t>Grant Date:</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 ]</w:t>
            </w:r>
          </w:p>
        </w:tc>
        <w:tc>
          <w:tcPr>
            <w:tcW w:w="60" w:type="dxa"/>
            <w:vAlign w:val="bottom"/>
          </w:tcPr>
          <w:p>
            <w:pPr>
              <w:spacing w:after="0"/>
              <w:rPr>
                <w:sz w:val="16"/>
                <w:szCs w:val="16"/>
                <w:color w:val="auto"/>
              </w:rPr>
            </w:pPr>
          </w:p>
        </w:tc>
        <w:tc>
          <w:tcPr>
            <w:tcW w:w="9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Performance Period:</w:t>
            </w:r>
          </w:p>
        </w:tc>
        <w:tc>
          <w:tcPr>
            <w:tcW w:w="9920" w:type="dxa"/>
            <w:vAlign w:val="bottom"/>
          </w:tcPr>
          <w:p>
            <w:pPr>
              <w:ind w:left="4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85"/>
        </w:trPr>
        <w:tc>
          <w:tcPr>
            <w:tcW w:w="1500" w:type="dxa"/>
            <w:vAlign w:val="bottom"/>
            <w:gridSpan w:val="7"/>
          </w:tcPr>
          <w:p>
            <w:pPr>
              <w:spacing w:after="0"/>
              <w:rPr>
                <w:sz w:val="20"/>
                <w:szCs w:val="20"/>
                <w:color w:val="auto"/>
              </w:rPr>
            </w:pPr>
            <w:r>
              <w:rPr>
                <w:rFonts w:ascii="Arial" w:cs="Arial" w:eastAsia="Arial" w:hAnsi="Arial"/>
                <w:sz w:val="16"/>
                <w:szCs w:val="16"/>
                <w:color w:val="auto"/>
              </w:rPr>
              <w:t>Performance Goals:</w:t>
            </w:r>
          </w:p>
        </w:tc>
        <w:tc>
          <w:tcPr>
            <w:tcW w:w="9920" w:type="dxa"/>
            <w:vAlign w:val="bottom"/>
          </w:tcPr>
          <w:p>
            <w:pPr>
              <w:ind w:left="4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85"/>
        </w:trPr>
        <w:tc>
          <w:tcPr>
            <w:tcW w:w="120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Payment and</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7"/>
          </w:tcPr>
          <w:p>
            <w:pPr>
              <w:spacing w:after="0" w:line="169" w:lineRule="exact"/>
              <w:rPr>
                <w:sz w:val="20"/>
                <w:szCs w:val="20"/>
                <w:color w:val="auto"/>
              </w:rPr>
            </w:pPr>
            <w:r>
              <w:rPr>
                <w:rFonts w:ascii="Arial" w:cs="Arial" w:eastAsia="Arial" w:hAnsi="Arial"/>
                <w:sz w:val="16"/>
                <w:szCs w:val="16"/>
                <w:color w:val="auto"/>
              </w:rPr>
              <w:t>Vesting Schedule:</w:t>
            </w:r>
          </w:p>
        </w:tc>
        <w:tc>
          <w:tcPr>
            <w:tcW w:w="9920" w:type="dxa"/>
            <w:vAlign w:val="bottom"/>
          </w:tcPr>
          <w:p>
            <w:pPr>
              <w:ind w:left="460"/>
              <w:spacing w:after="0" w:line="169" w:lineRule="exact"/>
              <w:rPr>
                <w:sz w:val="20"/>
                <w:szCs w:val="20"/>
                <w:color w:val="auto"/>
              </w:rPr>
            </w:pPr>
            <w:r>
              <w:rPr>
                <w:rFonts w:ascii="Arial" w:cs="Arial" w:eastAsia="Arial" w:hAnsi="Arial"/>
                <w:sz w:val="16"/>
                <w:szCs w:val="16"/>
                <w:color w:val="auto"/>
              </w:rPr>
              <w:t>Performance Shares that are earned, if any, shall be settled in Class A common stock, $0.01 par value of CME Group Inc., which</w:t>
            </w:r>
          </w:p>
        </w:tc>
        <w:tc>
          <w:tcPr>
            <w:tcW w:w="0" w:type="dxa"/>
            <w:vAlign w:val="bottom"/>
          </w:tcPr>
          <w:p>
            <w:pPr>
              <w:spacing w:after="0"/>
              <w:rPr>
                <w:sz w:val="1"/>
                <w:szCs w:val="1"/>
                <w:color w:val="auto"/>
              </w:rPr>
            </w:pPr>
          </w:p>
        </w:tc>
      </w:tr>
      <w:tr>
        <w:trPr>
          <w:trHeight w:val="198"/>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shall be issued as soon as administratively practicable after the Compensation Committee and/or its delegate confirms that the</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Goals have been attained. The Goals shall not be deemed to be attained until the Compensation Committee and/or its delegate</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confirms that they have been attained. The Performance Shares earned shall be based on the actual performance achieved under</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the Performance Goals during the Performance Period and issued in accordance with the Terms and Conditions attached hereto.</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Such shares based on [ ] shall become vested on the payout date in [ ], and such shares based on [ ] shall become vested on the</w:t>
            </w:r>
          </w:p>
        </w:tc>
        <w:tc>
          <w:tcPr>
            <w:tcW w:w="0" w:type="dxa"/>
            <w:vAlign w:val="bottom"/>
          </w:tcPr>
          <w:p>
            <w:pPr>
              <w:spacing w:after="0"/>
              <w:rPr>
                <w:sz w:val="1"/>
                <w:szCs w:val="1"/>
                <w:color w:val="auto"/>
              </w:rPr>
            </w:pPr>
          </w:p>
        </w:tc>
      </w:tr>
      <w:tr>
        <w:trPr>
          <w:trHeight w:val="195"/>
        </w:trPr>
        <w:tc>
          <w:tcPr>
            <w:tcW w:w="1200" w:type="dxa"/>
            <w:vAlign w:val="bottom"/>
            <w:gridSpan w:val="4"/>
            <w:vMerge w:val="restart"/>
          </w:tcPr>
          <w:p>
            <w:pPr>
              <w:spacing w:after="0"/>
              <w:rPr>
                <w:sz w:val="20"/>
                <w:szCs w:val="20"/>
                <w:color w:val="auto"/>
              </w:rPr>
            </w:pPr>
            <w:r>
              <w:rPr>
                <w:rFonts w:ascii="Arial" w:cs="Arial" w:eastAsia="Arial" w:hAnsi="Arial"/>
                <w:sz w:val="16"/>
                <w:szCs w:val="16"/>
                <w:color w:val="auto"/>
                <w:w w:val="98"/>
              </w:rPr>
              <w:t>Additional Terms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payout date in [ ], except as otherwise provided by the terms and conditions in the Plan.</w:t>
            </w:r>
          </w:p>
        </w:tc>
        <w:tc>
          <w:tcPr>
            <w:tcW w:w="0" w:type="dxa"/>
            <w:vAlign w:val="bottom"/>
          </w:tcPr>
          <w:p>
            <w:pPr>
              <w:spacing w:after="0"/>
              <w:rPr>
                <w:sz w:val="1"/>
                <w:szCs w:val="1"/>
                <w:color w:val="auto"/>
              </w:rPr>
            </w:pPr>
          </w:p>
        </w:tc>
      </w:tr>
      <w:tr>
        <w:trPr>
          <w:trHeight w:val="160"/>
        </w:trPr>
        <w:tc>
          <w:tcPr>
            <w:tcW w:w="12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gridSpan w:val="4"/>
          </w:tcPr>
          <w:p>
            <w:pPr>
              <w:spacing w:after="0" w:line="169" w:lineRule="exact"/>
              <w:rPr>
                <w:sz w:val="20"/>
                <w:szCs w:val="20"/>
                <w:color w:val="auto"/>
              </w:rPr>
            </w:pPr>
            <w:r>
              <w:rPr>
                <w:rFonts w:ascii="Arial" w:cs="Arial" w:eastAsia="Arial" w:hAnsi="Arial"/>
                <w:sz w:val="16"/>
                <w:szCs w:val="16"/>
                <w:color w:val="auto"/>
              </w:rPr>
              <w:t>and Conditions: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920" w:type="dxa"/>
            <w:vAlign w:val="bottom"/>
          </w:tcPr>
          <w:p>
            <w:pPr>
              <w:ind w:left="460"/>
              <w:spacing w:after="0" w:line="169" w:lineRule="exact"/>
              <w:rPr>
                <w:sz w:val="20"/>
                <w:szCs w:val="20"/>
                <w:color w:val="auto"/>
              </w:rPr>
            </w:pPr>
            <w:r>
              <w:rPr>
                <w:rFonts w:ascii="Arial" w:cs="Arial" w:eastAsia="Arial" w:hAnsi="Arial"/>
                <w:sz w:val="16"/>
                <w:szCs w:val="16"/>
                <w:color w:val="auto"/>
              </w:rPr>
              <w:t>The Performance Shares granted are subject to the Terms and Conditions attached hereto, as well as the terms and conditions set</w:t>
            </w:r>
          </w:p>
        </w:tc>
        <w:tc>
          <w:tcPr>
            <w:tcW w:w="0" w:type="dxa"/>
            <w:vAlign w:val="bottom"/>
          </w:tcPr>
          <w:p>
            <w:pPr>
              <w:spacing w:after="0"/>
              <w:rPr>
                <w:sz w:val="1"/>
                <w:szCs w:val="1"/>
                <w:color w:val="auto"/>
              </w:rPr>
            </w:pPr>
          </w:p>
        </w:tc>
      </w:tr>
      <w:tr>
        <w:trPr>
          <w:trHeight w:val="204"/>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forth in the Plan.</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Your equity grant has a total planned economic value of $[ ] which is [ ] % of your current base salary. The planned value was used to calculate the number of target performance shares granted, using the closing stock price on the grant date.</w:t>
      </w:r>
    </w:p>
    <w:p>
      <w:pPr>
        <w:spacing w:after="0" w:line="156" w:lineRule="exact"/>
        <w:rPr>
          <w:sz w:val="20"/>
          <w:szCs w:val="20"/>
          <w:color w:val="auto"/>
        </w:rPr>
      </w:pPr>
    </w:p>
    <w:p>
      <w:pPr>
        <w:ind w:right="2840"/>
        <w:spacing w:after="0" w:line="268" w:lineRule="auto"/>
        <w:rPr>
          <w:sz w:val="20"/>
          <w:szCs w:val="20"/>
          <w:color w:val="auto"/>
        </w:rPr>
      </w:pPr>
      <w:r>
        <w:rPr>
          <w:rFonts w:ascii="Arial" w:cs="Arial" w:eastAsia="Arial" w:hAnsi="Arial"/>
          <w:sz w:val="13"/>
          <w:szCs w:val="13"/>
          <w:i w:val="1"/>
          <w:iCs w:val="1"/>
          <w:color w:val="auto"/>
        </w:rPr>
        <w:t xml:space="preserve">To be eligible to receive this grant, you must have entered into a Confidentiality, Non-Competition and Non-Solicitation Agreement with CME Group Inc. In addition to the terms stated in this grant letter, your equity grant shall be subject to the terms and conditions of the Plan, which are subject to change at any time. All documents relating to the Plan, including the Plan Document, Prospectus and Beneficiary Form, can be accessed online by logging on to your E*TRADE account at www.etrade.com/stockplans or by calling E*TRADE at 800-838-0908 or +1-650-599-0125 if outside the U.S. A copy of the current CME Group Form 10-K can be found at: http://investor.cmegroup.com/investor-relations/financials.cfm. </w:t>
      </w:r>
      <w:r>
        <w:rPr>
          <w:rFonts w:ascii="Arial" w:cs="Arial" w:eastAsia="Arial" w:hAnsi="Arial"/>
          <w:sz w:val="13"/>
          <w:szCs w:val="13"/>
          <w:b w:val="1"/>
          <w:bCs w:val="1"/>
          <w:i w:val="1"/>
          <w:iCs w:val="1"/>
          <w:color w:val="auto"/>
        </w:rPr>
        <w:t>Please certify</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your W-9 (or W-8BEN if outside the U.S.) upon activation of your E*TRADE account and submit your completed Beneficiary Designation Form to CME Group’s Compensation Department, 20 S. Wacker, 2N, Chicago, IL 60606.</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By accepting this equity grant, you hereby agree to the terms and conditions of the Plan, which are subject to change at any time. In addition, you acknowledge and agree that you are receiving this grant pursuant to CME Group’s Annual Grant Program, which is in place at the discretion of CME Group. Accordingly, your receipt of this grant and your eligibility for any future grants are subject to the continued existence of the Annual Grant Program.</w:t>
      </w:r>
    </w:p>
    <w:p>
      <w:pPr>
        <w:spacing w:after="0" w:line="166" w:lineRule="exact"/>
        <w:rPr>
          <w:sz w:val="20"/>
          <w:szCs w:val="20"/>
          <w:color w:val="auto"/>
        </w:rPr>
      </w:pPr>
    </w:p>
    <w:p>
      <w:pPr>
        <w:ind w:right="2840"/>
        <w:spacing w:after="0" w:line="264" w:lineRule="auto"/>
        <w:rPr>
          <w:sz w:val="20"/>
          <w:szCs w:val="20"/>
          <w:color w:val="auto"/>
        </w:rPr>
      </w:pPr>
      <w:r>
        <w:rPr>
          <w:rFonts w:ascii="Arial" w:cs="Arial" w:eastAsia="Arial" w:hAnsi="Arial"/>
          <w:sz w:val="13"/>
          <w:szCs w:val="13"/>
          <w:b w:val="1"/>
          <w:bCs w:val="1"/>
          <w:color w:val="auto"/>
        </w:rPr>
        <w:t xml:space="preserve">No Right to Future Grants; No Right of Employment; Extraordinary Item: </w:t>
      </w:r>
      <w:r>
        <w:rPr>
          <w:rFonts w:ascii="Arial" w:cs="Arial" w:eastAsia="Arial" w:hAnsi="Arial"/>
          <w:sz w:val="13"/>
          <w:szCs w:val="13"/>
          <w:color w:val="auto"/>
        </w:rPr>
        <w:t>In accepting the grant, you acknowledge that: (a) the Plan is</w:t>
      </w:r>
      <w:r>
        <w:rPr>
          <w:rFonts w:ascii="Arial" w:cs="Arial" w:eastAsia="Arial" w:hAnsi="Arial"/>
          <w:sz w:val="13"/>
          <w:szCs w:val="13"/>
          <w:b w:val="1"/>
          <w:bCs w:val="1"/>
          <w:color w:val="auto"/>
        </w:rPr>
        <w:t xml:space="preserve"> </w:t>
      </w:r>
      <w:r>
        <w:rPr>
          <w:rFonts w:ascii="Arial" w:cs="Arial" w:eastAsia="Arial" w:hAnsi="Arial"/>
          <w:sz w:val="13"/>
          <w:szCs w:val="13"/>
          <w:color w:val="auto"/>
        </w:rPr>
        <w:t>established voluntarily by the Company, it is discretionary in nature and it may be modified, suspended or terminated by the Company at any time, as provided in the Plan and this Award Agreement; (b) the grant of the Award is voluntary and occasional and does not create any contractual or other right to receive future grants of Awards, or benefits in lieu of Awards, even if Awards have been granted repeatedly in the past; (c) all decisions with respect to future grants, if any, will be at the sole discretion of the Company; (d) your participation in the Plan is voluntary; (e) the Awards are an extraordinary item that does not constitute compensation of any kind for services of any kind rendered to the Company and which is outside the scope of your employment contract, if any; (f) the Awards are not part of normal or expected compensation or salary for any purposes, including, but not limited to, calculating any severance, resignation, termination, redundancy, end of service payments, bonuses, long-service awards, pension or retirement benefits or similar payments; (g) in the event that you are an employee of an affiliate or subsidiary of the Company, the grant will not be interpreted to form an employment contract or relationship with the Company; and furthermore, the grant will not be interpreted to form an employment contract with the affiliate or subsidiary that is your employer; (h) the future value of the underlying Shares is unknown and cannot be predicted with certainty; (i) no claim or entitlement to compensation or damages arises from forfeiture or termination of the Awards or diminution in value of the Awards or the Shares and you irrevocably release the Company, its affiliates and/or its subsidiaries from any such claim that may arise; and (j) notwithstanding any terms or conditions of the Plan to the contrary, in the event of involuntary termination of your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t>Exhibit 10.3</w:t>
      </w:r>
    </w:p>
    <w:p>
      <w:pPr>
        <w:spacing w:after="0" w:line="236" w:lineRule="exact"/>
        <w:rPr>
          <w:sz w:val="20"/>
          <w:szCs w:val="20"/>
          <w:color w:val="auto"/>
        </w:rPr>
      </w:pPr>
    </w:p>
    <w:p>
      <w:pPr>
        <w:ind w:right="2900"/>
        <w:spacing w:after="0" w:line="252" w:lineRule="auto"/>
        <w:rPr>
          <w:sz w:val="20"/>
          <w:szCs w:val="20"/>
          <w:color w:val="auto"/>
        </w:rPr>
      </w:pPr>
      <w:r>
        <w:rPr>
          <w:rFonts w:ascii="Arial" w:cs="Arial" w:eastAsia="Arial" w:hAnsi="Arial"/>
          <w:sz w:val="14"/>
          <w:szCs w:val="14"/>
          <w:color w:val="auto"/>
        </w:rPr>
        <w:t>employment, your right to receive Awards and vest in the Awards under the Plan, if any, will terminate effective as of the date that you are no longer actively employed and will not be extended by any notice period mandated under local law; furthermore, in the event of involuntary termination of employment, your right to vest in the Awards after termination of employment, if any, will be measured by the date of termination of your active employment and will not be extended by any notice period mandated under local law.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2"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TERMS AND CONDITIONS</w:t>
      </w:r>
    </w:p>
    <w:p>
      <w:pPr>
        <w:spacing w:after="0" w:line="221" w:lineRule="exact"/>
        <w:rPr>
          <w:sz w:val="20"/>
          <w:szCs w:val="20"/>
          <w:color w:val="auto"/>
        </w:rPr>
      </w:pPr>
    </w:p>
    <w:p>
      <w:pPr>
        <w:ind w:left="340" w:hanging="332"/>
        <w:spacing w:after="0" w:line="28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Earned. </w:t>
      </w:r>
      <w:r>
        <w:rPr>
          <w:rFonts w:ascii="Arial" w:cs="Arial" w:eastAsia="Arial" w:hAnsi="Arial"/>
          <w:sz w:val="16"/>
          <w:szCs w:val="16"/>
          <w:color w:val="auto"/>
        </w:rPr>
        <w:t>The number of Performance Shares earned, if any, will be based on the actual performance achieved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relative to each Performance Goal. This determination shall be made in accordance with the following schedules:</w:t>
      </w:r>
    </w:p>
    <w:p>
      <w:pPr>
        <w:spacing w:after="0" w:line="36" w:lineRule="exact"/>
        <w:rPr>
          <w:rFonts w:ascii="Arial" w:cs="Arial" w:eastAsia="Arial" w:hAnsi="Arial"/>
          <w:sz w:val="16"/>
          <w:szCs w:val="16"/>
          <w:color w:val="auto"/>
        </w:rPr>
      </w:pPr>
    </w:p>
    <w:p>
      <w:pPr>
        <w:ind w:left="980" w:hanging="324"/>
        <w:spacing w:after="0"/>
        <w:tabs>
          <w:tab w:leader="none" w:pos="980" w:val="left"/>
        </w:tabs>
        <w:numPr>
          <w:ilvl w:val="1"/>
          <w:numId w:val="48"/>
        </w:numPr>
        <w:rPr>
          <w:rFonts w:ascii="Arial" w:cs="Arial" w:eastAsia="Arial" w:hAnsi="Arial"/>
          <w:sz w:val="22"/>
          <w:szCs w:val="22"/>
          <w:color w:val="auto"/>
        </w:rPr>
      </w:pPr>
      <w:r>
        <w:rPr>
          <w:rFonts w:ascii="Arial" w:cs="Arial" w:eastAsia="Arial" w:hAnsi="Arial"/>
          <w:sz w:val="16"/>
          <w:szCs w:val="16"/>
          <w:color w:val="auto"/>
        </w:rPr>
        <w:t xml:space="preserve">Goal 1 – </w:t>
      </w:r>
      <w:r>
        <w:rPr>
          <w:rFonts w:ascii="Arial" w:cs="Arial" w:eastAsia="Arial" w:hAnsi="Arial"/>
          <w:sz w:val="16"/>
          <w:szCs w:val="16"/>
          <w:b w:val="1"/>
          <w:bCs w:val="1"/>
          <w:color w:val="auto"/>
        </w:rPr>
        <w:t>[ ] %</w:t>
      </w:r>
      <w:r>
        <w:rPr>
          <w:rFonts w:ascii="Arial" w:cs="Arial" w:eastAsia="Arial" w:hAnsi="Arial"/>
          <w:sz w:val="16"/>
          <w:szCs w:val="16"/>
          <w:color w:val="auto"/>
        </w:rPr>
        <w:t xml:space="preserve"> of Performance Shares at Target, or [ ] shares:</w:t>
      </w:r>
    </w:p>
    <w:p>
      <w:pPr>
        <w:spacing w:after="0" w:line="276" w:lineRule="exact"/>
        <w:rPr>
          <w:sz w:val="20"/>
          <w:szCs w:val="20"/>
          <w:color w:val="auto"/>
        </w:rPr>
      </w:pPr>
    </w:p>
    <w:tbl>
      <w:tblPr>
        <w:tblLayout w:type="fixed"/>
        <w:tblInd w:w="1310" w:type="dxa"/>
        <w:tblCellMar>
          <w:top w:w="0" w:type="dxa"/>
          <w:left w:w="0" w:type="dxa"/>
          <w:bottom w:w="0" w:type="dxa"/>
          <w:right w:w="0" w:type="dxa"/>
        </w:tblCellMar>
      </w:tblPr>
      <w:tr>
        <w:trPr>
          <w:trHeight w:val="318"/>
        </w:trPr>
        <w:tc>
          <w:tcPr>
            <w:tcW w:w="3220" w:type="dxa"/>
            <w:vAlign w:val="bottom"/>
            <w:tcBorders>
              <w:left w:val="single" w:sz="8" w:color="404040"/>
            </w:tcBorders>
            <w:shd w:val="clear" w:color="auto" w:fill="000000"/>
          </w:tcPr>
          <w:p>
            <w:pPr>
              <w:ind w:left="40"/>
              <w:spacing w:after="0"/>
              <w:rPr>
                <w:sz w:val="20"/>
                <w:szCs w:val="20"/>
                <w:color w:val="auto"/>
              </w:rPr>
            </w:pPr>
            <w:r>
              <w:rPr>
                <w:rFonts w:ascii="Arial" w:cs="Arial" w:eastAsia="Arial" w:hAnsi="Arial"/>
                <w:sz w:val="16"/>
                <w:szCs w:val="16"/>
                <w:b w:val="1"/>
                <w:bCs w:val="1"/>
                <w:color w:val="FFFFFF"/>
              </w:rPr>
              <w:t>[Goal 1 Performance Achievement]</w:t>
            </w:r>
          </w:p>
        </w:tc>
        <w:tc>
          <w:tcPr>
            <w:tcW w:w="5540" w:type="dxa"/>
            <w:vAlign w:val="bottom"/>
            <w:tcBorders>
              <w:right w:val="single" w:sz="8" w:color="404040"/>
            </w:tcBorders>
            <w:shd w:val="clear" w:color="auto" w:fill="000000"/>
          </w:tcPr>
          <w:p>
            <w:pPr>
              <w:ind w:left="480"/>
              <w:spacing w:after="0"/>
              <w:rPr>
                <w:sz w:val="20"/>
                <w:szCs w:val="20"/>
                <w:color w:val="auto"/>
              </w:rPr>
            </w:pPr>
            <w:r>
              <w:rPr>
                <w:rFonts w:ascii="Arial" w:cs="Arial" w:eastAsia="Arial" w:hAnsi="Arial"/>
                <w:sz w:val="16"/>
                <w:szCs w:val="16"/>
                <w:b w:val="1"/>
                <w:bCs w:val="1"/>
                <w:color w:val="FFFFFF"/>
              </w:rPr>
              <w:t>Performance Shares Earned</w:t>
            </w:r>
          </w:p>
        </w:tc>
      </w:tr>
      <w:tr>
        <w:trPr>
          <w:trHeight w:val="222"/>
        </w:trPr>
        <w:tc>
          <w:tcPr>
            <w:tcW w:w="3220" w:type="dxa"/>
            <w:vAlign w:val="bottom"/>
            <w:tcBorders>
              <w:left w:val="single" w:sz="8" w:color="404040"/>
            </w:tcBorders>
            <w:shd w:val="clear" w:color="auto" w:fill="000000"/>
          </w:tcPr>
          <w:p>
            <w:pPr>
              <w:spacing w:after="0"/>
              <w:rPr>
                <w:sz w:val="19"/>
                <w:szCs w:val="19"/>
                <w:color w:val="auto"/>
              </w:rPr>
            </w:pPr>
          </w:p>
        </w:tc>
        <w:tc>
          <w:tcPr>
            <w:tcW w:w="5540" w:type="dxa"/>
            <w:vAlign w:val="bottom"/>
            <w:tcBorders>
              <w:right w:val="single" w:sz="8" w:color="404040"/>
            </w:tcBorders>
            <w:shd w:val="clear" w:color="auto" w:fill="000000"/>
          </w:tcPr>
          <w:p>
            <w:pPr>
              <w:spacing w:after="0"/>
              <w:rPr>
                <w:sz w:val="19"/>
                <w:szCs w:val="19"/>
                <w:color w:val="auto"/>
              </w:rPr>
            </w:pPr>
          </w:p>
        </w:tc>
      </w:tr>
      <w:tr>
        <w:trPr>
          <w:trHeight w:val="305"/>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[Maximum]</w:t>
            </w:r>
          </w:p>
        </w:tc>
        <w:tc>
          <w:tcPr>
            <w:tcW w:w="5540" w:type="dxa"/>
            <w:vAlign w:val="bottom"/>
            <w:tcBorders>
              <w:right w:val="single" w:sz="8" w:color="404040"/>
            </w:tcBorders>
            <w:shd w:val="clear" w:color="auto" w:fill="C0C0C0"/>
          </w:tcPr>
          <w:p>
            <w:pPr>
              <w:ind w:left="480"/>
              <w:spacing w:after="0"/>
              <w:rPr>
                <w:sz w:val="20"/>
                <w:szCs w:val="20"/>
                <w:color w:val="auto"/>
              </w:rPr>
            </w:pPr>
            <w:r>
              <w:rPr>
                <w:rFonts w:ascii="Arial" w:cs="Arial" w:eastAsia="Arial" w:hAnsi="Arial"/>
                <w:sz w:val="16"/>
                <w:szCs w:val="16"/>
                <w:color w:val="auto"/>
              </w:rPr>
              <w:t>200% of above portion of Target Performance Shares</w:t>
            </w:r>
          </w:p>
        </w:tc>
      </w:tr>
      <w:tr>
        <w:trPr>
          <w:trHeight w:val="209"/>
        </w:trPr>
        <w:tc>
          <w:tcPr>
            <w:tcW w:w="3220" w:type="dxa"/>
            <w:vAlign w:val="bottom"/>
            <w:tcBorders>
              <w:left w:val="single" w:sz="8" w:color="404040"/>
              <w:bottom w:val="single" w:sz="8" w:color="404040"/>
            </w:tcBorders>
            <w:shd w:val="clear" w:color="auto" w:fill="C0C0C0"/>
          </w:tcPr>
          <w:p>
            <w:pPr>
              <w:spacing w:after="0"/>
              <w:rPr>
                <w:sz w:val="18"/>
                <w:szCs w:val="18"/>
                <w:color w:val="auto"/>
              </w:rPr>
            </w:pPr>
          </w:p>
        </w:tc>
        <w:tc>
          <w:tcPr>
            <w:tcW w:w="5540" w:type="dxa"/>
            <w:vAlign w:val="bottom"/>
            <w:tcBorders>
              <w:bottom w:val="single" w:sz="8" w:color="404040"/>
              <w:right w:val="single" w:sz="8" w:color="404040"/>
            </w:tcBorders>
            <w:shd w:val="clear" w:color="auto" w:fill="C0C0C0"/>
          </w:tcPr>
          <w:p>
            <w:pPr>
              <w:spacing w:after="0"/>
              <w:rPr>
                <w:sz w:val="18"/>
                <w:szCs w:val="1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[Target]</w:t>
            </w:r>
          </w:p>
        </w:tc>
        <w:tc>
          <w:tcPr>
            <w:tcW w:w="5540" w:type="dxa"/>
            <w:vAlign w:val="bottom"/>
            <w:tcBorders>
              <w:right w:val="single" w:sz="8" w:color="404040"/>
            </w:tcBorders>
          </w:tcPr>
          <w:p>
            <w:pPr>
              <w:ind w:left="480"/>
              <w:spacing w:after="0"/>
              <w:rPr>
                <w:sz w:val="20"/>
                <w:szCs w:val="20"/>
                <w:color w:val="auto"/>
              </w:rPr>
            </w:pPr>
            <w:r>
              <w:rPr>
                <w:rFonts w:ascii="Arial" w:cs="Arial" w:eastAsia="Arial" w:hAnsi="Arial"/>
                <w:sz w:val="16"/>
                <w:szCs w:val="16"/>
                <w:color w:val="auto"/>
              </w:rPr>
              <w:t>100% of above portion of Target Performance Shares</w:t>
            </w:r>
          </w:p>
        </w:tc>
      </w:tr>
      <w:tr>
        <w:trPr>
          <w:trHeight w:val="209"/>
        </w:trPr>
        <w:tc>
          <w:tcPr>
            <w:tcW w:w="3220" w:type="dxa"/>
            <w:vAlign w:val="bottom"/>
            <w:tcBorders>
              <w:left w:val="single" w:sz="8" w:color="404040"/>
              <w:bottom w:val="single" w:sz="8" w:color="404040"/>
            </w:tcBorders>
          </w:tcPr>
          <w:p>
            <w:pPr>
              <w:spacing w:after="0"/>
              <w:rPr>
                <w:sz w:val="18"/>
                <w:szCs w:val="18"/>
                <w:color w:val="auto"/>
              </w:rPr>
            </w:pPr>
          </w:p>
        </w:tc>
        <w:tc>
          <w:tcPr>
            <w:tcW w:w="5540" w:type="dxa"/>
            <w:vAlign w:val="bottom"/>
            <w:tcBorders>
              <w:bottom w:val="single" w:sz="8" w:color="404040"/>
              <w:right w:val="single" w:sz="8" w:color="404040"/>
            </w:tcBorders>
          </w:tcPr>
          <w:p>
            <w:pPr>
              <w:spacing w:after="0"/>
              <w:rPr>
                <w:sz w:val="18"/>
                <w:szCs w:val="18"/>
                <w:color w:val="auto"/>
              </w:rPr>
            </w:pPr>
          </w:p>
        </w:tc>
      </w:tr>
      <w:tr>
        <w:trPr>
          <w:trHeight w:val="298"/>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[Threshold]</w:t>
            </w:r>
          </w:p>
        </w:tc>
        <w:tc>
          <w:tcPr>
            <w:tcW w:w="5540" w:type="dxa"/>
            <w:vAlign w:val="bottom"/>
            <w:tcBorders>
              <w:right w:val="single" w:sz="8" w:color="404040"/>
            </w:tcBorders>
            <w:shd w:val="clear" w:color="auto" w:fill="C0C0C0"/>
          </w:tcPr>
          <w:p>
            <w:pPr>
              <w:ind w:left="480"/>
              <w:spacing w:after="0"/>
              <w:rPr>
                <w:sz w:val="20"/>
                <w:szCs w:val="20"/>
                <w:color w:val="auto"/>
              </w:rPr>
            </w:pPr>
            <w:r>
              <w:rPr>
                <w:rFonts w:ascii="Arial" w:cs="Arial" w:eastAsia="Arial" w:hAnsi="Arial"/>
                <w:sz w:val="16"/>
                <w:szCs w:val="16"/>
                <w:color w:val="auto"/>
              </w:rPr>
              <w:t>50% of above portion of Target Performance Shares</w:t>
            </w:r>
          </w:p>
        </w:tc>
      </w:tr>
      <w:tr>
        <w:trPr>
          <w:trHeight w:val="209"/>
        </w:trPr>
        <w:tc>
          <w:tcPr>
            <w:tcW w:w="3220" w:type="dxa"/>
            <w:vAlign w:val="bottom"/>
            <w:tcBorders>
              <w:left w:val="single" w:sz="8" w:color="404040"/>
              <w:bottom w:val="single" w:sz="8" w:color="404040"/>
            </w:tcBorders>
            <w:shd w:val="clear" w:color="auto" w:fill="C0C0C0"/>
          </w:tcPr>
          <w:p>
            <w:pPr>
              <w:spacing w:after="0"/>
              <w:rPr>
                <w:sz w:val="18"/>
                <w:szCs w:val="18"/>
                <w:color w:val="auto"/>
              </w:rPr>
            </w:pPr>
          </w:p>
        </w:tc>
        <w:tc>
          <w:tcPr>
            <w:tcW w:w="5540" w:type="dxa"/>
            <w:vAlign w:val="bottom"/>
            <w:tcBorders>
              <w:bottom w:val="single" w:sz="8" w:color="404040"/>
              <w:right w:val="single" w:sz="8" w:color="404040"/>
            </w:tcBorders>
            <w:shd w:val="clear" w:color="auto" w:fill="C0C0C0"/>
          </w:tcPr>
          <w:p>
            <w:pPr>
              <w:spacing w:after="0"/>
              <w:rPr>
                <w:sz w:val="18"/>
                <w:szCs w:val="1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[Below Threshold]</w:t>
            </w:r>
          </w:p>
        </w:tc>
        <w:tc>
          <w:tcPr>
            <w:tcW w:w="5540" w:type="dxa"/>
            <w:vAlign w:val="bottom"/>
            <w:tcBorders>
              <w:right w:val="single" w:sz="8" w:color="404040"/>
            </w:tcBorders>
          </w:tcPr>
          <w:p>
            <w:pPr>
              <w:ind w:left="480"/>
              <w:spacing w:after="0"/>
              <w:rPr>
                <w:sz w:val="20"/>
                <w:szCs w:val="20"/>
                <w:color w:val="auto"/>
              </w:rPr>
            </w:pPr>
            <w:r>
              <w:rPr>
                <w:rFonts w:ascii="Arial" w:cs="Arial" w:eastAsia="Arial" w:hAnsi="Arial"/>
                <w:sz w:val="16"/>
                <w:szCs w:val="16"/>
                <w:color w:val="auto"/>
              </w:rPr>
              <w:t>0% of above portion of Target Performance Shares</w:t>
            </w:r>
          </w:p>
        </w:tc>
      </w:tr>
      <w:tr>
        <w:trPr>
          <w:trHeight w:val="209"/>
        </w:trPr>
        <w:tc>
          <w:tcPr>
            <w:tcW w:w="3220" w:type="dxa"/>
            <w:vAlign w:val="bottom"/>
            <w:tcBorders>
              <w:left w:val="single" w:sz="8" w:color="404040"/>
              <w:bottom w:val="single" w:sz="8" w:color="404040"/>
            </w:tcBorders>
          </w:tcPr>
          <w:p>
            <w:pPr>
              <w:spacing w:after="0"/>
              <w:rPr>
                <w:sz w:val="18"/>
                <w:szCs w:val="18"/>
                <w:color w:val="auto"/>
              </w:rPr>
            </w:pPr>
          </w:p>
        </w:tc>
        <w:tc>
          <w:tcPr>
            <w:tcW w:w="5540" w:type="dxa"/>
            <w:vAlign w:val="bottom"/>
            <w:tcBorders>
              <w:bottom w:val="single" w:sz="8" w:color="404040"/>
              <w:right w:val="single" w:sz="8" w:color="404040"/>
            </w:tcBorders>
          </w:tcPr>
          <w:p>
            <w:pPr>
              <w:spacing w:after="0"/>
              <w:rPr>
                <w:sz w:val="18"/>
                <w:szCs w:val="18"/>
                <w:color w:val="auto"/>
              </w:rPr>
            </w:pPr>
          </w:p>
        </w:tc>
      </w:tr>
    </w:tbl>
    <w:p>
      <w:pPr>
        <w:spacing w:after="0" w:line="110" w:lineRule="exact"/>
        <w:rPr>
          <w:sz w:val="20"/>
          <w:szCs w:val="20"/>
          <w:color w:val="auto"/>
        </w:rPr>
      </w:pPr>
    </w:p>
    <w:p>
      <w:pPr>
        <w:ind w:left="1300"/>
        <w:spacing w:after="0" w:line="260" w:lineRule="auto"/>
        <w:rPr>
          <w:sz w:val="20"/>
          <w:szCs w:val="20"/>
          <w:color w:val="auto"/>
        </w:rPr>
      </w:pPr>
      <w:r>
        <w:rPr>
          <w:rFonts w:ascii="Arial" w:cs="Arial" w:eastAsia="Arial" w:hAnsi="Arial"/>
          <w:sz w:val="16"/>
          <w:szCs w:val="16"/>
          <w:color w:val="auto"/>
        </w:rPr>
        <w:t>Note: If actual performance falls between any of the levels above, then straight-line interpolation will be applied to determine the number of shares earned.</w:t>
      </w:r>
    </w:p>
    <w:p>
      <w:pPr>
        <w:spacing w:after="0" w:line="200" w:lineRule="exact"/>
        <w:rPr>
          <w:sz w:val="20"/>
          <w:szCs w:val="20"/>
          <w:color w:val="auto"/>
        </w:rPr>
      </w:pPr>
    </w:p>
    <w:p>
      <w:pPr>
        <w:spacing w:after="0" w:line="261"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16"/>
          <w:szCs w:val="16"/>
          <w:color w:val="auto"/>
        </w:rPr>
        <w:t xml:space="preserve">Goal 2 – </w:t>
      </w:r>
      <w:r>
        <w:rPr>
          <w:rFonts w:ascii="Arial" w:cs="Arial" w:eastAsia="Arial" w:hAnsi="Arial"/>
          <w:sz w:val="16"/>
          <w:szCs w:val="16"/>
          <w:b w:val="1"/>
          <w:bCs w:val="1"/>
          <w:color w:val="auto"/>
        </w:rPr>
        <w:t>[ ] %</w:t>
      </w:r>
      <w:r>
        <w:rPr>
          <w:rFonts w:ascii="Arial" w:cs="Arial" w:eastAsia="Arial" w:hAnsi="Arial"/>
          <w:sz w:val="16"/>
          <w:szCs w:val="16"/>
          <w:color w:val="auto"/>
        </w:rPr>
        <w:t xml:space="preserve"> of Performance Shares at Target, or [ ] shares:</w:t>
      </w:r>
    </w:p>
    <w:p>
      <w:pPr>
        <w:spacing w:after="0" w:line="276" w:lineRule="exact"/>
        <w:rPr>
          <w:sz w:val="20"/>
          <w:szCs w:val="20"/>
          <w:color w:val="auto"/>
        </w:rPr>
      </w:pPr>
    </w:p>
    <w:tbl>
      <w:tblPr>
        <w:tblLayout w:type="fixed"/>
        <w:tblInd w:w="1310" w:type="dxa"/>
        <w:tblCellMar>
          <w:top w:w="0" w:type="dxa"/>
          <w:left w:w="0" w:type="dxa"/>
          <w:bottom w:w="0" w:type="dxa"/>
          <w:right w:w="0" w:type="dxa"/>
        </w:tblCellMar>
      </w:tblPr>
      <w:tr>
        <w:trPr>
          <w:trHeight w:val="318"/>
        </w:trPr>
        <w:tc>
          <w:tcPr>
            <w:tcW w:w="3220" w:type="dxa"/>
            <w:vAlign w:val="bottom"/>
            <w:tcBorders>
              <w:left w:val="single" w:sz="8" w:color="404040"/>
            </w:tcBorders>
            <w:shd w:val="clear" w:color="auto" w:fill="000000"/>
          </w:tcPr>
          <w:p>
            <w:pPr>
              <w:ind w:left="40"/>
              <w:spacing w:after="0"/>
              <w:rPr>
                <w:sz w:val="20"/>
                <w:szCs w:val="20"/>
                <w:color w:val="auto"/>
              </w:rPr>
            </w:pPr>
            <w:r>
              <w:rPr>
                <w:rFonts w:ascii="Arial" w:cs="Arial" w:eastAsia="Arial" w:hAnsi="Arial"/>
                <w:sz w:val="16"/>
                <w:szCs w:val="16"/>
                <w:b w:val="1"/>
                <w:bCs w:val="1"/>
                <w:color w:val="FFFFFF"/>
              </w:rPr>
              <w:t>[Goal 2 Performance Achievement]</w:t>
            </w:r>
          </w:p>
        </w:tc>
        <w:tc>
          <w:tcPr>
            <w:tcW w:w="5540" w:type="dxa"/>
            <w:vAlign w:val="bottom"/>
            <w:tcBorders>
              <w:right w:val="single" w:sz="8" w:color="404040"/>
            </w:tcBorders>
            <w:shd w:val="clear" w:color="auto" w:fill="000000"/>
          </w:tcPr>
          <w:p>
            <w:pPr>
              <w:ind w:left="480"/>
              <w:spacing w:after="0"/>
              <w:rPr>
                <w:sz w:val="20"/>
                <w:szCs w:val="20"/>
                <w:color w:val="auto"/>
              </w:rPr>
            </w:pPr>
            <w:r>
              <w:rPr>
                <w:rFonts w:ascii="Arial" w:cs="Arial" w:eastAsia="Arial" w:hAnsi="Arial"/>
                <w:sz w:val="16"/>
                <w:szCs w:val="16"/>
                <w:b w:val="1"/>
                <w:bCs w:val="1"/>
                <w:color w:val="FFFFFF"/>
              </w:rPr>
              <w:t>Performance Shares Earned</w:t>
            </w:r>
          </w:p>
        </w:tc>
      </w:tr>
      <w:tr>
        <w:trPr>
          <w:trHeight w:val="222"/>
        </w:trPr>
        <w:tc>
          <w:tcPr>
            <w:tcW w:w="3220" w:type="dxa"/>
            <w:vAlign w:val="bottom"/>
            <w:tcBorders>
              <w:left w:val="single" w:sz="8" w:color="404040"/>
            </w:tcBorders>
            <w:shd w:val="clear" w:color="auto" w:fill="000000"/>
          </w:tcPr>
          <w:p>
            <w:pPr>
              <w:spacing w:after="0"/>
              <w:rPr>
                <w:sz w:val="19"/>
                <w:szCs w:val="19"/>
                <w:color w:val="auto"/>
              </w:rPr>
            </w:pPr>
          </w:p>
        </w:tc>
        <w:tc>
          <w:tcPr>
            <w:tcW w:w="5540" w:type="dxa"/>
            <w:vAlign w:val="bottom"/>
            <w:tcBorders>
              <w:right w:val="single" w:sz="8" w:color="404040"/>
            </w:tcBorders>
            <w:shd w:val="clear" w:color="auto" w:fill="000000"/>
          </w:tcPr>
          <w:p>
            <w:pPr>
              <w:spacing w:after="0"/>
              <w:rPr>
                <w:sz w:val="19"/>
                <w:szCs w:val="19"/>
                <w:color w:val="auto"/>
              </w:rPr>
            </w:pPr>
          </w:p>
        </w:tc>
      </w:tr>
      <w:tr>
        <w:trPr>
          <w:trHeight w:val="305"/>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[Maximum]</w:t>
            </w:r>
          </w:p>
        </w:tc>
        <w:tc>
          <w:tcPr>
            <w:tcW w:w="5540" w:type="dxa"/>
            <w:vAlign w:val="bottom"/>
            <w:tcBorders>
              <w:right w:val="single" w:sz="8" w:color="404040"/>
            </w:tcBorders>
            <w:shd w:val="clear" w:color="auto" w:fill="C0C0C0"/>
          </w:tcPr>
          <w:p>
            <w:pPr>
              <w:ind w:left="480"/>
              <w:spacing w:after="0"/>
              <w:rPr>
                <w:sz w:val="20"/>
                <w:szCs w:val="20"/>
                <w:color w:val="auto"/>
              </w:rPr>
            </w:pPr>
            <w:r>
              <w:rPr>
                <w:rFonts w:ascii="Arial" w:cs="Arial" w:eastAsia="Arial" w:hAnsi="Arial"/>
                <w:sz w:val="16"/>
                <w:szCs w:val="16"/>
                <w:color w:val="auto"/>
              </w:rPr>
              <w:t>200% of above portion of Target Performance Shares</w:t>
            </w:r>
          </w:p>
        </w:tc>
      </w:tr>
      <w:tr>
        <w:trPr>
          <w:trHeight w:val="209"/>
        </w:trPr>
        <w:tc>
          <w:tcPr>
            <w:tcW w:w="3220" w:type="dxa"/>
            <w:vAlign w:val="bottom"/>
            <w:tcBorders>
              <w:left w:val="single" w:sz="8" w:color="404040"/>
              <w:bottom w:val="single" w:sz="8" w:color="404040"/>
            </w:tcBorders>
            <w:shd w:val="clear" w:color="auto" w:fill="C0C0C0"/>
          </w:tcPr>
          <w:p>
            <w:pPr>
              <w:spacing w:after="0"/>
              <w:rPr>
                <w:sz w:val="18"/>
                <w:szCs w:val="18"/>
                <w:color w:val="auto"/>
              </w:rPr>
            </w:pPr>
          </w:p>
        </w:tc>
        <w:tc>
          <w:tcPr>
            <w:tcW w:w="5540" w:type="dxa"/>
            <w:vAlign w:val="bottom"/>
            <w:tcBorders>
              <w:bottom w:val="single" w:sz="8" w:color="404040"/>
              <w:right w:val="single" w:sz="8" w:color="404040"/>
            </w:tcBorders>
            <w:shd w:val="clear" w:color="auto" w:fill="C0C0C0"/>
          </w:tcPr>
          <w:p>
            <w:pPr>
              <w:spacing w:after="0"/>
              <w:rPr>
                <w:sz w:val="18"/>
                <w:szCs w:val="1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[Target]</w:t>
            </w:r>
          </w:p>
        </w:tc>
        <w:tc>
          <w:tcPr>
            <w:tcW w:w="5540" w:type="dxa"/>
            <w:vAlign w:val="bottom"/>
            <w:tcBorders>
              <w:right w:val="single" w:sz="8" w:color="404040"/>
            </w:tcBorders>
          </w:tcPr>
          <w:p>
            <w:pPr>
              <w:ind w:left="480"/>
              <w:spacing w:after="0"/>
              <w:rPr>
                <w:sz w:val="20"/>
                <w:szCs w:val="20"/>
                <w:color w:val="auto"/>
              </w:rPr>
            </w:pPr>
            <w:r>
              <w:rPr>
                <w:rFonts w:ascii="Arial" w:cs="Arial" w:eastAsia="Arial" w:hAnsi="Arial"/>
                <w:sz w:val="16"/>
                <w:szCs w:val="16"/>
                <w:color w:val="auto"/>
              </w:rPr>
              <w:t>100% of above portion of Target Performance Shares</w:t>
            </w:r>
          </w:p>
        </w:tc>
      </w:tr>
      <w:tr>
        <w:trPr>
          <w:trHeight w:val="209"/>
        </w:trPr>
        <w:tc>
          <w:tcPr>
            <w:tcW w:w="3220" w:type="dxa"/>
            <w:vAlign w:val="bottom"/>
            <w:tcBorders>
              <w:left w:val="single" w:sz="8" w:color="404040"/>
              <w:bottom w:val="single" w:sz="8" w:color="404040"/>
            </w:tcBorders>
          </w:tcPr>
          <w:p>
            <w:pPr>
              <w:spacing w:after="0"/>
              <w:rPr>
                <w:sz w:val="18"/>
                <w:szCs w:val="18"/>
                <w:color w:val="auto"/>
              </w:rPr>
            </w:pPr>
          </w:p>
        </w:tc>
        <w:tc>
          <w:tcPr>
            <w:tcW w:w="5540" w:type="dxa"/>
            <w:vAlign w:val="bottom"/>
            <w:tcBorders>
              <w:bottom w:val="single" w:sz="8" w:color="404040"/>
              <w:right w:val="single" w:sz="8" w:color="404040"/>
            </w:tcBorders>
          </w:tcPr>
          <w:p>
            <w:pPr>
              <w:spacing w:after="0"/>
              <w:rPr>
                <w:sz w:val="18"/>
                <w:szCs w:val="18"/>
                <w:color w:val="auto"/>
              </w:rPr>
            </w:pPr>
          </w:p>
        </w:tc>
      </w:tr>
      <w:tr>
        <w:trPr>
          <w:trHeight w:val="298"/>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[Threshold]</w:t>
            </w:r>
          </w:p>
        </w:tc>
        <w:tc>
          <w:tcPr>
            <w:tcW w:w="5540" w:type="dxa"/>
            <w:vAlign w:val="bottom"/>
            <w:tcBorders>
              <w:right w:val="single" w:sz="8" w:color="404040"/>
            </w:tcBorders>
            <w:shd w:val="clear" w:color="auto" w:fill="C0C0C0"/>
          </w:tcPr>
          <w:p>
            <w:pPr>
              <w:ind w:left="480"/>
              <w:spacing w:after="0"/>
              <w:rPr>
                <w:sz w:val="20"/>
                <w:szCs w:val="20"/>
                <w:color w:val="auto"/>
              </w:rPr>
            </w:pPr>
            <w:r>
              <w:rPr>
                <w:rFonts w:ascii="Arial" w:cs="Arial" w:eastAsia="Arial" w:hAnsi="Arial"/>
                <w:sz w:val="16"/>
                <w:szCs w:val="16"/>
                <w:color w:val="auto"/>
              </w:rPr>
              <w:t>50% of above portion of Target Performance Shares</w:t>
            </w:r>
          </w:p>
        </w:tc>
      </w:tr>
      <w:tr>
        <w:trPr>
          <w:trHeight w:val="209"/>
        </w:trPr>
        <w:tc>
          <w:tcPr>
            <w:tcW w:w="3220" w:type="dxa"/>
            <w:vAlign w:val="bottom"/>
            <w:tcBorders>
              <w:left w:val="single" w:sz="8" w:color="404040"/>
              <w:bottom w:val="single" w:sz="8" w:color="404040"/>
            </w:tcBorders>
            <w:shd w:val="clear" w:color="auto" w:fill="C0C0C0"/>
          </w:tcPr>
          <w:p>
            <w:pPr>
              <w:spacing w:after="0"/>
              <w:rPr>
                <w:sz w:val="18"/>
                <w:szCs w:val="18"/>
                <w:color w:val="auto"/>
              </w:rPr>
            </w:pPr>
          </w:p>
        </w:tc>
        <w:tc>
          <w:tcPr>
            <w:tcW w:w="5540" w:type="dxa"/>
            <w:vAlign w:val="bottom"/>
            <w:tcBorders>
              <w:bottom w:val="single" w:sz="8" w:color="404040"/>
              <w:right w:val="single" w:sz="8" w:color="404040"/>
            </w:tcBorders>
            <w:shd w:val="clear" w:color="auto" w:fill="C0C0C0"/>
          </w:tcPr>
          <w:p>
            <w:pPr>
              <w:spacing w:after="0"/>
              <w:rPr>
                <w:sz w:val="18"/>
                <w:szCs w:val="1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[Below Threshold]</w:t>
            </w:r>
          </w:p>
        </w:tc>
        <w:tc>
          <w:tcPr>
            <w:tcW w:w="5540" w:type="dxa"/>
            <w:vAlign w:val="bottom"/>
            <w:tcBorders>
              <w:right w:val="single" w:sz="8" w:color="404040"/>
            </w:tcBorders>
          </w:tcPr>
          <w:p>
            <w:pPr>
              <w:ind w:left="480"/>
              <w:spacing w:after="0"/>
              <w:rPr>
                <w:sz w:val="20"/>
                <w:szCs w:val="20"/>
                <w:color w:val="auto"/>
              </w:rPr>
            </w:pPr>
            <w:r>
              <w:rPr>
                <w:rFonts w:ascii="Arial" w:cs="Arial" w:eastAsia="Arial" w:hAnsi="Arial"/>
                <w:sz w:val="16"/>
                <w:szCs w:val="16"/>
                <w:color w:val="auto"/>
              </w:rPr>
              <w:t>0% of above portion of Target Performance Shares</w:t>
            </w:r>
          </w:p>
        </w:tc>
      </w:tr>
      <w:tr>
        <w:trPr>
          <w:trHeight w:val="209"/>
        </w:trPr>
        <w:tc>
          <w:tcPr>
            <w:tcW w:w="3220" w:type="dxa"/>
            <w:vAlign w:val="bottom"/>
            <w:tcBorders>
              <w:left w:val="single" w:sz="8" w:color="404040"/>
              <w:bottom w:val="single" w:sz="8" w:color="404040"/>
            </w:tcBorders>
          </w:tcPr>
          <w:p>
            <w:pPr>
              <w:spacing w:after="0"/>
              <w:rPr>
                <w:sz w:val="18"/>
                <w:szCs w:val="18"/>
                <w:color w:val="auto"/>
              </w:rPr>
            </w:pPr>
          </w:p>
        </w:tc>
        <w:tc>
          <w:tcPr>
            <w:tcW w:w="5540" w:type="dxa"/>
            <w:vAlign w:val="bottom"/>
            <w:tcBorders>
              <w:bottom w:val="single" w:sz="8" w:color="404040"/>
              <w:right w:val="single" w:sz="8" w:color="404040"/>
            </w:tcBorders>
          </w:tcPr>
          <w:p>
            <w:pPr>
              <w:spacing w:after="0"/>
              <w:rPr>
                <w:sz w:val="18"/>
                <w:szCs w:val="18"/>
                <w:color w:val="auto"/>
              </w:rPr>
            </w:pPr>
          </w:p>
        </w:tc>
      </w:tr>
    </w:tbl>
    <w:p>
      <w:pPr>
        <w:spacing w:after="0" w:line="110" w:lineRule="exact"/>
        <w:rPr>
          <w:sz w:val="20"/>
          <w:szCs w:val="20"/>
          <w:color w:val="auto"/>
        </w:rPr>
      </w:pPr>
    </w:p>
    <w:p>
      <w:pPr>
        <w:ind w:left="1300"/>
        <w:spacing w:after="0" w:line="260" w:lineRule="auto"/>
        <w:rPr>
          <w:sz w:val="20"/>
          <w:szCs w:val="20"/>
          <w:color w:val="auto"/>
        </w:rPr>
      </w:pPr>
      <w:r>
        <w:rPr>
          <w:rFonts w:ascii="Arial" w:cs="Arial" w:eastAsia="Arial" w:hAnsi="Arial"/>
          <w:sz w:val="16"/>
          <w:szCs w:val="16"/>
          <w:color w:val="auto"/>
        </w:rPr>
        <w:t>Note: If actual performance falls between any of the levels above, then straight-line interpolation will be applied to determine the number of shares earned.</w:t>
      </w:r>
    </w:p>
    <w:p>
      <w:pPr>
        <w:spacing w:after="0" w:line="200" w:lineRule="exact"/>
        <w:rPr>
          <w:sz w:val="20"/>
          <w:szCs w:val="20"/>
          <w:color w:val="auto"/>
        </w:rPr>
      </w:pPr>
    </w:p>
    <w:p>
      <w:pPr>
        <w:spacing w:after="0" w:line="273" w:lineRule="exact"/>
        <w:rPr>
          <w:sz w:val="20"/>
          <w:szCs w:val="20"/>
          <w:color w:val="auto"/>
        </w:rPr>
      </w:pPr>
    </w:p>
    <w:p>
      <w:pPr>
        <w:jc w:val="both"/>
        <w:ind w:left="340" w:hanging="332"/>
        <w:spacing w:after="0" w:line="256" w:lineRule="auto"/>
        <w:tabs>
          <w:tab w:leader="none" w:pos="3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to Receive Grant and Condition of Receipt of Performance Shares. </w:t>
      </w:r>
      <w:r>
        <w:rPr>
          <w:rFonts w:ascii="Arial" w:cs="Arial" w:eastAsia="Arial" w:hAnsi="Arial"/>
          <w:sz w:val="16"/>
          <w:szCs w:val="16"/>
          <w:color w:val="auto"/>
        </w:rPr>
        <w:t>Notwithstanding any other eligibility requirements specified in this grant</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Plan, in order to be eligible to receive this award and as a condition of receipt of payment of any earned Performance Shares under this award, you must have entered into an agreement with the Company containing certain post-termination of employment restrictions. The post-termination employment restrictions applicable to you are set forth in the Confidentiality, Non-Competition and Non-Solicitation Agreement with the Company, which is incorporated herein by reference.</w:t>
      </w:r>
    </w:p>
    <w:p>
      <w:pPr>
        <w:spacing w:after="0" w:line="72" w:lineRule="exact"/>
        <w:rPr>
          <w:rFonts w:ascii="Arial" w:cs="Arial" w:eastAsia="Arial" w:hAnsi="Arial"/>
          <w:sz w:val="16"/>
          <w:szCs w:val="16"/>
          <w:b w:val="1"/>
          <w:bCs w:val="1"/>
          <w:color w:val="auto"/>
        </w:rPr>
      </w:pPr>
    </w:p>
    <w:p>
      <w:pPr>
        <w:jc w:val="both"/>
        <w:ind w:left="340" w:hanging="332"/>
        <w:spacing w:after="0" w:line="275"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Eligibility to Receive Performance Shares. </w:t>
      </w:r>
      <w:r>
        <w:rPr>
          <w:rFonts w:ascii="Arial" w:cs="Arial" w:eastAsia="Arial" w:hAnsi="Arial"/>
          <w:sz w:val="16"/>
          <w:szCs w:val="16"/>
          <w:color w:val="auto"/>
        </w:rPr>
        <w:t>Notwithstanding any other eligibility requirements specified in this grant or in the Plan, in order for you to be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receive payment of any earned Performance Shares after the end of the Performance Period, you must remain employed through the payout date.</w:t>
      </w:r>
    </w:p>
    <w:p>
      <w:pPr>
        <w:spacing w:after="0" w:line="253"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your employment is terminated by reason of death or Disability (as defined in the Plan), your eligibility for payment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Shares is governed by the terms of the Plan. If your employment is terminated for any other reason, any Performance Shares that are not vested will be forfeited.</w:t>
      </w:r>
    </w:p>
    <w:p>
      <w:pPr>
        <w:spacing w:after="0" w:line="63"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IRS Code Section 409A</w:t>
      </w:r>
      <w:r>
        <w:rPr>
          <w:rFonts w:ascii="Arial" w:cs="Arial" w:eastAsia="Arial" w:hAnsi="Arial"/>
          <w:sz w:val="16"/>
          <w:szCs w:val="16"/>
          <w:color w:val="auto"/>
        </w:rPr>
        <w:t>. This grant is intended to be exempt from or to comply with IRS Code Section 409A and will be interpreted consistent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intention.</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2"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36664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extLst>
                    </a:blip>
                    <a:srcRect/>
                    <a:stretch>
                      <a:fillRect/>
                    </a:stretch>
                  </pic:blipFill>
                  <pic:spPr bwMode="auto">
                    <a:xfrm>
                      <a:off x="0" y="0"/>
                      <a:ext cx="2366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First Name Last Name</w:t>
      </w:r>
    </w:p>
    <w:p>
      <w:pPr>
        <w:spacing w:after="0"/>
        <w:rPr>
          <w:sz w:val="20"/>
          <w:szCs w:val="20"/>
          <w:color w:val="auto"/>
        </w:rPr>
      </w:pPr>
      <w:r>
        <w:rPr>
          <w:rFonts w:ascii="Arial" w:cs="Arial" w:eastAsia="Arial" w:hAnsi="Arial"/>
          <w:sz w:val="20"/>
          <w:szCs w:val="20"/>
          <w:color w:val="auto"/>
        </w:rPr>
        <w:t>Street Address</w:t>
      </w:r>
    </w:p>
    <w:p>
      <w:pPr>
        <w:spacing w:after="0"/>
        <w:rPr>
          <w:sz w:val="20"/>
          <w:szCs w:val="20"/>
          <w:color w:val="auto"/>
        </w:rPr>
      </w:pPr>
      <w:r>
        <w:rPr>
          <w:rFonts w:ascii="Arial" w:cs="Arial" w:eastAsia="Arial" w:hAnsi="Arial"/>
          <w:sz w:val="20"/>
          <w:szCs w:val="20"/>
          <w:color w:val="auto"/>
        </w:rPr>
        <w:t>City, State Zip Code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 Board of Directors Stock Grant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 ]:</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provide you with a grant of shares of stock under the CME Group Inc.</w:t>
      </w:r>
    </w:p>
    <w:p>
      <w:pPr>
        <w:ind w:right="20"/>
        <w:spacing w:after="0" w:line="262" w:lineRule="auto"/>
        <w:rPr>
          <w:sz w:val="20"/>
          <w:szCs w:val="20"/>
          <w:color w:val="auto"/>
        </w:rPr>
      </w:pPr>
      <w:r>
        <w:rPr>
          <w:rFonts w:ascii="Arial" w:cs="Arial" w:eastAsia="Arial" w:hAnsi="Arial"/>
          <w:sz w:val="19"/>
          <w:szCs w:val="19"/>
          <w:color w:val="auto"/>
        </w:rPr>
        <w:t>(the “Company”) Director Stock Plan Amended and Restated Effective May 21, 2014 (the “Plan”) as compensation for your service as a member of the Board of Directors of the Company. Your participation in the Plan will further align your interests with our shareholders. This grant was made to you on [ ], using the closing stock price of $[ ]. Certain terms of your equity grant follow: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Number of</w:t>
      </w:r>
    </w:p>
    <w:p>
      <w:pPr>
        <w:spacing w:after="0"/>
        <w:tabs>
          <w:tab w:leader="none" w:pos="2580" w:val="left"/>
        </w:tabs>
        <w:rPr>
          <w:sz w:val="20"/>
          <w:szCs w:val="20"/>
          <w:color w:val="auto"/>
        </w:rPr>
      </w:pPr>
      <w:r>
        <w:rPr>
          <w:rFonts w:ascii="Arial" w:cs="Arial" w:eastAsia="Arial" w:hAnsi="Arial"/>
          <w:sz w:val="20"/>
          <w:szCs w:val="20"/>
          <w:u w:val="single" w:color="auto"/>
          <w:color w:val="auto"/>
        </w:rPr>
        <w:t>Shares of Stock</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 shares of Class A common stock of CME Group Inc.</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[Number of Additional</w:t>
      </w:r>
    </w:p>
    <w:p>
      <w:pPr>
        <w:spacing w:after="0"/>
        <w:rPr>
          <w:sz w:val="20"/>
          <w:szCs w:val="20"/>
          <w:color w:val="auto"/>
        </w:rPr>
      </w:pPr>
      <w:r>
        <w:rPr>
          <w:rFonts w:ascii="Arial" w:cs="Arial" w:eastAsia="Arial" w:hAnsi="Arial"/>
          <w:sz w:val="20"/>
          <w:szCs w:val="20"/>
          <w:u w:val="single" w:color="auto"/>
          <w:color w:val="auto"/>
        </w:rPr>
        <w:t>Shares in Lieu of Cash Stipend:</w:t>
      </w:r>
      <w:r>
        <w:rPr>
          <w:rFonts w:ascii="Arial" w:cs="Arial" w:eastAsia="Arial" w:hAnsi="Arial"/>
          <w:sz w:val="20"/>
          <w:szCs w:val="20"/>
          <w:color w:val="auto"/>
        </w:rPr>
        <w:t>[ ] shares of Class A common stock of CME Group Inc.]</w:t>
      </w:r>
      <w:r>
        <w:rPr>
          <w:rFonts w:ascii="Arial" w:cs="Arial" w:eastAsia="Arial" w:hAnsi="Arial"/>
          <w:sz w:val="25"/>
          <w:szCs w:val="25"/>
          <w:color w:val="auto"/>
          <w:vertAlign w:val="superscript"/>
        </w:rPr>
        <w:t>1</w:t>
      </w:r>
    </w:p>
    <w:p>
      <w:pPr>
        <w:spacing w:after="0" w:line="174"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u w:val="single" w:color="auto"/>
          <w:color w:val="auto"/>
        </w:rPr>
        <w:t>Total Grant Value:</w:t>
      </w:r>
      <w:r>
        <w:rPr>
          <w:sz w:val="20"/>
          <w:szCs w:val="20"/>
          <w:color w:val="auto"/>
        </w:rPr>
        <w:tab/>
      </w:r>
      <w:r>
        <w:rPr>
          <w:rFonts w:ascii="Arial" w:cs="Arial" w:eastAsia="Arial" w:hAnsi="Arial"/>
          <w:sz w:val="20"/>
          <w:szCs w:val="20"/>
          <w:color w:val="auto"/>
        </w:rPr>
        <w:t>$[ ]</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stock grant, you hereby agree to the terms and conditions of the Plan.</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[Because you have elected to receive additional shares in lieu of all or some of the cash portion of your stipend, by accepting such additional shares, you hereby agree to repay the Company any unearned portion of your annual stipend that would otherwise have been payable in cash in the event you leave the Board prior to the next Annual Meeting of Shareholders. The amount of the unearned stipend will be prorated on a monthly basis and will be due within 30 days of your resignation, if applicable. ]</w:t>
      </w:r>
      <w:r>
        <w:rPr>
          <w:rFonts w:ascii="Arial" w:cs="Arial" w:eastAsia="Arial" w:hAnsi="Arial"/>
          <w:sz w:val="24"/>
          <w:szCs w:val="24"/>
          <w:color w:val="auto"/>
          <w:vertAlign w:val="superscript"/>
        </w:rPr>
        <w:t>1</w:t>
      </w:r>
    </w:p>
    <w:p>
      <w:pPr>
        <w:spacing w:after="0" w:line="102" w:lineRule="exact"/>
        <w:rPr>
          <w:sz w:val="20"/>
          <w:szCs w:val="20"/>
          <w:color w:val="auto"/>
        </w:rPr>
      </w:pPr>
    </w:p>
    <w:p>
      <w:pPr>
        <w:ind w:right="360"/>
        <w:spacing w:after="0" w:line="243" w:lineRule="auto"/>
        <w:rPr>
          <w:sz w:val="20"/>
          <w:szCs w:val="20"/>
          <w:color w:val="auto"/>
        </w:rPr>
      </w:pPr>
      <w:r>
        <w:rPr>
          <w:rFonts w:ascii="Arial" w:cs="Arial" w:eastAsia="Arial" w:hAnsi="Arial"/>
          <w:sz w:val="20"/>
          <w:szCs w:val="20"/>
          <w:color w:val="auto"/>
        </w:rPr>
        <w:t>Neither the grant of shares nor any other action taken pursuant to the Plan shall constitute or be evidence of any agreement or understanding, express or implied, that you have a right to continue to provide services as a director, of the Company for any period of time or at any specific rate of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/s/ Hilda Harris Piell</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Name:</w:t>
        <w:tab/>
        <w:t>Hilda Harris Piell</w:t>
      </w:r>
    </w:p>
    <w:p>
      <w:pPr>
        <w:spacing w:after="0"/>
        <w:tabs>
          <w:tab w:leader="none" w:pos="680" w:val="left"/>
        </w:tabs>
        <w:rPr>
          <w:sz w:val="20"/>
          <w:szCs w:val="20"/>
          <w:color w:val="auto"/>
        </w:rPr>
      </w:pPr>
      <w:r>
        <w:rPr>
          <w:rFonts w:ascii="Arial" w:cs="Arial" w:eastAsia="Arial" w:hAnsi="Arial"/>
          <w:sz w:val="20"/>
          <w:szCs w:val="20"/>
          <w:color w:val="auto"/>
        </w:rPr>
        <w:t>Title:</w:t>
        <w:tab/>
        <w:t>Sr. Managing Director &amp; Chief Human Resources Officer</w:t>
      </w:r>
    </w:p>
    <w:p>
      <w:pPr>
        <w:spacing w:after="0" w:line="179" w:lineRule="exact"/>
        <w:rPr>
          <w:sz w:val="20"/>
          <w:szCs w:val="20"/>
          <w:color w:val="auto"/>
        </w:rPr>
      </w:pPr>
    </w:p>
    <w:p>
      <w:pPr>
        <w:ind w:left="120" w:hanging="112"/>
        <w:spacing w:after="0"/>
        <w:tabs>
          <w:tab w:leader="none" w:pos="120" w:val="left"/>
        </w:tabs>
        <w:numPr>
          <w:ilvl w:val="0"/>
          <w:numId w:val="51"/>
        </w:numPr>
        <w:rPr>
          <w:rFonts w:ascii="Arial" w:cs="Arial" w:eastAsia="Arial" w:hAnsi="Arial"/>
          <w:sz w:val="29"/>
          <w:szCs w:val="29"/>
          <w:color w:val="auto"/>
          <w:vertAlign w:val="superscript"/>
        </w:rPr>
      </w:pPr>
      <w:r>
        <w:rPr>
          <w:rFonts w:ascii="Arial" w:cs="Arial" w:eastAsia="Arial" w:hAnsi="Arial"/>
          <w:sz w:val="22"/>
          <w:szCs w:val="22"/>
          <w:color w:val="auto"/>
        </w:rPr>
        <w:t>To be included for Directors electing to receive all or any portion of their cash stipend in additional shares.</w:t>
      </w:r>
    </w:p>
    <w:p>
      <w:pPr>
        <w:sectPr>
          <w:pgSz w:w="11900" w:h="16838" w:orient="portrait"/>
          <w:cols w:equalWidth="0" w:num="1">
            <w:col w:w="11420"/>
          </w:cols>
          <w:pgMar w:left="240" w:top="1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8"/>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Add back:</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9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Share of losses on equity investees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Amortization of capitalized interest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Distributed income from equity investees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Subtract: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9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Share of earnings of equity investees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Pre-tax adjusted earnings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1,599.2</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6"/>
        </w:trPr>
        <w:tc>
          <w:tcPr>
            <w:tcW w:w="4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Plus: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Interest expense within rent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adjusted earnings before fixed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3"/>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32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7"/>
        </w:trPr>
        <w:tc>
          <w:tcPr>
            <w:tcW w:w="4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firstLine="8"/>
        <w:spacing w:after="0" w:line="277" w:lineRule="auto"/>
        <w:tabs>
          <w:tab w:leader="none" w:pos="4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pre-tax adjusted earnings before fixed charged by fixed charges. “Fixed charges” consist of interest incurred and an estimate of interest within rental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22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5740" w:type="dxa"/>
            <w:vAlign w:val="bottom"/>
            <w:gridSpan w:val="4"/>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C-B-T Corporation</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Korea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Republic of Korea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Luxembourg Holdings S.à.r.l.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Benchmark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Clearing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Consulting (Beijing) Co.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Digital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Digital Vault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ECM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Finance Holdings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Global Marketplace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Asia Holdings Pte.Ltd.</w:t>
            </w:r>
          </w:p>
        </w:tc>
        <w:tc>
          <w:tcPr>
            <w:tcW w:w="56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Australia Pty.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Hong Kong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Index Services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Japan Kabushiki Kaisha</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Marketing Canada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Singapore Operations Pte.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Strategic Investments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India Holdings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India Technology and Support Services Private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Interest Earning Facility for Customer-Segregated Funds,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Interest Earning Facility for Proprietary Funds,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Marketing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Operations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Shareholder Servicing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Swaps Marketplace Ltd.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Trade Repository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Ventures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CMEF Luxembourg S.a.r.l.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Brazil 1 Participações Ltda.</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Brazil Investments 1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Brazil Investments 2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Foundation Services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México, S. de R.L. de C.V.</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NYMEX Holdings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661"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CMEG Strategic Sdn. Bhd.</w:t>
            </w:r>
          </w:p>
        </w:tc>
        <w:tc>
          <w:tcPr>
            <w:tcW w:w="71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Malaysia</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CMESCC Inc.</w:t>
            </w:r>
          </w:p>
        </w:tc>
        <w:tc>
          <w:tcPr>
            <w:tcW w:w="7180" w:type="dxa"/>
            <w:vAlign w:val="bottom"/>
          </w:tcPr>
          <w:p>
            <w:pPr>
              <w:ind w:left="1500"/>
              <w:spacing w:after="0"/>
              <w:rPr>
                <w:sz w:val="20"/>
                <w:szCs w:val="20"/>
                <w:color w:val="auto"/>
              </w:rPr>
            </w:pPr>
            <w:r>
              <w:rPr>
                <w:rFonts w:ascii="Arial" w:cs="Arial" w:eastAsia="Arial" w:hAnsi="Arial"/>
                <w:sz w:val="18"/>
                <w:szCs w:val="18"/>
                <w:color w:val="auto"/>
              </w:rPr>
              <w:t>Delaware</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Exchange, Inc.</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New York</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ConfirmHub, LLC</w:t>
            </w:r>
          </w:p>
        </w:tc>
        <w:tc>
          <w:tcPr>
            <w:tcW w:w="7180" w:type="dxa"/>
            <w:vAlign w:val="bottom"/>
          </w:tcPr>
          <w:p>
            <w:pPr>
              <w:ind w:left="1500"/>
              <w:spacing w:after="0"/>
              <w:rPr>
                <w:sz w:val="20"/>
                <w:szCs w:val="20"/>
                <w:color w:val="auto"/>
              </w:rPr>
            </w:pPr>
            <w:r>
              <w:rPr>
                <w:rFonts w:ascii="Arial" w:cs="Arial" w:eastAsia="Arial" w:hAnsi="Arial"/>
                <w:sz w:val="18"/>
                <w:szCs w:val="18"/>
                <w:color w:val="auto"/>
              </w:rPr>
              <w:t>Delaware</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Elysian Systems Limited</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United Kingdom</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GFX Corporation</w:t>
            </w:r>
          </w:p>
        </w:tc>
        <w:tc>
          <w:tcPr>
            <w:tcW w:w="7180" w:type="dxa"/>
            <w:vAlign w:val="bottom"/>
          </w:tcPr>
          <w:p>
            <w:pPr>
              <w:ind w:left="1500"/>
              <w:spacing w:after="0"/>
              <w:rPr>
                <w:sz w:val="20"/>
                <w:szCs w:val="20"/>
                <w:color w:val="auto"/>
              </w:rPr>
            </w:pPr>
            <w:r>
              <w:rPr>
                <w:rFonts w:ascii="Arial" w:cs="Arial" w:eastAsia="Arial" w:hAnsi="Arial"/>
                <w:sz w:val="18"/>
                <w:szCs w:val="18"/>
                <w:color w:val="auto"/>
              </w:rPr>
              <w:t>Illinois</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Globex Markets Ltd.</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United Kingdom</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New York Mercantile Exchange, Inc.</w:t>
            </w:r>
          </w:p>
        </w:tc>
        <w:tc>
          <w:tcPr>
            <w:tcW w:w="7180" w:type="dxa"/>
            <w:vAlign w:val="bottom"/>
          </w:tcPr>
          <w:p>
            <w:pPr>
              <w:ind w:left="1500"/>
              <w:spacing w:after="0"/>
              <w:rPr>
                <w:sz w:val="20"/>
                <w:szCs w:val="20"/>
                <w:color w:val="auto"/>
              </w:rPr>
            </w:pPr>
            <w:r>
              <w:rPr>
                <w:rFonts w:ascii="Arial" w:cs="Arial" w:eastAsia="Arial" w:hAnsi="Arial"/>
                <w:sz w:val="18"/>
                <w:szCs w:val="18"/>
                <w:color w:val="auto"/>
              </w:rPr>
              <w:t>Delaware</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Pivot, Inc.</w:t>
            </w:r>
          </w:p>
        </w:tc>
        <w:tc>
          <w:tcPr>
            <w:tcW w:w="71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Delaware</w:t>
            </w:r>
          </w:p>
        </w:tc>
      </w:tr>
      <w:tr>
        <w:trPr>
          <w:trHeight w:val="27"/>
        </w:trPr>
        <w:tc>
          <w:tcPr>
            <w:tcW w:w="424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11420"/>
          </w:cols>
          <w:pgMar w:left="240" w:top="81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spacing w:after="0" w:line="287" w:lineRule="auto"/>
        <w:tabs>
          <w:tab w:leader="none" w:pos="769" w:val="left"/>
        </w:tabs>
        <w:numPr>
          <w:ilvl w:val="0"/>
          <w:numId w:val="53"/>
        </w:numPr>
        <w:rPr>
          <w:rFonts w:ascii="Arial" w:cs="Arial" w:eastAsia="Arial" w:hAnsi="Arial"/>
          <w:sz w:val="21"/>
          <w:szCs w:val="21"/>
          <w:color w:val="auto"/>
        </w:rPr>
      </w:pPr>
      <w:r>
        <w:rPr>
          <w:rFonts w:ascii="Arial" w:cs="Arial" w:eastAsia="Arial" w:hAnsi="Arial"/>
          <w:sz w:val="21"/>
          <w:szCs w:val="21"/>
          <w:color w:val="auto"/>
        </w:rPr>
        <w:t>Registration Statement ((Form S-8 and Post-Effective Amendment No. 1 No. 333-104804); Form S-8 No. 333-115656) pertaining to the Agreement between Chicago Mercantile Exchange Holdings Inc. and James J. McNulty,</w:t>
      </w:r>
    </w:p>
    <w:p>
      <w:pPr>
        <w:spacing w:after="0" w:line="43" w:lineRule="exact"/>
        <w:rPr>
          <w:rFonts w:ascii="Arial" w:cs="Arial" w:eastAsia="Arial" w:hAnsi="Arial"/>
          <w:sz w:val="21"/>
          <w:szCs w:val="21"/>
          <w:color w:val="auto"/>
        </w:rPr>
      </w:pPr>
    </w:p>
    <w:p>
      <w:pPr>
        <w:ind w:left="440"/>
        <w:spacing w:after="0" w:line="263" w:lineRule="auto"/>
        <w:tabs>
          <w:tab w:leader="none" w:pos="748"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spacing w:after="0" w:line="263" w:lineRule="auto"/>
        <w:tabs>
          <w:tab w:leader="none" w:pos="806"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jc w:val="both"/>
        <w:ind w:left="440"/>
        <w:spacing w:after="0" w:line="253" w:lineRule="auto"/>
        <w:tabs>
          <w:tab w:leader="none" w:pos="7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333-153462) and Post-Effective Amendments No. 1 and No. 2 to Registration Statement on Form S-4 (Form S-8 No. 333-151577) pertaining to the NYMEX Holdings, Inc.’s 2006 Omnibus Long-Term Incentive Plan,</w:t>
      </w:r>
    </w:p>
    <w:p>
      <w:pPr>
        <w:spacing w:after="0" w:line="77" w:lineRule="exact"/>
        <w:rPr>
          <w:rFonts w:ascii="Arial" w:cs="Arial" w:eastAsia="Arial" w:hAnsi="Arial"/>
          <w:sz w:val="22"/>
          <w:szCs w:val="22"/>
          <w:color w:val="auto"/>
        </w:rPr>
      </w:pPr>
    </w:p>
    <w:p>
      <w:pPr>
        <w:ind w:left="740" w:hanging="300"/>
        <w:spacing w:after="0"/>
        <w:tabs>
          <w:tab w:leader="none" w:pos="7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7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8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333-208334) Shelf Registration Statement for the offering of debt securities, Class A Common Stock, Preferred Stock and Warrants.</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28, 2018, with respect to the consolidated financial statements and schedule of CME Group Inc., and the effectiveness of internal control over financial reporting of CME Group Inc., included in this Annual Report (Form 10-K) of CME Group Inc. for the year ended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2018</w:t>
      </w:r>
    </w:p>
    <w:p>
      <w:pPr>
        <w:sectPr>
          <w:pgSz w:w="11900" w:h="16838" w:orient="portrait"/>
          <w:cols w:equalWidth="0" w:num="1">
            <w:col w:w="11420"/>
          </w:cols>
          <w:pgMar w:left="240" w:top="652"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20" w:hanging="180"/>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Terrence A. Duffy</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2017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Terrence A. Duffy</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28, 2018</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John W. Pietrowicz</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John W. Pietrowicz</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emdash "/>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3"/>
    </w:lvl>
  </w:abstractNum>
  <w:abstractNum w:abstractNumId="42">
    <w:nsid w:val="12E685FB"/>
    <w:multiLevelType w:val="hybridMultilevel"/>
    <w:lvl w:ilvl="0">
      <w:lvlJc w:val="left"/>
      <w:lvlText w:val="%1."/>
      <w:numFmt w:val="decimal"/>
      <w:start w:val="3"/>
    </w:lvl>
  </w:abstractNum>
  <w:abstractNum w:abstractNumId="43">
    <w:nsid w:val="70C6A529"/>
    <w:multiLevelType w:val="hybridMultilevel"/>
    <w:lvl w:ilvl="0">
      <w:lvlJc w:val="left"/>
      <w:lvlText w:val="%1."/>
      <w:numFmt w:val="decimal"/>
      <w:start w:val="4"/>
    </w:lvl>
  </w:abstractNum>
  <w:abstractNum w:abstractNumId="44">
    <w:nsid w:val="520EEDD1"/>
    <w:multiLevelType w:val="hybridMultilevel"/>
    <w:lvl w:ilvl="0">
      <w:lvlJc w:val="left"/>
      <w:lvlText w:val="%1."/>
      <w:numFmt w:val="decimal"/>
      <w:start w:val="10"/>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5"/>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50" Type="http://schemas.openxmlformats.org/officeDocument/2006/relationships/image" Target="media/image3.jpeg"/><Relationship Id="rId51" Type="http://schemas.openxmlformats.org/officeDocument/2006/relationships/image" Target="media/image4.jpeg"/><Relationship Id="rId52" Type="http://schemas.openxmlformats.org/officeDocument/2006/relationships/image" Target="media/image5.jpeg"/><Relationship Id="rId53" Type="http://schemas.openxmlformats.org/officeDocument/2006/relationships/image" Target="media/image6.png"/><Relationship Id="rId54" Type="http://schemas.openxmlformats.org/officeDocument/2006/relationships/image" Target="media/image7.png"/><Relationship Id="rId55" Type="http://schemas.openxmlformats.org/officeDocument/2006/relationships/image" Target="media/image8.png"/><Relationship Id="rId56" Type="http://schemas.openxmlformats.org/officeDocument/2006/relationships/image" Target="media/image9.png"/><Relationship Id="rId10" Type="http://schemas.openxmlformats.org/officeDocument/2006/relationships/hyperlink" Target="http://www.sec.gov/Archives/edgar/data/1156375/000119312512251430/d359429dex31.htm" TargetMode="External"/><Relationship Id="rId11" Type="http://schemas.openxmlformats.org/officeDocument/2006/relationships/hyperlink" Target="http://www.sec.gov/Archives/edgar/data/1156375/000119312517344215/d460888dex31.htm" TargetMode="External"/><Relationship Id="rId12" Type="http://schemas.openxmlformats.org/officeDocument/2006/relationships/hyperlink" Target="http://www.sec.gov/Archives/edgar/data/1156375/000115637515000014/cme-2014123110kex41.htm" TargetMode="External"/><Relationship Id="rId13" Type="http://schemas.openxmlformats.org/officeDocument/2006/relationships/hyperlink" Target="http://www.sec.gov/Archives/edgar/data/1156375/000115637515000014/cme-2014123110kex42.htm" TargetMode="External"/><Relationship Id="rId14" Type="http://schemas.openxmlformats.org/officeDocument/2006/relationships/hyperlink" Target="http://www.sec.gov/Archives/edgar/data/1156375/000115637515000014/cme-2014123110kex43.htm" TargetMode="External"/><Relationship Id="rId15" Type="http://schemas.openxmlformats.org/officeDocument/2006/relationships/hyperlink" Target="http://www.sec.gov/Archives/edgar/data/1156375/000115637515000014/cme-2014123110kex44.htm" TargetMode="External"/><Relationship Id="rId16" Type="http://schemas.openxmlformats.org/officeDocument/2006/relationships/hyperlink" Target="http://www.sec.gov/Archives/edgar/data/1156375/000119312508176550/dex41.htm" TargetMode="External"/><Relationship Id="rId17" Type="http://schemas.openxmlformats.org/officeDocument/2006/relationships/hyperlink" Target="http://www.sec.gov/Archives/edgar/data/1156375/000119312512386203/d405801dex42.htm" TargetMode="External"/><Relationship Id="rId18" Type="http://schemas.openxmlformats.org/officeDocument/2006/relationships/hyperlink" Target="http://www.sec.gov/Archives/edgar/data/1156375/000119312513360978/d594525dex42.htm" TargetMode="External"/><Relationship Id="rId19" Type="http://schemas.openxmlformats.org/officeDocument/2006/relationships/hyperlink" Target="http://www.sec.gov/Archives/edgar/data/1156375/000119312515082491/d887316dex42.htm" TargetMode="External"/><Relationship Id="rId20" Type="http://schemas.openxmlformats.org/officeDocument/2006/relationships/hyperlink" Target="http://www.sec.gov/Archives/edgar/data/1156375/000119312517186768/d594804dex102.htm" TargetMode="External"/><Relationship Id="rId21" Type="http://schemas.openxmlformats.org/officeDocument/2006/relationships/hyperlink" Target="http://www.sec.gov/Archives/edgar/data/1156375/000119312514214151/d733968dex101.htm" TargetMode="External"/><Relationship Id="rId22" Type="http://schemas.openxmlformats.org/officeDocument/2006/relationships/hyperlink" Target="http://www.sec.gov/Archives/edgar/data/1156375/000119312512251430/d359429dex102.htm" TargetMode="External"/><Relationship Id="rId23" Type="http://schemas.openxmlformats.org/officeDocument/2006/relationships/hyperlink" Target="http://www.sec.gov/Archives/edgar/data/1156375/000115637513000007/cme-2012123110kex107.htm" TargetMode="External"/><Relationship Id="rId24" Type="http://schemas.openxmlformats.org/officeDocument/2006/relationships/hyperlink" Target="http://www.sec.gov/Archives/edgar/data/1156375/000115637517000080/cme-201763010qex101.htm" TargetMode="External"/><Relationship Id="rId25" Type="http://schemas.openxmlformats.org/officeDocument/2006/relationships/hyperlink" Target="http://www.sec.gov/Archives/edgar/data/1156375/000119312509042361/dex109.htm" TargetMode="External"/><Relationship Id="rId26" Type="http://schemas.openxmlformats.org/officeDocument/2006/relationships/hyperlink" Target="http://www.sec.gov/Archives/edgar/data/1156375/000119312508040449/dex109.htm" TargetMode="External"/><Relationship Id="rId27" Type="http://schemas.openxmlformats.org/officeDocument/2006/relationships/hyperlink" Target="http://www.sec.gov/Archives/edgar/data/1103945/000095013100001428/0000950131-00-001428.txt" TargetMode="External"/><Relationship Id="rId28" Type="http://schemas.openxmlformats.org/officeDocument/2006/relationships/hyperlink" Target="http://www.sec.gov/Archives/edgar/data/1105018/000095012301002844/y46628ex10-11.txt" TargetMode="External"/><Relationship Id="rId29" Type="http://schemas.openxmlformats.org/officeDocument/2006/relationships/hyperlink" Target="http://www.sec.gov/Archives/edgar/data/1156375/000115637515000108/cme-201593010qex101.htm" TargetMode="External"/><Relationship Id="rId30" Type="http://schemas.openxmlformats.org/officeDocument/2006/relationships/hyperlink" Target="http://www.sec.gov/Archives/edgar/data/1156375/000119312517186768/d594804dex101.htm" TargetMode="External"/><Relationship Id="rId31" Type="http://schemas.openxmlformats.org/officeDocument/2006/relationships/hyperlink" Target="http://www.sec.gov/Archives/edgar/data/1156375/000115637514000012/cme-2013123110kex1017.htm" TargetMode="External"/><Relationship Id="rId32" Type="http://schemas.openxmlformats.org/officeDocument/2006/relationships/hyperlink" Target="http://www.sec.gov/Archives/edgar/data/1156375/000115637515000014/cme-2014123110kex1016.htm" TargetMode="External"/><Relationship Id="rId33" Type="http://schemas.openxmlformats.org/officeDocument/2006/relationships/hyperlink" Target="http://www.sec.gov/Archives/edgar/data/1156375/000115637514000012/cme-2013123110kex1018.htm" TargetMode="External"/><Relationship Id="rId34" Type="http://schemas.openxmlformats.org/officeDocument/2006/relationships/hyperlink" Target="http://www.sec.gov/Archives/edgar/data/1156375/000115637515000014/cme-2014123110kex1017.htm" TargetMode="External"/><Relationship Id="rId35" Type="http://schemas.openxmlformats.org/officeDocument/2006/relationships/hyperlink" Target="http://www.sec.gov/Archives/edgar/data/1156375/000129993316003294/exhibit3.htm" TargetMode="External"/><Relationship Id="rId36" Type="http://schemas.openxmlformats.org/officeDocument/2006/relationships/hyperlink" Target="http://www.sec.gov/Archives/edgar/data/1156375/000129993316003294/exhibit2.htm" TargetMode="External"/><Relationship Id="rId37" Type="http://schemas.openxmlformats.org/officeDocument/2006/relationships/hyperlink" Target="http://www.sec.gov/Archives/edgar/data/1156375/000119312517358434/d503777dex101.htm" TargetMode="External"/><Relationship Id="rId38" Type="http://schemas.openxmlformats.org/officeDocument/2006/relationships/hyperlink" Target="http://www.sec.gov/Archives/edgar/data/1156375/000119312509167292/dex102.htm" TargetMode="External"/><Relationship Id="rId39" Type="http://schemas.openxmlformats.org/officeDocument/2006/relationships/hyperlink" Target="http://www.sec.gov/Archives/edgar/data/1156375/000119312506046258/dex1028.htm" TargetMode="External"/><Relationship Id="rId40" Type="http://schemas.openxmlformats.org/officeDocument/2006/relationships/hyperlink" Target="http://www.sec.gov/Archives/edgar/data/1156375/000115637512000093/cme-201263010qex104.htm" TargetMode="External"/><Relationship Id="rId41" Type="http://schemas.openxmlformats.org/officeDocument/2006/relationships/hyperlink" Target="http://www.sec.gov/Archives/edgar/data/1156375/000115637518000020/a8kmelamedandsandnerretire.htm" TargetMode="External"/><Relationship Id="rId42" Type="http://schemas.openxmlformats.org/officeDocument/2006/relationships/hyperlink" Target="http://www.sec.gov/Archives/edgar/data/1156375/000115637512000093/cme-201263010qex106.htm" TargetMode="External"/><Relationship Id="rId43" Type="http://schemas.openxmlformats.org/officeDocument/2006/relationships/hyperlink" Target="http://www.sec.gov/Archives/edgar/data/1156375/000115637512000093/cme-201263010qex105.htm" TargetMode="External"/><Relationship Id="rId44" Type="http://schemas.openxmlformats.org/officeDocument/2006/relationships/hyperlink" Target="http://www.sec.gov/Archives/edgar/data/1156375/000119312504038979/dex109.htm" TargetMode="External"/><Relationship Id="rId45" Type="http://schemas.openxmlformats.org/officeDocument/2006/relationships/hyperlink" Target="http://www.sec.gov/Archives/edgar/data/1156375/000119312505157728/dex101.htm" TargetMode="External"/><Relationship Id="rId46" Type="http://schemas.openxmlformats.org/officeDocument/2006/relationships/hyperlink" Target="http://www.sec.gov/Archives/edgar/data/1156375/000119312505157728/dex102.htm" TargetMode="External"/><Relationship Id="rId47" Type="http://schemas.openxmlformats.org/officeDocument/2006/relationships/hyperlink" Target="http://www.sec.gov/Archives/edgar/data/1156375/000119312508169785/dex101.htm" TargetMode="External"/><Relationship Id="rId48" Type="http://schemas.openxmlformats.org/officeDocument/2006/relationships/hyperlink" Target="http://www.sec.gov/Archives/edgar/data/1156375/000115637517000114/a20171121seniorcreditfacil.htm" TargetMode="External"/><Relationship Id="rId49" Type="http://schemas.openxmlformats.org/officeDocument/2006/relationships/hyperlink" Target="http://www.sec.gov/Archives/edgar/data/1156375/000115637517000111/a2017chcreditfacili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2019-12-29T00:48:39Z</dcterms:created>
  <dcterms:modified xsi:type="dcterms:W3CDTF">2019-12-29T00:48:39Z</dcterms:modified>
</cp:coreProperties>
</file>