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9" w:lineRule="exact"/>
        <w:rPr>
          <w:rFonts w:ascii="MS PGothic" w:cs="MS PGothic" w:eastAsia="MS PGothic" w:hAnsi="MS PGothic"/>
          <w:sz w:val="21"/>
          <w:szCs w:val="21"/>
          <w:color w:val="auto"/>
        </w:rPr>
      </w:pPr>
    </w:p>
    <w:p>
      <w:pPr>
        <w:ind w:left="398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June 30, 2015</w:t>
      </w:r>
    </w:p>
    <w:p>
      <w:pPr>
        <w:spacing w:after="0" w:line="198" w:lineRule="exact"/>
        <w:rPr>
          <w:rFonts w:ascii="MS PGothic" w:cs="MS PGothic" w:eastAsia="MS PGothic" w:hAnsi="MS PGothic"/>
          <w:sz w:val="21"/>
          <w:szCs w:val="21"/>
          <w:color w:val="auto"/>
        </w:rPr>
      </w:pPr>
    </w:p>
    <w:p>
      <w:pPr>
        <w:ind w:left="5580" w:hanging="106"/>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340"/>
          </w:cols>
          <w:pgMar w:left="240" w:top="233" w:right="319" w:bottom="1440" w:gutter="0" w:footer="0" w:header="0"/>
        </w:sectPr>
      </w:pPr>
    </w:p>
    <w:p>
      <w:pPr>
        <w:spacing w:after="0" w:line="121"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6080" w:space="720"/>
            <w:col w:w="4540"/>
          </w:cols>
          <w:pgMar w:left="240" w:top="233" w:right="31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Commission file number 001-31553</w:t>
      </w:r>
    </w:p>
    <w:p>
      <w:pPr>
        <w:sectPr>
          <w:pgSz w:w="11900" w:h="16838" w:orient="portrait"/>
          <w:cols w:equalWidth="0" w:num="1">
            <w:col w:w="11340"/>
          </w:cols>
          <w:pgMar w:left="240" w:top="233" w:right="319" w:bottom="1440" w:gutter="0" w:footer="0" w:header="0"/>
          <w:type w:val="continuous"/>
        </w:sectPr>
      </w:pPr>
    </w:p>
    <w:p>
      <w:pPr>
        <w:spacing w:after="0" w:line="12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471"/>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8"/>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0"/>
              </w:rPr>
              <w:t>(312) 930-1000</w:t>
            </w:r>
          </w:p>
        </w:tc>
        <w:tc>
          <w:tcPr>
            <w:tcW w:w="1540" w:type="dxa"/>
            <w:vAlign w:val="bottom"/>
          </w:tcPr>
          <w:p>
            <w:pPr>
              <w:spacing w:after="0"/>
              <w:rPr>
                <w:sz w:val="24"/>
                <w:szCs w:val="24"/>
                <w:color w:val="auto"/>
              </w:rPr>
            </w:pPr>
          </w:p>
        </w:tc>
      </w:tr>
      <w:tr>
        <w:trPr>
          <w:trHeight w:val="272"/>
        </w:trPr>
        <w:tc>
          <w:tcPr>
            <w:tcW w:w="6520" w:type="dxa"/>
            <w:vAlign w:val="bottom"/>
          </w:tcPr>
          <w:p>
            <w:pPr>
              <w:jc w:val="center"/>
              <w:ind w:left="23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23"/>
                <w:szCs w:val="23"/>
                <w:color w:val="auto"/>
              </w:rPr>
            </w:pPr>
          </w:p>
        </w:tc>
      </w:tr>
      <w:tr>
        <w:trPr>
          <w:trHeight w:val="323"/>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2"/>
              </w:rPr>
              <w:t>Not Applicable</w:t>
            </w:r>
          </w:p>
        </w:tc>
        <w:tc>
          <w:tcPr>
            <w:tcW w:w="1540" w:type="dxa"/>
            <w:vAlign w:val="bottom"/>
          </w:tcPr>
          <w:p>
            <w:pPr>
              <w:spacing w:after="0"/>
              <w:rPr>
                <w:sz w:val="24"/>
                <w:szCs w:val="24"/>
                <w:color w:val="auto"/>
              </w:rPr>
            </w:pPr>
          </w:p>
        </w:tc>
      </w:tr>
    </w:tbl>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5" w:lineRule="exact"/>
        <w:rPr>
          <w:sz w:val="24"/>
          <w:szCs w:val="24"/>
          <w:color w:val="auto"/>
        </w:rPr>
      </w:pPr>
    </w:p>
    <w:p>
      <w:pPr>
        <w:ind w:right="6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center"/>
        <w:ind w:right="1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1" w:lineRule="exact"/>
        <w:rPr>
          <w:sz w:val="24"/>
          <w:szCs w:val="24"/>
          <w:color w:val="auto"/>
        </w:rPr>
      </w:pPr>
    </w:p>
    <w:p>
      <w:pPr>
        <w:spacing w:after="0" w:line="207" w:lineRule="exact"/>
        <w:tabs>
          <w:tab w:leader="none" w:pos="7260" w:val="left"/>
          <w:tab w:leader="none" w:pos="7960" w:val="left"/>
        </w:tabs>
        <w:rPr>
          <w:sz w:val="20"/>
          <w:szCs w:val="20"/>
          <w:color w:val="auto"/>
        </w:rPr>
      </w:pPr>
      <w:r>
        <w:rPr>
          <w:rFonts w:ascii="Arial" w:cs="Arial" w:eastAsia="Arial" w:hAnsi="Arial"/>
          <w:sz w:val="18"/>
          <w:szCs w:val="18"/>
          <w:color w:val="auto"/>
        </w:rPr>
        <w:t>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219" w:lineRule="exact"/>
        <w:rPr>
          <w:sz w:val="24"/>
          <w:szCs w:val="24"/>
          <w:color w:val="auto"/>
        </w:rPr>
      </w:pPr>
    </w:p>
    <w:p>
      <w:pPr>
        <w:ind w:left="112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tabs>
          <w:tab w:leader="none" w:pos="126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7120" w:space="720"/>
            <w:col w:w="3500"/>
          </w:cols>
          <w:pgMar w:left="240" w:top="233" w:right="319" w:bottom="1440" w:gutter="0" w:footer="0" w:header="0"/>
          <w:type w:val="continuous"/>
        </w:sectPr>
      </w:pPr>
    </w:p>
    <w:p>
      <w:pPr>
        <w:spacing w:after="0" w:line="8"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72" w:lineRule="exact"/>
        <w:rPr>
          <w:sz w:val="24"/>
          <w:szCs w:val="24"/>
          <w:color w:val="auto"/>
        </w:rPr>
      </w:pPr>
    </w:p>
    <w:p>
      <w:pPr>
        <w:sectPr>
          <w:pgSz w:w="11900" w:h="16838" w:orient="portrait"/>
          <w:cols w:equalWidth="0" w:num="3">
            <w:col w:w="2500" w:space="160"/>
            <w:col w:w="4460" w:space="720"/>
            <w:col w:w="3500"/>
          </w:cols>
          <w:pgMar w:left="240" w:top="233" w:right="3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ind w:left="7780"/>
        <w:spacing w:after="0" w:line="207" w:lineRule="exact"/>
        <w:tabs>
          <w:tab w:leader="none" w:pos="8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right="360"/>
        <w:spacing w:after="0" w:line="286" w:lineRule="auto"/>
        <w:rPr>
          <w:sz w:val="20"/>
          <w:szCs w:val="20"/>
          <w:color w:val="auto"/>
        </w:rPr>
      </w:pPr>
      <w:r>
        <w:rPr>
          <w:rFonts w:ascii="Arial" w:cs="Arial" w:eastAsia="Arial" w:hAnsi="Arial"/>
          <w:sz w:val="17"/>
          <w:szCs w:val="17"/>
          <w:color w:val="auto"/>
        </w:rPr>
        <w:t>The number of shares outstanding of each of the registrant’s classes of common stock as of July 15, 2015 was as follows: 337,756,060 shares of Class A common stock, $0.01 par value; 625 shares of Class B-1 common stock, $0.01 par value; 813 shares of Class B-2 common stock, $0.01 par value; 1,287 shares of Class B-3 common stock, $0.01 par value; and 413 shares of Class B-4 common stock, $0.01 par value.</w:t>
      </w:r>
    </w:p>
    <w:p>
      <w:pPr>
        <w:spacing w:after="0" w:line="24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PART I. FINANCIAL INFORMATION</w:t>
              </w:r>
            </w:hyperlink>
          </w:p>
        </w:tc>
        <w:tc>
          <w:tcPr>
            <w:tcW w:w="8060" w:type="dxa"/>
            <w:vAlign w:val="bottom"/>
            <w:gridSpan w:val="10"/>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900" w:type="dxa"/>
            <w:vAlign w:val="bottom"/>
            <w:gridSpan w:val="19"/>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Financial Statements</w:t>
              </w:r>
            </w:hyperlink>
          </w:p>
        </w:tc>
        <w:tc>
          <w:tcPr>
            <w:tcW w:w="5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 at June 30, 2015 and December 31, 2014</w:t>
              </w:r>
            </w:hyperlink>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480" w:type="dxa"/>
            <w:vAlign w:val="bottom"/>
            <w:tcBorders>
              <w:bottom w:val="single" w:sz="8" w:color="0000EE"/>
            </w:tcBorders>
            <w:gridSpan w:val="17"/>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Statements of Income for the Quarters and Six Months Ended June 30, 2015 and 2014</w:t>
              </w:r>
            </w:hyperlink>
          </w:p>
        </w:tc>
        <w:tc>
          <w:tcPr>
            <w:tcW w:w="3420" w:type="dxa"/>
            <w:vAlign w:val="bottom"/>
            <w:gridSpan w:val="2"/>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7540" w:type="dxa"/>
            <w:vAlign w:val="bottom"/>
            <w:tcBorders>
              <w:bottom w:val="single" w:sz="8" w:color="0000EE"/>
            </w:tcBorders>
            <w:gridSpan w:val="18"/>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Comprehensive Income for the Quarters and Six Months Ended June 30, 2015 and 2014</w:t>
              </w:r>
            </w:hyperlink>
          </w:p>
        </w:tc>
        <w:tc>
          <w:tcPr>
            <w:tcW w:w="236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Consolidated Statements of Equity for the Six Months Ended June 30, 2015 and 2014</w:t>
              </w:r>
            </w:hyperlink>
          </w:p>
        </w:tc>
        <w:tc>
          <w:tcPr>
            <w:tcW w:w="5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5880" w:type="dxa"/>
            <w:vAlign w:val="bottom"/>
            <w:tcBorders>
              <w:bottom w:val="single" w:sz="8" w:color="0000EE"/>
            </w:tcBorders>
            <w:gridSpan w:val="15"/>
          </w:tcPr>
          <w:p>
            <w:pPr>
              <w:spacing w:after="0"/>
              <w:rPr>
                <w:rFonts w:ascii="Arial" w:cs="Arial" w:eastAsia="Arial" w:hAnsi="Arial"/>
                <w:sz w:val="16"/>
                <w:szCs w:val="16"/>
                <w:color w:val="0000EE"/>
                <w:w w:val="90"/>
              </w:rPr>
            </w:pPr>
            <w:hyperlink w:anchor="page9">
              <w:r>
                <w:rPr>
                  <w:rFonts w:ascii="Arial" w:cs="Arial" w:eastAsia="Arial" w:hAnsi="Arial"/>
                  <w:sz w:val="16"/>
                  <w:szCs w:val="16"/>
                  <w:color w:val="0000EE"/>
                  <w:w w:val="90"/>
                </w:rPr>
                <w:t>Consolidated Statements of Cash Flows for the Six Months Ended June 30, 2015 and 2014</w:t>
              </w:r>
            </w:hyperlink>
          </w:p>
        </w:tc>
        <w:tc>
          <w:tcPr>
            <w:tcW w:w="4020" w:type="dxa"/>
            <w:vAlign w:val="bottom"/>
            <w:gridSpan w:val="4"/>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Notes to Unaudited Consolidated Financial Statements</w:t>
              </w:r>
            </w:hyperlink>
          </w:p>
        </w:tc>
        <w:tc>
          <w:tcPr>
            <w:tcW w:w="56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18</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900" w:type="dxa"/>
            <w:vAlign w:val="bottom"/>
            <w:gridSpan w:val="19"/>
          </w:tcPr>
          <w:p>
            <w:pPr>
              <w:spacing w:after="0"/>
              <w:rPr>
                <w:rFonts w:ascii="Arial" w:cs="Arial" w:eastAsia="Arial" w:hAnsi="Arial"/>
                <w:sz w:val="16"/>
                <w:szCs w:val="16"/>
                <w:b w:val="1"/>
                <w:bCs w:val="1"/>
                <w:color w:val="0000EE"/>
              </w:rPr>
            </w:pPr>
            <w:hyperlink w:anchor="page17">
              <w:r>
                <w:rPr>
                  <w:rFonts w:ascii="Arial" w:cs="Arial" w:eastAsia="Arial" w:hAnsi="Arial"/>
                  <w:sz w:val="16"/>
                  <w:szCs w:val="16"/>
                  <w:b w:val="1"/>
                  <w:bCs w:val="1"/>
                  <w:color w:val="0000EE"/>
                </w:rPr>
                <w:t>Management’s Discussion and Analysis of Financial Condition and Results of Operations</w:t>
              </w:r>
            </w:hyperlink>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EE"/>
              <w:bottom w:val="single" w:sz="8" w:color="0000EE"/>
            </w:tcBorders>
            <w:gridSpan w:val="12"/>
          </w:tcPr>
          <w:p>
            <w:pPr>
              <w:spacing w:after="0"/>
              <w:rPr>
                <w:rFonts w:ascii="Arial" w:cs="Arial" w:eastAsia="Arial" w:hAnsi="Arial"/>
                <w:sz w:val="16"/>
                <w:szCs w:val="16"/>
                <w:b w:val="1"/>
                <w:bCs w:val="1"/>
                <w:color w:val="0000EE"/>
                <w:w w:val="92"/>
              </w:rPr>
            </w:pPr>
            <w:hyperlink w:anchor="page27">
              <w:r>
                <w:rPr>
                  <w:rFonts w:ascii="Arial" w:cs="Arial" w:eastAsia="Arial" w:hAnsi="Arial"/>
                  <w:sz w:val="16"/>
                  <w:szCs w:val="16"/>
                  <w:b w:val="1"/>
                  <w:bCs w:val="1"/>
                  <w:color w:val="0000EE"/>
                  <w:w w:val="92"/>
                </w:rPr>
                <w:t>Quantitative and Qualitative Disclosures About Market Risk</w:t>
              </w:r>
            </w:hyperlink>
          </w:p>
        </w:tc>
        <w:tc>
          <w:tcPr>
            <w:tcW w:w="1940" w:type="dxa"/>
            <w:vAlign w:val="bottom"/>
            <w:tcBorders>
              <w:top w:val="single" w:sz="8" w:color="0000EE"/>
            </w:tcBorders>
            <w:gridSpan w:val="4"/>
          </w:tcPr>
          <w:p>
            <w:pPr>
              <w:spacing w:after="0"/>
              <w:rPr>
                <w:sz w:val="24"/>
                <w:szCs w:val="24"/>
                <w:color w:val="auto"/>
              </w:rPr>
            </w:pPr>
          </w:p>
        </w:tc>
        <w:tc>
          <w:tcPr>
            <w:tcW w:w="3760" w:type="dxa"/>
            <w:vAlign w:val="bottom"/>
            <w:gridSpan w:val="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EE"/>
            </w:tcBorders>
            <w:gridSpan w:val="8"/>
          </w:tcPr>
          <w:p>
            <w:pPr>
              <w:spacing w:after="0"/>
              <w:rPr>
                <w:rFonts w:ascii="Arial" w:cs="Arial" w:eastAsia="Arial" w:hAnsi="Arial"/>
                <w:sz w:val="16"/>
                <w:szCs w:val="16"/>
                <w:b w:val="1"/>
                <w:bCs w:val="1"/>
                <w:color w:val="0000EE"/>
                <w:w w:val="88"/>
              </w:rPr>
            </w:pPr>
            <w:hyperlink w:anchor="page27">
              <w:r>
                <w:rPr>
                  <w:rFonts w:ascii="Arial" w:cs="Arial" w:eastAsia="Arial" w:hAnsi="Arial"/>
                  <w:sz w:val="16"/>
                  <w:szCs w:val="16"/>
                  <w:b w:val="1"/>
                  <w:bCs w:val="1"/>
                  <w:color w:val="0000EE"/>
                  <w:w w:val="88"/>
                </w:rPr>
                <w:t>Controls and Procedures</w:t>
              </w:r>
            </w:hyperlink>
          </w:p>
        </w:tc>
        <w:tc>
          <w:tcPr>
            <w:tcW w:w="8180" w:type="dxa"/>
            <w:vAlign w:val="bottom"/>
            <w:gridSpan w:val="11"/>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58"/>
        </w:trPr>
        <w:tc>
          <w:tcPr>
            <w:tcW w:w="10820" w:type="dxa"/>
            <w:vAlign w:val="bottom"/>
            <w:gridSpan w:val="20"/>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PART II. OTHER INFORMATION</w:t>
              </w:r>
            </w:hyperlink>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EE"/>
              <w:bottom w:val="single" w:sz="8" w:color="0000EE"/>
            </w:tcBorders>
            <w:gridSpan w:val="4"/>
          </w:tcPr>
          <w:p>
            <w:pPr>
              <w:spacing w:after="0"/>
              <w:rPr>
                <w:rFonts w:ascii="Arial" w:cs="Arial" w:eastAsia="Arial" w:hAnsi="Arial"/>
                <w:sz w:val="16"/>
                <w:szCs w:val="16"/>
                <w:b w:val="1"/>
                <w:bCs w:val="1"/>
                <w:color w:val="0000EE"/>
                <w:w w:val="87"/>
              </w:rPr>
            </w:pPr>
            <w:hyperlink w:anchor="page28">
              <w:r>
                <w:rPr>
                  <w:rFonts w:ascii="Arial" w:cs="Arial" w:eastAsia="Arial" w:hAnsi="Arial"/>
                  <w:sz w:val="16"/>
                  <w:szCs w:val="16"/>
                  <w:b w:val="1"/>
                  <w:bCs w:val="1"/>
                  <w:color w:val="0000EE"/>
                  <w:w w:val="87"/>
                </w:rPr>
                <w:t>Legal Proceedings</w:t>
              </w:r>
            </w:hyperlink>
          </w:p>
        </w:tc>
        <w:tc>
          <w:tcPr>
            <w:tcW w:w="300" w:type="dxa"/>
            <w:vAlign w:val="bottom"/>
            <w:tcBorders>
              <w:top w:val="single" w:sz="8" w:color="0000EE"/>
            </w:tcBorders>
            <w:gridSpan w:val="2"/>
          </w:tcPr>
          <w:p>
            <w:pPr>
              <w:spacing w:after="0"/>
              <w:rPr>
                <w:sz w:val="24"/>
                <w:szCs w:val="24"/>
                <w:color w:val="auto"/>
              </w:rPr>
            </w:pPr>
          </w:p>
        </w:tc>
        <w:tc>
          <w:tcPr>
            <w:tcW w:w="8340" w:type="dxa"/>
            <w:vAlign w:val="bottom"/>
            <w:gridSpan w:val="1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b w:val="1"/>
                <w:bCs w:val="1"/>
                <w:color w:val="0000EE"/>
                <w:w w:val="89"/>
              </w:rPr>
            </w:pPr>
            <w:hyperlink w:anchor="page28">
              <w:r>
                <w:rPr>
                  <w:rFonts w:ascii="Arial" w:cs="Arial" w:eastAsia="Arial" w:hAnsi="Arial"/>
                  <w:sz w:val="16"/>
                  <w:szCs w:val="16"/>
                  <w:b w:val="1"/>
                  <w:bCs w:val="1"/>
                  <w:color w:val="0000EE"/>
                  <w:w w:val="89"/>
                </w:rPr>
                <w:t>Risk Factors</w:t>
              </w:r>
            </w:hyperlink>
          </w:p>
        </w:tc>
        <w:tc>
          <w:tcPr>
            <w:tcW w:w="9020" w:type="dxa"/>
            <w:vAlign w:val="bottom"/>
            <w:gridSpan w:val="16"/>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900" w:type="dxa"/>
            <w:vAlign w:val="bottom"/>
            <w:gridSpan w:val="19"/>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tcBorders>
              <w:top w:val="single" w:sz="8" w:color="0000EE"/>
            </w:tcBorders>
            <w:gridSpan w:val="11"/>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Mine Safety Disclosures</w:t>
              </w:r>
            </w:hyperlink>
          </w:p>
        </w:tc>
        <w:tc>
          <w:tcPr>
            <w:tcW w:w="5800" w:type="dxa"/>
            <w:vAlign w:val="bottom"/>
            <w:gridSpan w:val="8"/>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tcBorders>
              <w:top w:val="single" w:sz="8" w:color="0000EE"/>
            </w:tcBorders>
            <w:gridSpan w:val="7"/>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Exhibits</w:t>
              </w:r>
            </w:hyperlink>
          </w:p>
        </w:tc>
        <w:tc>
          <w:tcPr>
            <w:tcW w:w="8260" w:type="dxa"/>
            <w:vAlign w:val="bottom"/>
            <w:gridSpan w:val="12"/>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340" w:type="dxa"/>
            <w:vAlign w:val="bottom"/>
            <w:gridSpan w:val="17"/>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EE"/>
            </w:tcBorders>
            <w:gridSpan w:val="2"/>
          </w:tcPr>
          <w:p>
            <w:pPr>
              <w:spacing w:after="0"/>
              <w:rPr>
                <w:rFonts w:ascii="Arial" w:cs="Arial" w:eastAsia="Arial" w:hAnsi="Arial"/>
                <w:sz w:val="16"/>
                <w:szCs w:val="16"/>
                <w:b w:val="1"/>
                <w:bCs w:val="1"/>
                <w:color w:val="0000EE"/>
                <w:w w:val="97"/>
              </w:rPr>
            </w:pPr>
            <w:hyperlink w:anchor="page29">
              <w:r>
                <w:rPr>
                  <w:rFonts w:ascii="Arial" w:cs="Arial" w:eastAsia="Arial" w:hAnsi="Arial"/>
                  <w:sz w:val="16"/>
                  <w:szCs w:val="16"/>
                  <w:b w:val="1"/>
                  <w:bCs w:val="1"/>
                  <w:color w:val="0000EE"/>
                  <w:w w:val="97"/>
                </w:rPr>
                <w:t>SIGNATURES</w:t>
              </w:r>
            </w:hyperlink>
          </w:p>
        </w:tc>
        <w:tc>
          <w:tcPr>
            <w:tcW w:w="9780" w:type="dxa"/>
            <w:vAlign w:val="bottom"/>
            <w:gridSpan w:val="18"/>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5540" w:type="dxa"/>
            <w:vAlign w:val="bottom"/>
            <w:gridSpan w:val="14"/>
          </w:tcPr>
          <w:p>
            <w:pPr>
              <w:ind w:left="47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otherwise indicated, references to CME Group Inc. (CME Group or the company) products include references to products listed on one of its regulated exchanges or clearing houses: Chicago Mercantile Exchange Inc. (CME), Board of Trade of the City of Chicago, Inc. (CBOT), New York Mercantile Exchange, Inc. (NYMEX), Commodity Exchange, Inc. (COMEX), CME Clearing Europe Limited (CMECE) and CME Europe Limited (CME Europe). The products listed are subject to the rules and regulations of the particular entity and the applicable rulebook should be consulted. Unless otherwise indicated, references to NYMEX include its subsidiary, COMEX. The clearing houses include CME Clearing, which is our U.S. clearing house and a division of CME, and CMECE. In addition, CME serves as a swap execution facility, which is a regulated platform for swap trading, and serves as a swap data repository, which provides public data on swap transactions and stores confidential swap data for regulatory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All amounts regarding contract volume and average rate per contract exclude our credit default swaps and interest rate swaps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KCBT and Kansas City Board of Trade are trademarks of The Board of Trade of Kansas City, Missouri,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1"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73"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117"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non-U.S. regulations, including the impact of any changes in domestic and non-U.S. laws or government policy with respect to our industry, such as any changes to regulations and policies that require increased financial and operational resources from us or our customers;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pacing w:after="0" w:line="117"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117"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140"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26, 2015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6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41"/>
        </w:trPr>
        <w:tc>
          <w:tcPr>
            <w:tcW w:w="1280" w:type="dxa"/>
            <w:vAlign w:val="bottom"/>
          </w:tcPr>
          <w:p>
            <w:pPr>
              <w:spacing w:after="0"/>
              <w:rPr>
                <w:sz w:val="24"/>
                <w:szCs w:val="24"/>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CME GROUP INC. AND SUBSIDIARIES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color w:val="auto"/>
                <w:w w:val="90"/>
              </w:rPr>
              <w:t>(unaudited)</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1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w w:val="98"/>
              </w:rPr>
              <w:t>Current Assets:</w:t>
            </w: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1,366.1</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74.7</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$0.9 and $1.2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$32.0 and $37.0 in restricted cash)</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196.5</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42,167.9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40,566.8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44,055.1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42,545.3</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$781.5 and $741.0</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2,637.4</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7,569.0</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$73.5 and $72.4 in restricted cash)</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1,805.6</w:t>
            </w:r>
          </w:p>
        </w:tc>
      </w:tr>
      <w:tr>
        <w:trPr>
          <w:trHeight w:val="237"/>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73,663.1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72,241.5</w:t>
            </w:r>
          </w:p>
        </w:tc>
      </w:tr>
      <w:tr>
        <w:trPr>
          <w:trHeight w:val="67"/>
        </w:trPr>
        <w:tc>
          <w:tcPr>
            <w:tcW w:w="1280" w:type="dxa"/>
            <w:vAlign w:val="bottom"/>
            <w:tcBorders>
              <w:bottom w:val="single" w:sz="8" w:color="CCEEFF"/>
            </w:tcBorders>
          </w:tcPr>
          <w:p>
            <w:pPr>
              <w:spacing w:after="0"/>
              <w:rPr>
                <w:sz w:val="5"/>
                <w:szCs w:val="5"/>
                <w:color w:val="auto"/>
              </w:rPr>
            </w:pPr>
          </w:p>
        </w:tc>
        <w:tc>
          <w:tcPr>
            <w:tcW w:w="68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80" w:type="dxa"/>
            <w:vAlign w:val="bottom"/>
            <w:shd w:val="clear" w:color="auto" w:fill="CCEEFF"/>
          </w:tcPr>
          <w:p>
            <w:pPr>
              <w:spacing w:after="0"/>
              <w:rPr>
                <w:sz w:val="24"/>
                <w:szCs w:val="24"/>
                <w:color w:val="auto"/>
              </w:rPr>
            </w:pPr>
          </w:p>
        </w:tc>
        <w:tc>
          <w:tcPr>
            <w:tcW w:w="6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36.9</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927.5</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42,167.9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40,566.8</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41,531.2</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w w:val="99"/>
              </w:rPr>
              <w:t>Long-term debt</w:t>
            </w: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2,107.9</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7,302.7</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376.2</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6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52,404.3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51,318.0</w:t>
            </w:r>
          </w:p>
        </w:tc>
      </w:tr>
      <w:tr>
        <w:trPr>
          <w:trHeight w:val="223"/>
        </w:trPr>
        <w:tc>
          <w:tcPr>
            <w:tcW w:w="128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CME Group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5"/>
              </w:rPr>
              <w:t>Preferred stock, $0.01 par value, 10,000 shares authorized at June 30, 2015 and December 31, 2014;</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280" w:type="dxa"/>
            <w:vAlign w:val="bottom"/>
          </w:tcPr>
          <w:p>
            <w:pPr>
              <w:ind w:left="380"/>
              <w:spacing w:after="0"/>
              <w:rPr>
                <w:sz w:val="20"/>
                <w:szCs w:val="20"/>
                <w:color w:val="auto"/>
              </w:rPr>
            </w:pPr>
            <w:r>
              <w:rPr>
                <w:rFonts w:ascii="Arial" w:cs="Arial" w:eastAsia="Arial" w:hAnsi="Arial"/>
                <w:sz w:val="18"/>
                <w:szCs w:val="18"/>
                <w:color w:val="auto"/>
                <w:w w:val="90"/>
              </w:rPr>
              <w:t>none issued</w:t>
            </w:r>
          </w:p>
        </w:tc>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Class A common stock, $0.01 par value, 1,000,000 shares authorized at June 30, 2015 and December 31,</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2014; 336,186 and 335,452 shares issued and outstanding as of June 30, 2015 and December 31, 2014,</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7"/>
        </w:trPr>
        <w:tc>
          <w:tcPr>
            <w:tcW w:w="1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respectively</w:t>
            </w:r>
          </w:p>
        </w:tc>
        <w:tc>
          <w:tcPr>
            <w:tcW w:w="6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1"/>
              </w:rPr>
              <w:t>Class B common stock, $0.01 par value, 3 shares authorized, issued and outstanding as of June 30, 2015</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and December 31, 2014</w:t>
            </w: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17,596.6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3,317.3</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CME Group shareholders’ equity</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21,258.8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20,923.5</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73,663.1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72,241.5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08"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609.3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1,390.0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1,261.5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40.8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1,509.0</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275.2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28.5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50.4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46.4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35.3</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642.5</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495.1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1,002.4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866.5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Non-Operating</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338.1</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336,036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334,097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334,002</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337,796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335,800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337,574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335,705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55.9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Reclassification of gain on sale included in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5"/>
              </w:rPr>
              <w:t>Amortization of net actuarial (gains) losses included in compensation and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benefits expense</w:t>
            </w: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6"/>
              </w:rPr>
              <w:t>Ineffectiveness on cash flow hedges included in (gain) loss on derivative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9"/>
              </w:rPr>
              <w:t>Amortization of effective portion of net (gain) loss on cash flow hedges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included in interest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295.9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585.1</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295.9</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594.3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585.3</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9"/>
              </w:rPr>
              <w:t>Total CME Group</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335,452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20,923.5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attributable to CME Group</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$1.00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652</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6"/>
              </w:rPr>
              <w:t>Excess tax benefits from option exercises and restricted</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stock vesting</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2015</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336,186</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17,678.2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21,258.8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Total CME Group</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333,852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17,508.2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3,494.6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21,154.8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21,160.5</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CME Group and non-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530.6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stock of $0.94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of non-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controlling interest</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 exercises and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w w:val="98"/>
              </w:rPr>
              <w:t>Vesting of issued restricted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Class A common stock</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to Board of</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Shares issued under</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Employee Stock Purchase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Plan</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w w:val="99"/>
              </w:rPr>
              <w:t>Balance at June 30, 2014</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334,251</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17,548.9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3,709.8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21,465.4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21,465.4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530.4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BM&amp;FBOVESPA shares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Debt prepayment costs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677.7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554.7</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building property</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business ventures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BM&amp;FBOVESPA shares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of derivative related to debt issuance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 net of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Repayment of debt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(1,916.8)</w:t>
            </w:r>
          </w:p>
        </w:tc>
      </w:tr>
      <w:tr>
        <w:trPr>
          <w:trHeight w:val="210"/>
        </w:trPr>
        <w:tc>
          <w:tcPr>
            <w:tcW w:w="85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1,366.1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2,469.7</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322.0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70"/>
        </w:trPr>
        <w:tc>
          <w:tcPr>
            <w:tcW w:w="858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73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73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CME Clearing Europe Limited (CMECE) and CME Europe Limited (CME Europe). CME, CBOT, NYMEX, COMEX, CMECE and CME Europe and their subsidiaries are referred to collectively as “the exchange” in the notes to the consolidated financial statements. The clearing houses include CME Clearing, which is the U.S. clearing house and a division of CME, and CMECE.</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June 30, 2015 and December 31, 2014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2014, filed with the Securities and Exchange Commission (SEC) on February 26, 2015.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Performance Bonds and Guaranty Fund Contributions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Performance Bonds and Guaranty Fund Contributions. </w:t>
      </w:r>
      <w:r>
        <w:rPr>
          <w:rFonts w:ascii="Arial" w:cs="Arial" w:eastAsia="Arial" w:hAnsi="Arial"/>
          <w:sz w:val="17"/>
          <w:szCs w:val="17"/>
          <w:color w:val="auto"/>
        </w:rPr>
        <w:t>At June 30, 2015, performance bonds and guaranty fund contribution assets on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sheets include cash and U.S. Treasury securities with maturity dates of 90 days or less. U.S. Treasury securities are purchased by CME, at its discretion, using cash collateral. The benefits, including interest earned, and risks of ownership accrue to CME. Interest earned is included in investment income on the consolidated statements of income. At June 30, 2015, the amortized cost and fair value of the U.S. Treasury securities were both $17.6 billion. The U.S. Treasury securities will mature in the third quarter of 2015. Performance bonds and guaranty fund contribution assets also include overnight reverse repurchase agreements that were purchased by CME, at its discretion, using cash collateral. The fair value of the overnight securities under the reverse repurchase agreements was $2.5 billion at June 30, 2015.</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Clearing House Contract Settlement. </w:t>
      </w:r>
      <w:r>
        <w:rPr>
          <w:rFonts w:ascii="Arial" w:cs="Arial" w:eastAsia="Arial" w:hAnsi="Arial"/>
          <w:sz w:val="16"/>
          <w:szCs w:val="16"/>
          <w:color w:val="auto"/>
        </w:rPr>
        <w:t>CME Clearing and CMECE mark-to-market open positions for all products at least once a day (twice a day for futures</w:t>
      </w:r>
      <w:r>
        <w:rPr>
          <w:rFonts w:ascii="Arial" w:cs="Arial" w:eastAsia="Arial" w:hAnsi="Arial"/>
          <w:sz w:val="16"/>
          <w:szCs w:val="16"/>
          <w:i w:val="1"/>
          <w:iCs w:val="1"/>
          <w:color w:val="auto"/>
        </w:rPr>
        <w:t xml:space="preserve"> </w:t>
      </w:r>
      <w:r>
        <w:rPr>
          <w:rFonts w:ascii="Arial" w:cs="Arial" w:eastAsia="Arial" w:hAnsi="Arial"/>
          <w:sz w:val="16"/>
          <w:szCs w:val="16"/>
          <w:color w:val="auto"/>
        </w:rPr>
        <w:t>and options contracts). Based on values derived from the mark-to-market process, CME Clearing and CMECE require payment from clearing firms whose positions have lost value and make payments to clearing firms whose positions have gained value. Under the extremely unlikely scenario of simultaneous default by every clearing firm who has open positions with unrealized losses, the maximum exposure related to positions other than over-the-counter credit default and interest rate swap contracts would be one half day of changes in fair value of all open positions, before considering the clearing houses' ability to access defaulting clearing firms' collateral deposits. For CME's cleared-only credit default swap and interest rate swap contracts, the maximum exposure related to CME Clearing's guarantee would be one full day of changes in fair value of all open positions, before considering CME Clearing's ability to access defaulting clearing firms' collateral. During the first six months of 2015, CME Clearing and CMECE transferred an average of approximately $4.2 billion a day through their clearing systems for settlement from clearing firms whose positions had lost value to clearing firms whose positions had gained value. CME Clearing and CMECE reduce the guarantee exposure through initial and maintenance performance bond requirements and mandatory guaranty fund contributions. The company believes that the guarantee liability is immaterial and therefore has not recorded any liability at June 30, 2015.</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June 30, 2015 and December 31, 2014:</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4"/>
              </w:rPr>
              <w:t>June 30, 2015</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2014</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(706.7)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2,132.1</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(658.8)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2,137.6</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2,187.4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2,637.4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Trading products</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4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Total amortization expense for intangible assets was $25.0 million and $25.2 million for the quarters ended June 30, 2015 and 2014, respectively. Total amortization expense for intangible assets was $49.9 million and $50.4 million for the six months ended June 30, 2015 and 2014, respectively. As of June 30, 2015, the future estimated amortization expense related to amortizable intangible assets is expected to be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2015</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2016</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96.1</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2018</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2020</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1,612.2</w:t>
            </w:r>
          </w:p>
        </w:tc>
      </w:tr>
      <w:tr>
        <w:trPr>
          <w:trHeight w:val="27"/>
        </w:trPr>
        <w:tc>
          <w:tcPr>
            <w:tcW w:w="53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Investments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the second quarter of 2015, the company sold approximately 14.3 million shares of BM&amp;FBOVESPA S.A. (BM&amp;FBOVESPA) and recognized a net gain of $5.9 million within investment income on the consolidated statements of income. The company continues to own an approximate 5% interest in BM&amp;FBOVESPA. The fair value and cost basis of the remaining investment in BM&amp;FBOVESPA are $362.9 million and $353.9 million,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April 2015, the company repaid the $612.5 million fixed rate notes due 2018 and paid a call premium of $60.5 million. As a result of the transaction, the company recognized debt prepayment costs of $61.8 million in the second quarter of 2015, which includes the call premium.</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June 30, 2015 and December 31,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2014</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$612.5 million fixed rate notes due March 2018, stated rate of 4.40%</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611.0</w:t>
            </w: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748.4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748.2</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$750.0 million fixed rate notes due March 2025, stated rate of 3.00%</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743.9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80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$750.0 million fixed rates notes due September 2043, stated rate of 5.30% </w:t>
            </w:r>
            <w:r>
              <w:rPr>
                <w:rFonts w:ascii="Arial" w:cs="Arial" w:eastAsia="Arial" w:hAnsi="Arial"/>
                <w:sz w:val="25"/>
                <w:szCs w:val="25"/>
                <w:color w:val="auto"/>
                <w:vertAlign w:val="superscript"/>
              </w:rPr>
              <w:t>(4)</w:t>
            </w: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748.7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748.7</w:t>
            </w: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2,107.9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2010, the company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2014, the company entered into a forward-starting interest rate swap agreement that modified the interest obligation associated with these notes so that the interest payable on the notes effectively became fixed at a rate of 3.11%.</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4.73%.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June 30,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2017</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2,250.0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Contingencies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Legal and Regulatory Matters. </w:t>
      </w:r>
      <w:r>
        <w:rPr>
          <w:rFonts w:ascii="Arial" w:cs="Arial" w:eastAsia="Arial" w:hAnsi="Arial"/>
          <w:sz w:val="17"/>
          <w:szCs w:val="17"/>
          <w:color w:val="auto"/>
        </w:rPr>
        <w:t>In 2008, Fifth Market, Inc. (Fifth Market) filed a complaint against CME Group and CME in the Delaware District Court</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a permanent injunction against CME's Globex system and unquantified enhanced damages for what the plaintiff alleges is willful infringement of two patents, in addition to costs, expenses and attorneys' fees. The case was stayed pending the outcome of CME's request for reexamination by the U.S. Patent and Trademark Office (USPTO). The reexaminations resulted in some claims being rejected and others being confirmed. In June 2013, the court lifted the stay. The validity of the patents, however, remains subject to further review by the USPTO. Based on its investigation to date and advice from legal counsel, the company believes this suit is without merit and intends to defend itself vigorously against these charges. CME filed covered business method reviews against both patents for the claims that remain after the reexaminations. All the claims asserted in the litigation have a proceeding instituted against them. The reviews and one reexamination remain under way at the USPTO or are on appeal to the Federal Circuit.</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Fifth Market legal matter involves an alleged infringement of intellectual property which, due to its nature, involves a potential liability that is uncertain, difficult to quantify and involves a wide range of potential outcomes. We expect the re-examination and the reviews by the USPTO in the Fifth Market matter, including any appeals thereof, to result in a determination of the validity of the patent at issue which we expect will have an impact on the merits of the matter. Given the uncertainty of factors which may potentially impact the resolution of the matter, at this time the company is unable to estimate the reasonably possible loss or range of reasonably possible loss in the unlikely event it were found to be liable at trial in the matter.</w:t>
      </w:r>
    </w:p>
    <w:p>
      <w:pPr>
        <w:spacing w:after="0" w:line="1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February 2013, the CFTC filed suit against NYMEX and two former employees alleging disclosure of confidential customer information in violation of the Commodity Exchange Act. NYMEX’s motion to dismiss was denied in September 2014. Based on its investigation to date and advice from legal counsel, the company believes that it has strong factual and legal defenses to the claim.</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w:t>
      </w:r>
    </w:p>
    <w:p>
      <w:pPr>
        <w:spacing w:after="0" w:line="13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June 30, 2015 and December 31, 2014, the company had accrued $3.5 million and $4.3 million, respectively, for legal and regulatory matters that were probable and estimable.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Guarantees</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2015.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must maintain U.S. Treasury securities or irrevocable, standby letters of credit as collateral for this agreement. At June 30, 2015, CME was contingently liable to SGX on letters of credit totaling $410.0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June 30, 2015.</w:t>
      </w:r>
    </w:p>
    <w:p>
      <w:pPr>
        <w:spacing w:after="0" w:line="16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2012, the company established the Family Farmer and Rancher Protection Fund (the Fund). The Fund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payments, up to certain maximum levels, to family farmers, ranchers and other agricultural industry participants who use the company's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in advance with the company and provide certain documentation in order to substantiate their eligibility. The company believes that its guarantee liability is immaterial and therefore has not recorded any liability at June 30, 2015.</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Income</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attributable to CME Group, including current period other comprehensive income and reclassifications out of accumulated other comprehensive income: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June 30, 2015</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June 30, 2014</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Level 1 assets generally include U.S. Treasury securities and investments in publicly traded mutual funds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2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Assets included in level 2 generally consist of asset-backed securities. Asset-backed securities were measured at fair value based on matrix pricing using prices of similar securities with similar inputs such as maturity dates, interest rates and credit ratings.</w:t>
      </w:r>
    </w:p>
    <w:p>
      <w:pPr>
        <w:spacing w:after="0" w:line="1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determined the fair value of its contingent consideration liabilities, considered level 3 liabilities, using a discounted cash flow model to calculate the present value of future payouts. The liabilities were included in level 3 because management used significant unobservable inputs, including a discount rate of 20% and payout probabilities ranging from 75% to 100%. Significant changes in any of those inputs in isolation would result in a significantly different fair value.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Financial assets and liabilities recorded in the consolidated balance sheet as of June 30, 2015 were classified in their entirety based on the lowest level of input that was significant to each asset or liability's fair value measurement. The following tables present financial instruments measured at fair value on a recurring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June 30, 2015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56.7</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0.4</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w:t>
            </w:r>
          </w:p>
        </w:tc>
      </w:tr>
      <w:tr>
        <w:trPr>
          <w:trHeight w:val="351"/>
        </w:trPr>
        <w:tc>
          <w:tcPr>
            <w:tcW w:w="5160" w:type="dxa"/>
            <w:vAlign w:val="bottom"/>
          </w:tcPr>
          <w:p>
            <w:pPr>
              <w:ind w:left="180"/>
              <w:spacing w:after="0"/>
              <w:rPr>
                <w:sz w:val="20"/>
                <w:szCs w:val="20"/>
                <w:color w:val="auto"/>
              </w:rPr>
            </w:pPr>
            <w:r>
              <w:rPr>
                <w:rFonts w:ascii="Arial" w:cs="Arial" w:eastAsia="Arial" w:hAnsi="Arial"/>
                <w:sz w:val="18"/>
                <w:szCs w:val="18"/>
                <w:color w:val="auto"/>
              </w:rPr>
              <w:t>Performance bonds and guaranty fund contributions: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5"/>
        </w:trPr>
        <w:tc>
          <w:tcPr>
            <w:tcW w:w="5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70"/>
        </w:trPr>
        <w:tc>
          <w:tcPr>
            <w:tcW w:w="51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U.S. Treasury securities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17,574.8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17,574.8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383.2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383.2</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18,033.9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18,034.3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17.8</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00" w:right="440" w:hanging="244"/>
        <w:spacing w:after="0" w:line="277" w:lineRule="auto"/>
        <w:tabs>
          <w:tab w:leader="none" w:pos="91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bonds and guaranty fund contributions on the consolidated balance sheet at June 30, 2015 include cash collateral that has been invested in U.S. Treasury securities.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were no transfers of assets or liabilities between level 1, level 2 and level 3 during the first six months of 2015. The following is a reconciliation of level 3 liabilities valued at fair value on a recurring basis during the first six months of 2015. There were no level 3 assets valued at fair value on a recurring basis during the first six months of 2015.</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Contingent Consideration</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2014</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Realized and unrealized (gains) losses: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Included in other expenses</w:t>
            </w:r>
          </w:p>
        </w:tc>
        <w:tc>
          <w:tcPr>
            <w:tcW w:w="7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Fair value of liability at June 30, 2015</w:t>
            </w:r>
          </w:p>
        </w:tc>
        <w:tc>
          <w:tcPr>
            <w:tcW w:w="7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r>
      <w:tr>
        <w:trPr>
          <w:trHeight w:val="20"/>
        </w:trPr>
        <w:tc>
          <w:tcPr>
            <w:tcW w:w="9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level 3 assets or level 3 liabilities valued at fair value on a nonrecurring basis during the first six months of 2015.</w:t>
      </w:r>
    </w:p>
    <w:p>
      <w:pPr>
        <w:spacing w:after="0" w:line="2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presents the estimated fair value of fixed rate notes, which are carried at amortized cost on the consolidated balance sheets. The fair values of the fixed rate notes due 2022, 2025 and 2043, which are classified as level 2 under the fair value hierarchy, were estimated using quoted market prices. At June 30, 2015, the fair values of the fixed rate notes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4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w w:val="91"/>
              </w:rPr>
              <w:t>$750.0 million fixed rate notes due September 2022, stated rate of 3.00%</w:t>
            </w:r>
          </w:p>
        </w:tc>
        <w:tc>
          <w:tcPr>
            <w:tcW w:w="4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752.1</w:t>
            </w:r>
          </w:p>
        </w:tc>
      </w:tr>
      <w:tr>
        <w:trPr>
          <w:trHeight w:val="27"/>
        </w:trPr>
        <w:tc>
          <w:tcPr>
            <w:tcW w:w="55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$750.0 million fixed rate notes due March 2025, stated rate of 3.00%</w:t>
            </w:r>
          </w:p>
        </w:tc>
        <w:tc>
          <w:tcPr>
            <w:tcW w:w="4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727.9</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w w:val="90"/>
              </w:rPr>
              <w:t>$750.0 million fixed rates notes due September 2043, stated rate of 5.30%</w:t>
            </w:r>
          </w:p>
        </w:tc>
        <w:tc>
          <w:tcPr>
            <w:tcW w:w="47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825.8</w:t>
            </w:r>
          </w:p>
        </w:tc>
      </w:tr>
      <w:tr>
        <w:trPr>
          <w:trHeight w:val="486"/>
        </w:trPr>
        <w:tc>
          <w:tcPr>
            <w:tcW w:w="5560" w:type="dxa"/>
            <w:vAlign w:val="bottom"/>
          </w:tcPr>
          <w:p>
            <w:pPr>
              <w:spacing w:after="0"/>
              <w:rPr>
                <w:sz w:val="24"/>
                <w:szCs w:val="24"/>
                <w:color w:val="auto"/>
              </w:rPr>
            </w:pPr>
          </w:p>
        </w:tc>
        <w:tc>
          <w:tcPr>
            <w:tcW w:w="4700" w:type="dxa"/>
            <w:vAlign w:val="bottom"/>
          </w:tcPr>
          <w:p>
            <w:pPr>
              <w:jc w:val="right"/>
              <w:ind w:right="437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Basic earnings per share is computed by dividing net income attributable to the company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restricted stock awards were as follows for the periods presented: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4"/>
          </w:tcPr>
          <w:p>
            <w:pPr>
              <w:jc w:val="center"/>
              <w:ind w:left="377"/>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14"/>
        </w:trPr>
        <w:tc>
          <w:tcPr>
            <w:tcW w:w="652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Stock awards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464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w w:val="91"/>
              </w:rPr>
              <w:t>The following table presents the earnings per share calculation for the periods presented:</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336,036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334,097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335,859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334,002</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Effect of stock options and restricted stock awards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1,760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337,796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335,800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337,574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335,705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0.78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88"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in our Annual Report on Form 10-K for the year ended December 31, 2014.</w:t>
      </w:r>
    </w:p>
    <w:p>
      <w:pPr>
        <w:spacing w:after="0" w:line="124"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References in this discussion and analysis to “we,” “us” and “our” are to CME Group Inc. (CME Group) and its consolidated subsidiaries, collectively. References to “exchange” are to Chicago Mercantile Exchange Inc. (CME), Board of Trade of the City of Chicago, Inc. (CBOT), New York Mercantile Exchange, Inc. (NYMEX), Commodity Exchange, Inc. (COMEX), CME Clearing Europe Limited (CMECE) and CME Europe Limited (CME Europe), collectively, unless otherwise noted. The clearing houses include CME Clearing, which is the U.S. clearing house and a division of CME, and CMECE.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1280" w:type="dxa"/>
            <w:vAlign w:val="bottom"/>
          </w:tcPr>
          <w:p>
            <w:pPr>
              <w:spacing w:after="0"/>
              <w:rPr>
                <w:sz w:val="14"/>
                <w:szCs w:val="14"/>
                <w:color w:val="auto"/>
              </w:rPr>
            </w:pPr>
          </w:p>
        </w:tc>
      </w:tr>
      <w:tr>
        <w:trPr>
          <w:trHeight w:val="192"/>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2014</w:t>
            </w:r>
          </w:p>
        </w:tc>
        <w:tc>
          <w:tcPr>
            <w:tcW w:w="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Change</w:t>
            </w: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820.0</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731.6</w:t>
            </w:r>
          </w:p>
        </w:tc>
        <w:tc>
          <w:tcPr>
            <w:tcW w:w="14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12 %</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1,662.7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1,509.0</w:t>
            </w:r>
          </w:p>
        </w:tc>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rPr>
              <w:t>324.9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319.6</w:t>
            </w:r>
          </w:p>
        </w:tc>
        <w:tc>
          <w:tcPr>
            <w:tcW w:w="1440" w:type="dxa"/>
            <w:vAlign w:val="bottom"/>
            <w:gridSpan w:val="2"/>
          </w:tcPr>
          <w:p>
            <w:pPr>
              <w:jc w:val="right"/>
              <w:ind w:right="259"/>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660.3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642.5</w:t>
            </w:r>
          </w:p>
        </w:tc>
        <w:tc>
          <w:tcPr>
            <w:tcW w:w="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(47.0)</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1"/>
                <w:szCs w:val="21"/>
                <w:color w:val="auto"/>
              </w:rPr>
            </w:pPr>
          </w:p>
        </w:tc>
        <w:tc>
          <w:tcPr>
            <w:tcW w:w="1380" w:type="dxa"/>
            <w:vAlign w:val="bottom"/>
          </w:tcPr>
          <w:p>
            <w:pPr>
              <w:jc w:val="right"/>
              <w:ind w:right="259"/>
              <w:spacing w:after="0"/>
              <w:rPr>
                <w:sz w:val="20"/>
                <w:szCs w:val="20"/>
                <w:color w:val="auto"/>
              </w:rPr>
            </w:pPr>
            <w:r>
              <w:rPr>
                <w:rFonts w:ascii="Arial" w:cs="Arial" w:eastAsia="Arial" w:hAnsi="Arial"/>
                <w:sz w:val="18"/>
                <w:szCs w:val="18"/>
                <w:color w:val="auto"/>
              </w:rPr>
              <w:t>n.m.</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n.m.</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rPr>
              <w:t>265.0</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263.8</w:t>
            </w:r>
          </w:p>
        </w:tc>
        <w:tc>
          <w:tcPr>
            <w:tcW w:w="60" w:type="dxa"/>
            <w:vAlign w:val="bottom"/>
          </w:tcPr>
          <w:p>
            <w:pPr>
              <w:spacing w:after="0"/>
              <w:rPr>
                <w:sz w:val="21"/>
                <w:szCs w:val="21"/>
                <w:color w:val="auto"/>
              </w:rPr>
            </w:pPr>
          </w:p>
        </w:tc>
        <w:tc>
          <w:tcPr>
            <w:tcW w:w="138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530.6</w:t>
            </w:r>
          </w:p>
        </w:tc>
        <w:tc>
          <w:tcPr>
            <w:tcW w:w="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Diluted earnings per common share attributable</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CME Group</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0.79</w:t>
            </w:r>
          </w:p>
        </w:tc>
        <w:tc>
          <w:tcPr>
            <w:tcW w:w="144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1.58</w:t>
            </w:r>
          </w:p>
        </w:tc>
        <w:tc>
          <w:tcPr>
            <w:tcW w:w="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554.7</w:t>
            </w:r>
          </w:p>
        </w:tc>
        <w:tc>
          <w:tcPr>
            <w:tcW w:w="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22</w:t>
            </w:r>
          </w:p>
        </w:tc>
      </w:tr>
      <w:tr>
        <w:trPr>
          <w:trHeight w:val="351"/>
        </w:trPr>
        <w:tc>
          <w:tcPr>
            <w:tcW w:w="3740" w:type="dxa"/>
            <w:vAlign w:val="bottom"/>
          </w:tcPr>
          <w:p>
            <w:pPr>
              <w:spacing w:after="0"/>
              <w:rPr>
                <w:sz w:val="20"/>
                <w:szCs w:val="20"/>
                <w:color w:val="auto"/>
              </w:rPr>
            </w:pPr>
            <w:r>
              <w:rPr>
                <w:rFonts w:ascii="Arial" w:cs="Arial" w:eastAsia="Arial" w:hAnsi="Arial"/>
                <w:sz w:val="18"/>
                <w:szCs w:val="18"/>
                <w:color w:val="auto"/>
              </w:rPr>
              <w:t>n.m. not meaningful</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8"/>
        </w:trPr>
        <w:tc>
          <w:tcPr>
            <w:tcW w:w="3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4"/>
          </w:tcPr>
          <w:p>
            <w:pPr>
              <w:jc w:val="center"/>
              <w:ind w:right="73"/>
              <w:spacing w:after="0"/>
              <w:rPr>
                <w:sz w:val="20"/>
                <w:szCs w:val="20"/>
                <w:color w:val="auto"/>
              </w:rPr>
            </w:pPr>
            <w:r>
              <w:rPr>
                <w:rFonts w:ascii="Arial" w:cs="Arial" w:eastAsia="Arial" w:hAnsi="Arial"/>
                <w:sz w:val="14"/>
                <w:szCs w:val="14"/>
                <w:b w:val="1"/>
                <w:bCs w:val="1"/>
                <w:color w:val="auto"/>
                <w:w w:val="96"/>
              </w:rPr>
              <w:t>Quarter Ended</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1280" w:type="dxa"/>
            <w:vAlign w:val="bottom"/>
          </w:tcPr>
          <w:p>
            <w:pPr>
              <w:spacing w:after="0"/>
              <w:rPr>
                <w:sz w:val="24"/>
                <w:szCs w:val="24"/>
                <w:color w:val="auto"/>
              </w:rPr>
            </w:pPr>
          </w:p>
        </w:tc>
      </w:tr>
      <w:tr>
        <w:trPr>
          <w:trHeight w:val="192"/>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Change</w:t>
            </w: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681.8</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1,261.5</w:t>
            </w:r>
          </w:p>
        </w:tc>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89.6</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179.0</w:t>
            </w:r>
          </w:p>
        </w:tc>
        <w:tc>
          <w:tcPr>
            <w:tcW w:w="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w:t>
            </w:r>
          </w:p>
        </w:tc>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27.7</w:t>
            </w:r>
          </w:p>
        </w:tc>
        <w:tc>
          <w:tcPr>
            <w:tcW w:w="4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5</w:t>
            </w:r>
          </w:p>
        </w:tc>
      </w:tr>
      <w:tr>
        <w:trPr>
          <w:trHeight w:val="27"/>
        </w:trPr>
        <w:tc>
          <w:tcPr>
            <w:tcW w:w="37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820.0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44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1,662.7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1,509.0</w:t>
            </w:r>
          </w:p>
        </w:tc>
        <w:tc>
          <w:tcPr>
            <w:tcW w:w="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Futures and Options Contracts</w:t>
      </w:r>
    </w:p>
    <w:p>
      <w:pPr>
        <w:spacing w:after="0" w:line="19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following table summarizes our total contract volume, revenue and average rate per contract for futures and options. Total contract volume includes contracts that are traded on our exchange and cleared through CME Clearing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credit default swaps and interest rate swaps. The credit default swaps and interest rate swaps are discussed in a later section.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2014</w:t>
            </w:r>
          </w:p>
        </w:tc>
        <w:tc>
          <w:tcPr>
            <w:tcW w:w="14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854.2</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796.0</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1,768.5</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1,629.2</w:t>
            </w: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9"/>
              </w:rPr>
              <w:t>9%</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663.7</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596.0</w:t>
            </w:r>
          </w:p>
        </w:tc>
        <w:tc>
          <w:tcPr>
            <w:tcW w:w="1440" w:type="dxa"/>
            <w:vAlign w:val="bottom"/>
          </w:tcPr>
          <w:p>
            <w:pPr>
              <w:jc w:val="right"/>
              <w:ind w:right="214"/>
              <w:spacing w:after="0"/>
              <w:rPr>
                <w:sz w:val="20"/>
                <w:szCs w:val="20"/>
                <w:color w:val="auto"/>
              </w:rPr>
            </w:pPr>
            <w:r>
              <w:rPr>
                <w:rFonts w:ascii="Arial" w:cs="Arial" w:eastAsia="Arial" w:hAnsi="Arial"/>
                <w:sz w:val="18"/>
                <w:szCs w:val="18"/>
                <w:color w:val="auto"/>
              </w:rPr>
              <w:t>11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1,352.2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1,235.3</w:t>
            </w:r>
          </w:p>
        </w:tc>
        <w:tc>
          <w:tcPr>
            <w:tcW w:w="1320" w:type="dxa"/>
            <w:vAlign w:val="bottom"/>
          </w:tcPr>
          <w:p>
            <w:pPr>
              <w:ind w:left="1040"/>
              <w:spacing w:after="0"/>
              <w:rPr>
                <w:sz w:val="20"/>
                <w:szCs w:val="20"/>
                <w:color w:val="auto"/>
              </w:rPr>
            </w:pPr>
            <w:r>
              <w:rPr>
                <w:rFonts w:ascii="Arial" w:cs="Arial" w:eastAsia="Arial" w:hAnsi="Arial"/>
                <w:sz w:val="18"/>
                <w:szCs w:val="18"/>
                <w:color w:val="auto"/>
              </w:rPr>
              <w:t>9</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0.777</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0.749</w:t>
            </w:r>
          </w:p>
        </w:tc>
        <w:tc>
          <w:tcPr>
            <w:tcW w:w="14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0.765</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0.758</w:t>
            </w: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w:t>
            </w:r>
          </w:p>
        </w:tc>
      </w:tr>
      <w:tr>
        <w:trPr>
          <w:trHeight w:val="27"/>
        </w:trPr>
        <w:tc>
          <w:tcPr>
            <w:tcW w:w="3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estimate the following increases in clearing and transaction fees based on changes in total contract volume and changes in average rate per contract for futures and options during the second quarter and first six months of 2015 when compared with the same periods in 2014.</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changes in total contract volume</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Increases due to changes in average rate per contract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Increases in clearing and transaction fees</w:t>
            </w: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700" w:type="dxa"/>
            <w:vAlign w:val="bottom"/>
            <w:gridSpan w:val="3"/>
          </w:tcPr>
          <w:p>
            <w:pPr>
              <w:jc w:val="center"/>
              <w:ind w:left="654"/>
              <w:spacing w:after="0"/>
              <w:rPr>
                <w:sz w:val="20"/>
                <w:szCs w:val="20"/>
                <w:color w:val="auto"/>
              </w:rPr>
            </w:pPr>
            <w:r>
              <w:rPr>
                <w:rFonts w:ascii="Arial" w:cs="Arial" w:eastAsia="Arial" w:hAnsi="Arial"/>
                <w:sz w:val="14"/>
                <w:szCs w:val="14"/>
                <w:b w:val="1"/>
                <w:bCs w:val="1"/>
                <w:color w:val="auto"/>
                <w:w w:val="94"/>
              </w:rPr>
              <w:t>Quarter Ended</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220" w:type="dxa"/>
            <w:vAlign w:val="bottom"/>
          </w:tcPr>
          <w:p>
            <w:pPr>
              <w:spacing w:after="0"/>
              <w:rPr>
                <w:sz w:val="14"/>
                <w:szCs w:val="14"/>
                <w:color w:val="auto"/>
              </w:rPr>
            </w:pPr>
          </w:p>
        </w:tc>
      </w:tr>
      <w:tr>
        <w:trPr>
          <w:trHeight w:val="192"/>
        </w:trPr>
        <w:tc>
          <w:tcPr>
            <w:tcW w:w="374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85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9"/>
              </w:rPr>
              <w:t>2014</w:t>
            </w:r>
          </w:p>
        </w:tc>
        <w:tc>
          <w:tcPr>
            <w:tcW w:w="13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2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6,599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6,668</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6,696</w:t>
            </w:r>
          </w:p>
        </w:tc>
        <w:tc>
          <w:tcPr>
            <w:tcW w:w="122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2,465</w:t>
            </w:r>
          </w:p>
        </w:tc>
        <w:tc>
          <w:tcPr>
            <w:tcW w:w="134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(4)</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2,674</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638</w:t>
            </w:r>
          </w:p>
        </w:tc>
        <w:tc>
          <w:tcPr>
            <w:tcW w:w="1340" w:type="dxa"/>
            <w:vAlign w:val="bottom"/>
          </w:tcPr>
          <w:p>
            <w:pPr>
              <w:jc w:val="right"/>
              <w:ind w:right="271"/>
              <w:spacing w:after="0"/>
              <w:rPr>
                <w:sz w:val="20"/>
                <w:szCs w:val="20"/>
                <w:color w:val="auto"/>
              </w:rPr>
            </w:pPr>
            <w:r>
              <w:rPr>
                <w:rFonts w:ascii="Arial" w:cs="Arial" w:eastAsia="Arial" w:hAnsi="Arial"/>
                <w:sz w:val="18"/>
                <w:szCs w:val="18"/>
                <w:color w:val="auto"/>
              </w:rPr>
              <w:t>42</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726</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28</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1,085</w:t>
            </w:r>
          </w:p>
        </w:tc>
        <w:tc>
          <w:tcPr>
            <w:tcW w:w="134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29</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1,125</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Energy</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1,457</w:t>
            </w:r>
          </w:p>
        </w:tc>
        <w:tc>
          <w:tcPr>
            <w:tcW w:w="134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1,579</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23</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323</w:t>
            </w:r>
          </w:p>
        </w:tc>
        <w:tc>
          <w:tcPr>
            <w:tcW w:w="134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339</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1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13,347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98"/>
              </w:rPr>
              <w:t>12,636</w:t>
            </w:r>
          </w:p>
        </w:tc>
        <w:tc>
          <w:tcPr>
            <w:tcW w:w="1340" w:type="dxa"/>
            <w:vAlign w:val="bottom"/>
          </w:tcPr>
          <w:p>
            <w:pPr>
              <w:jc w:val="right"/>
              <w:ind w:right="271"/>
              <w:spacing w:after="0"/>
              <w:rPr>
                <w:sz w:val="20"/>
                <w:szCs w:val="20"/>
                <w:color w:val="auto"/>
              </w:rPr>
            </w:pPr>
            <w:r>
              <w:rPr>
                <w:rFonts w:ascii="Arial" w:cs="Arial" w:eastAsia="Arial" w:hAnsi="Arial"/>
                <w:sz w:val="18"/>
                <w:szCs w:val="18"/>
                <w:color w:val="auto"/>
              </w:rPr>
              <w:t>6</w:t>
            </w:r>
          </w:p>
        </w:tc>
        <w:tc>
          <w:tcPr>
            <w:tcW w:w="12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14,148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13,139</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8</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11,705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Arial" w:cs="Arial" w:eastAsia="Arial" w:hAnsi="Arial"/>
                <w:sz w:val="18"/>
                <w:szCs w:val="18"/>
                <w:color w:val="auto"/>
                <w:w w:val="98"/>
              </w:rPr>
              <w:t>10,888</w:t>
            </w:r>
          </w:p>
        </w:tc>
        <w:tc>
          <w:tcPr>
            <w:tcW w:w="1340" w:type="dxa"/>
            <w:vAlign w:val="bottom"/>
          </w:tcPr>
          <w:p>
            <w:pPr>
              <w:jc w:val="right"/>
              <w:ind w:right="271"/>
              <w:spacing w:after="0"/>
              <w:rPr>
                <w:sz w:val="20"/>
                <w:szCs w:val="20"/>
                <w:color w:val="auto"/>
              </w:rPr>
            </w:pPr>
            <w:r>
              <w:rPr>
                <w:rFonts w:ascii="Arial" w:cs="Arial" w:eastAsia="Arial" w:hAnsi="Arial"/>
                <w:sz w:val="18"/>
                <w:szCs w:val="18"/>
                <w:color w:val="auto"/>
              </w:rPr>
              <w:t>8</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12,353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11,289</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9</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1,101</w:t>
            </w:r>
          </w:p>
        </w:tc>
        <w:tc>
          <w:tcPr>
            <w:tcW w:w="134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1,139</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r>
      <w:tr>
        <w:trPr>
          <w:trHeight w:val="270"/>
        </w:trPr>
        <w:tc>
          <w:tcPr>
            <w:tcW w:w="3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Privately negotiated </w:t>
            </w:r>
            <w:r>
              <w:rPr>
                <w:rFonts w:ascii="Arial" w:cs="Arial" w:eastAsia="Arial" w:hAnsi="Arial"/>
                <w:sz w:val="25"/>
                <w:szCs w:val="25"/>
                <w:color w:val="auto"/>
                <w:vertAlign w:val="superscript"/>
              </w:rPr>
              <w:t>(1)</w:t>
            </w: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647</w:t>
            </w:r>
          </w:p>
        </w:tc>
        <w:tc>
          <w:tcPr>
            <w:tcW w:w="1340" w:type="dxa"/>
            <w:vAlign w:val="bottom"/>
            <w:tcBorders>
              <w:bottom w:val="single" w:sz="8" w:color="CCEEFF"/>
            </w:tcBorders>
          </w:tcPr>
          <w:p>
            <w:pPr>
              <w:jc w:val="right"/>
              <w:ind w:right="211"/>
              <w:spacing w:after="0"/>
              <w:rPr>
                <w:sz w:val="20"/>
                <w:szCs w:val="20"/>
                <w:color w:val="auto"/>
              </w:rPr>
            </w:pPr>
            <w:r>
              <w:rPr>
                <w:rFonts w:ascii="Arial" w:cs="Arial" w:eastAsia="Arial" w:hAnsi="Arial"/>
                <w:sz w:val="18"/>
                <w:szCs w:val="18"/>
                <w:color w:val="auto"/>
              </w:rPr>
              <w:t>(18)</w:t>
            </w: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711</w:t>
            </w:r>
          </w:p>
        </w:tc>
        <w:tc>
          <w:tcPr>
            <w:tcW w:w="1220" w:type="dxa"/>
            <w:vAlign w:val="bottom"/>
            <w:tcBorders>
              <w:bottom w:val="single" w:sz="8" w:color="CCEEFF"/>
            </w:tcBorders>
          </w:tcPr>
          <w:p>
            <w:pPr>
              <w:jc w:val="right"/>
              <w:ind w:right="71"/>
              <w:spacing w:after="0"/>
              <w:rPr>
                <w:sz w:val="20"/>
                <w:szCs w:val="20"/>
                <w:color w:val="auto"/>
              </w:rPr>
            </w:pPr>
            <w:r>
              <w:rPr>
                <w:rFonts w:ascii="Arial" w:cs="Arial" w:eastAsia="Arial" w:hAnsi="Arial"/>
                <w:sz w:val="18"/>
                <w:szCs w:val="18"/>
                <w:color w:val="auto"/>
              </w:rPr>
              <w:t>(16)</w:t>
            </w: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13,347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8"/>
              </w:rPr>
              <w:t>12,636</w:t>
            </w:r>
          </w:p>
        </w:tc>
        <w:tc>
          <w:tcPr>
            <w:tcW w:w="134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6</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13,139</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w:t>
            </w: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rPr>
              <w:t>Electronic Volume as a Percentage of Total</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rPr>
              <w:t>Volume</w:t>
            </w: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1220" w:type="dxa"/>
            <w:vAlign w:val="bottom"/>
          </w:tcPr>
          <w:p>
            <w:pPr>
              <w:spacing w:after="0"/>
              <w:rPr>
                <w:sz w:val="20"/>
                <w:szCs w:val="20"/>
                <w:color w:val="auto"/>
              </w:rPr>
            </w:pPr>
          </w:p>
        </w:tc>
      </w:tr>
    </w:tbl>
    <w:p>
      <w:pPr>
        <w:spacing w:after="0" w:line="121" w:lineRule="exact"/>
        <w:rPr>
          <w:sz w:val="20"/>
          <w:szCs w:val="20"/>
          <w:color w:val="auto"/>
        </w:rPr>
      </w:pPr>
    </w:p>
    <w:p>
      <w:pPr>
        <w:ind w:left="900" w:right="380" w:hanging="244"/>
        <w:spacing w:after="0" w:line="277" w:lineRule="auto"/>
        <w:tabs>
          <w:tab w:leader="none" w:pos="912"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Privately negotiated average daily volume includes traditional block trades, off-exchange trades which were historically categorized as CME ClearPort (now executed as futures block trades) and Exchange for Related Positions (EFRPs).</w:t>
      </w:r>
    </w:p>
    <w:p>
      <w:pPr>
        <w:spacing w:after="0" w:line="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Total futures and options contract volume in the second quarter and first six months of 2015 increased when compared with the same periods in 2014. Domestically, improved economic indicators have led to anticipation of a 2015 Federal Reserve rate increase. The Federal Reserve’s decision was delayed in the second quarter, however, leading to an expectation of a late 2015 rate increase. As a result, interest rate volatility tapered off in the second quarter of 2015 after a strong first quarter.</w:t>
      </w:r>
    </w:p>
    <w:p>
      <w:pPr>
        <w:spacing w:after="0" w:line="13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Globally, after the crude oil supply shift that began in late 2014, there remains considerable uncertainty regarding the direction of future oil prices. Also, European debt concerns and quantitative easing by the European Central Bank contributed to the</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strengthening of the U.S. dollar compared with most major currencies. As a result, volatility has remained strong in the foreign exchange and energy markets in the first half of 2015.</w:t>
      </w:r>
    </w:p>
    <w:p>
      <w:pPr>
        <w:spacing w:after="0" w:line="11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Additionally, weather conditions during the second quarter of 2015 created concerns over planting delays for agricultural commodity products. This has resulted in an increase in price volatility, which has led to an increase in overall agricultural commodity contract volume in the second quarter and first six months of 2015 when compared with the same periods in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2014</w:t>
            </w:r>
          </w:p>
        </w:tc>
        <w:tc>
          <w:tcPr>
            <w:tcW w:w="14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1,471</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1,451</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1 %</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1,689</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1,441</w:t>
            </w:r>
          </w:p>
        </w:tc>
        <w:tc>
          <w:tcPr>
            <w:tcW w:w="136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719</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(29)</w:t>
            </w: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795</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1,028</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Options</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814</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779</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909</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800</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14</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10-Year</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1,781</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1,665</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7</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1,780</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1,689</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5</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814</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(7)</w:t>
            </w: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855</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874</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351</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419</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385</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(6)</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348</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24</w:t>
            </w:r>
          </w:p>
        </w:tc>
        <w:tc>
          <w:tcPr>
            <w:tcW w:w="156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364</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268</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Overall interest rate contract volume decreased slightly in the second quarter of 2015 when compared with the same period in 2014, while contract volume increased in the first six months of 2015 when compared with the same period of 2014. A change in expectations in the first quarter of 2015 regarding the Federal Reserve's interest rate policy resulted in increases in contract volume for Eurodollar front 8 futures, Eurodollar options and 2-year U.S. Treasury futures and options. Because market participants anticipated a potential change in interest rates in the near term in early 2015, they shifted their focus to these shorter term products from longer term products, including the Back 32 Eurodollar futures and longer dated U.S. Treasury futures and options. Changes in macroeconomic factors and a shift from the first quarter's expectations regarding the Federal Reserve interest rate policy change lowered interest rate volatility throughout the second quarter of 2015, which resulted in a decrease in overall interest rate contract volume in the second quarter of 2015 when compared with the same period in 2014.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6"/>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2014</w:t>
            </w: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3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64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8"/>
                <w:szCs w:val="18"/>
                <w:color w:val="auto"/>
              </w:rPr>
              <w:t>1,857</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1,890</w:t>
            </w:r>
          </w:p>
        </w:tc>
        <w:tc>
          <w:tcPr>
            <w:tcW w:w="14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2,011</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2,068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640" w:type="dxa"/>
            <w:vAlign w:val="bottom"/>
          </w:tcPr>
          <w:p>
            <w:pPr>
              <w:jc w:val="right"/>
              <w:ind w:right="541"/>
              <w:spacing w:after="0"/>
              <w:rPr>
                <w:sz w:val="20"/>
                <w:szCs w:val="20"/>
                <w:color w:val="auto"/>
              </w:rPr>
            </w:pPr>
            <w:r>
              <w:rPr>
                <w:rFonts w:ascii="Arial" w:cs="Arial" w:eastAsia="Arial" w:hAnsi="Arial"/>
                <w:sz w:val="18"/>
                <w:szCs w:val="18"/>
                <w:color w:val="auto"/>
              </w:rPr>
              <w:t>224</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310</w:t>
            </w:r>
          </w:p>
        </w:tc>
        <w:tc>
          <w:tcPr>
            <w:tcW w:w="1460" w:type="dxa"/>
            <w:vAlign w:val="bottom"/>
          </w:tcPr>
          <w:p>
            <w:pPr>
              <w:jc w:val="right"/>
              <w:ind w:right="196"/>
              <w:spacing w:after="0"/>
              <w:rPr>
                <w:sz w:val="20"/>
                <w:szCs w:val="20"/>
                <w:color w:val="auto"/>
              </w:rPr>
            </w:pPr>
            <w:r>
              <w:rPr>
                <w:rFonts w:ascii="Arial" w:cs="Arial" w:eastAsia="Arial" w:hAnsi="Arial"/>
                <w:sz w:val="18"/>
                <w:szCs w:val="18"/>
                <w:color w:val="auto"/>
              </w:rPr>
              <w:t>(28)</w:t>
            </w:r>
          </w:p>
        </w:tc>
        <w:tc>
          <w:tcPr>
            <w:tcW w:w="1560" w:type="dxa"/>
            <w:vAlign w:val="bottom"/>
          </w:tcPr>
          <w:p>
            <w:pPr>
              <w:jc w:val="right"/>
              <w:ind w:right="461"/>
              <w:spacing w:after="0"/>
              <w:rPr>
                <w:sz w:val="20"/>
                <w:szCs w:val="20"/>
                <w:color w:val="auto"/>
              </w:rPr>
            </w:pPr>
            <w:r>
              <w:rPr>
                <w:rFonts w:ascii="Arial" w:cs="Arial" w:eastAsia="Arial" w:hAnsi="Arial"/>
                <w:sz w:val="18"/>
                <w:szCs w:val="18"/>
                <w:color w:val="auto"/>
              </w:rPr>
              <w:t>253</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313</w:t>
            </w:r>
          </w:p>
        </w:tc>
        <w:tc>
          <w:tcPr>
            <w:tcW w:w="1360" w:type="dxa"/>
            <w:vAlign w:val="bottom"/>
          </w:tcPr>
          <w:p>
            <w:pPr>
              <w:jc w:val="right"/>
              <w:ind w:right="96"/>
              <w:spacing w:after="0"/>
              <w:rPr>
                <w:sz w:val="20"/>
                <w:szCs w:val="20"/>
                <w:color w:val="auto"/>
              </w:rPr>
            </w:pPr>
            <w:r>
              <w:rPr>
                <w:rFonts w:ascii="Arial" w:cs="Arial" w:eastAsia="Arial" w:hAnsi="Arial"/>
                <w:sz w:val="18"/>
                <w:szCs w:val="18"/>
                <w:color w:val="auto"/>
              </w:rPr>
              <w:t>(19)</w:t>
            </w:r>
          </w:p>
        </w:tc>
      </w:tr>
    </w:tbl>
    <w:p>
      <w:pPr>
        <w:spacing w:after="0" w:line="20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the second quarter and first six months of 2015 when compared with the same periods in 2014, overall equity contract volumes decreased slightly due to overall low market volatility, as measured by the CBOE Volatility Index and CBOE Nasdaq-100 Volatility Index. We believe that the comparatively low volatility resulted from fewer market-moving geopolitical events in the first half of 2015 compared with same period in 2014.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533"/>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77"/>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3"/>
              </w:rPr>
              <w:t>2014</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342</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80%</w:t>
            </w:r>
          </w:p>
        </w:tc>
        <w:tc>
          <w:tcPr>
            <w:tcW w:w="156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8"/>
                <w:szCs w:val="18"/>
                <w:color w:val="auto"/>
              </w:rPr>
              <w:t>339</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60" w:type="dxa"/>
            <w:vAlign w:val="bottom"/>
          </w:tcPr>
          <w:p>
            <w:pPr>
              <w:jc w:val="right"/>
              <w:ind w:right="557"/>
              <w:spacing w:after="0"/>
              <w:rPr>
                <w:sz w:val="20"/>
                <w:szCs w:val="20"/>
                <w:color w:val="auto"/>
              </w:rPr>
            </w:pPr>
            <w:r>
              <w:rPr>
                <w:rFonts w:ascii="Arial" w:cs="Arial" w:eastAsia="Arial" w:hAnsi="Arial"/>
                <w:sz w:val="18"/>
                <w:szCs w:val="18"/>
                <w:color w:val="auto"/>
              </w:rPr>
              <w:t>145</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440" w:type="dxa"/>
            <w:vAlign w:val="bottom"/>
          </w:tcPr>
          <w:p>
            <w:pPr>
              <w:ind w:left="960"/>
              <w:spacing w:after="0"/>
              <w:rPr>
                <w:sz w:val="20"/>
                <w:szCs w:val="20"/>
                <w:color w:val="auto"/>
              </w:rPr>
            </w:pPr>
            <w:r>
              <w:rPr>
                <w:rFonts w:ascii="Arial" w:cs="Arial" w:eastAsia="Arial" w:hAnsi="Arial"/>
                <w:sz w:val="18"/>
                <w:szCs w:val="18"/>
                <w:color w:val="auto"/>
              </w:rPr>
              <w:t>17</w:t>
            </w:r>
          </w:p>
        </w:tc>
        <w:tc>
          <w:tcPr>
            <w:tcW w:w="1560" w:type="dxa"/>
            <w:vAlign w:val="bottom"/>
          </w:tcPr>
          <w:p>
            <w:pPr>
              <w:jc w:val="right"/>
              <w:ind w:right="457"/>
              <w:spacing w:after="0"/>
              <w:rPr>
                <w:sz w:val="20"/>
                <w:szCs w:val="20"/>
                <w:color w:val="auto"/>
              </w:rPr>
            </w:pPr>
            <w:r>
              <w:rPr>
                <w:rFonts w:ascii="Arial" w:cs="Arial" w:eastAsia="Arial" w:hAnsi="Arial"/>
                <w:sz w:val="18"/>
                <w:szCs w:val="18"/>
                <w:color w:val="auto"/>
              </w:rPr>
              <w:t>158</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145</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114</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17</w:t>
            </w:r>
          </w:p>
        </w:tc>
        <w:tc>
          <w:tcPr>
            <w:tcW w:w="156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8"/>
                <w:szCs w:val="18"/>
                <w:color w:val="auto"/>
              </w:rPr>
              <w:t>117</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60" w:type="dxa"/>
            <w:vAlign w:val="bottom"/>
          </w:tcPr>
          <w:p>
            <w:pPr>
              <w:jc w:val="right"/>
              <w:ind w:right="557"/>
              <w:spacing w:after="0"/>
              <w:rPr>
                <w:sz w:val="20"/>
                <w:szCs w:val="20"/>
                <w:color w:val="auto"/>
              </w:rPr>
            </w:pPr>
            <w:r>
              <w:rPr>
                <w:rFonts w:ascii="Arial" w:cs="Arial" w:eastAsia="Arial" w:hAnsi="Arial"/>
                <w:sz w:val="18"/>
                <w:szCs w:val="18"/>
                <w:color w:val="auto"/>
              </w:rPr>
              <w:t>98</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440" w:type="dxa"/>
            <w:vAlign w:val="bottom"/>
          </w:tcPr>
          <w:p>
            <w:pPr>
              <w:ind w:left="960"/>
              <w:spacing w:after="0"/>
              <w:rPr>
                <w:sz w:val="20"/>
                <w:szCs w:val="20"/>
                <w:color w:val="auto"/>
              </w:rPr>
            </w:pPr>
            <w:r>
              <w:rPr>
                <w:rFonts w:ascii="Arial" w:cs="Arial" w:eastAsia="Arial" w:hAnsi="Arial"/>
                <w:sz w:val="18"/>
                <w:szCs w:val="18"/>
                <w:color w:val="auto"/>
              </w:rPr>
              <w:t>38</w:t>
            </w:r>
          </w:p>
        </w:tc>
        <w:tc>
          <w:tcPr>
            <w:tcW w:w="1560" w:type="dxa"/>
            <w:vAlign w:val="bottom"/>
          </w:tcPr>
          <w:p>
            <w:pPr>
              <w:jc w:val="right"/>
              <w:ind w:right="457"/>
              <w:spacing w:after="0"/>
              <w:rPr>
                <w:sz w:val="20"/>
                <w:szCs w:val="20"/>
                <w:color w:val="auto"/>
              </w:rPr>
            </w:pPr>
            <w:r>
              <w:rPr>
                <w:rFonts w:ascii="Arial" w:cs="Arial" w:eastAsia="Arial" w:hAnsi="Arial"/>
                <w:sz w:val="18"/>
                <w:szCs w:val="18"/>
                <w:color w:val="auto"/>
              </w:rPr>
              <w:t>103</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84</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22</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70</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30</w:t>
            </w:r>
          </w:p>
        </w:tc>
        <w:tc>
          <w:tcPr>
            <w:tcW w:w="156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75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w:t>
            </w:r>
          </w:p>
        </w:tc>
      </w:tr>
      <w:tr>
        <w:trPr>
          <w:trHeight w:val="27"/>
        </w:trPr>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Foreign exchange contract volumes increased in the second quarter and first six months of 2015 when compared with the same periods in 2014 due to quantitative easing and debt concerns in Europe, global economic uncertainty and geopolitical events in the first half of 2015. These factors led to increases in exchange rate volatility across all major currencies, which resulted in higher contract volumes. Additionally, a strengthening U.S. dollar, led by signs of economic growth, has further resulted in higher volatility in the second quarter and first six months of 2015 when compared with the same periods in 2014.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78"/>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2014</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8"/>
                <w:szCs w:val="18"/>
                <w:color w:val="auto"/>
              </w:rPr>
              <w:t>473</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32%</w:t>
            </w:r>
          </w:p>
        </w:tc>
        <w:tc>
          <w:tcPr>
            <w:tcW w:w="156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8"/>
                <w:szCs w:val="18"/>
                <w:color w:val="auto"/>
              </w:rPr>
              <w:t>430</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4"/>
              </w:rPr>
              <w:t>15%</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Soybean</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305</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228</w:t>
            </w:r>
          </w:p>
        </w:tc>
        <w:tc>
          <w:tcPr>
            <w:tcW w:w="1440" w:type="dxa"/>
            <w:vAlign w:val="bottom"/>
          </w:tcPr>
          <w:p>
            <w:pPr>
              <w:ind w:left="960"/>
              <w:spacing w:after="0"/>
              <w:rPr>
                <w:sz w:val="20"/>
                <w:szCs w:val="20"/>
                <w:color w:val="auto"/>
              </w:rPr>
            </w:pPr>
            <w:r>
              <w:rPr>
                <w:rFonts w:ascii="Arial" w:cs="Arial" w:eastAsia="Arial" w:hAnsi="Arial"/>
                <w:sz w:val="18"/>
                <w:szCs w:val="18"/>
                <w:color w:val="auto"/>
              </w:rPr>
              <w:t>34</w:t>
            </w:r>
          </w:p>
        </w:tc>
        <w:tc>
          <w:tcPr>
            <w:tcW w:w="1560" w:type="dxa"/>
            <w:vAlign w:val="bottom"/>
          </w:tcPr>
          <w:p>
            <w:pPr>
              <w:jc w:val="right"/>
              <w:ind w:right="458"/>
              <w:spacing w:after="0"/>
              <w:rPr>
                <w:sz w:val="20"/>
                <w:szCs w:val="20"/>
                <w:color w:val="auto"/>
              </w:rPr>
            </w:pPr>
            <w:r>
              <w:rPr>
                <w:rFonts w:ascii="Arial" w:cs="Arial" w:eastAsia="Arial" w:hAnsi="Arial"/>
                <w:sz w:val="18"/>
                <w:szCs w:val="18"/>
                <w:color w:val="auto"/>
              </w:rPr>
              <w:t>291</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241</w:t>
            </w:r>
          </w:p>
        </w:tc>
        <w:tc>
          <w:tcPr>
            <w:tcW w:w="1320" w:type="dxa"/>
            <w:vAlign w:val="bottom"/>
          </w:tcPr>
          <w:p>
            <w:pPr>
              <w:ind w:left="960"/>
              <w:spacing w:after="0"/>
              <w:rPr>
                <w:sz w:val="20"/>
                <w:szCs w:val="20"/>
                <w:color w:val="auto"/>
              </w:rPr>
            </w:pPr>
            <w:r>
              <w:rPr>
                <w:rFonts w:ascii="Arial" w:cs="Arial" w:eastAsia="Arial" w:hAnsi="Arial"/>
                <w:sz w:val="18"/>
                <w:szCs w:val="18"/>
                <w:color w:val="auto"/>
              </w:rPr>
              <w:t>21</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8"/>
                <w:szCs w:val="18"/>
                <w:color w:val="auto"/>
              </w:rPr>
              <w:t>226</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38</w:t>
            </w:r>
          </w:p>
        </w:tc>
        <w:tc>
          <w:tcPr>
            <w:tcW w:w="156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8"/>
                <w:szCs w:val="18"/>
                <w:color w:val="auto"/>
              </w:rPr>
              <w:t>199</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21</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129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98</w:t>
            </w:r>
          </w:p>
        </w:tc>
        <w:tc>
          <w:tcPr>
            <w:tcW w:w="1440" w:type="dxa"/>
            <w:vAlign w:val="bottom"/>
          </w:tcPr>
          <w:p>
            <w:pPr>
              <w:ind w:left="960"/>
              <w:spacing w:after="0"/>
              <w:rPr>
                <w:sz w:val="20"/>
                <w:szCs w:val="20"/>
                <w:color w:val="auto"/>
              </w:rPr>
            </w:pPr>
            <w:r>
              <w:rPr>
                <w:rFonts w:ascii="Arial" w:cs="Arial" w:eastAsia="Arial" w:hAnsi="Arial"/>
                <w:sz w:val="18"/>
                <w:szCs w:val="18"/>
                <w:color w:val="auto"/>
              </w:rPr>
              <w:t>32</w:t>
            </w:r>
          </w:p>
        </w:tc>
        <w:tc>
          <w:tcPr>
            <w:tcW w:w="1560" w:type="dxa"/>
            <w:vAlign w:val="bottom"/>
          </w:tcPr>
          <w:p>
            <w:pPr>
              <w:jc w:val="right"/>
              <w:ind w:right="458"/>
              <w:spacing w:after="0"/>
              <w:rPr>
                <w:sz w:val="20"/>
                <w:szCs w:val="20"/>
                <w:color w:val="auto"/>
              </w:rPr>
            </w:pPr>
            <w:r>
              <w:rPr>
                <w:rFonts w:ascii="Arial" w:cs="Arial" w:eastAsia="Arial" w:hAnsi="Arial"/>
                <w:sz w:val="18"/>
                <w:szCs w:val="18"/>
                <w:color w:val="auto"/>
              </w:rPr>
              <w:t>118</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1320" w:type="dxa"/>
            <w:vAlign w:val="bottom"/>
          </w:tcPr>
          <w:p>
            <w:pPr>
              <w:ind w:left="960"/>
              <w:spacing w:after="0"/>
              <w:rPr>
                <w:sz w:val="20"/>
                <w:szCs w:val="20"/>
                <w:color w:val="auto"/>
              </w:rPr>
            </w:pPr>
            <w:r>
              <w:rPr>
                <w:rFonts w:ascii="Arial" w:cs="Arial" w:eastAsia="Arial" w:hAnsi="Arial"/>
                <w:sz w:val="18"/>
                <w:szCs w:val="18"/>
                <w:color w:val="auto"/>
              </w:rPr>
              <w:t>17</w:t>
            </w: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second quarter and first six months of 2015 when compared with the same periods in 2014, we believe overall agricultural commodity contract volumes increased due to higher price volatility caused by greater uncertainty surrounding weather conditions and concerns over planting delays in the second quarter of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6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5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2014</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c>
          <w:tcPr>
            <w:tcW w:w="154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164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8"/>
                <w:szCs w:val="18"/>
                <w:color w:val="auto"/>
              </w:rPr>
              <w:t>872</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34%</w:t>
            </w:r>
          </w:p>
        </w:tc>
        <w:tc>
          <w:tcPr>
            <w:tcW w:w="154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8"/>
                <w:szCs w:val="18"/>
                <w:color w:val="auto"/>
              </w:rPr>
              <w:t>999</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40" w:type="dxa"/>
            <w:vAlign w:val="bottom"/>
          </w:tcPr>
          <w:p>
            <w:pPr>
              <w:jc w:val="right"/>
              <w:ind w:right="558"/>
              <w:spacing w:after="0"/>
              <w:rPr>
                <w:sz w:val="20"/>
                <w:szCs w:val="20"/>
                <w:color w:val="auto"/>
              </w:rPr>
            </w:pPr>
            <w:r>
              <w:rPr>
                <w:rFonts w:ascii="Arial" w:cs="Arial" w:eastAsia="Arial" w:hAnsi="Arial"/>
                <w:sz w:val="18"/>
                <w:szCs w:val="18"/>
                <w:color w:val="auto"/>
              </w:rPr>
              <w:t>454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365</w:t>
            </w:r>
          </w:p>
        </w:tc>
        <w:tc>
          <w:tcPr>
            <w:tcW w:w="1440" w:type="dxa"/>
            <w:vAlign w:val="bottom"/>
          </w:tcPr>
          <w:p>
            <w:pPr>
              <w:ind w:left="960"/>
              <w:spacing w:after="0"/>
              <w:rPr>
                <w:sz w:val="20"/>
                <w:szCs w:val="20"/>
                <w:color w:val="auto"/>
              </w:rPr>
            </w:pPr>
            <w:r>
              <w:rPr>
                <w:rFonts w:ascii="Arial" w:cs="Arial" w:eastAsia="Arial" w:hAnsi="Arial"/>
                <w:sz w:val="18"/>
                <w:szCs w:val="18"/>
                <w:color w:val="auto"/>
              </w:rPr>
              <w:t>24</w:t>
            </w:r>
          </w:p>
        </w:tc>
        <w:tc>
          <w:tcPr>
            <w:tcW w:w="1540" w:type="dxa"/>
            <w:vAlign w:val="bottom"/>
          </w:tcPr>
          <w:p>
            <w:pPr>
              <w:jc w:val="right"/>
              <w:ind w:right="458"/>
              <w:spacing w:after="0"/>
              <w:rPr>
                <w:sz w:val="20"/>
                <w:szCs w:val="20"/>
                <w:color w:val="auto"/>
              </w:rPr>
            </w:pPr>
            <w:r>
              <w:rPr>
                <w:rFonts w:ascii="Arial" w:cs="Arial" w:eastAsia="Arial" w:hAnsi="Arial"/>
                <w:sz w:val="18"/>
                <w:szCs w:val="18"/>
                <w:color w:val="auto"/>
              </w:rPr>
              <w:t>469</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484</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4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8"/>
                <w:szCs w:val="18"/>
                <w:color w:val="auto"/>
              </w:rPr>
              <w:t>312</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12</w:t>
            </w:r>
          </w:p>
        </w:tc>
        <w:tc>
          <w:tcPr>
            <w:tcW w:w="154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8"/>
                <w:szCs w:val="18"/>
                <w:color w:val="auto"/>
              </w:rPr>
              <w:t>328</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w:t>
            </w: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15</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Brent crude oil</w:t>
            </w:r>
          </w:p>
        </w:tc>
        <w:tc>
          <w:tcPr>
            <w:tcW w:w="1640" w:type="dxa"/>
            <w:vAlign w:val="bottom"/>
          </w:tcPr>
          <w:p>
            <w:pPr>
              <w:jc w:val="right"/>
              <w:ind w:right="558"/>
              <w:spacing w:after="0"/>
              <w:rPr>
                <w:sz w:val="20"/>
                <w:szCs w:val="20"/>
                <w:color w:val="auto"/>
              </w:rPr>
            </w:pPr>
            <w:r>
              <w:rPr>
                <w:rFonts w:ascii="Arial" w:cs="Arial" w:eastAsia="Arial" w:hAnsi="Arial"/>
                <w:sz w:val="18"/>
                <w:szCs w:val="18"/>
                <w:color w:val="auto"/>
              </w:rPr>
              <w:t>86</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1440" w:type="dxa"/>
            <w:vAlign w:val="bottom"/>
          </w:tcPr>
          <w:p>
            <w:pPr>
              <w:ind w:left="960"/>
              <w:spacing w:after="0"/>
              <w:rPr>
                <w:sz w:val="20"/>
                <w:szCs w:val="20"/>
                <w:color w:val="auto"/>
              </w:rPr>
            </w:pPr>
            <w:r>
              <w:rPr>
                <w:rFonts w:ascii="Arial" w:cs="Arial" w:eastAsia="Arial" w:hAnsi="Arial"/>
                <w:sz w:val="18"/>
                <w:szCs w:val="18"/>
                <w:color w:val="auto"/>
              </w:rPr>
              <w:t>20</w:t>
            </w:r>
          </w:p>
        </w:tc>
        <w:tc>
          <w:tcPr>
            <w:tcW w:w="1540" w:type="dxa"/>
            <w:vAlign w:val="bottom"/>
          </w:tcPr>
          <w:p>
            <w:pPr>
              <w:jc w:val="right"/>
              <w:ind w:right="458"/>
              <w:spacing w:after="0"/>
              <w:rPr>
                <w:sz w:val="20"/>
                <w:szCs w:val="20"/>
                <w:color w:val="auto"/>
              </w:rPr>
            </w:pPr>
            <w:r>
              <w:rPr>
                <w:rFonts w:ascii="Arial" w:cs="Arial" w:eastAsia="Arial" w:hAnsi="Arial"/>
                <w:sz w:val="18"/>
                <w:szCs w:val="18"/>
                <w:color w:val="auto"/>
              </w:rPr>
              <w:t>112</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77</w:t>
            </w:r>
          </w:p>
        </w:tc>
      </w:tr>
    </w:tbl>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Overall energy contract volumes increased in the second quarter and first six months of 2015 when compared with the same periods in 2014 largely due to increases in crude oil trading. A continuing shift in crude oil supply that began in the fourth quarter of 2014 resulted in increased price volatility in the second quarter and first six months of 2015 when compared with the same periods in 2014. Additionally, refined products contract volumes increased largely due to increases in volatility in the underlying market. Natural gas contract volume also increased in the second quarter of 2015 when compared with the same period in 2014 due to higher price volatility.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2014</w:t>
            </w:r>
          </w:p>
        </w:tc>
        <w:tc>
          <w:tcPr>
            <w:tcW w:w="14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179</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3 %</w:t>
            </w:r>
          </w:p>
        </w:tc>
        <w:tc>
          <w:tcPr>
            <w:tcW w:w="15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200</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Copper</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67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11</w:t>
            </w:r>
          </w:p>
        </w:tc>
        <w:tc>
          <w:tcPr>
            <w:tcW w:w="1560" w:type="dxa"/>
            <w:vAlign w:val="bottom"/>
          </w:tcPr>
          <w:p>
            <w:pPr>
              <w:jc w:val="right"/>
              <w:ind w:right="459"/>
              <w:spacing w:after="0"/>
              <w:rPr>
                <w:sz w:val="20"/>
                <w:szCs w:val="20"/>
                <w:color w:val="auto"/>
              </w:rPr>
            </w:pPr>
            <w:r>
              <w:rPr>
                <w:rFonts w:ascii="Arial" w:cs="Arial" w:eastAsia="Arial" w:hAnsi="Arial"/>
                <w:sz w:val="18"/>
                <w:szCs w:val="18"/>
                <w:color w:val="auto"/>
              </w:rPr>
              <w:t>68</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13</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65</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w:t>
            </w: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61</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Overall metal contract volumes remained flat in the second quarter and first six months of 2015 when compared with the same periods in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Average Rate per Contract</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average rate per contract increased in the second quarter and first six months of 2015 when compared with the same periods in 2014 due to shifts in the relative mix of product volume. Agricultural commodity, foreign exchange and energy contract volume, when measured as a percentage of total volume, collectively increased by 5 percentage points in the second quarter of 2015, while interest rate and equity contract volume collectively decreased 5 percentage points. Energy, foreign exchange and agricultural commodity contract volume, when measured as a percentage of total volume, collectively increased by 3 percentage points in the first six months of 2015, while equity and interest rate contract volume collectively decreased 3 percentage points. Energy, foreign exchange and agricultural commodity contracts have a higher average rate per contract compared with other product lines.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Cleared-only Swap Contracts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Clearing and transaction fees as presented on the consolidated statements of income include revenues for our cleared-only interest rate swap and credit default swap contracts. In the second quarter of 2015 and 2014, clearing and transaction fees generated from these contracts were $18.0 million and $13.3 million, respectively. In the first six months of 2015 and 2014, clearing and transaction fees generated from these contracts were $37.5 million and $26.1 million, respectively. The increases in revenues were largely attributable to increased sales efforts centered around customer education.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13% of our clearing and transaction fees in the first six months of 2015.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increases in market data and information services revenues in the second quarter and first six months of 2015 when compared with the same periods in 2014 were attributable to the reduction of fee waivers for existing customers beginning in 2015. The increases were partially offset by declines in market data subscriber counts attributable to screen count usage adjustments by customer firms as a result of the new market data pricing policies.</w:t>
      </w:r>
    </w:p>
    <w:p>
      <w:pPr>
        <w:spacing w:after="0" w:line="14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two largest resellers of our market data represented approximately 45% of our market data and information services revenue in the first six months of 2015.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2014</w:t>
            </w:r>
          </w:p>
        </w:tc>
        <w:tc>
          <w:tcPr>
            <w:tcW w:w="14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1 %</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(14)</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37.5</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67.1</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(15)</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34.3</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68.4</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(5)</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9</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101</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53</w:t>
            </w: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319.6</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660.3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642.5</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expenses increased by $5.3 million and $17.8 million in the second quarter and first six months of 2015 when compared with the same periods in 2014. The following table shows the estimated impacts of key factors resulting in changes in operating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4"/>
          </w:tcPr>
          <w:p>
            <w:pPr>
              <w:ind w:left="66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2520" w:type="dxa"/>
            <w:vAlign w:val="bottom"/>
            <w:gridSpan w:val="3"/>
          </w:tcPr>
          <w:p>
            <w:pPr>
              <w:jc w:val="right"/>
              <w:ind w:right="6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as a</w:t>
            </w: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Total Expenses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MF Global bankruptcy claim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Real estate taxes and fees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accrual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Bonus expense</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Reorganization costs and voluntary exit incentive plan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Merger and acquisition costs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Data center depreciation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obligation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increase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in the second quarter and first six months of 2015 when compared with the same periods in 2014 due to increases as follows:</w:t>
      </w:r>
    </w:p>
    <w:p>
      <w:pPr>
        <w:spacing w:after="0" w:line="248" w:lineRule="exact"/>
        <w:rPr>
          <w:sz w:val="20"/>
          <w:szCs w:val="20"/>
          <w:color w:val="auto"/>
        </w:rPr>
      </w:pPr>
    </w:p>
    <w:p>
      <w:pPr>
        <w:ind w:left="660" w:right="3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second quarter of 2014, we recognized our claim from the MF Global bankruptcy filing, which occurred in the fourth quarter of 2011, as a reduction of other expenses.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second quarter of 2015, we recognized additional real estate taxes and fees related to the transfer of the ownership of the NYMEX building, which was acquired in 2008 and sold in 2013.</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awards issued as part of our stock-based compensation program resulted in increases in compensation and benefits in the second quarter and first six months of 2015 when compared with the same periods in 2014.</w:t>
      </w:r>
    </w:p>
    <w:p>
      <w:pPr>
        <w:spacing w:after="0" w:line="170" w:lineRule="exact"/>
        <w:rPr>
          <w:rFonts w:ascii="Arial" w:cs="Arial" w:eastAsia="Arial" w:hAnsi="Arial"/>
          <w:sz w:val="18"/>
          <w:szCs w:val="18"/>
          <w:color w:val="auto"/>
        </w:rPr>
      </w:pPr>
    </w:p>
    <w:p>
      <w:pPr>
        <w:ind w:left="660" w:right="40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first six months of 2015, we recognized a net gain of $1.1 million due to a favorable change in exchange rates on foreign cash balances, compared with a net gain of $8.6 million in the first six months of 2014. Gains and losses from exchange rate fluctuations primarily result when subsidiaries with a U.S. dollar functional currency hold cash as well as certain other monetary assets and liabilities denominated in foreign currencies. We expect to continue to incur gains and losses from exchange rate fluctuations.</w:t>
      </w:r>
    </w:p>
    <w:p>
      <w:pPr>
        <w:sectPr>
          <w:pgSz w:w="11900" w:h="16838" w:orient="portrait"/>
          <w:cols w:equalWidth="0" w:num="1">
            <w:col w:w="11420"/>
          </w:cols>
          <w:pgMar w:left="240" w:top="125"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net reduction in a litigation accrual due to a favorable court ruling and a denial for a rehearing in the first quarter of 2014 resulted in an increase in overall operating expenses in the first six months of 2015 when compared with the same period in 2014.</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Bonus expense increased due to performance relative to our 2015 cash earnings target when compared with 2014 performance relative to our 2014 cash earnings target.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Increases in operating expenses in the second quarter and first six months of 2015 when compared with the same periods in 2014 were partially offset by the following decreases:</w:t>
      </w:r>
    </w:p>
    <w:p>
      <w:pPr>
        <w:spacing w:after="0" w:line="170" w:lineRule="exact"/>
        <w:rPr>
          <w:sz w:val="20"/>
          <w:szCs w:val="20"/>
          <w:color w:val="auto"/>
        </w:rPr>
      </w:pPr>
    </w:p>
    <w:p>
      <w:pPr>
        <w:ind w:left="660" w:right="1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second quarter of 2015, we recognized a net gain of $11.1 million due to a favorable change in exchange rates on foreign cash balance, compared with a net gain of $5.5 million in the second quarter of 2014, which partially offset the overall increase in expenses in the second quarter of 2015 when compared with the same period of 2014.</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recognized expenses due to our voluntary exit incentive plan in the second quarter of 2014 within compensation and benefits expense.</w:t>
      </w:r>
    </w:p>
    <w:p>
      <w:pPr>
        <w:spacing w:after="0" w:line="236" w:lineRule="exact"/>
        <w:rPr>
          <w:rFonts w:ascii="Arial" w:cs="Arial" w:eastAsia="Arial" w:hAnsi="Arial"/>
          <w:sz w:val="17"/>
          <w:szCs w:val="17"/>
          <w:color w:val="auto"/>
        </w:rPr>
      </w:pPr>
    </w:p>
    <w:p>
      <w:pPr>
        <w:ind w:left="660" w:right="7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Professional fees and other expenses related to our proposed transaction with GFI Group Inc. were recognized in the first half of 2014. The agreement with GFI Group Inc. was terminated in January 2015.</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 and benefits expenses decreased as a result of declines in average headcount largely related to our reorganization announced in the fourth quarter of 2014.</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and amortization expense decreased largely due to the acceleration of depreciation expense in 2014 related to the consolidation of some of our data centers.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the fair value of contingent consideration related to an acquisition completed in 2010 were recognized in the first and second quarter of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Quarter Ended</w:t>
            </w: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tcPr>
          <w:p>
            <w:pPr>
              <w:spacing w:after="0"/>
              <w:rPr>
                <w:sz w:val="14"/>
                <w:szCs w:val="14"/>
                <w:color w:val="auto"/>
              </w:rPr>
            </w:pPr>
          </w:p>
        </w:tc>
      </w:tr>
      <w:tr>
        <w:trPr>
          <w:trHeight w:val="192"/>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3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n.m.</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3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r>
      <w:tr>
        <w:trPr>
          <w:trHeight w:val="229"/>
        </w:trPr>
        <w:tc>
          <w:tcPr>
            <w:tcW w:w="4560" w:type="dxa"/>
            <w:vAlign w:val="bottom"/>
          </w:tcPr>
          <w:p>
            <w:pPr>
              <w:ind w:left="40"/>
              <w:spacing w:after="0"/>
              <w:rPr>
                <w:sz w:val="20"/>
                <w:szCs w:val="20"/>
                <w:color w:val="auto"/>
              </w:rPr>
            </w:pPr>
            <w:r>
              <w:rPr>
                <w:rFonts w:ascii="Arial" w:cs="Arial" w:eastAsia="Arial" w:hAnsi="Arial"/>
                <w:sz w:val="18"/>
                <w:szCs w:val="18"/>
                <w:color w:val="auto"/>
              </w:rPr>
              <w:t>Equity in net earnings (losses) of unconsolidated</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56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240" w:type="dxa"/>
            <w:vAlign w:val="bottom"/>
          </w:tcPr>
          <w:p>
            <w:pPr>
              <w:spacing w:after="0"/>
              <w:rPr>
                <w:sz w:val="20"/>
                <w:szCs w:val="20"/>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1300" w:type="dxa"/>
            <w:vAlign w:val="bottom"/>
          </w:tcPr>
          <w:p>
            <w:pPr>
              <w:jc w:val="right"/>
              <w:ind w:right="213"/>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43.9</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11</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3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n.m.</w:t>
            </w:r>
          </w:p>
        </w:tc>
      </w:tr>
      <w:tr>
        <w:trPr>
          <w:trHeight w:val="257"/>
        </w:trPr>
        <w:tc>
          <w:tcPr>
            <w:tcW w:w="4560" w:type="dxa"/>
            <w:vAlign w:val="bottom"/>
          </w:tcPr>
          <w:p>
            <w:pPr>
              <w:ind w:left="40"/>
              <w:spacing w:after="0"/>
              <w:rPr>
                <w:sz w:val="20"/>
                <w:szCs w:val="20"/>
                <w:color w:val="auto"/>
              </w:rPr>
            </w:pPr>
            <w:r>
              <w:rPr>
                <w:rFonts w:ascii="Arial" w:cs="Arial" w:eastAsia="Arial" w:hAnsi="Arial"/>
                <w:sz w:val="18"/>
                <w:szCs w:val="18"/>
                <w:color w:val="auto"/>
              </w:rPr>
              <w:t>Total Non-Operating</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10.1</w:t>
            </w:r>
          </w:p>
        </w:tc>
        <w:tc>
          <w:tcPr>
            <w:tcW w:w="1300" w:type="dxa"/>
            <w:vAlign w:val="bottom"/>
          </w:tcPr>
          <w:p>
            <w:pPr>
              <w:jc w:val="right"/>
              <w:ind w:right="213"/>
              <w:spacing w:after="0"/>
              <w:rPr>
                <w:sz w:val="20"/>
                <w:szCs w:val="20"/>
                <w:color w:val="auto"/>
              </w:rPr>
            </w:pPr>
            <w:r>
              <w:rPr>
                <w:rFonts w:ascii="Arial" w:cs="Arial" w:eastAsia="Arial" w:hAnsi="Arial"/>
                <w:sz w:val="18"/>
                <w:szCs w:val="18"/>
                <w:color w:val="auto"/>
              </w:rPr>
              <w:t>n.m.</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n.m.</w:t>
            </w: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overall increases in investment income in the second quarter and first six months of 2015 when compared with the same periods in 2014 were largely due to a gain recognized on the sale of 14.3 million shares of our investment in BM&amp;FBOVESPA S.A. (BM&amp;FBOVESPA) recognized in the second quarter of 2015.</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the key impacts in the overall increase and decrease in interest expense and other borrowing costs in the second quarter and first six months of 2015, respectively, when compared with the same periods in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28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Quarter Ended</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0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2"/>
        </w:trPr>
        <w:tc>
          <w:tcPr>
            <w:tcW w:w="4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4"/>
        </w:trPr>
        <w:tc>
          <w:tcPr>
            <w:tcW w:w="40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28"/>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borrowings outstanding (in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millions)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2,304.4</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6"/>
              </w:rPr>
              <w:t>2,112.5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191.9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2,300.1</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6"/>
              </w:rPr>
              <w:t>2,300.0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0.1</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1480" w:type="dxa"/>
            <w:vAlign w:val="bottom"/>
            <w:gridSpan w:val="2"/>
          </w:tcPr>
          <w:p>
            <w:pPr>
              <w:jc w:val="right"/>
              <w:ind w:right="359"/>
              <w:spacing w:after="0"/>
              <w:rPr>
                <w:sz w:val="20"/>
                <w:szCs w:val="20"/>
                <w:color w:val="auto"/>
              </w:rPr>
            </w:pPr>
            <w:r>
              <w:rPr>
                <w:rFonts w:ascii="Arial" w:cs="Arial" w:eastAsia="Arial" w:hAnsi="Arial"/>
                <w:sz w:val="18"/>
                <w:szCs w:val="18"/>
                <w:color w:val="auto"/>
              </w:rPr>
              <w:t>3.73%</w:t>
            </w:r>
          </w:p>
        </w:tc>
        <w:tc>
          <w:tcPr>
            <w:tcW w:w="800" w:type="dxa"/>
            <w:vAlign w:val="bottom"/>
          </w:tcPr>
          <w:p>
            <w:pPr>
              <w:jc w:val="right"/>
              <w:spacing w:after="0"/>
              <w:rPr>
                <w:sz w:val="20"/>
                <w:szCs w:val="20"/>
                <w:color w:val="auto"/>
              </w:rPr>
            </w:pPr>
            <w:r>
              <w:rPr>
                <w:rFonts w:ascii="Arial" w:cs="Arial" w:eastAsia="Arial" w:hAnsi="Arial"/>
                <w:sz w:val="18"/>
                <w:szCs w:val="18"/>
                <w:color w:val="auto"/>
              </w:rPr>
              <w:t>4.15%</w:t>
            </w:r>
          </w:p>
        </w:tc>
        <w:tc>
          <w:tcPr>
            <w:tcW w:w="3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(0.42)%</w:t>
            </w:r>
          </w:p>
        </w:tc>
        <w:tc>
          <w:tcPr>
            <w:tcW w:w="1500" w:type="dxa"/>
            <w:vAlign w:val="bottom"/>
            <w:gridSpan w:val="2"/>
          </w:tcPr>
          <w:p>
            <w:pPr>
              <w:jc w:val="right"/>
              <w:ind w:right="359"/>
              <w:spacing w:after="0"/>
              <w:rPr>
                <w:sz w:val="20"/>
                <w:szCs w:val="20"/>
                <w:color w:val="auto"/>
              </w:rPr>
            </w:pPr>
            <w:r>
              <w:rPr>
                <w:rFonts w:ascii="Arial" w:cs="Arial" w:eastAsia="Arial" w:hAnsi="Arial"/>
                <w:sz w:val="18"/>
                <w:szCs w:val="18"/>
                <w:color w:val="auto"/>
              </w:rPr>
              <w:t>3.90%</w:t>
            </w:r>
          </w:p>
        </w:tc>
        <w:tc>
          <w:tcPr>
            <w:tcW w:w="800" w:type="dxa"/>
            <w:vAlign w:val="bottom"/>
          </w:tcPr>
          <w:p>
            <w:pPr>
              <w:jc w:val="right"/>
              <w:spacing w:after="0"/>
              <w:rPr>
                <w:sz w:val="20"/>
                <w:szCs w:val="20"/>
                <w:color w:val="auto"/>
              </w:rPr>
            </w:pPr>
            <w:r>
              <w:rPr>
                <w:rFonts w:ascii="Arial" w:cs="Arial" w:eastAsia="Arial" w:hAnsi="Arial"/>
                <w:sz w:val="18"/>
                <w:szCs w:val="18"/>
                <w:color w:val="auto"/>
              </w:rPr>
              <w:t>4.27%</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cost of borrowings </w:t>
            </w:r>
            <w:r>
              <w:rPr>
                <w:rFonts w:ascii="Arial" w:cs="Arial" w:eastAsia="Arial" w:hAnsi="Arial"/>
                <w:sz w:val="25"/>
                <w:szCs w:val="25"/>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5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4.32</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(0.38)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6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4.44</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(0.31)</w:t>
            </w:r>
          </w:p>
        </w:tc>
      </w:tr>
    </w:tbl>
    <w:p>
      <w:pPr>
        <w:spacing w:after="0" w:line="202" w:lineRule="exact"/>
        <w:rPr>
          <w:sz w:val="20"/>
          <w:szCs w:val="20"/>
          <w:color w:val="auto"/>
        </w:rPr>
      </w:pPr>
    </w:p>
    <w:p>
      <w:pPr>
        <w:ind w:left="660" w:right="2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cost of borrowings includes interest, the effective portion of interest rate hedges, discount accretion and debt issuance costs. Commitment fees on line of credit agreements are not included in the average cost of borrowing.</w:t>
      </w:r>
    </w:p>
    <w:p>
      <w:pPr>
        <w:spacing w:after="0" w:line="170" w:lineRule="exact"/>
        <w:rPr>
          <w:sz w:val="20"/>
          <w:szCs w:val="20"/>
          <w:color w:val="auto"/>
        </w:rPr>
      </w:pPr>
    </w:p>
    <w:p>
      <w:pPr>
        <w:ind w:left="60" w:right="260"/>
        <w:spacing w:after="0" w:line="277" w:lineRule="auto"/>
        <w:rPr>
          <w:sz w:val="20"/>
          <w:szCs w:val="20"/>
          <w:color w:val="auto"/>
        </w:rPr>
      </w:pPr>
      <w:r>
        <w:rPr>
          <w:rFonts w:ascii="Arial" w:cs="Arial" w:eastAsia="Arial" w:hAnsi="Arial"/>
          <w:sz w:val="18"/>
          <w:szCs w:val="18"/>
          <w:color w:val="auto"/>
        </w:rPr>
        <w:t>In February 2014, we repaid the $750.0 million of 5.75% fixed rate notes due February 2014 and in April 2015, we repurchased the $612.5 million 4.40% fixed rate notes due March 2018. In March 2015, we issued $750.0 million of 3.0% fixed rate notes</w:t>
      </w:r>
    </w:p>
    <w:p>
      <w:pPr>
        <w:sectPr>
          <w:pgSz w:w="11900" w:h="16838" w:orient="portrait"/>
          <w:cols w:equalWidth="0" w:num="1">
            <w:col w:w="11420"/>
          </w:cols>
          <w:pgMar w:left="240" w:top="125" w:right="239" w:bottom="1054"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054"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0" w:right="400"/>
        <w:spacing w:after="0" w:line="286" w:lineRule="auto"/>
        <w:rPr>
          <w:sz w:val="20"/>
          <w:szCs w:val="20"/>
          <w:color w:val="auto"/>
        </w:rPr>
      </w:pPr>
      <w:r>
        <w:rPr>
          <w:rFonts w:ascii="Arial" w:cs="Arial" w:eastAsia="Arial" w:hAnsi="Arial"/>
          <w:sz w:val="17"/>
          <w:szCs w:val="17"/>
          <w:color w:val="auto"/>
        </w:rPr>
        <w:t>due March 2025. These transactions contributed to an increase in weighted average borrowings outstanding in the second quarter of 2015 and a slight increase for the first six months of 2015 when compared to the same periods in 2014. These transactions decreased weighted average effective yield and average cost of borrowings for the second quarter and first six months of 2015 when compared with the same periods in 2014.</w:t>
      </w:r>
    </w:p>
    <w:p>
      <w:pPr>
        <w:spacing w:after="0" w:line="13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Higher income generated from our S&amp;P/DJI business venture contributed to increases in equity in net gains (losses) of unconsolidated subsidiaries in the second quarter and first six months of 2015 when compared with the same period in 2014.</w:t>
      </w:r>
    </w:p>
    <w:p>
      <w:pPr>
        <w:spacing w:after="0" w:line="11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April 2015, we repurchased the $612.5 million fixed rate notes due 2018 and paid a call premium of $60.5 million. As a result of the transaction, we recognized debt prepayment costs of $61.8 million in the second quarter of 2015, which includes the call premium and was included in other non-operating income (expense). In the first quarter of 2015, we received a termination fee, net of the portion paid to outside advisers, related to our proposed acquisition of GFI Group Inc. (GFI Group), which was also included in other non-operating income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2014</w:t>
            </w:r>
          </w:p>
        </w:tc>
      </w:tr>
      <w:tr>
        <w:trPr>
          <w:trHeight w:val="250"/>
        </w:trPr>
        <w:tc>
          <w:tcPr>
            <w:tcW w:w="9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Quarter Ended June 30</w:t>
            </w:r>
          </w:p>
        </w:tc>
        <w:tc>
          <w:tcPr>
            <w:tcW w:w="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40.9%</w:t>
            </w:r>
          </w:p>
        </w:tc>
        <w:tc>
          <w:tcPr>
            <w:tcW w:w="1320" w:type="dxa"/>
            <w:vAlign w:val="bottom"/>
            <w:tcBorders>
              <w:bottom w:val="single" w:sz="8" w:color="BFE4FF"/>
            </w:tcBorders>
            <w:shd w:val="clear" w:color="auto" w:fill="BFE4FF"/>
          </w:tcPr>
          <w:p>
            <w:pPr>
              <w:ind w:left="700"/>
              <w:spacing w:after="0"/>
              <w:rPr>
                <w:sz w:val="20"/>
                <w:szCs w:val="20"/>
                <w:color w:val="auto"/>
              </w:rPr>
            </w:pPr>
            <w:r>
              <w:rPr>
                <w:rFonts w:ascii="Arial" w:cs="Arial" w:eastAsia="Arial" w:hAnsi="Arial"/>
                <w:sz w:val="18"/>
                <w:szCs w:val="18"/>
                <w:color w:val="auto"/>
              </w:rPr>
              <w:t>37.5%</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Six Months Ended June 30</w:t>
            </w:r>
          </w:p>
        </w:tc>
        <w:tc>
          <w:tcPr>
            <w:tcW w:w="860" w:type="dxa"/>
            <w:vAlign w:val="bottom"/>
          </w:tcPr>
          <w:p>
            <w:pPr>
              <w:ind w:left="20"/>
              <w:spacing w:after="0"/>
              <w:rPr>
                <w:sz w:val="20"/>
                <w:szCs w:val="20"/>
                <w:color w:val="auto"/>
              </w:rPr>
            </w:pPr>
            <w:r>
              <w:rPr>
                <w:rFonts w:ascii="Arial" w:cs="Arial" w:eastAsia="Arial" w:hAnsi="Arial"/>
                <w:sz w:val="18"/>
                <w:szCs w:val="18"/>
                <w:color w:val="auto"/>
              </w:rPr>
              <w:t>38.7</w:t>
            </w:r>
          </w:p>
        </w:tc>
        <w:tc>
          <w:tcPr>
            <w:tcW w:w="1320" w:type="dxa"/>
            <w:vAlign w:val="bottom"/>
          </w:tcPr>
          <w:p>
            <w:pPr>
              <w:ind w:left="700"/>
              <w:spacing w:after="0"/>
              <w:rPr>
                <w:sz w:val="20"/>
                <w:szCs w:val="20"/>
                <w:color w:val="auto"/>
              </w:rPr>
            </w:pPr>
            <w:r>
              <w:rPr>
                <w:rFonts w:ascii="Arial" w:cs="Arial" w:eastAsia="Arial" w:hAnsi="Arial"/>
                <w:sz w:val="18"/>
                <w:szCs w:val="18"/>
                <w:color w:val="auto"/>
              </w:rPr>
              <w:t>38.9</w:t>
            </w:r>
          </w:p>
        </w:tc>
      </w:tr>
    </w:tbl>
    <w:p>
      <w:pPr>
        <w:spacing w:after="0" w:line="12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In the second quarter of 2015, the overall effective tax rate was higher compared with the same period in 2014 due to additional deferred tax expense recognized from the remeasurement of deferred tax positions resulting from a state and local income tax law change in the second quarter of 2015.</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the first six months of 2015 when compared with the same period in 2014, the effective tax rate remained flat due to additional deferred tax expense recognized from state and local income tax law changes in both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u w:val="single" w:color="auto"/>
          <w:color w:val="auto"/>
        </w:rPr>
        <w:t>Sources and Uses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increased in the first six months of 2015 when compared with the same period of 2014.</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in net cash provided by operating activities was largely attributable to the increase in trading volume as well as the receipt of the GFI Group termination fee. Net cash used in investing activities decreased in the first six months of 2015 when compared with the same period of 2014 largely due to proceeds from the sale of shares of our investment in BM&amp;FBOVESPA. Cash used in financing activities was lower in the first six months of 2015 when compared with the same period in 2014. The decrease was attributable to the issuance of $750.0 million fixed rate notes due March 2025 in the first quarter of 2015, partially offset by the repayment of the $612.5 million fixed rate notes due March 2018 and payment of the call premium in the second quarter of 2015. In the first quarter of 2014, we repaid the $750.0 million fixed rate notes due February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June 30,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Par Value</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(1)</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(2)</w:t>
            </w:r>
          </w:p>
        </w:tc>
        <w:tc>
          <w:tcPr>
            <w:tcW w:w="3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December 2014, we entered into a forward-starting interest rate swap agreement that modified the interest obligation associated with these notes so that the interest payable effectively became fixed at a rate of 3.11%</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August 2012, we entered into a forward starting interest rate swap agreement that modified the interest obligation associated with these notes so that the interest payable effectively became fixed at a rate of 4.73%.</w:t>
      </w:r>
    </w:p>
    <w:p>
      <w:pPr>
        <w:spacing w:after="0" w:line="1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9, 2015, we completed an offering of $750.0 million of 3.00% fixed rate notes due March 2025. In April 2015, we used the net proceeds of the offering to repurchase the $612.5 million fixed rate notes and paid a call premium of $60.5 million.</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maintain a $2.3 billion multi-currency revolving senior credit facility with various financial institutions, which matures in March 2020. The proceeds from this facility can be used for general corporate purposes, which includes providing liquidity for our clearing houses in certain circumstances at CME Group's discretion and, if necessary, for maturities of commercial paper. As long as we are not in default under this facility, we have the option to increase it up to $3.0 billion with the consent of the</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2014,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13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cash or U.S. Treasury securities as well as the performance bond assets of a defaulting firm can be used to collateralize the facility. At June 30, 2015, guaranty funds available to collateralize the facility totaled $7.2 billion. We have the option to request an increase in the line from $7.0 billion to $10.0 billion. In addition to the 364-day facility, we also have the option to use the $2.3 billion multi-currency revolving senior credit facility to provide liquidity for our clearing houses in the unlikely event of default in certain circumstances. In addition,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11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2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At June 30, 2015, we have excess borrowing capacity for general corporate purposes of approximately $2.3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2015, we were in compliance with the various covenant requirements of all our debt facilities.</w:t>
      </w:r>
    </w:p>
    <w:p>
      <w:pPr>
        <w:spacing w:after="0" w:line="19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letters of credit. At June 30, 2015, the letters of credit totaled $410.0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June 30, 2015:</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rPr>
              <w:t>Short-Term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00" w:type="dxa"/>
            <w:vAlign w:val="bottom"/>
          </w:tcPr>
          <w:p>
            <w:pPr>
              <w:spacing w:after="0"/>
              <w:rPr>
                <w:sz w:val="16"/>
                <w:szCs w:val="16"/>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Arial" w:cs="Arial" w:eastAsia="Arial" w:hAnsi="Arial"/>
                <w:sz w:val="18"/>
                <w:szCs w:val="18"/>
                <w:color w:val="auto"/>
                <w:w w:val="98"/>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580" w:type="dxa"/>
            <w:vAlign w:val="bottom"/>
          </w:tcPr>
          <w:p>
            <w:pPr>
              <w:jc w:val="center"/>
              <w:ind w:left="1659"/>
              <w:spacing w:after="0"/>
              <w:rPr>
                <w:sz w:val="20"/>
                <w:szCs w:val="20"/>
                <w:color w:val="auto"/>
              </w:rPr>
            </w:pPr>
            <w:r>
              <w:rPr>
                <w:rFonts w:ascii="Arial" w:cs="Arial" w:eastAsia="Arial" w:hAnsi="Arial"/>
                <w:sz w:val="18"/>
                <w:szCs w:val="18"/>
                <w:color w:val="auto"/>
                <w:w w:val="90"/>
              </w:rPr>
              <w:t>P1</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color w:val="auto"/>
        </w:rPr>
        <w:t>. Cash and cash equivalents totaled $1.2 billion at June 30, 2015 and $1.4 billion at December 31, 2014. The balance retained</w:t>
      </w:r>
      <w:r>
        <w:rPr>
          <w:rFonts w:ascii="Arial" w:cs="Arial" w:eastAsia="Arial" w:hAnsi="Arial"/>
          <w:sz w:val="18"/>
          <w:szCs w:val="18"/>
          <w:i w:val="1"/>
          <w:iCs w:val="1"/>
          <w:color w:val="auto"/>
        </w:rPr>
        <w:t xml:space="preserve"> </w:t>
      </w:r>
      <w:r>
        <w:rPr>
          <w:rFonts w:ascii="Arial" w:cs="Arial" w:eastAsia="Arial" w:hAnsi="Arial"/>
          <w:sz w:val="18"/>
          <w:szCs w:val="18"/>
          <w:color w:val="auto"/>
        </w:rPr>
        <w:t>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current deferred tax assets of $24.4 million were included in other current assets at June 30, 2015 and December 31, 2014, respectively. Total net current deferred tax assets are primarily attributable to stock-based compensation and accrued expenses.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Net long-term deferred tax liabilities were $7.3 billion at June 30, 2015 and December 31, 2014. Net deferred tax liabilities are principally the result of purchase accounting for intangible assets in our various mergers, including CBOT Holdings, Inc. and NYMEX Holdings, Inc.</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Valuation allowances of $100.1 million and $99.2 million have been provided on deferred tax assets at June 30, 2015 and December 31, 2014, respectively. At June 30, 2015 and December 31, 2014, valuation allowances were related to domestic net operating losses, foreign net operating losses as well as built in capital losses for which we do not believe that we currently meet the more-likely-than-not-threshold for recognition.</w:t>
      </w:r>
    </w:p>
    <w:p>
      <w:pPr>
        <w:spacing w:after="0" w:line="16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u w:val="single" w:color="auto"/>
          <w:color w:val="auto"/>
        </w:rPr>
        <w:t>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CME is regulated by the U.S. Commodity Futures Trading Commission (CFTC) as a U.S. Derivatives Clearing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DCO under Title VIII of the Dodd-Frank Wall Street Reform and Consumer Protection Act. As a result, CME must comply with the requirements for financial resources and liquidity resources. CME is in compliance with all DCO financial requirements.</w:t>
      </w:r>
    </w:p>
    <w:p>
      <w:pPr>
        <w:spacing w:after="0" w:line="13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May 2014, the Financial Accounting Standards Board (FASB) issued a new standard on revenue recognition that replaces numerous, industry-specific requirements and converges U.S. accounting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new standard was intended to become effective in the first annual period beginning after December 15, 2016, but in the second quarter of 2015, FASB extended the deadline by one year. This guidance may be adopted using one of two transition methods, which we are still evaluating along with the impact of the new standard on our consolidated financial statements.</w:t>
      </w:r>
    </w:p>
    <w:p>
      <w:pPr>
        <w:spacing w:after="0" w:line="11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April 2015, the FASB issued a standards update that changes the presentation of debt issuance costs. The update requires entities to present debt issuance costs related to a recognized debt liability as a deduction from the carrying value of the debt liability. The update, which applies retrospectively upon adoption, is effective for reporting periods beginning after December 15, 2015. Early adoption is allowed. Adoption of the update will change the presentation of debt issuance costs and the carrying value of debt in our consolidated balance sheets. Adoption of the update is considered a change in accounting policy and will be disclosed accordingly. We believe the change in presentation will be immaterial to our consolidated financial statements.</w:t>
      </w:r>
    </w:p>
    <w:p>
      <w:pPr>
        <w:spacing w:after="0" w:line="19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2014. Refer to Item 7A. of CME Group’s Annual Report on Form 10-K for the year ended December 31, 2014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right="20" w:firstLine="8"/>
        <w:spacing w:after="0" w:line="279" w:lineRule="auto"/>
        <w:tabs>
          <w:tab w:leader="none" w:pos="24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60" w:firstLine="8"/>
        <w:spacing w:after="0" w:line="273"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See “Legal and Regulatory Matters” in Note 6. Contingencies to the Consolidated Financial Statements for updates to CME Group’s existing legal proceedings disclosure which is incorporated herein by reference. Note 5. Contingencies includes updates to the legal proceedings disclosed in the company’s Annual Report on Form 10-K, filed with the SEC on February 26, 2015.</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26, 2015.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to April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90.24</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May 1 to May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94.20</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to June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1,509</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96.62</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2,355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94.91</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purchased consist of an aggregate of 2,355 shares of Class A common stock surrendered in the second quarter of 2015 to satisfy employees’ tax obligations upon the vesting of restricted stock.</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2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1240" w:type="dxa"/>
            <w:vAlign w:val="bottom"/>
          </w:tcPr>
          <w:p>
            <w:pPr>
              <w:spacing w:after="0"/>
              <w:rPr>
                <w:sz w:val="17"/>
                <w:szCs w:val="17"/>
                <w:color w:val="auto"/>
              </w:rPr>
            </w:pPr>
          </w:p>
        </w:tc>
        <w:tc>
          <w:tcPr>
            <w:tcW w:w="864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8640" w:type="dxa"/>
            <w:vAlign w:val="bottom"/>
          </w:tcPr>
          <w:p>
            <w:pPr>
              <w:spacing w:after="0"/>
              <w:rPr>
                <w:sz w:val="24"/>
                <w:szCs w:val="24"/>
                <w:color w:val="auto"/>
              </w:rPr>
            </w:pP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3.1</w:t>
            </w:r>
          </w:p>
        </w:tc>
        <w:tc>
          <w:tcPr>
            <w:tcW w:w="9880" w:type="dxa"/>
            <w:vAlign w:val="bottom"/>
            <w:gridSpan w:val="2"/>
          </w:tcPr>
          <w:p>
            <w:pPr>
              <w:ind w:left="360"/>
              <w:spacing w:after="0"/>
              <w:rPr>
                <w:sz w:val="20"/>
                <w:szCs w:val="20"/>
                <w:color w:val="auto"/>
              </w:rPr>
            </w:pPr>
            <w:r>
              <w:rPr>
                <w:rFonts w:ascii="Arial" w:cs="Arial" w:eastAsia="Arial" w:hAnsi="Arial"/>
                <w:sz w:val="18"/>
                <w:szCs w:val="18"/>
                <w:color w:val="auto"/>
                <w:w w:val="91"/>
              </w:rPr>
              <w:t>Eleventh Amended and Restated Bylaws of CME Group Inc. (incorporated by reference to Exhibit 3.1 to CME Group Inc.'s Current</w:t>
            </w:r>
          </w:p>
        </w:tc>
      </w:tr>
      <w:tr>
        <w:trPr>
          <w:trHeight w:val="230"/>
        </w:trPr>
        <w:tc>
          <w:tcPr>
            <w:tcW w:w="1280" w:type="dxa"/>
            <w:vAlign w:val="bottom"/>
          </w:tcPr>
          <w:p>
            <w:pPr>
              <w:spacing w:after="0"/>
              <w:rPr>
                <w:sz w:val="20"/>
                <w:szCs w:val="20"/>
                <w:color w:val="auto"/>
              </w:rPr>
            </w:pPr>
          </w:p>
        </w:tc>
        <w:tc>
          <w:tcPr>
            <w:tcW w:w="9880" w:type="dxa"/>
            <w:vAlign w:val="bottom"/>
            <w:gridSpan w:val="2"/>
          </w:tcPr>
          <w:p>
            <w:pPr>
              <w:ind w:left="360"/>
              <w:spacing w:after="0"/>
              <w:rPr>
                <w:sz w:val="20"/>
                <w:szCs w:val="20"/>
                <w:color w:val="auto"/>
              </w:rPr>
            </w:pPr>
            <w:r>
              <w:rPr>
                <w:rFonts w:ascii="Arial" w:cs="Arial" w:eastAsia="Arial" w:hAnsi="Arial"/>
                <w:sz w:val="18"/>
                <w:szCs w:val="18"/>
                <w:color w:val="auto"/>
              </w:rPr>
              <w:t>Report on Form 8-K, filed with the SEC on May 26, 2015, File No. 001-31553).</w:t>
            </w:r>
          </w:p>
        </w:tc>
      </w:tr>
      <w:tr>
        <w:trPr>
          <w:trHeight w:val="446"/>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8640" w:type="dxa"/>
            <w:vAlign w:val="bottom"/>
          </w:tcPr>
          <w:p>
            <w:pPr>
              <w:ind w:left="20"/>
              <w:spacing w:after="0"/>
              <w:rPr>
                <w:sz w:val="20"/>
                <w:szCs w:val="20"/>
                <w:color w:val="auto"/>
              </w:rPr>
            </w:pPr>
            <w:r>
              <w:rPr>
                <w:rFonts w:ascii="Arial" w:cs="Arial" w:eastAsia="Arial" w:hAnsi="Arial"/>
                <w:sz w:val="18"/>
                <w:szCs w:val="18"/>
                <w:color w:val="auto"/>
              </w:rPr>
              <w:t>Certification—Phupinder S. Gill</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8640" w:type="dxa"/>
            <w:vAlign w:val="bottom"/>
          </w:tcPr>
          <w:p>
            <w:pPr>
              <w:ind w:left="20"/>
              <w:spacing w:after="0"/>
              <w:rPr>
                <w:sz w:val="20"/>
                <w:szCs w:val="20"/>
                <w:color w:val="auto"/>
              </w:rPr>
            </w:pPr>
            <w:r>
              <w:rPr>
                <w:rFonts w:ascii="Arial" w:cs="Arial" w:eastAsia="Arial" w:hAnsi="Arial"/>
                <w:sz w:val="18"/>
                <w:szCs w:val="18"/>
                <w:color w:val="auto"/>
              </w:rPr>
              <w:t>Certification—John W. Pietrowicz</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906</w:t>
            </w:r>
          </w:p>
        </w:tc>
        <w:tc>
          <w:tcPr>
            <w:tcW w:w="8640" w:type="dxa"/>
            <w:vAlign w:val="bottom"/>
          </w:tcPr>
          <w:p>
            <w:pPr>
              <w:ind w:left="20"/>
              <w:spacing w:after="0"/>
              <w:rPr>
                <w:sz w:val="20"/>
                <w:szCs w:val="20"/>
                <w:color w:val="auto"/>
              </w:rPr>
            </w:pPr>
            <w:r>
              <w:rPr>
                <w:rFonts w:ascii="Arial" w:cs="Arial" w:eastAsia="Arial" w:hAnsi="Arial"/>
                <w:sz w:val="18"/>
                <w:szCs w:val="18"/>
                <w:color w:val="auto"/>
              </w:rPr>
              <w:t>Certification</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9880" w:type="dxa"/>
            <w:vAlign w:val="bottom"/>
            <w:gridSpan w:val="2"/>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988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988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988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988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988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108" w:right="499" w:bottom="1440" w:gutter="0" w:footer="0" w:header="0"/>
        </w:sectPr>
      </w:pPr>
    </w:p>
    <w:bookmarkStart w:id="29" w:name="page30"/>
    <w:bookmarkEnd w:id="2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7920" w:val="left"/>
        </w:tabs>
        <w:rPr>
          <w:sz w:val="20"/>
          <w:szCs w:val="20"/>
          <w:color w:val="auto"/>
        </w:rPr>
      </w:pPr>
      <w:r>
        <w:rPr>
          <w:rFonts w:ascii="Arial" w:cs="Arial" w:eastAsia="Arial" w:hAnsi="Arial"/>
          <w:sz w:val="18"/>
          <w:szCs w:val="18"/>
          <w:color w:val="auto"/>
        </w:rPr>
        <w:t>Dated: August 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580"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840" w:hanging="18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Dated: August 5, 2015</w:t>
      </w:r>
      <w:r>
        <w:rPr>
          <w:sz w:val="20"/>
          <w:szCs w:val="20"/>
          <w:color w:val="auto"/>
        </w:rPr>
        <w:tab/>
      </w:r>
      <w:r>
        <w:rPr>
          <w:rFonts w:ascii="Arial" w:cs="Arial" w:eastAsia="Arial" w:hAnsi="Arial"/>
          <w:sz w:val="16"/>
          <w:szCs w:val="16"/>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840" w:hanging="18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Dated: August 5, 2015</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June 30, 2015 as filed with the Securities and Exchange Commission on the date hereof (the “Report”), Phupinder S. Gill,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2015</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5"/>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decimal"/>
      <w:start w:val="5"/>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2019-12-29T16:35:11Z</dcterms:created>
  <dcterms:modified xsi:type="dcterms:W3CDTF">2019-12-29T16:35:11Z</dcterms:modified>
</cp:coreProperties>
</file>