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640" w:hanging="614"/>
        <w:spacing w:after="0" w:line="184" w:lineRule="auto"/>
        <w:tabs>
          <w:tab w:leader="none" w:pos="640" w:val="left"/>
        </w:tabs>
        <w:numPr>
          <w:ilvl w:val="0"/>
          <w:numId w:val="1"/>
        </w:numPr>
        <w:rPr>
          <w:rFonts w:ascii="MS PGothic" w:cs="MS PGothic" w:eastAsia="MS PGothic" w:hAnsi="MS PGothic"/>
          <w:sz w:val="27"/>
          <w:szCs w:val="27"/>
          <w:color w:val="auto"/>
          <w:vertAlign w:val="subscript"/>
        </w:rPr>
      </w:pPr>
      <w:r>
        <w:rPr>
          <w:rFonts w:ascii="Arial" w:cs="Arial" w:eastAsia="Arial" w:hAnsi="Arial"/>
          <w:sz w:val="12"/>
          <w:szCs w:val="12"/>
          <w:b w:val="1"/>
          <w:bCs w:val="1"/>
          <w:color w:val="auto"/>
        </w:rPr>
        <w:t>ANNUAL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640" w:hanging="614"/>
        <w:spacing w:after="0" w:line="182" w:lineRule="auto"/>
        <w:tabs>
          <w:tab w:leader="none" w:pos="640" w:val="left"/>
        </w:tabs>
        <w:numPr>
          <w:ilvl w:val="0"/>
          <w:numId w:val="2"/>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TRANSITION REPORT PURSUANT TO SECTION 13 OR 15(d) OF THE SECURITIES EXCHANGE ACT OF 1934</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3100" w:type="dxa"/>
            <w:vAlign w:val="bottom"/>
          </w:tcPr>
          <w:p>
            <w:pPr>
              <w:ind w:left="740"/>
              <w:spacing w:after="0"/>
              <w:rPr>
                <w:sz w:val="20"/>
                <w:szCs w:val="20"/>
                <w:color w:val="auto"/>
              </w:rPr>
            </w:pPr>
            <w:r>
              <w:rPr>
                <w:rFonts w:ascii="Arial" w:cs="Arial" w:eastAsia="Arial" w:hAnsi="Arial"/>
                <w:sz w:val="14"/>
                <w:szCs w:val="14"/>
                <w:b w:val="1"/>
                <w:bCs w:val="1"/>
                <w:color w:val="auto"/>
                <w:w w:val="97"/>
              </w:rPr>
              <w:t>Commission File Number 001-31553</w:t>
            </w:r>
          </w:p>
        </w:tc>
        <w:tc>
          <w:tcPr>
            <w:tcW w:w="56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565"/>
        </w:trPr>
        <w:tc>
          <w:tcPr>
            <w:tcW w:w="3740" w:type="dxa"/>
            <w:vAlign w:val="bottom"/>
          </w:tcPr>
          <w:p>
            <w:pPr>
              <w:spacing w:after="0"/>
              <w:rPr>
                <w:sz w:val="24"/>
                <w:szCs w:val="24"/>
                <w:color w:val="auto"/>
              </w:rPr>
            </w:pPr>
          </w:p>
        </w:tc>
        <w:tc>
          <w:tcPr>
            <w:tcW w:w="7480" w:type="dxa"/>
            <w:vAlign w:val="bottom"/>
            <w:gridSpan w:val="3"/>
          </w:tcPr>
          <w:p>
            <w:pPr>
              <w:jc w:val="center"/>
              <w:ind w:right="3654"/>
              <w:spacing w:after="0"/>
              <w:rPr>
                <w:sz w:val="20"/>
                <w:szCs w:val="20"/>
                <w:color w:val="auto"/>
              </w:rPr>
            </w:pPr>
            <w:r>
              <w:rPr>
                <w:rFonts w:ascii="Arial" w:cs="Arial" w:eastAsia="Arial" w:hAnsi="Arial"/>
                <w:sz w:val="43"/>
                <w:szCs w:val="43"/>
                <w:b w:val="1"/>
                <w:bCs w:val="1"/>
                <w:color w:val="auto"/>
              </w:rPr>
              <w:t>CME GROUP INC.</w:t>
            </w:r>
          </w:p>
        </w:tc>
      </w:tr>
      <w:tr>
        <w:trPr>
          <w:trHeight w:val="209"/>
        </w:trPr>
        <w:tc>
          <w:tcPr>
            <w:tcW w:w="3740" w:type="dxa"/>
            <w:vAlign w:val="bottom"/>
          </w:tcPr>
          <w:p>
            <w:pPr>
              <w:spacing w:after="0"/>
              <w:rPr>
                <w:sz w:val="18"/>
                <w:szCs w:val="18"/>
                <w:color w:val="auto"/>
              </w:rPr>
            </w:pPr>
          </w:p>
        </w:tc>
        <w:tc>
          <w:tcPr>
            <w:tcW w:w="3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820" w:type="dxa"/>
            <w:vAlign w:val="bottom"/>
          </w:tcPr>
          <w:p>
            <w:pPr>
              <w:spacing w:after="0"/>
              <w:rPr>
                <w:sz w:val="18"/>
                <w:szCs w:val="18"/>
                <w:color w:val="auto"/>
              </w:rPr>
            </w:pPr>
          </w:p>
        </w:tc>
      </w:tr>
      <w:tr>
        <w:trPr>
          <w:trHeight w:val="270"/>
        </w:trPr>
        <w:tc>
          <w:tcPr>
            <w:tcW w:w="3740" w:type="dxa"/>
            <w:vAlign w:val="bottom"/>
          </w:tcPr>
          <w:p>
            <w:pPr>
              <w:jc w:val="center"/>
              <w:ind w:left="1894"/>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20" w:type="dxa"/>
            <w:vAlign w:val="bottom"/>
          </w:tcPr>
          <w:p>
            <w:pPr>
              <w:jc w:val="right"/>
              <w:ind w:right="1374"/>
              <w:spacing w:after="0"/>
              <w:rPr>
                <w:sz w:val="20"/>
                <w:szCs w:val="20"/>
                <w:color w:val="auto"/>
              </w:rPr>
            </w:pPr>
            <w:r>
              <w:rPr>
                <w:rFonts w:ascii="Arial" w:cs="Arial" w:eastAsia="Arial" w:hAnsi="Arial"/>
                <w:sz w:val="14"/>
                <w:szCs w:val="14"/>
                <w:b w:val="1"/>
                <w:bCs w:val="1"/>
                <w:color w:val="auto"/>
              </w:rPr>
              <w:t>36-4459170</w:t>
            </w:r>
          </w:p>
        </w:tc>
      </w:tr>
      <w:tr>
        <w:trPr>
          <w:trHeight w:val="147"/>
        </w:trPr>
        <w:tc>
          <w:tcPr>
            <w:tcW w:w="3740" w:type="dxa"/>
            <w:vAlign w:val="bottom"/>
          </w:tcPr>
          <w:p>
            <w:pPr>
              <w:jc w:val="center"/>
              <w:ind w:left="1894"/>
              <w:spacing w:after="0" w:line="147" w:lineRule="exact"/>
              <w:rPr>
                <w:sz w:val="20"/>
                <w:szCs w:val="20"/>
                <w:color w:val="auto"/>
              </w:rPr>
            </w:pPr>
            <w:r>
              <w:rPr>
                <w:rFonts w:ascii="Arial" w:cs="Arial" w:eastAsia="Arial" w:hAnsi="Arial"/>
                <w:sz w:val="13"/>
                <w:szCs w:val="13"/>
                <w:b w:val="1"/>
                <w:bCs w:val="1"/>
                <w:color w:val="auto"/>
                <w:w w:val="87"/>
              </w:rPr>
              <w:t>(State or Other Jurisdiction of</w:t>
            </w:r>
          </w:p>
        </w:tc>
        <w:tc>
          <w:tcPr>
            <w:tcW w:w="3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20" w:type="dxa"/>
            <w:vAlign w:val="bottom"/>
          </w:tcPr>
          <w:p>
            <w:pPr>
              <w:jc w:val="center"/>
              <w:ind w:left="174"/>
              <w:spacing w:after="0" w:line="147"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740" w:type="dxa"/>
            <w:vAlign w:val="bottom"/>
          </w:tcPr>
          <w:p>
            <w:pPr>
              <w:jc w:val="center"/>
              <w:ind w:left="1894"/>
              <w:spacing w:after="0"/>
              <w:rPr>
                <w:sz w:val="20"/>
                <w:szCs w:val="20"/>
                <w:color w:val="auto"/>
              </w:rPr>
            </w:pPr>
            <w:r>
              <w:rPr>
                <w:rFonts w:ascii="Arial" w:cs="Arial" w:eastAsia="Arial" w:hAnsi="Arial"/>
                <w:sz w:val="13"/>
                <w:szCs w:val="13"/>
                <w:b w:val="1"/>
                <w:bCs w:val="1"/>
                <w:color w:val="auto"/>
                <w:w w:val="90"/>
              </w:rPr>
              <w:t>Incorporation or Organization)</w:t>
            </w: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20" w:type="dxa"/>
            <w:vAlign w:val="bottom"/>
          </w:tcPr>
          <w:p>
            <w:pPr>
              <w:jc w:val="center"/>
              <w:ind w:left="174"/>
              <w:spacing w:after="0"/>
              <w:rPr>
                <w:sz w:val="20"/>
                <w:szCs w:val="20"/>
                <w:color w:val="auto"/>
              </w:rPr>
            </w:pPr>
            <w:r>
              <w:rPr>
                <w:rFonts w:ascii="Arial" w:cs="Arial" w:eastAsia="Arial" w:hAnsi="Arial"/>
                <w:sz w:val="13"/>
                <w:szCs w:val="13"/>
                <w:b w:val="1"/>
                <w:bCs w:val="1"/>
                <w:color w:val="auto"/>
                <w:w w:val="89"/>
              </w:rPr>
              <w:t>Identification No.)</w:t>
            </w:r>
          </w:p>
        </w:tc>
      </w:tr>
      <w:tr>
        <w:trPr>
          <w:trHeight w:val="202"/>
        </w:trPr>
        <w:tc>
          <w:tcPr>
            <w:tcW w:w="3740" w:type="dxa"/>
            <w:vAlign w:val="bottom"/>
          </w:tcPr>
          <w:p>
            <w:pPr>
              <w:jc w:val="center"/>
              <w:ind w:left="1894"/>
              <w:spacing w:after="0"/>
              <w:rPr>
                <w:sz w:val="20"/>
                <w:szCs w:val="20"/>
                <w:color w:val="auto"/>
              </w:rPr>
            </w:pPr>
            <w:r>
              <w:rPr>
                <w:rFonts w:ascii="Arial" w:cs="Arial" w:eastAsia="Arial" w:hAnsi="Arial"/>
                <w:sz w:val="14"/>
                <w:szCs w:val="14"/>
                <w:b w:val="1"/>
                <w:bCs w:val="1"/>
                <w:color w:val="auto"/>
                <w:w w:val="93"/>
              </w:rPr>
              <w:t>20 South Wacker Drive</w:t>
            </w:r>
          </w:p>
        </w:tc>
        <w:tc>
          <w:tcPr>
            <w:tcW w:w="3100" w:type="dxa"/>
            <w:vAlign w:val="bottom"/>
          </w:tcPr>
          <w:p>
            <w:pPr>
              <w:ind w:left="2240"/>
              <w:spacing w:after="0"/>
              <w:rPr>
                <w:sz w:val="20"/>
                <w:szCs w:val="20"/>
                <w:color w:val="auto"/>
              </w:rPr>
            </w:pPr>
            <w:r>
              <w:rPr>
                <w:rFonts w:ascii="Arial" w:cs="Arial" w:eastAsia="Arial" w:hAnsi="Arial"/>
                <w:sz w:val="14"/>
                <w:szCs w:val="14"/>
                <w:b w:val="1"/>
                <w:bCs w:val="1"/>
                <w:color w:val="auto"/>
              </w:rPr>
              <w:t>Chicago</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Illinois</w:t>
            </w:r>
          </w:p>
        </w:tc>
        <w:tc>
          <w:tcPr>
            <w:tcW w:w="3820" w:type="dxa"/>
            <w:vAlign w:val="bottom"/>
          </w:tcPr>
          <w:p>
            <w:pPr>
              <w:jc w:val="right"/>
              <w:ind w:right="1534"/>
              <w:spacing w:after="0"/>
              <w:rPr>
                <w:sz w:val="20"/>
                <w:szCs w:val="20"/>
                <w:color w:val="auto"/>
              </w:rPr>
            </w:pPr>
            <w:r>
              <w:rPr>
                <w:rFonts w:ascii="Arial" w:cs="Arial" w:eastAsia="Arial" w:hAnsi="Arial"/>
                <w:sz w:val="14"/>
                <w:szCs w:val="14"/>
                <w:b w:val="1"/>
                <w:bCs w:val="1"/>
                <w:color w:val="auto"/>
              </w:rPr>
              <w:t>60606</w:t>
            </w:r>
          </w:p>
        </w:tc>
      </w:tr>
      <w:tr>
        <w:trPr>
          <w:trHeight w:val="185"/>
        </w:trPr>
        <w:tc>
          <w:tcPr>
            <w:tcW w:w="6840" w:type="dxa"/>
            <w:vAlign w:val="bottom"/>
            <w:gridSpan w:val="2"/>
          </w:tcPr>
          <w:p>
            <w:pPr>
              <w:ind w:left="2760"/>
              <w:spacing w:after="0"/>
              <w:rPr>
                <w:sz w:val="20"/>
                <w:szCs w:val="20"/>
                <w:color w:val="auto"/>
              </w:rPr>
            </w:pPr>
            <w:r>
              <w:rPr>
                <w:rFonts w:ascii="Arial" w:cs="Arial" w:eastAsia="Arial" w:hAnsi="Arial"/>
                <w:sz w:val="13"/>
                <w:szCs w:val="13"/>
                <w:b w:val="1"/>
                <w:bCs w:val="1"/>
                <w:color w:val="auto"/>
              </w:rPr>
              <w:t>(Address of Principal Executive Offices)</w:t>
            </w:r>
          </w:p>
        </w:tc>
        <w:tc>
          <w:tcPr>
            <w:tcW w:w="560" w:type="dxa"/>
            <w:vAlign w:val="bottom"/>
          </w:tcPr>
          <w:p>
            <w:pPr>
              <w:spacing w:after="0"/>
              <w:rPr>
                <w:sz w:val="16"/>
                <w:szCs w:val="16"/>
                <w:color w:val="auto"/>
              </w:rPr>
            </w:pPr>
          </w:p>
        </w:tc>
        <w:tc>
          <w:tcPr>
            <w:tcW w:w="3820" w:type="dxa"/>
            <w:vAlign w:val="bottom"/>
          </w:tcPr>
          <w:p>
            <w:pPr>
              <w:jc w:val="center"/>
              <w:ind w:left="174"/>
              <w:spacing w:after="0"/>
              <w:rPr>
                <w:sz w:val="20"/>
                <w:szCs w:val="20"/>
                <w:color w:val="auto"/>
              </w:rPr>
            </w:pPr>
            <w:r>
              <w:rPr>
                <w:rFonts w:ascii="Arial" w:cs="Arial" w:eastAsia="Arial" w:hAnsi="Arial"/>
                <w:sz w:val="13"/>
                <w:szCs w:val="13"/>
                <w:b w:val="1"/>
                <w:bCs w:val="1"/>
                <w:color w:val="auto"/>
                <w:w w:val="90"/>
              </w:rPr>
              <w:t>(Zip Code)</w:t>
            </w:r>
          </w:p>
        </w:tc>
      </w:tr>
      <w:tr>
        <w:trPr>
          <w:trHeight w:val="341"/>
        </w:trPr>
        <w:tc>
          <w:tcPr>
            <w:tcW w:w="1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(312) 930-1000</w:t>
            </w:r>
          </w:p>
        </w:tc>
      </w:tr>
      <w:tr>
        <w:trPr>
          <w:trHeight w:val="216"/>
        </w:trPr>
        <w:tc>
          <w:tcPr>
            <w:tcW w:w="3740" w:type="dxa"/>
            <w:vAlign w:val="bottom"/>
          </w:tcPr>
          <w:p>
            <w:pPr>
              <w:spacing w:after="0"/>
              <w:rPr>
                <w:sz w:val="18"/>
                <w:szCs w:val="18"/>
                <w:color w:val="auto"/>
              </w:rPr>
            </w:pPr>
          </w:p>
        </w:tc>
        <w:tc>
          <w:tcPr>
            <w:tcW w:w="366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20" w:type="dxa"/>
            <w:vAlign w:val="bottom"/>
          </w:tcPr>
          <w:p>
            <w:pPr>
              <w:spacing w:after="0"/>
              <w:rPr>
                <w:sz w:val="18"/>
                <w:szCs w:val="18"/>
                <w:color w:val="auto"/>
              </w:rPr>
            </w:pPr>
          </w:p>
        </w:tc>
      </w:tr>
      <w:tr>
        <w:trPr>
          <w:trHeight w:val="208"/>
        </w:trPr>
        <w:tc>
          <w:tcPr>
            <w:tcW w:w="3740" w:type="dxa"/>
            <w:vAlign w:val="bottom"/>
            <w:tcBorders>
              <w:bottom w:val="single" w:sz="8" w:color="auto"/>
            </w:tcBorders>
          </w:tcPr>
          <w:p>
            <w:pPr>
              <w:jc w:val="center"/>
              <w:ind w:left="1154"/>
              <w:spacing w:after="0"/>
              <w:rPr>
                <w:sz w:val="20"/>
                <w:szCs w:val="20"/>
                <w:color w:val="auto"/>
              </w:rPr>
            </w:pPr>
            <w:r>
              <w:rPr>
                <w:rFonts w:ascii="Arial" w:cs="Arial" w:eastAsia="Arial" w:hAnsi="Arial"/>
                <w:sz w:val="13"/>
                <w:szCs w:val="13"/>
                <w:b w:val="1"/>
                <w:bCs w:val="1"/>
                <w:color w:val="auto"/>
                <w:w w:val="88"/>
              </w:rPr>
              <w:t>Title Of Each Class</w:t>
            </w:r>
          </w:p>
        </w:tc>
        <w:tc>
          <w:tcPr>
            <w:tcW w:w="3100" w:type="dxa"/>
            <w:vAlign w:val="bottom"/>
            <w:tcBorders>
              <w:bottom w:val="single" w:sz="8" w:color="auto"/>
            </w:tcBorders>
          </w:tcPr>
          <w:p>
            <w:pPr>
              <w:jc w:val="center"/>
              <w:ind w:left="490"/>
              <w:spacing w:after="0"/>
              <w:rPr>
                <w:sz w:val="20"/>
                <w:szCs w:val="20"/>
                <w:color w:val="auto"/>
              </w:rPr>
            </w:pPr>
            <w:r>
              <w:rPr>
                <w:rFonts w:ascii="Arial" w:cs="Arial" w:eastAsia="Arial" w:hAnsi="Arial"/>
                <w:sz w:val="13"/>
                <w:szCs w:val="13"/>
                <w:b w:val="1"/>
                <w:bCs w:val="1"/>
                <w:color w:val="auto"/>
                <w:w w:val="86"/>
              </w:rPr>
              <w:t>Trading symbol</w:t>
            </w:r>
          </w:p>
        </w:tc>
        <w:tc>
          <w:tcPr>
            <w:tcW w:w="5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center"/>
              <w:ind w:right="1134"/>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64"/>
        </w:trPr>
        <w:tc>
          <w:tcPr>
            <w:tcW w:w="3740" w:type="dxa"/>
            <w:vAlign w:val="bottom"/>
          </w:tcPr>
          <w:p>
            <w:pPr>
              <w:jc w:val="center"/>
              <w:ind w:left="1154"/>
              <w:spacing w:after="0"/>
              <w:rPr>
                <w:sz w:val="20"/>
                <w:szCs w:val="20"/>
                <w:color w:val="auto"/>
              </w:rPr>
            </w:pPr>
            <w:r>
              <w:rPr>
                <w:rFonts w:ascii="Arial" w:cs="Arial" w:eastAsia="Arial" w:hAnsi="Arial"/>
                <w:sz w:val="13"/>
                <w:szCs w:val="13"/>
                <w:b w:val="1"/>
                <w:bCs w:val="1"/>
                <w:color w:val="auto"/>
                <w:w w:val="87"/>
              </w:rPr>
              <w:t>Class A Common Stock $0.01 par value</w:t>
            </w:r>
          </w:p>
        </w:tc>
        <w:tc>
          <w:tcPr>
            <w:tcW w:w="3100" w:type="dxa"/>
            <w:vAlign w:val="bottom"/>
          </w:tcPr>
          <w:p>
            <w:pPr>
              <w:jc w:val="center"/>
              <w:ind w:left="490"/>
              <w:spacing w:after="0"/>
              <w:rPr>
                <w:sz w:val="20"/>
                <w:szCs w:val="20"/>
                <w:color w:val="auto"/>
              </w:rPr>
            </w:pPr>
            <w:r>
              <w:rPr>
                <w:rFonts w:ascii="Arial" w:cs="Arial" w:eastAsia="Arial" w:hAnsi="Arial"/>
                <w:sz w:val="13"/>
                <w:szCs w:val="13"/>
                <w:b w:val="1"/>
                <w:bCs w:val="1"/>
                <w:color w:val="auto"/>
                <w:w w:val="96"/>
              </w:rPr>
              <w:t>CME</w:t>
            </w:r>
          </w:p>
        </w:tc>
        <w:tc>
          <w:tcPr>
            <w:tcW w:w="560" w:type="dxa"/>
            <w:vAlign w:val="bottom"/>
          </w:tcPr>
          <w:p>
            <w:pPr>
              <w:spacing w:after="0"/>
              <w:rPr>
                <w:sz w:val="14"/>
                <w:szCs w:val="14"/>
                <w:color w:val="auto"/>
              </w:rPr>
            </w:pPr>
          </w:p>
        </w:tc>
        <w:tc>
          <w:tcPr>
            <w:tcW w:w="3820" w:type="dxa"/>
            <w:vAlign w:val="bottom"/>
          </w:tcPr>
          <w:p>
            <w:pPr>
              <w:jc w:val="center"/>
              <w:ind w:right="1154"/>
              <w:spacing w:after="0"/>
              <w:rPr>
                <w:sz w:val="20"/>
                <w:szCs w:val="20"/>
                <w:color w:val="auto"/>
              </w:rPr>
            </w:pPr>
            <w:r>
              <w:rPr>
                <w:rFonts w:ascii="Arial" w:cs="Arial" w:eastAsia="Arial" w:hAnsi="Arial"/>
                <w:sz w:val="13"/>
                <w:szCs w:val="13"/>
                <w:b w:val="1"/>
                <w:bCs w:val="1"/>
                <w:color w:val="auto"/>
                <w:w w:val="85"/>
              </w:rPr>
              <w:t>Nasdaq</w:t>
            </w:r>
          </w:p>
        </w:tc>
      </w:tr>
    </w:tbl>
    <w:p>
      <w:pPr>
        <w:spacing w:after="0" w:line="105"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____________________________________________________</w:t>
      </w:r>
    </w:p>
    <w:p>
      <w:pPr>
        <w:spacing w:after="0" w:line="49" w:lineRule="exact"/>
        <w:rPr>
          <w:sz w:val="24"/>
          <w:szCs w:val="24"/>
          <w:color w:val="auto"/>
        </w:rPr>
      </w:pPr>
    </w:p>
    <w:p>
      <w:pPr>
        <w:jc w:val="both"/>
        <w:spacing w:after="0" w:line="29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pacing w:after="0" w:line="1" w:lineRule="exact"/>
        <w:rPr>
          <w:sz w:val="24"/>
          <w:szCs w:val="24"/>
          <w:color w:val="auto"/>
        </w:rPr>
      </w:pPr>
    </w:p>
    <w:p>
      <w:pPr>
        <w:ind w:right="328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200" w:type="dxa"/>
            <w:vAlign w:val="bottom"/>
          </w:tcPr>
          <w:p>
            <w:pPr>
              <w:ind w:left="2580"/>
              <w:spacing w:after="0"/>
              <w:rPr>
                <w:sz w:val="20"/>
                <w:szCs w:val="20"/>
                <w:color w:val="auto"/>
              </w:rPr>
            </w:pPr>
            <w:r>
              <w:rPr>
                <w:rFonts w:ascii="Arial" w:cs="Arial" w:eastAsia="Arial" w:hAnsi="Arial"/>
                <w:sz w:val="14"/>
                <w:szCs w:val="14"/>
                <w:color w:val="auto"/>
              </w:rPr>
              <w:t>Emerging growth company</w:t>
            </w:r>
          </w:p>
        </w:tc>
        <w:tc>
          <w:tcPr>
            <w:tcW w:w="118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ind w:right="56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19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right="120"/>
        <w:spacing w:after="0" w:line="19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2" w:lineRule="exact"/>
        <w:rPr>
          <w:sz w:val="24"/>
          <w:szCs w:val="24"/>
          <w:color w:val="auto"/>
        </w:rPr>
      </w:pPr>
    </w:p>
    <w:p>
      <w:pPr>
        <w:ind w:right="300"/>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ind w:right="40"/>
        <w:spacing w:after="0" w:line="323"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as of June 30, 2022, was approximately $73.2 billion (based on the closing price per share of CME Group Inc. Class A common stock on the Nasdaq Global Select Market (Nasdaq) on such date). The number of shares outstanding of each of the registrant’s classes of common stock as of February 8, 2023 was as follows: 359,717,173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4" w:lineRule="exact"/>
        <w:rPr>
          <w:sz w:val="24"/>
          <w:szCs w:val="24"/>
          <w:color w:val="auto"/>
        </w:rPr>
      </w:pPr>
    </w:p>
    <w:p>
      <w:pPr>
        <w:ind w:left="2660"/>
        <w:spacing w:after="0"/>
        <w:tabs>
          <w:tab w:leader="none" w:pos="8020" w:val="left"/>
        </w:tabs>
        <w:rPr>
          <w:sz w:val="20"/>
          <w:szCs w:val="20"/>
          <w:color w:val="auto"/>
        </w:rPr>
      </w:pPr>
      <w:r>
        <w:rPr>
          <w:rFonts w:ascii="Arial" w:cs="Arial" w:eastAsia="Arial" w:hAnsi="Arial"/>
          <w:sz w:val="13"/>
          <w:szCs w:val="13"/>
          <w:b w:val="1"/>
          <w:bCs w:val="1"/>
          <w:color w:val="auto"/>
        </w:rPr>
        <w:t>Documents</w:t>
      </w:r>
      <w:r>
        <w:rPr>
          <w:sz w:val="20"/>
          <w:szCs w:val="20"/>
          <w:color w:val="auto"/>
        </w:rPr>
        <w:tab/>
      </w:r>
      <w:r>
        <w:rPr>
          <w:rFonts w:ascii="Arial" w:cs="Arial" w:eastAsia="Arial" w:hAnsi="Arial"/>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p>
      <w:pPr>
        <w:spacing w:after="0" w:line="39" w:lineRule="exact"/>
        <w:rPr>
          <w:sz w:val="24"/>
          <w:szCs w:val="24"/>
          <w:color w:val="auto"/>
        </w:rPr>
      </w:pPr>
    </w:p>
    <w:p>
      <w:pPr>
        <w:ind w:left="20"/>
        <w:spacing w:after="0"/>
        <w:tabs>
          <w:tab w:leader="none" w:pos="8400" w:val="left"/>
        </w:tabs>
        <w:rPr>
          <w:sz w:val="20"/>
          <w:szCs w:val="20"/>
          <w:color w:val="auto"/>
        </w:rPr>
      </w:pPr>
      <w:r>
        <w:rPr>
          <w:rFonts w:ascii="Arial" w:cs="Arial" w:eastAsia="Arial" w:hAnsi="Arial"/>
          <w:sz w:val="14"/>
          <w:szCs w:val="14"/>
          <w:color w:val="auto"/>
        </w:rPr>
        <w:t>Portions of CME Group Inc.’s Proxy Statement for the 2023 Annual Meeting of Shareholders</w:t>
      </w:r>
      <w:r>
        <w:rPr>
          <w:sz w:val="20"/>
          <w:szCs w:val="20"/>
          <w:color w:val="auto"/>
        </w:rPr>
        <w:tab/>
      </w:r>
      <w:r>
        <w:rPr>
          <w:rFonts w:ascii="Arial" w:cs="Arial" w:eastAsia="Arial" w:hAnsi="Arial"/>
          <w:sz w:val="13"/>
          <w:szCs w:val="13"/>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6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CME GROUP INC.</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gridSpan w:val="12"/>
          </w:tcPr>
          <w:p>
            <w:pPr>
              <w:jc w:val="center"/>
              <w:ind w:right="2120"/>
              <w:spacing w:after="0"/>
              <w:rPr>
                <w:sz w:val="20"/>
                <w:szCs w:val="20"/>
                <w:color w:val="auto"/>
              </w:rPr>
            </w:pPr>
            <w:r>
              <w:rPr>
                <w:rFonts w:ascii="Arial" w:cs="Arial" w:eastAsia="Arial" w:hAnsi="Arial"/>
                <w:sz w:val="18"/>
                <w:szCs w:val="18"/>
                <w:b w:val="1"/>
                <w:bCs w:val="1"/>
                <w:color w:val="auto"/>
                <w:w w:val="99"/>
              </w:rPr>
              <w:t>ANNUAL REPORT ON FORM 10-K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rPr>
              <w:t>INDEX</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780" w:type="dxa"/>
            <w:vAlign w:val="bottom"/>
            <w:gridSpan w:val="5"/>
            <w:vMerge w:val="restart"/>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7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Business</w:t>
            </w:r>
          </w:p>
        </w:tc>
        <w:tc>
          <w:tcPr>
            <w:tcW w:w="144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8"/>
              </w:rPr>
              <w:t>Risk Factors</w:t>
            </w:r>
          </w:p>
        </w:tc>
        <w:tc>
          <w:tcPr>
            <w:tcW w:w="7360" w:type="dxa"/>
            <w:vAlign w:val="bottom"/>
            <w:gridSpan w:val="19"/>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w w:val="88"/>
              </w:rPr>
              <w:t>Unresolved Staff Comments</w:t>
            </w:r>
          </w:p>
        </w:tc>
        <w:tc>
          <w:tcPr>
            <w:tcW w:w="6180" w:type="dxa"/>
            <w:vAlign w:val="bottom"/>
            <w:gridSpan w:val="12"/>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87"/>
              </w:rPr>
              <w:t>Properties</w:t>
            </w:r>
          </w:p>
        </w:tc>
        <w:tc>
          <w:tcPr>
            <w:tcW w:w="7540" w:type="dxa"/>
            <w:vAlign w:val="bottom"/>
            <w:gridSpan w:val="20"/>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Legal Proceedings</w:t>
            </w:r>
          </w:p>
        </w:tc>
        <w:tc>
          <w:tcPr>
            <w:tcW w:w="1440" w:type="dxa"/>
            <w:vAlign w:val="bottom"/>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Mine Safety Disclosures</w:t>
            </w:r>
          </w:p>
        </w:tc>
        <w:tc>
          <w:tcPr>
            <w:tcW w:w="1440" w:type="dxa"/>
            <w:vAlign w:val="bottom"/>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20" w:type="dxa"/>
            <w:vAlign w:val="bottom"/>
            <w:gridSpan w:val="4"/>
          </w:tcPr>
          <w:p>
            <w:pPr>
              <w:spacing w:after="0"/>
              <w:rPr>
                <w:sz w:val="22"/>
                <w:szCs w:val="22"/>
                <w:color w:val="auto"/>
              </w:rPr>
            </w:pP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w w:val="96"/>
              </w:rPr>
              <w:t>Market for Registrant’s Common Equity, Related Shareholder Matters and Issuer Purchases of Equity</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b w:val="1"/>
                <w:bCs w:val="1"/>
                <w:color w:val="0000FF"/>
                <w:w w:val="96"/>
              </w:rPr>
              <w:t>Securities</w:t>
            </w:r>
          </w:p>
        </w:tc>
        <w:tc>
          <w:tcPr>
            <w:tcW w:w="7140" w:type="dxa"/>
            <w:vAlign w:val="bottom"/>
            <w:tcBorders>
              <w:top w:val="single" w:sz="8" w:color="0000FF"/>
            </w:tcBorders>
            <w:gridSpan w:val="20"/>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7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86"/>
              </w:rPr>
              <w:t>Reserved</w:t>
            </w:r>
          </w:p>
        </w:tc>
        <w:tc>
          <w:tcPr>
            <w:tcW w:w="7620" w:type="dxa"/>
            <w:vAlign w:val="bottom"/>
            <w:gridSpan w:val="2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b w:val="1"/>
                <w:bCs w:val="1"/>
                <w:color w:val="0000FF"/>
                <w:w w:val="89"/>
              </w:rPr>
              <w:t>Management’s Discussion and Analysis of Financial Condition and Results of Operations</w:t>
            </w:r>
          </w:p>
        </w:tc>
        <w:tc>
          <w:tcPr>
            <w:tcW w:w="1500" w:type="dxa"/>
            <w:vAlign w:val="bottom"/>
            <w:gridSpan w:val="4"/>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440" w:type="dxa"/>
            <w:vAlign w:val="bottom"/>
          </w:tcPr>
          <w:p>
            <w:pPr>
              <w:jc w:val="right"/>
              <w:spacing w:after="0"/>
              <w:rPr>
                <w:sz w:val="20"/>
                <w:szCs w:val="20"/>
                <w:color w:val="auto"/>
              </w:rPr>
            </w:pPr>
            <w:r>
              <w:rPr>
                <w:rFonts w:ascii="Arial" w:cs="Arial" w:eastAsia="Arial" w:hAnsi="Arial"/>
                <w:sz w:val="18"/>
                <w:szCs w:val="18"/>
                <w:color w:val="0000FF"/>
              </w:rPr>
              <w:t>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b w:val="1"/>
                <w:bCs w:val="1"/>
                <w:color w:val="0000FF"/>
                <w:w w:val="90"/>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3720" w:type="dxa"/>
            <w:vAlign w:val="bottom"/>
            <w:gridSpan w:val="7"/>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88"/>
              </w:rPr>
              <w:t>Changes in and Disagreements with Accountants on Accounting and Financial Disclosure</w:t>
            </w:r>
          </w:p>
        </w:tc>
        <w:tc>
          <w:tcPr>
            <w:tcW w:w="1480" w:type="dxa"/>
            <w:vAlign w:val="bottom"/>
            <w:gridSpan w:val="3"/>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88"/>
              </w:rPr>
              <w:t>Controls and Procedures</w:t>
            </w:r>
          </w:p>
        </w:tc>
        <w:tc>
          <w:tcPr>
            <w:tcW w:w="6420" w:type="dxa"/>
            <w:vAlign w:val="bottom"/>
            <w:gridSpan w:val="13"/>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Other Information</w:t>
            </w: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9C.</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43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w w:val="90"/>
              </w:rPr>
              <w:t>Directors, Executive Officers and Corporate Governance</w:t>
            </w:r>
          </w:p>
        </w:tc>
        <w:tc>
          <w:tcPr>
            <w:tcW w:w="3960" w:type="dxa"/>
            <w:vAlign w:val="bottom"/>
            <w:gridSpan w:val="8"/>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Executive Compensation</w:t>
            </w: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w w:val="97"/>
              </w:rPr>
              <w:t>Security Ownership of Certain Beneficial Owners and Management and Related Shareholder Matters</w:t>
            </w: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tcBorders>
              <w:top w:val="single" w:sz="8" w:color="0000FF"/>
            </w:tcBorders>
            <w:gridSpan w:val="22"/>
          </w:tcPr>
          <w:p>
            <w:pPr>
              <w:spacing w:after="0"/>
              <w:rPr>
                <w:sz w:val="20"/>
                <w:szCs w:val="20"/>
                <w:color w:val="auto"/>
              </w:rPr>
            </w:pPr>
            <w:r>
              <w:rPr>
                <w:rFonts w:ascii="Arial" w:cs="Arial" w:eastAsia="Arial" w:hAnsi="Arial"/>
                <w:sz w:val="18"/>
                <w:szCs w:val="18"/>
                <w:b w:val="1"/>
                <w:bCs w:val="1"/>
                <w:color w:val="0000FF"/>
              </w:rPr>
              <w:t>Certain Relationships, Related Transactions and Director Independence</w:t>
            </w:r>
          </w:p>
        </w:tc>
        <w:tc>
          <w:tcPr>
            <w:tcW w:w="520" w:type="dxa"/>
            <w:vAlign w:val="bottom"/>
            <w:gridSpan w:val="2"/>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FF"/>
            </w:tcBorders>
            <w:gridSpan w:val="19"/>
          </w:tcPr>
          <w:p>
            <w:pPr>
              <w:spacing w:after="0"/>
              <w:rPr>
                <w:sz w:val="20"/>
                <w:szCs w:val="20"/>
                <w:color w:val="auto"/>
              </w:rPr>
            </w:pPr>
            <w:r>
              <w:rPr>
                <w:rFonts w:ascii="Arial" w:cs="Arial" w:eastAsia="Arial" w:hAnsi="Arial"/>
                <w:sz w:val="18"/>
                <w:szCs w:val="18"/>
                <w:b w:val="1"/>
                <w:bCs w:val="1"/>
                <w:color w:val="0000FF"/>
              </w:rPr>
              <w:t>Principal Accountant Fees and Services</w:t>
            </w:r>
          </w:p>
        </w:tc>
        <w:tc>
          <w:tcPr>
            <w:tcW w:w="2820" w:type="dxa"/>
            <w:vAlign w:val="bottom"/>
            <w:gridSpan w:val="5"/>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4"/>
              </w:rPr>
              <w:t>PART IV.</w:t>
            </w:r>
          </w:p>
        </w:tc>
        <w:tc>
          <w:tcPr>
            <w:tcW w:w="6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15.</w:t>
            </w:r>
          </w:p>
        </w:tc>
        <w:tc>
          <w:tcPr>
            <w:tcW w:w="3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89"/>
              </w:rPr>
              <w:t>Exhibits and Financial Statement Schedules</w:t>
            </w:r>
          </w:p>
        </w:tc>
        <w:tc>
          <w:tcPr>
            <w:tcW w:w="4960" w:type="dxa"/>
            <w:vAlign w:val="bottom"/>
            <w:gridSpan w:val="10"/>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8340" w:type="dxa"/>
            <w:vAlign w:val="bottom"/>
            <w:gridSpan w:val="24"/>
          </w:tcPr>
          <w:p>
            <w:pPr>
              <w:spacing w:after="0"/>
              <w:rPr>
                <w:sz w:val="20"/>
                <w:szCs w:val="20"/>
                <w:color w:val="auto"/>
              </w:rPr>
            </w:pPr>
            <w:r>
              <w:rPr>
                <w:rFonts w:ascii="Arial" w:cs="Arial" w:eastAsia="Arial" w:hAnsi="Arial"/>
                <w:sz w:val="18"/>
                <w:szCs w:val="18"/>
                <w:b w:val="1"/>
                <w:bCs w:val="1"/>
                <w:color w:val="0000FF"/>
              </w:rPr>
              <w:t>Form 10-K Summary</w:t>
            </w:r>
          </w:p>
        </w:tc>
        <w:tc>
          <w:tcPr>
            <w:tcW w:w="1440" w:type="dxa"/>
            <w:vAlign w:val="bottom"/>
          </w:tcPr>
          <w:p>
            <w:pPr>
              <w:jc w:val="right"/>
              <w:spacing w:after="0"/>
              <w:rPr>
                <w:sz w:val="20"/>
                <w:szCs w:val="20"/>
                <w:color w:val="auto"/>
              </w:rPr>
            </w:pPr>
            <w:r>
              <w:rPr>
                <w:rFonts w:ascii="Arial" w:cs="Arial" w:eastAsia="Arial" w:hAnsi="Arial"/>
                <w:sz w:val="18"/>
                <w:szCs w:val="18"/>
                <w:color w:val="0000FF"/>
              </w:rPr>
              <w:t>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gridSpan w:val="6"/>
          </w:tcPr>
          <w:p>
            <w:pPr>
              <w:spacing w:after="0"/>
              <w:rPr>
                <w:sz w:val="20"/>
                <w:szCs w:val="20"/>
                <w:color w:val="auto"/>
              </w:rPr>
            </w:pPr>
            <w:r>
              <w:rPr>
                <w:rFonts w:ascii="Arial" w:cs="Arial" w:eastAsia="Arial" w:hAnsi="Arial"/>
                <w:sz w:val="18"/>
                <w:szCs w:val="18"/>
                <w:b w:val="1"/>
                <w:bCs w:val="1"/>
                <w:color w:val="0000FF"/>
              </w:rPr>
              <w:t>Signatures</w:t>
            </w:r>
          </w:p>
        </w:tc>
        <w:tc>
          <w:tcPr>
            <w:tcW w:w="6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00FF"/>
              </w:rPr>
              <w:t>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16"/>
          </w:tcPr>
          <w:p>
            <w:pPr>
              <w:jc w:val="center"/>
              <w:ind w:left="3890"/>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BrokerTec and EBS are trademarks of various entities of NEX Group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statements, whether as a result of new information, future events or otherwise. Among the factors that might affect our performance are:</w:t>
      </w:r>
    </w:p>
    <w:p>
      <w:pPr>
        <w:spacing w:after="0" w:line="63"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8"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63" w:lineRule="exact"/>
        <w:rPr>
          <w:rFonts w:ascii="Arial" w:cs="Arial" w:eastAsia="Arial" w:hAnsi="Arial"/>
          <w:sz w:val="18"/>
          <w:szCs w:val="18"/>
          <w:color w:val="auto"/>
        </w:rPr>
      </w:pPr>
    </w:p>
    <w:p>
      <w:pPr>
        <w:ind w:left="660" w:right="46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1"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63" w:lineRule="exact"/>
        <w:rPr>
          <w:rFonts w:ascii="Arial" w:cs="Arial" w:eastAsia="Arial" w:hAnsi="Arial"/>
          <w:sz w:val="18"/>
          <w:szCs w:val="18"/>
          <w:color w:val="auto"/>
        </w:rPr>
      </w:pPr>
    </w:p>
    <w:p>
      <w:pPr>
        <w:ind w:left="660" w:right="16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 w:lineRule="exact"/>
        <w:rPr>
          <w:rFonts w:ascii="Arial" w:cs="Arial" w:eastAsia="Arial" w:hAnsi="Arial"/>
          <w:sz w:val="16"/>
          <w:szCs w:val="16"/>
          <w:color w:val="auto"/>
        </w:rPr>
      </w:pPr>
    </w:p>
    <w:p>
      <w:pPr>
        <w:ind w:left="660" w:right="50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160" w:hanging="328"/>
        <w:spacing w:after="0" w:line="29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ind w:left="660" w:right="4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response by governments and other third parties;</w:t>
      </w:r>
    </w:p>
    <w:p>
      <w:pPr>
        <w:spacing w:after="0" w:line="63"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63" w:lineRule="exact"/>
        <w:rPr>
          <w:rFonts w:ascii="Arial" w:cs="Arial" w:eastAsia="Arial" w:hAnsi="Arial"/>
          <w:sz w:val="18"/>
          <w:szCs w:val="18"/>
          <w:color w:val="auto"/>
        </w:rPr>
      </w:pPr>
    </w:p>
    <w:p>
      <w:pPr>
        <w:ind w:left="660" w:hanging="328"/>
        <w:spacing w:after="0" w:line="305"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data distribution partners’ actions and our partnership with Google Cloud;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variances in earnings on cash accounts and collateral that our clearing house holds for its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CME Group pricing and incentive changes;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aggregation services and internalization on trade flow and volumes;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negative financial impacts from changes to the terms of intellectual property and index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adoption and growth of SOFR and its impact on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channel partner and customer consolidation;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CME Group provides market participants worldwide the ability to efficiently manage risk within and across multiple asset classes, by trading futures, options, cash and over-the-counter (OTC) products. CME Group provides primary price discovery and referential pricing information through its market data in a variety of formats, including real time, historical and derived data for customers in both listed and cash products. CME Group also offers industry-leading research and analytics tools to provide customers with market education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CME was founded in 1898 as a not-for-profit corporation. It established its clearing house in 1919, which is operated as part of CME. CME demutualized</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2000, and in 2002 its parent company, CME Group, completed an initial public offering of its Class A common stock (Nasdaq: CME). CME Group subsequently acquired CBOT Holdings, Inc. in 2007, NYMEX Holdings, Inc. (NYMEX and COMEX) in 2008, the Kansas City Board of Trade in 2012 and NEX Group plc (NEX) in 2018. The combination with NEX expanded our global customer base and product offerings through the complementary combination of CME Group’s exchange-traded derivative products and NEX’s cash and OTC products. It also created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our telephone number is 312-930-1000 and our website is </w:t>
      </w:r>
      <w:r>
        <w:rPr>
          <w:rFonts w:ascii="Arial" w:cs="Arial" w:eastAsia="Arial" w:hAnsi="Arial"/>
          <w:sz w:val="18"/>
          <w:szCs w:val="18"/>
          <w:i w:val="1"/>
          <w:iCs w:val="1"/>
          <w:color w:val="auto"/>
        </w:rPr>
        <w:t>cmegroup.com</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CME Group exchanges offer the widest range of global benchmark products across interest rates, equity indexes, foreign exchange (FX), agricultural commodities, energy and metals. We also offer cash and repo fixed income trading via BrokerTec, and cash and OTC FX trading via EBS.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operate one of the world’s leading central counterparty clearing providers, CME Clearing, operated by CME.</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Derivatives Exchange Business: </w:t>
      </w:r>
      <w:r>
        <w:rPr>
          <w:rFonts w:ascii="Arial" w:cs="Arial" w:eastAsia="Arial" w:hAnsi="Arial"/>
          <w:sz w:val="17"/>
          <w:szCs w:val="17"/>
          <w:color w:val="auto"/>
        </w:rPr>
        <w:t>Through our derivatives exchanges and clearing house, we believe our customers prefer CME Group's diversity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liquidity, price transparency and technological capabilities. Market liquidity - or the ability of a market to absorb the execution of large purchases or sales quickly and efficiently - is key to attracting and retaining customers and contributing to a market's success. Our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64" w:lineRule="exact"/>
        <w:rPr>
          <w:sz w:val="20"/>
          <w:szCs w:val="20"/>
          <w:color w:val="auto"/>
        </w:rPr>
      </w:pPr>
    </w:p>
    <w:p>
      <w:pPr>
        <w:ind w:left="660" w:right="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CME's </w:t>
      </w:r>
      <w:r>
        <w:rPr>
          <w:rFonts w:ascii="Arial" w:cs="Arial" w:eastAsia="Arial" w:hAnsi="Arial"/>
          <w:sz w:val="18"/>
          <w:szCs w:val="18"/>
          <w:color w:val="auto"/>
        </w:rPr>
        <w:t>product slate includes agricultural, equities, FX, cryptocurrencies/alternative investments and interest rate products, including Eurodollar</w:t>
      </w:r>
      <w:r>
        <w:rPr>
          <w:rFonts w:ascii="Arial" w:cs="Arial" w:eastAsia="Arial" w:hAnsi="Arial"/>
          <w:sz w:val="18"/>
          <w:szCs w:val="18"/>
          <w:b w:val="1"/>
          <w:bCs w:val="1"/>
          <w:color w:val="auto"/>
        </w:rPr>
        <w:t xml:space="preserve"> </w:t>
      </w:r>
      <w:r>
        <w:rPr>
          <w:rFonts w:ascii="Arial" w:cs="Arial" w:eastAsia="Arial" w:hAnsi="Arial"/>
          <w:sz w:val="18"/>
          <w:szCs w:val="18"/>
          <w:color w:val="auto"/>
        </w:rPr>
        <w:t>futures and options, Secured Overnight Financing Rate (SOFR) futures and options, Bloomberg Short-Term Bank Yield (BSBY), livestock and cash-settled contracts based on the S&amp;P 500, including the E-mini S&amp;P 500 ESG (Environmental, Social and Governance) contract, Micro E-mini Equity Index contracts, Nasdaq-100, FTSE Russell and Bitcoin and Ether Reference Rate.</w:t>
      </w:r>
    </w:p>
    <w:p>
      <w:pPr>
        <w:spacing w:after="0" w:line="17"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CBOT's </w:t>
      </w:r>
      <w:r>
        <w:rPr>
          <w:rFonts w:ascii="Arial" w:cs="Arial" w:eastAsia="Arial" w:hAnsi="Arial"/>
          <w:sz w:val="18"/>
          <w:szCs w:val="18"/>
          <w:color w:val="auto"/>
        </w:rPr>
        <w:t>product slate consists of agricultural, equities and interest rate products, including contracts for United States (U.S.) Treasury futures,</w:t>
      </w:r>
      <w:r>
        <w:rPr>
          <w:rFonts w:ascii="Arial" w:cs="Arial" w:eastAsia="Arial" w:hAnsi="Arial"/>
          <w:sz w:val="18"/>
          <w:szCs w:val="18"/>
          <w:b w:val="1"/>
          <w:bCs w:val="1"/>
          <w:color w:val="auto"/>
        </w:rPr>
        <w:t xml:space="preserve"> </w:t>
      </w:r>
      <w:r>
        <w:rPr>
          <w:rFonts w:ascii="Arial" w:cs="Arial" w:eastAsia="Arial" w:hAnsi="Arial"/>
          <w:sz w:val="18"/>
          <w:szCs w:val="18"/>
          <w:color w:val="auto"/>
        </w:rPr>
        <w:t>soybean, corn, and wheat and contracts based on the Dow Jones Industrial Index.</w:t>
      </w:r>
    </w:p>
    <w:p>
      <w:pPr>
        <w:spacing w:after="0" w:line="1" w:lineRule="exact"/>
        <w:rPr>
          <w:rFonts w:ascii="Arial" w:cs="Arial" w:eastAsia="Arial" w:hAnsi="Arial"/>
          <w:sz w:val="18"/>
          <w:szCs w:val="18"/>
          <w:color w:val="auto"/>
        </w:rPr>
      </w:pPr>
    </w:p>
    <w:p>
      <w:pPr>
        <w:ind w:left="660" w:right="100" w:hanging="328"/>
        <w:spacing w:after="0" w:line="28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NYMEX's </w:t>
      </w:r>
      <w:r>
        <w:rPr>
          <w:rFonts w:ascii="Arial" w:cs="Arial" w:eastAsia="Arial" w:hAnsi="Arial"/>
          <w:sz w:val="18"/>
          <w:szCs w:val="18"/>
          <w:color w:val="auto"/>
        </w:rPr>
        <w:t>product slate consists of energy and metals products, including contracts for crude oil, natural gas, heating oil, gasoline and emissions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(GEO and NGO).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COMEX's </w:t>
      </w:r>
      <w:r>
        <w:rPr>
          <w:rFonts w:ascii="Arial" w:cs="Arial" w:eastAsia="Arial" w:hAnsi="Arial"/>
          <w:sz w:val="18"/>
          <w:szCs w:val="18"/>
          <w:color w:val="auto"/>
        </w:rPr>
        <w:t>product slate consists of metals products, including contracts for gold, silver, copper and other base metals.</w:t>
      </w:r>
    </w:p>
    <w:p>
      <w:pPr>
        <w:spacing w:after="0" w:line="6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believe the breadth and diversity of our products and services lines are beneficial to our customers and CME Group's overall performance. Our asset classes contain products designed to address differing risk management needs, and customers are able to manage risks and achieve operational and capital efficiencies by accessing our diverse products through our platforms and our clearing house.</w:t>
      </w:r>
    </w:p>
    <w:p>
      <w:pPr>
        <w:spacing w:after="0" w:line="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CME Group products are traded primarily through CME Globex, as well as by open outcry in Chicago for Eurodollar options and SOFR options and through privately negotiated transactions.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strive to provide the most flexible and scalable platforms to support the operational and capacity needs of our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electronic and privately negotiated markets, we offer brokers and customers the CME Direct platform for arranging, executing, recording and risk-managing trades across all six major asset classes. We also provide the functionality to connect to CME Direct on a mobile device through our CME Direct Mobile application with full trading and on-the-go order management capabilities.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capabilities to facilitate complex and demanding trading;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and efficiency;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connectivity through highly secure, resilient and low-latency network options;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market data; and</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maintain comprehensive business continuity and disaster recovery plans and facilities designed to provide nearly continuous availability of our markets in the event of a business disruption or disaster. We also maintain incident and crisis management plans that address responses to disruptive events.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U.S. trading rights and privileges are exchange-specific. Open outcry trading is conducted exclusively by our members. Membership on one of our derivatives exchanges also enables a customer to trade specific products at lower fees. Under the terms of the organizational documents of our exchanges, our members have certain rights that relate primarily to trading right protections, certain trading fee protections and certain membership benefit protections. In 2022, 83% of our contract volume was from trades by our members.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CME Clearing Business: </w:t>
      </w:r>
      <w:r>
        <w:rPr>
          <w:rFonts w:ascii="Arial" w:cs="Arial" w:eastAsia="Arial" w:hAnsi="Arial"/>
          <w:sz w:val="17"/>
          <w:szCs w:val="17"/>
          <w:color w:val="auto"/>
        </w:rPr>
        <w:t>Through our clearing house, CME Clearing, which is operated by CME, we provide clearing and settlement services for a broad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range of exchange-traded futures and options on futures contracts and OTC derivatives. Our integrated clearing function is designed to ensure the safety and the soundness of our markets by serving as the counterparty to every trade, becoming the buyer to each seller and the seller to each buyer, and limiting counterparty credit risk. CME Clearing marks open positions to market at least twice a trading day, requiring payments from clearing firms whose positions have lost value and making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bi-lateral trades and swaps.</w:t>
      </w:r>
    </w:p>
    <w:p>
      <w:pPr>
        <w:spacing w:after="0" w:line="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One firm represented at least 10% of our clearing and transaction fees revenue for 2022. In the event a clearing firm were to withdraw, our experience indicates that the customer portion of the firm's trading activity would likely transfer to one or more other clearing firms of the exchange.</w:t>
      </w:r>
    </w:p>
    <w:p>
      <w:pPr>
        <w:spacing w:after="0" w:line="4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Cash Markets Business: </w:t>
      </w:r>
      <w:r>
        <w:rPr>
          <w:rFonts w:ascii="Arial" w:cs="Arial" w:eastAsia="Arial" w:hAnsi="Arial"/>
          <w:sz w:val="18"/>
          <w:szCs w:val="18"/>
          <w:color w:val="auto"/>
        </w:rPr>
        <w:t>Our cash markets business is comprised of BrokerTec and EBS. Certain BrokerTec and EBS products are cleared at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clearing houses. BrokerTec and EBS offer anonymous and disclosed trading venues, offering clients multiple execution and distribution options and the benefit of an established and far-reaching distribution network of liquidity providers and consumers. Our BrokerTec Central Limit Order Books were migrated from a third-party platform to our CME Globex electronic platform in the first quarter of 2021 and our EBS Central Limit Order Books were migrated to the CME Globex platform in the second quarter of 2022.</w:t>
      </w:r>
    </w:p>
    <w:p>
      <w:pPr>
        <w:spacing w:after="0" w:line="66" w:lineRule="exact"/>
        <w:rPr>
          <w:sz w:val="20"/>
          <w:szCs w:val="20"/>
          <w:color w:val="auto"/>
        </w:rPr>
      </w:pPr>
    </w:p>
    <w:p>
      <w:pPr>
        <w:ind w:left="660" w:right="480" w:hanging="328"/>
        <w:spacing w:after="0" w:line="284" w:lineRule="auto"/>
        <w:tabs>
          <w:tab w:leader="none" w:pos="6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BrokerTec </w:t>
      </w:r>
      <w:r>
        <w:rPr>
          <w:rFonts w:ascii="Arial" w:cs="Arial" w:eastAsia="Arial" w:hAnsi="Arial"/>
          <w:sz w:val="16"/>
          <w:szCs w:val="16"/>
          <w:color w:val="auto"/>
        </w:rPr>
        <w:t>operates global electronic trading for fixed income products on the CME Globex platform, with a leading position in cash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Treasuries, E.U. and U.S. repo fixed income instruments and European Government Bonds. It facilitates trading for banks and non-bank professional trading firms. BrokerTec Quote is a third party Request For Quote platform that offers a dealer-to-client trading solution for the European and U.S. government repo markets. </w:t>
      </w:r>
      <w:r>
        <w:rPr>
          <w:rFonts w:ascii="Arial" w:cs="Arial" w:eastAsia="Arial" w:hAnsi="Arial"/>
          <w:sz w:val="16"/>
          <w:szCs w:val="16"/>
          <w:color w:val="242424"/>
        </w:rPr>
        <w:t>BrokerTec Stream is a relationship-based trading platform offering U.S. Treasury instruments.</w:t>
      </w:r>
    </w:p>
    <w:p>
      <w:pPr>
        <w:spacing w:after="0" w:line="2" w:lineRule="exact"/>
        <w:rPr>
          <w:rFonts w:ascii="Arial" w:cs="Arial" w:eastAsia="Arial" w:hAnsi="Arial"/>
          <w:sz w:val="16"/>
          <w:szCs w:val="16"/>
          <w:color w:val="auto"/>
        </w:rPr>
      </w:pPr>
    </w:p>
    <w:p>
      <w:pPr>
        <w:ind w:left="660" w:right="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EBS </w:t>
      </w:r>
      <w:r>
        <w:rPr>
          <w:rFonts w:ascii="Arial" w:cs="Arial" w:eastAsia="Arial" w:hAnsi="Arial"/>
          <w:sz w:val="18"/>
          <w:szCs w:val="18"/>
          <w:color w:val="auto"/>
        </w:rPr>
        <w:t>provides for the trading of FX products across major and emerging market currencies. EBS also offers execution of non-deliverable forwards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Commodity Futures Trading Commission (CFTC) registered swap execution facility (SEF), operated by one of our subsidiaries. EBS operates both as a Central Limit Order Book platform for spot and non-deliverable forwards currency pairs, as well as a relationship-based third-party trading platform offering spot FX, FX forwards and FX swaps.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Market Data Business: </w:t>
      </w:r>
      <w:r>
        <w:rPr>
          <w:rFonts w:ascii="Arial" w:cs="Arial" w:eastAsia="Arial" w:hAnsi="Arial"/>
          <w:sz w:val="18"/>
          <w:szCs w:val="18"/>
          <w:color w:val="auto"/>
        </w:rPr>
        <w:t>We offer a variety of market data services through industry-leading market data platforms and third-party distribution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designed to meet the risk-management, trading, investment and business needs of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global client base. As such, we provide proprietary real-time and historical market data related to CME Group’s vibrant and deeply liquid exchanges and cash markets businesses. We further offer derived cash markets pricing, third-party and alternative data sets, as well as a wide range of analytic tools. As customers continue to leverage cloud technology to improve and evolve their businesses, CME Group has taken a leading role by becoming the first derivatives marketplace to provide live market data natively in the cloud with the launch of our cloud connect capabilities on the Google Cloud Platform. CME Group is also the distributor of leading benchmark equity and commodity indices on behalf of third parties as well as our own proprietary benchmarks and indices, including CME Term SOFR Reference Rates (CME Term SOFR), which is a benchmark designed to adhere to the IOSCO Principles for Financial Benchmarks.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Initiatives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Maximize Futures and Options Growth Globally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focus on driving growth and new customer acquisition by expanding, innovating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our core offerings, and increasing participation from non-U.S. customers. We do this by expanding our global sales team, cross-selling our products, expanding the strength of our existing benchmark products, launching new products and services and deepening open interest in our core futures and options offerings. We have further focused on building upon cloud-based data distribution capabilities as a more flexible and potentially cost-effective means of providing data to our clients.</w:t>
      </w:r>
    </w:p>
    <w:p>
      <w:pPr>
        <w:spacing w:after="0" w:line="7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2022, CME Group futures and options had an average daily volume of 23.3 million contracts, with a volume record in our equity asset class for the seventh consecutive year. It was also a year of volume records for multiple products, including Ultra 10 Year Treasury Note futures, SOFR futures, Bitcoin futures, Micro E-Mini Equity Index futures and a record number of contracts executed via Basis Trade at Index Close. We set records in the volume traded for our Micro E-Mini Equity Index futures in total, as well as for each of the Micro E-Mini Nasdaq-100, Russell 2000 and Dow 30 contracts.</w:t>
      </w:r>
    </w:p>
    <w:p>
      <w:pPr>
        <w:spacing w:after="0" w:line="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continue to expand and deepen our customer base worldwide and offer customers around the world the most broad and diversified portfolio of benchmark products. Some of our products introduced over the past two years include: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E-mini Nasdaq 100 Weekly Options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E-mini Russell 2000 Weekly Options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Bitcoin Futures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Ether and Micro Ether Futures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Treasury Yield Futures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WTI Futures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Emissions Offset (GEO) and Nature-based Global Emissions Offset (N-GEO) Futures (2021)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Cryptocurrency Reference Rates and Real-Time Indices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CBL Core Global Emissions Offset Futures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20-year U.S. Treasury Bond Futures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Bitcoin and Ether Options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Aluminum Options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Canadian Wheat Futures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 WTI Options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 new E-mini sector index Futures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Euro-denominated Bitcoin and Ether Futures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Ether Options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Ten event contracts linked to our global benchmarks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TBA futures for Mortgage-backed Securities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 Short-Term Rate (€STR) Futures and RepoFunds Rate (RFR) Futures (2022)</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to the individual product launches noted above, we have completed many product extensions across our asset classes, including short-dated options products (Monday and Wednesday weekly options on Gold, Silver and Copper and Tuesday and Thursday weekly options on the E-Mini S&amp;P 500).</w:t>
      </w:r>
    </w:p>
    <w:p>
      <w:pPr>
        <w:spacing w:after="0" w:line="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expand and deepen our customer base worldwide and offer customers around the world with the most broad and diversified portfolio of benchmark products. We believe we have a significant opportunity to expand the participation of our non-U.S. customer base in our markets. Our penetration of these markets lags our development in the U.S., and we believe that there is room for significant growth and development of these financial markets. In 2022, approximately 28% of our electronic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futures and options volume was from transactions reported as outside the U.S. and approximately 52% of our market data revenue was derived from outside the U.S. We also achieved 27% growth in trading volume during Asian trading hours and 10% growth during European trading hours in 2022 compared to 2021.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CME Group continues to introduce tools which assist our clients in managing their risks. In 2021, we updated the FX Market Profile Tool and launched a</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Metals Market Profile and, in 2022, we launched an UST Market Profile. The FX and Metals Market Profile Tool on Quant Analytics offers a simple but effective method for clients to compare and contrast our leading FX and metals products and liquidity pools side-by-side, which in turn enables clients to analyze their opportunity to minimize costs and achieve best execution by accessing highly complementary liquidity pools across cash and futures markets. We expect to continue to expand this Quant Analytics suite in the future as well.</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CME Liquidity Tool enables market participants to analyze liquidity across CME Group products during U.S., London or Singapore trading hours and was expanded to 37 products in 2021 to meet customer demand for our growing product suite. CME Group Volatility Indexes (CVOL) comprises a total of 39 indexes, including six unique broad-based benchmarks such as the Treasury Volatility Index and Commodity Volatility Index. In 2022, we launched real-time streaming versions of the CVOL indexes. CVOL provide a representative measure of the market expectation of 30-day forward risk, comprising both end of day and live streaming values. We have increased our customer base and continue to target cross-asset sales across client segments and across cash and futures platforms, driving global sales and generating new client participation across all regions. We have a long history of providing customer value and responsiveness and believe our products and services position us to help our customers adapt to and comply with new regulations, while enabling them to efficiently manage their risks. We have a broad distribution network comprised of a combination of internal and external channels and proprietary front-end capabilities.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Diversify our Business and Revenue </w:t>
      </w:r>
      <w:r>
        <w:rPr>
          <w:rFonts w:ascii="Arial" w:cs="Arial" w:eastAsia="Arial" w:hAnsi="Arial"/>
          <w:sz w:val="17"/>
          <w:szCs w:val="17"/>
          <w:color w:val="auto"/>
        </w:rPr>
        <w:t>- Our acquisition of NEX in 2018 strengthened our role in global financial markets infrastructure and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adding complementary cash and OTC businesses and scale to our listed interest rate and FX products, while broadening our global client base. We are positioned to take direct advantage of growth in treasury issuance, unwinding of the Fed’s balance sheet, liquid treasury holdings and the trading of treasury instruments, as well as growing repo activity in the U.S. and Europe. The transaction expanded CME Group’s position in the large, highly competitive and highly fragmented global FX marketplace, offering both order book trading and relationship-based trading solutions for customers. The acquisition added strength in underlying customer marketplaces, especially around regional bank customers and other market participants outside of North America, and expanded our market data solutions beyond futures and options into cash and OTC offerings.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2021, the Alternative Reference Rates Committee (ARRC) formally recommended the forward-looking term rates based on SOFR published by our subsidiary, CME Group Benchmark Administration Limited. The ARRC formalized this recommendation in July 2021. Through the end of 2022, we have licensed the CME Term SOFR to over 1,900 firms and over 7,000 users in more than 90 countries.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2010, CME Group acquired a majority stake in Dow Jones Indexes, which was combined with S&amp;P’s index business in 2012 to form S&amp;P Dow Jones Indices LLC, of which CME Group now has a 27% ownership stake. S&amp;P Dow Jones Indices LLC combines the world class capabilities of the S&amp;P and Dow Jones Indices, and is a 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 In 2022, we invested $410.0 million in this joint venture to fund our portion of the acquisition of the IHS Markit indices business, which includes leading fixed income and credit indices, such as iBoxx, iTraxx and CDX.</w:t>
      </w:r>
    </w:p>
    <w:p>
      <w:pPr>
        <w:spacing w:after="0" w:line="43"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In 2021, CME Group and IHS Markit established a 50/50 joint venture, OSTTRA. We contributed to OSTTRA our post-trade businesses (Traiana, TriOptima and Reset) and IHS Markit contributed its MarkitSERV business. OSTTRA serves as the leading optimization business and provider of progressive post-trade solutions for the global OTC markets across interest rate, FX, equity and credit asset classes. In February 2022, IHS Markit was acquired by S&amp;P Global.</w:t>
      </w:r>
    </w:p>
    <w:p>
      <w:pPr>
        <w:spacing w:after="0" w:line="8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i w:val="1"/>
          <w:iCs w:val="1"/>
          <w:color w:val="auto"/>
        </w:rPr>
        <w:t xml:space="preserve">Deliver Unparalleled Customer Efficiencies and Operational Excellence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changing regulatory requirements for many of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margin requirements on uncleared trades, and the need for greater efficiencies, we have added tools to enable customers to manage clearing positions in our markets in an efficient manner. With the ongoing implementation of regulatory reform in the United States and in Europe, along with global implementation of Basel III capital requirements on financial institutions, we expect centralized clearing and capital efficiencies to continue to be important for our global client base.</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a comprehensive multi-asset class clearing solution to market participants 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which represents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majority of our open interest and collateral held against these positions. We also offer clearing services for OTC interest rate swaps, FX forwards and commodity swaps.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CME Group provides various tools and services to assist customers with capital and operational efficiencies, including:</w:t>
      </w:r>
    </w:p>
    <w:p>
      <w:pPr>
        <w:spacing w:after="0" w:line="117" w:lineRule="exact"/>
        <w:rPr>
          <w:sz w:val="20"/>
          <w:szCs w:val="20"/>
          <w:color w:val="auto"/>
        </w:rPr>
      </w:pPr>
    </w:p>
    <w:p>
      <w:pPr>
        <w:ind w:left="660" w:right="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CME Clearing provides compression via coupon blending as well as CME CORE, an interactive margin calculator that enables clients to optimize their capital by providing insights on margin requirements prior to trading.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Portfolio margining allows firms to capitalize on margin offsets between futures, options and cleared OTC instruments with common risk factors.</w:t>
      </w:r>
    </w:p>
    <w:p>
      <w:pPr>
        <w:spacing w:after="0" w:line="86" w:lineRule="exact"/>
        <w:rPr>
          <w:rFonts w:ascii="Arial" w:cs="Arial" w:eastAsia="Arial" w:hAnsi="Arial"/>
          <w:sz w:val="16"/>
          <w:szCs w:val="16"/>
          <w:color w:val="auto"/>
        </w:rPr>
      </w:pPr>
    </w:p>
    <w:p>
      <w:pPr>
        <w:ind w:left="660" w:right="14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Cross-margining allows firms to achieve portfolio margin efficiencies for offsetting positions between two clearing houses, including CME and Fixed Income Clearing Corporation (FICC) or CME and Options Clearing Corporation (OCC), through reduced performance bond requirements.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Partnership with Google Cloud - </w:t>
      </w:r>
      <w:r>
        <w:rPr>
          <w:rFonts w:ascii="Arial" w:cs="Arial" w:eastAsia="Arial" w:hAnsi="Arial"/>
          <w:sz w:val="18"/>
          <w:szCs w:val="18"/>
          <w:color w:val="auto"/>
        </w:rPr>
        <w:t>In November 2021, we announced a 10-year strategic partnership with Google Cloud to accelerate CME Group’s move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cloud, which we expect will transform derivatives markets by expanding access and creating efficiencies for market participants. The partnership will focus on expanding access to CME Group’s infrastructure, advancing real-time data and analytics capabilities, co-innovating new products and services, increasing efficiencies and driving resiliency in the financial markets’ ecosystem. 2022 was a foundational year, where we built the Cloud platform and successfully migrated some applications. In 2023, we plan to accelerate our application migration, including launching and commercializing data products in the Cloud.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U.S., Europe and other parts of the world. We have registered many of our most important trademarks in the U.S.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5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offer equity index futures and options on key benchmarks, including S&amp;P, Nasdaq, Dow Jones, FTSE Russell and fixed income index futures on the BSBY indexes. These products are listed by us subject to license agreements with the applicable owners of the indexes, some of which are exclusive. In connection with S&amp;P Dow Jones Indices, we have a license agreement (S&amp;P License Agreement) for certain S&amp;P stock indexes and related trade names, trademarks and service marks in connection with the creation, marketing, trading, clearing and promoting of futures contracts and/or options on futures contracts that are indexed to certain S&amp;P stock indexes. Our license for the S&amp;P 500 Index will be exclusive for futures and options until one year prior to the termination of the S&amp;P License Agreement, and non-exclusive for the last year. The license for the other S&amp;P stock indexes is generally exclusive for futures and options. The term of the S&amp;P License Agreement will continue until the date that is one year after the date that CME Group ceases to own at least 5% (accounting for dilution) of the outstanding interests in S&amp;P Dow Jones Indices. Upon the occurrence of certain events, including certain terminations of the joint venture, the term may be extended up to an additional ten years. In connection with S&amp;P Dow Jones Indices, we also have an exclusive license agreement (Dow Jones License Agreement) for certain Dow Jones indexes. The initial term of the agreement is through June 30, 2026. Following the initial term, the Dow Jones License Agreement will automatically renew for renewal terms of five years thereafter, so long as there is open interest in any of CBOT’s or its affiliates’ products based on one or more of the Dow Jones licensed indexes. In the event there is no open interest in any such products, then we may terminate the agreement. We also have an exclusive license agreement for certain Nasdaq indexes through 2029. In 2015, we entered into an exclusive license agreement with FTSE Russell and launched the E-mini Russell 2000 futures in 2017. We pay the applicable third-party, per-trade fees based on contract volume under the terms of these licensing agreements. A copy of the S&amp;P License Agreement has been filed as a material contract.</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CME Group is the owner of CME Term SOFR, a daily set of forward-looking interest rate estimates, calculated and published for 1-month, 3-month and 12-month tenors. CME Term SOFR was endorsed by the ARRC convened by the Federal Reserve Board and the New York Federal Reserve and the Board itself under its Final Rule published in January 2023, which Rule has generally designated CME Term SOFR as a replacement rate for USD LIBOR under the LIBOR Act.</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cannot guarantee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guarantee that others will not succeed in creating stock index futures based on information similar to that which we own or have obtained by license, or that market participants will not increasingly use other instruments, including securities and options based on the S&amp;P, Dow Jones,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Nasdaq or FTSE Russell indexes, to manage or speculate on U.S. stock risks. Parties also may succeed in offering indexed products that are similar to our licensed products without being required to obtain a license, or in countries that are beyond our and/or our licensors' jurisdictional reach.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industry in which we operate is highly competitive and has seen multiple new entrants over time,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2.2, Markets in Financial Instruments Directive II (MiFID II), Capital Requirements Directive IV, Market Abuse Regulation, Benchmarks Regulation, Basel III and various other laws and regulations.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also refer to the discussion below and in </w:t>
      </w:r>
      <w:r>
        <w:rPr>
          <w:rFonts w:ascii="Arial" w:cs="Arial" w:eastAsia="Arial" w:hAnsi="Arial"/>
          <w:sz w:val="19"/>
          <w:szCs w:val="19"/>
          <w:color w:val="auto"/>
        </w:rPr>
        <w:t>"</w:t>
      </w:r>
      <w:r>
        <w:rPr>
          <w:rFonts w:ascii="Arial" w:cs="Arial" w:eastAsia="Arial" w:hAnsi="Arial"/>
          <w:sz w:val="16"/>
          <w:szCs w:val="16"/>
          <w:color w:val="auto"/>
        </w:rPr>
        <w:t>Item 1A - Risk Factors" beginning on page 15 for a description of competitive risks and uncertainties.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Exchange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business is based on a number of factors, including, among others: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and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efficiencies;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diversity of product offerings and frequency and quality of new product development and innovative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efficient and seamless customer experience;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transparency, reliability, anonymity and security in transaction processing;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connectivity, accessibility, flexibility in execution methods, and distribution;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transaction costs.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we compete favorably with respect to these factors. Our deep, liquid markets; diverse and complementary product offerings; frequency and quality of new product development; and efficient, secure settlement, clearing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compete in a large and expanding financial services trading, clearing and settlement marketplace globally. Our competitors include, among other entities, exchanges such as Intercontinental Exchange, Inc. (ICE), the Hong Kong Exchanges and Clearing Limited and Deutsche Börse AG. We have also seen the emergence of new players in the derivatives exchange business, in some cases backed by market makers and broker-dealers, as well as crypto platforms. Competition also includes alternative means of developing exposures through alternative instruments (depending on market factors) such as cash, OTC, ETFs, options, warrants, contracts for differences, structured products and other offerings and incorporates large customer and channel internalization of trade flows and data. New emerging competitors have targeted different segments of our industry, with multiple execution models and products, and emerging technologies will continue to offer additional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CME Clearing Business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recent years there has been increased competition in the provision of clearing services, and we expect competition to continue to increase in connection with compliance with Dodd-Frank, EMIR 2.2, Basel III, MiFID II and other various laws and regulations.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competitors in the clearing services space include, among others, companies such as ICE, LCH Group, the OCC, CBOE Clear, Depository Trust &amp; Clearing Corporation, Hong Kong Exchanges and Clearing, Japan Securities Clearing Corporation, LME Clearing and Deutsche Börse AG. In light of the implementation of new regulatory requirements and other financial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services reforms, we believe other exchanges and infrastructure providers also may undertake to provide clearing and other related post-trade services in the U.S. as CFTC-regulated clearing organizations.</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Cash Markets Business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cash markets businesses face substantial competition across a wide and growing array of venues. In FX, the marketplace is highly fragmented, and there is competition from other electronic communication networks, single-dealer platforms, bank-owned multi-participant platforms, streaming and request for quote services, trading venues tied to data platforms, voice brokers, other broker enabled platforms and other venues. There is a growing array of platforms and technologies, often owned by well-capitalized financial institutions and intermediaries that are also driving internalization of client FX trade flows. In the fixed income space, there are also multiple providers of treasury, European and U.S. repo, and European bond trading, as well as other products such as corporate bonds, municipal bonds, mortgage-backed bonds and agencies, and a multitude of competitors and new entrants offering single-dealer liquidity, bank-owned multi-participant platforms, streaming and request for quote services, and other broker and exchange-enabled platforms.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Technology companies, market data and information vendors and front-end software vendors also represent actual and potential competitors because they have their own substantial market data calculation and distribution capabilities that could serve as alternative means for receiving open market data feeds instead of connecting directly to our exchange. Multiple other industry participants offer both referential and indicative pricing alternatives to CME offerings, which are widely distributed and available across a variety of media. Distributors and consumers of our market data also may use our market data as an input into products that compete against our traded or cleared products. Although we may receive license fees for such products, such fees may not offset the impact of any loss in revenue from our comparable product.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businesses are regulated and serve a customer base that includes regulated market participants, and as such, we are subject to extensive regulation, primarily in the United States and Europe. Developments in the regulatory environment therefore have the potential to significantly affect our businesses.</w:t>
      </w:r>
    </w:p>
    <w:p>
      <w:pPr>
        <w:spacing w:after="0" w:line="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Please also refer to the discussion below and in "Item 1A - Risk Factors" beginning on page 15 for a description of regulatory and legislative risks and uncertainties.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Derivatives Business, CME Clearing and our SEF</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 of U.S. futures exchanges, CME Clearing and our SEF is subject to extensive regulation by the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7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5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and clearing and settlement activities by the CFTC and the Federal Reserve Board.</w:t>
      </w:r>
    </w:p>
    <w:p>
      <w:pPr>
        <w:spacing w:after="0" w:line="7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the U.K. Financial Conduct Authority (FCA) and Bank of England, the Netherlands Authority for the Financial Markets (AFM) and the Federal Financial Supervisory Authority (BaFin) in Germany, among others.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Cash Markets Business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operation of BrokerTec subjects us to regulation by the Financial Industry Regulatory Authority (FINRA) and the U.S. Securities and Exchange Commission (SEC) as a broker-dealer and alternative trading system operator. It also subjects us to regulation by authorities in the E.U. as a multilateral trading facility and regulated market and by the applicable regulators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Singapore and Canada. Our EBS business holds various permissions, approvals and exemptions globally, including those that subject certain of its activities to CFTC, FCA, AFM, Monetary Authority of Singapore, Australian Securities and Investments Commission and Hong Kong Monetary Authority oversight.</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settlement of matched principal and exchange-traded businesses requires access to clearing houses either directly or through third-party providers of clearing and settlement services. BrokerTec Americas is a member of the Fixed Inocme Clearing Corporation, through which it clears U.S. Treasury and repo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Market Data Business</w:t>
      </w:r>
    </w:p>
    <w:p>
      <w:pPr>
        <w:spacing w:after="0" w:line="104"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Our subsidiary, CME Group Benchmark Administration, is a registered benchmark administrator, authorized and supervised by the FCA under the UK Benchmark Regulations. CME Group Benchmark offers a variety of different multi-asset class data products, including CME Term SOFR.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actively monitor and participate in the domestic and international legislative and rulemaking processes for our industry, including providing government testimony, commenting on proposed legislation and rulemaking, and educating our regulators and policymakers on potential impacts to the marketplace. We are also focused on the U.S. Presidential administration and its federal regulatory appointees and any anticipated changes that may result.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117" w:lineRule="exact"/>
        <w:rPr>
          <w:sz w:val="20"/>
          <w:szCs w:val="20"/>
          <w:color w:val="auto"/>
        </w:rPr>
      </w:pPr>
    </w:p>
    <w:p>
      <w:pPr>
        <w:ind w:left="660" w:hanging="328"/>
        <w:spacing w:after="0" w:line="29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implementation of a transaction tax or user fee in the U.S., U.K. or E.U., or in the States of Illinois or New Jersey, which could discourage institutions and individuals from using our markets or products or encourage them to trade in another less costly jurisdiction. Legislation to impose a financial transaction tax has been proposed previously in the U.S. Congress, Illinois General Assembly and State of New Jersey Legislature. Additionally, from time to time, including this fiscal year, the proposed U.S. Presidential budget request has included a proposal to impose a user fee to fund all or a portion of the budget of the CFTC. Legislation would be necessary to impose such a fee. Federal legislation was also recently proposed by Congress that would impose a user fee on digital asset spot markets to fund CFTC regulation of those assets. Such a user fee, if adopted, could potentially be expanded to apply more broadly to the futures and options markets.</w:t>
      </w:r>
    </w:p>
    <w:p>
      <w:pPr>
        <w:spacing w:after="0" w:line="4" w:lineRule="exact"/>
        <w:rPr>
          <w:rFonts w:ascii="Arial" w:cs="Arial" w:eastAsia="Arial" w:hAnsi="Arial"/>
          <w:sz w:val="16"/>
          <w:szCs w:val="16"/>
          <w:color w:val="auto"/>
        </w:rPr>
      </w:pPr>
    </w:p>
    <w:p>
      <w:pPr>
        <w:ind w:left="660" w:right="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Legislation that proposes to eliminate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2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provisions in relation to the E.U. Regulations on Benchmarks have yet to come into effect, and prices and data provided by CME Group for use by E.U. supervised entities and use of those benchmarks may be impacted.</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that European legislators will prohibit or restrict exclusive licenses for benchmark indexes, which might impact the profitability of several of our most popular contracts.</w:t>
      </w:r>
    </w:p>
    <w:p>
      <w:pPr>
        <w:spacing w:after="0" w:line="8" w:lineRule="exact"/>
        <w:rPr>
          <w:rFonts w:ascii="Arial" w:cs="Arial" w:eastAsia="Arial" w:hAnsi="Arial"/>
          <w:sz w:val="18"/>
          <w:szCs w:val="18"/>
          <w:color w:val="auto"/>
        </w:rPr>
      </w:pPr>
    </w:p>
    <w:p>
      <w:pPr>
        <w:ind w:left="660" w:right="20" w:hanging="328"/>
        <w:spacing w:after="0" w:line="31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the debate regarding the regulation of cryptocurrencies, which may impact our existing offerings or our ability to provide future offerings.</w:t>
      </w:r>
    </w:p>
    <w:p>
      <w:pPr>
        <w:spacing w:after="0" w:line="8"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regulations governing treasury market structure, including potential clearing obligations or promotions of all-to-all cash treasury models. The SEC has issued a rule proposal regarding central clearing of U.S. Treasury securities and repurchase agreements; how the SEC finalizes this rule could have an impact on trading in our markets.</w:t>
      </w:r>
    </w:p>
    <w:p>
      <w:pPr>
        <w:spacing w:after="0" w:line="2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regulatory or policy actions that could result in changes to market structure for the clearing of derivative transactions, which may impact our business model or the competitive landscape of the industry.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Please also see "Item 1A - Risk Factors" beginning on page 15 for additional information on our areas of regulatory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rely on a highly skilled and experienced global workforce to meet our business objectives. As of December 31, 2022, our global employee population consisted of approximately 3,460 staff, with 66% (approximately 2,280) of these employees working in the United States. and the remaining 34% (approximately 1,180) working in our various non-U.S. locations (Australia, Brazil, Canada, China, France, Hong Kong, India, Israel, Japan, Netherlands, Singapore, South Korea, Sweden, Switzerland and the U.K.).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that fostering a diverse and inclusive global culture is critical to our business success. We provide our workforce with a compelling employee experience that allows us to attract, retain and develop industry-leading talent. We are continually seeking new ways to challenge, develop and support our employees. Select highlights of our employee experience include the following:</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offer a wide range of benefits designed to support our employees’ health and well-being, retirement needs, and work/life balance.</w:t>
      </w:r>
    </w:p>
    <w:p>
      <w:pPr>
        <w:spacing w:after="0" w:line="74" w:lineRule="exact"/>
        <w:rPr>
          <w:rFonts w:ascii="Arial" w:cs="Arial" w:eastAsia="Arial" w:hAnsi="Arial"/>
          <w:sz w:val="17"/>
          <w:szCs w:val="17"/>
          <w:color w:val="auto"/>
        </w:rPr>
      </w:pPr>
    </w:p>
    <w:p>
      <w:pPr>
        <w:jc w:val="both"/>
        <w:ind w:left="660" w:right="2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a variety of avenues for employees to grow their expertise, including tuition assistance for continuing education, onsite professional development training courses, access to external seminars and technical skills training, as well as an integrated series of leadership development programs to prepare employees for each stage of their careers.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competitive compensation programs align employee rewards with shareholder interests and emphasize our pay-for-performance philosophy.</w:t>
      </w:r>
    </w:p>
    <w:p>
      <w:pPr>
        <w:spacing w:after="0" w:line="86" w:lineRule="exact"/>
        <w:rPr>
          <w:rFonts w:ascii="Arial" w:cs="Arial" w:eastAsia="Arial" w:hAnsi="Arial"/>
          <w:sz w:val="16"/>
          <w:szCs w:val="16"/>
          <w:color w:val="auto"/>
        </w:rPr>
      </w:pPr>
    </w:p>
    <w:p>
      <w:pPr>
        <w:ind w:left="660" w:right="2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Employee Resource Groups (ERGs) are essential to fostering an inclusive culture grounded in mutual respect. All employees are eligible to join our ERGs and employees are encouraged to form new ERGs that align with our shared mission and values, creating communities around professional and personal interests.</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conduct regular employee engagement surveys and we monitor our performance against specific voluntary turnover, open role placement and internal promotion metrics to understand where further workforce investments may be necessary. During fiscal year 2022, our performance against these metrics was:</w:t>
      </w:r>
    </w:p>
    <w:p>
      <w:pPr>
        <w:spacing w:after="0" w:line="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10.2% voluntary turnover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43.7% of open roles filled with internal candidates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21.5% of employees promoted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CME Group, we embrace an exchange of ideas driven by the rich diversity of our people, cultures and experiences. We know that when our employees bring their authentic selves to work each day, it makes our business and our culture that much stronger. Leveraging the collective mix of perspectives and insights that our individual backgrounds bring, we can continually provide our global clients with innovative products and solutions, strengthen our competitive advantage and best serve the communities in which we live and work.</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anchored our commitment to diversity and inclusion by incorporating it into our corporate goals, and our Chief Human Resources Officer provides our senior management and Board with regular updates. Our Diversity and Inclusion (D&amp;I) Council is responsible for driving our corporate D&amp;I strategy. Members of our management team and employees from across our global workforce serve on the Council, representing a wide variety of backgrounds and perspectives.</w:t>
      </w:r>
    </w:p>
    <w:p>
      <w:pPr>
        <w:spacing w:after="0" w:line="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more information regarding our sustainability practices and to review our annual Corporate Citizenship &amp; Sustainability Reports, including our report for 2022 when issued, please visit: https://www.cmegroup.com/company/corporate-citizenship/esg.html. Information made available on our website does not constitute a part of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8, 2023.</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64. </w:t>
      </w:r>
      <w:r>
        <w:rPr>
          <w:rFonts w:ascii="Arial" w:cs="Arial" w:eastAsia="Arial" w:hAnsi="Arial"/>
          <w:sz w:val="17"/>
          <w:szCs w:val="17"/>
          <w:color w:val="auto"/>
        </w:rPr>
        <w:t>Mr. Duffy has served as our Chairman and Chief Executive Officer since 2016. Mr. Duffy previously served as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64" w:lineRule="exact"/>
        <w:rPr>
          <w:sz w:val="20"/>
          <w:szCs w:val="20"/>
          <w:color w:val="auto"/>
        </w:rPr>
      </w:pPr>
    </w:p>
    <w:p>
      <w:pPr>
        <w:jc w:val="both"/>
        <w:ind w:right="360"/>
        <w:spacing w:after="0" w:line="269"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51</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Cutinho has served as our Chief Information Officer since February 2022 and previously served as President of CME Clearing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2014. He joined CME Group in 2002 and since then has held various positions of increasing responsibility within the organization, including as Managing Director, Deputy Head of CME Clearing from April 2014 through September 2014.</w:t>
      </w:r>
    </w:p>
    <w:p>
      <w:pPr>
        <w:spacing w:after="0" w:line="6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 xml:space="preserve">Lynne Fitzpatrick, 44. </w:t>
      </w:r>
      <w:r>
        <w:rPr>
          <w:rFonts w:ascii="Arial" w:cs="Arial" w:eastAsia="Arial" w:hAnsi="Arial"/>
          <w:sz w:val="16"/>
          <w:szCs w:val="16"/>
          <w:color w:val="auto"/>
        </w:rPr>
        <w:t>Ms. Fitzpatrick has served as Senior Managing Director &amp; Deputy Chief Financial Officer since February 2022. She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Managing Director of Corporate Development and Treasurer of CME Group since 2017, leading the company’s business development, mergers and acquisitions, CME Ventures and corporate treasury functions. Since joining the company in 2006, Ms. Fitzpatrick has held a variety of positions with increasing levels of responsibility within the finance organization. Prior to CME Group she worked as an investment banker at Credit Suisse and UBS.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Julie Holzrichter, 54. </w:t>
      </w:r>
      <w:r>
        <w:rPr>
          <w:rFonts w:ascii="Arial" w:cs="Arial" w:eastAsia="Arial" w:hAnsi="Arial"/>
          <w:sz w:val="18"/>
          <w:szCs w:val="18"/>
          <w:color w:val="auto"/>
        </w:rPr>
        <w:t>Ms. Holzrichter has served as our Senior Managing Director, Chief Operating Officer since 2014 and in February 2022, her role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to oversee Global Operations and CME Clearing. She previously served as 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 Ms. Holzrichter also serves as a director of Constellation Energy Corporation.</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Jonathan Marcus, 54. </w:t>
      </w:r>
      <w:r>
        <w:rPr>
          <w:rFonts w:ascii="Arial" w:cs="Arial" w:eastAsia="Arial" w:hAnsi="Arial"/>
          <w:sz w:val="17"/>
          <w:szCs w:val="17"/>
          <w:color w:val="333333"/>
        </w:rPr>
        <w:t>Mr. Marcus has served as our Senior Managing Director and General Counsel since October 2022. Prior to joining CME Group,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333333"/>
        </w:rPr>
        <w:t>Marcus most recently worked in priv</w:t>
      </w:r>
      <w:r>
        <w:rPr>
          <w:rFonts w:ascii="Arial" w:cs="Arial" w:eastAsia="Arial" w:hAnsi="Arial"/>
          <w:sz w:val="17"/>
          <w:szCs w:val="17"/>
          <w:color w:val="000000"/>
        </w:rPr>
        <w:t>ate practice as a partner at Reed Smith LLP, where he specialized in derivatives regulation, litigation and enforcement.</w:t>
      </w:r>
      <w:r>
        <w:rPr>
          <w:rFonts w:ascii="Arial" w:cs="Arial" w:eastAsia="Arial" w:hAnsi="Arial"/>
          <w:sz w:val="17"/>
          <w:szCs w:val="17"/>
          <w:color w:val="333333"/>
        </w:rPr>
        <w:t xml:space="preserve"> </w:t>
      </w:r>
      <w:r>
        <w:rPr>
          <w:rFonts w:ascii="Arial" w:cs="Arial" w:eastAsia="Arial" w:hAnsi="Arial"/>
          <w:sz w:val="17"/>
          <w:szCs w:val="17"/>
          <w:color w:val="000000"/>
        </w:rPr>
        <w:t>He previously served as General Counsel of the CFTC from 2013 to 2017. Mr. Marcus also served as the CFTC's Deputy General Counsel for Litigation and as an Assistant to the Solicitor General of the United States. His career also includes senior roles at other nationally recognized law firms and he began his career as a clerk for Judge Jose Cabranes of the U.S. Court of Appeals for the Second Circuit.</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Tim McCourt, 44</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McCourt has served as Senior Managing Director, Global Head of Equity and FX Products since February 2022. He is responsible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leading the development and execution of the company’s global equity index, foreign exchange, cryptocurrency and alternative investment product strategies. He serves on the CME Ventures Investment Committee and the S&amp;P Dow Jones Indices U.S. Advisory Panel. Before joining CME Group in 2013 as Global Head of Equity Products, Mr. McCourt worked for the Royal Bank of Scotland (RBS), where he was responsible for building and managing the Americas Index and Delta One trading book. Prior to RBS, he held a senior trading role with JPMorgan in New York, spending 10 years with the Equity Derivatives Group.</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Hilda Harris Piell, 55</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Piell has served as Senior Managing Director and Chief Human Resources Officer since 2007. A practicing attorney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seventeen years, Ms. Piell previously held positions of increasing responsibility in our Legal &amp; Market Regulation division, most recently as Managing Director and Senior Associate General Counsel. Prior to joining CME Group in 2000, Ms. Piell served as Associate Commercial Counsel at MCI Telecommunications (1996-2000) and Associate Litigation Attorney at Jenner &amp; Block (1992-1996). Her career also includes service as a clerk for a judge of the U.S. District Court for the Northern District of Illinois.</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John W. Pietrowicz, 58. </w:t>
      </w:r>
      <w:r>
        <w:rPr>
          <w:rFonts w:ascii="Arial" w:cs="Arial" w:eastAsia="Arial" w:hAnsi="Arial"/>
          <w:sz w:val="17"/>
          <w:szCs w:val="17"/>
          <w:color w:val="auto"/>
        </w:rPr>
        <w:t>Mr. Pietrowicz has served as Senior Managing Director and Chief Financial Officer since 2014. Previously, Mr. Pietrowicz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Senior 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 Dow Jones Indices LLC and on the board of the World Federation of Exchanges. Mr. Pietrowicz announced his plans to retire in 2023 and Ms. Fitzpatrick will succeed him.</w:t>
      </w:r>
    </w:p>
    <w:p>
      <w:pPr>
        <w:spacing w:after="0" w:line="6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Derek Sammann, 54</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Sammann has served as our Senior Managing Director, Global Head of Commodities and Options and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November 2021 and previously served as our Senior Managing Director, Commodities and Options Products since 2014. He previously 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 xml:space="preserve">Suzanne Sprague, 42. </w:t>
      </w:r>
      <w:r>
        <w:rPr>
          <w:rFonts w:ascii="Arial" w:cs="Arial" w:eastAsia="Arial" w:hAnsi="Arial"/>
          <w:sz w:val="16"/>
          <w:szCs w:val="16"/>
          <w:color w:val="auto"/>
        </w:rPr>
        <w:t>Ms. Sprague has served as Senior Managing Director &amp; Global Head of Clearing and Post-Trade Services for CME Group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2022. She joined the company in 2002 and has held numerous roles and leadership positions in financial management and risk management since that time. During her tenure, she has played a key role in the company’s development of risk management policy. Since 2015, she served as Managing Director, Credit &amp; Liquidity Risk, Risk Policy &amp; Banking, overseeing CME Clearing’s exposure to counterparty credit risk, liquidity risk management and financial performance, acceptable collateral and collateral services, risk management policies and procedures, financial operations, and banking.</w:t>
      </w:r>
    </w:p>
    <w:p>
      <w:pPr>
        <w:spacing w:after="0" w:line="4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Jack Tobin, 59</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Tobin has served as Managing Director and Chief Accounting Officer since 2015. Mr. Tobin most recently served as our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Corporate Finance since 2007. Prior to our merger with CBOT Holdings, Mr. Tobin served as the Director, Corporate Finance for CBOT Holdings and CBOT from 2002 to 2007. Prior to joining CBOT, Mr. Tobin served as a principal consultant with PricewaterhouseCoopers from 1997 to 2002. Mr. Tobin is a registered certified public accountant.</w:t>
      </w:r>
    </w:p>
    <w:p>
      <w:pPr>
        <w:spacing w:after="0" w:line="7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i w:val="1"/>
          <w:iCs w:val="1"/>
          <w:color w:val="auto"/>
        </w:rPr>
        <w:t>Sean Tully, 59</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Tully has served as Senior Managing Director, Global Head of Rates and OTC Products since February 2022.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Managing Director, Financial and OTC Products of CME Group since 2014 and as Senior Managing Director, Interest Rates and OTC Products during 2014. Prior to these roles, he served as Managing Director, Interest Rate and OTC Products since 2013 and as our Managing Director, Interest Rate Products since joining us in 2011. Before joining the company, Mr. Tully most recently served as Managing Director, Global Head of Fixed Income Trading at WestLB in London.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i w:val="1"/>
          <w:iCs w:val="1"/>
          <w:color w:val="auto"/>
        </w:rPr>
        <w:t xml:space="preserve">Kendal Vroman, 51. </w:t>
      </w:r>
      <w:r>
        <w:rPr>
          <w:rFonts w:ascii="Arial" w:cs="Arial" w:eastAsia="Arial" w:hAnsi="Arial"/>
          <w:sz w:val="16"/>
          <w:szCs w:val="16"/>
          <w:color w:val="auto"/>
        </w:rPr>
        <w:t>Mr. Vroman has served as our Senior Managing Director, Chief Transformation Officer since November 2021. He previously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Managing Director, International and Optimization Services since February 2020 and as our Senior Managing Director, Cash Markets and Optimization Service since 2018. Since joining the company in 2001, he has held a variety of senior leadership roles, including Managing Director, Planning and Execution; Global Head, Commodity Products and OTC Solutions, and Managing Director and Chief Corporate Development Officer. Prior to joining us, Mr. Vroman most recently served as Vice President, Corporate Operations/Chief of Staff to the Chief Executive Officer for marchFirst Inc.</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Julie Winkler, 48</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Winkler has served as our Senior Managing Director, Chief Commercial Officer since 2016. She leads the company’s sales,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research and product development, data analytics, and innovation lab functions, as well as the data services business line. She previously served as 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 Dow Jones Indices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Our website is </w:t>
      </w:r>
      <w:r>
        <w:rPr>
          <w:rFonts w:ascii="Arial" w:cs="Arial" w:eastAsia="Arial" w:hAnsi="Arial"/>
          <w:sz w:val="16"/>
          <w:szCs w:val="16"/>
          <w:i w:val="1"/>
          <w:iCs w:val="1"/>
          <w:color w:val="auto"/>
        </w:rPr>
        <w:t>www.cmegroup.com</w:t>
      </w:r>
      <w:r>
        <w:rPr>
          <w:rFonts w:ascii="Arial" w:cs="Arial" w:eastAsia="Arial" w:hAnsi="Arial"/>
          <w:sz w:val="16"/>
          <w:szCs w:val="16"/>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may also be found on our website. The SEC also maintains an Internet site that contains reports, proxy and information statements, and other reports that we file or furnish with the SEC at http://www.sec.gov. Copies of these materials also are available to shareholders free of charge upon request to Shareholder Relations, officeofthesecretary@cmegroup.com. Information regarding our sustainability practices is available in our annual Corporate Citizenship &amp; Sustainability Reports, including our report for 2022 when issued, at the following: https://www.cmegroup.com/company/corporate-citizenship/esg.html.</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economic, political and geopolitical market conditions, including the instability caused by the war between Russia and Ukraine;</w:t>
      </w:r>
    </w:p>
    <w:p>
      <w:pPr>
        <w:spacing w:after="0" w:line="39" w:lineRule="exact"/>
        <w:rPr>
          <w:rFonts w:ascii="Arial" w:cs="Arial" w:eastAsia="Arial" w:hAnsi="Arial"/>
          <w:sz w:val="22"/>
          <w:szCs w:val="22"/>
          <w:color w:val="auto"/>
        </w:rPr>
      </w:pPr>
    </w:p>
    <w:p>
      <w:pPr>
        <w:ind w:left="660" w:right="1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 including any direct or indirect restrictions on or increased costs associated with trading in our markets or our clearing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63"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cash and over-the-counter (OTC) markets and in their underlying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demand or supply in commodities underlying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monetary policies, including central bank decisions related to quantitative easing and the U.S. Federal Reserve and other international banks' forecasted interest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levels of assets under our customers'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or expansion in our customer base and within our industry.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challenging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1A - Risk Factors - Risks Relating To Our Business" beginning on page 19 for additional information.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 fines or other consequences to our regulated status.</w:t>
      </w:r>
    </w:p>
    <w:p>
      <w:pPr>
        <w:spacing w:after="0" w:line="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U.S., U.K. and European Union. As a result of our global operations, we are also subject to the rules and regulations of other local jurisdictions in which we conduct business and offer our products and services, as appropriate.</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businesses and those of many of our clients have been and continue to be subject to extensive legislation and regulatory scrutiny, and we face the risk of continued increasing oversight and changes to our regulatory environment and business in the future and have incurred and expect to continue to incur significant costs to comply. Additional new laws or regulations or changes in enforcement practices applicable to our businesses or those of our clients could be imposed in the U.S. or other jurisdictions, which could change, or require us to change, our business practices or the structure of our business, including its current governance, risk oversight or regulatory structure, or impose significant costs on us by, for example, requiring more of our funds to be set aside for the guaranty fund or to meet other compliance requirements. This could adversely affect our ability to compete effectively with other institutions that are not affected in the same way or impact our clients' overall trading volume and demand for our market data and other services. Additionally, regulations imposed on financial institutions or market participants generally may adversely impact their trading activity in our markets. To the extent the legislative and regulatory environment becomes more onerous for us to comply or less beneficial for us or our customers, our business, financial condition and operating results could be negatively affected.</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Legislation may be proposed, both domestically and internationally, that could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 with a resulting negative impact on our business, financial condition and operating results.</w:t>
      </w:r>
    </w:p>
    <w:p>
      <w:pPr>
        <w:spacing w:after="0" w:line="7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swap data repository, broker-dealer, multilateral trading facility or other regulatory status.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broker-dealer and multilateral trading facility businesses, BrokerTec and EBS, are also extensively regulated in various jurisdictions.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comply with these regulatory obligations include potential liability and/or disciplinary action against the firm and individuals, monetary penalties and restrictions on future activities.</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could adversely impact the willingness of such participants to continue trading on our platform. As part of maintaining its FICC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1 - Business - Regulatory Matters" beginning on page 11 for additional information on our areas of regulatory focus.</w:t>
      </w:r>
    </w:p>
    <w:p>
      <w:pPr>
        <w:spacing w:after="0" w:line="117"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3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for our futures and options business is to operate an efficient and transparent vertically integrated transaction execution, clearing and settlement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of futures or options from an exchange-owned clearing house to a clearing house owned and controlled by clearing firms. If these legislative or regulatory changes are adopted, our business, financial condition and operating results could be adversely affected.</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Our industry is highly competitive, and we expect competition to continue to intensify. We encounter competition in all aspects of our business, including from entities having substantially greater capital and resources, offering a wide range of products and services and in some cases operating under a different</w:t>
      </w:r>
    </w:p>
    <w:p>
      <w:pPr>
        <w:ind w:right="80"/>
        <w:spacing w:after="0" w:line="259" w:lineRule="auto"/>
        <w:rPr>
          <w:sz w:val="20"/>
          <w:szCs w:val="20"/>
          <w:color w:val="auto"/>
        </w:rPr>
      </w:pPr>
      <w:r>
        <w:rPr>
          <w:rFonts w:ascii="Arial" w:cs="Arial" w:eastAsia="Arial" w:hAnsi="Arial"/>
          <w:sz w:val="18"/>
          <w:szCs w:val="18"/>
          <w:color w:val="auto"/>
        </w:rPr>
        <w:t>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158" w:lineRule="exact"/>
        <w:rPr>
          <w:sz w:val="20"/>
          <w:szCs w:val="20"/>
          <w:color w:val="auto"/>
        </w:rPr>
      </w:pPr>
    </w:p>
    <w:p>
      <w:pPr>
        <w:ind w:left="660" w:right="30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respond more quickly to competitive pressures and opportunities, including responses based upon their corporate governance structures, which may be more flexible and efficient than our corporate governance structure;</w:t>
      </w:r>
    </w:p>
    <w:p>
      <w:pPr>
        <w:spacing w:after="0" w:line="4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 compared to those offered by CME Group;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utilize better, more user-friendly or more reliable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 that provide a competitive advantage;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6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or</w:t>
      </w:r>
    </w:p>
    <w:p>
      <w:pPr>
        <w:spacing w:after="0" w:line="8"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our products, markets and services are not competitive or are viewed as less competitive, our business, financial condition and operating results could be adversely affected. A decline in our fees or loss of customers could lower our revenues, which would adversely affect our profitability.</w:t>
      </w:r>
    </w:p>
    <w:p>
      <w:pPr>
        <w:spacing w:after="0" w:line="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Please see "Item 1 - Business - Competition" beginning on page 10 for additional information on the competitive environment and its potential impact on our business.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success of our business depends, in part, on our ability to maintain and increase trading volume in our markets. To do so, we must maintain and expand our product offerings, our customer base and our trade execution facilities, our pre-and post-trade services and clearing facilities. Our success also depends on our ability to offer competitive prices and services in an increasingly price-sensitive business. For example, some of our competitors have engaged in aggressive pricing strategies in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w:t>
      </w:r>
    </w:p>
    <w:p>
      <w:pPr>
        <w:spacing w:after="0" w:line="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7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we fail to maintain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Our role in the global marketplace places us at greater risk than other public companies for a cyber attack and other cyber-security risks. Our technology, our customers and our people and those of our third-party service providers may be vulnerable to cyber-security threats, which could result in wrongful use of our data or our customers’ data or cause interruptions in our operations that cause us to lose customers and trading volume and result in substantial liabilities. We also could be required to incur significant expense to protect or remediate damage to our systems and/or investigate any alleged attack.</w:t>
      </w:r>
    </w:p>
    <w:p>
      <w:pPr>
        <w:spacing w:after="0" w:line="8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regard the secure storage and transmission of data and the ability to continuously transact and clear on our electronic trading platforms as critical elements of our operations and our operational resiliency. Our technology, our customers, our people and those of our third-party service providers may be vulnerable to targeted attacks, such as "phishing" attacks, unauthorized access, fraud, computer viruses, denial of service attacks, terrorism, "ransomware" attacks, firewall or encryption failures or other security or operational risks. Criminal groups, political activist groups and nation-state actors have targeted the financial services industry in general, including as a result of the Russian and Ukraine war, and our role in the global marketplace places us at greater</w:t>
      </w:r>
    </w:p>
    <w:p>
      <w:pPr>
        <w:spacing w:after="0" w:line="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risk than other public companies for a cyber attack and other information security threats. While we have not experienced cyber incidents that are individually, or in the aggregate, material, we have experienced cyber attacks of varying degrees in the past.</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usage of mobile, web, and cloud technologies, such as those pursuant to our partnership with Google Cloud, may increase our risk of a cyber attack. Our security defenses may also be impacted or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or others. The regulatory environment related to information security, privacy, data collection and data usage is increasingly rigorous and complex, and any failure to comply may carry significant penalties and reputational damage.</w:t>
      </w:r>
    </w:p>
    <w:p>
      <w:pPr>
        <w:spacing w:after="0" w:line="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designed our cyber defense program to mitigate such attacks and security risks through administrative, physical and technical safeguards. As part of our global information security and privacy programs, we employ resources to prevent, detect and respond to cyber-attacks and security risks that could impact our people, processes and technology infrastructure, including rapid response to zero-day vulnerabilities. However, our security measures or those of our third-party providers, including any cloud-based technologies, such as those pursuant to our partnership with Google Cloud,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Though we have insurance against certain cyber and privacy risks and attacks, we may be subject to litigation and financial losses that exceed our policy limits or are not covered under any of our current insurance policies.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regulatory liability and penalties.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Many aspects of our business present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which poses physical security risks and cyber-security risks, than other companies.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to provide operational resiliency, in the event of an attack or a threat of an attack, these security measures and contingency plans may be inadequate to prevent significant disruptions in our business, technology or access to the infrastructure necessary to maintain our business. Such an attack may result in harm to our personnel or the closure of our facilities or render our backup data and recovery systems inoperable. Damage to our facilities due to terrorist attacks may be significantly in excess of any amount of insurance coverage available, or we may not be able to insure against such damage at a reasonable price or at all. The threat of terrorist attacks also may negatively affect our ability to attract and retain employees. Any of these events could have a material adverse effect on our business, financial condition, and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COVID-19 pandemic has negatively affected the global economy, including the U.S. economy and the global financial markets, and has disrupted our business and our clients’ businesses. The ultimate impact from COVID-19, including duration, is unknown and could have an adverse effect on our business, financial condition and results of operations.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COVID-19 pandemic continues to cause disruptions in the international and U.S. economies and financial markets. The spread of COVID-19 has caused illness, quarantines, cancellation of events and travel, business and school shutdowns, reduction in business activity and financial transactions, labor shortages, employee attrition, supply chain interruptions and overall economic and financial market instability in the U.S. Similar impacts also had been experienced throughout the world, including in every country in which we do business. Given the unique and unpredictable nature of this event, future impacts to our business are unknown and could be material. Those impacts may include, among others, the following:</w:t>
      </w:r>
    </w:p>
    <w:p>
      <w:pPr>
        <w:spacing w:after="0" w:line="8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Disruption to our business and operations;</w:t>
      </w:r>
    </w:p>
    <w:p>
      <w:pPr>
        <w:spacing w:after="0" w:line="39" w:lineRule="exact"/>
        <w:rPr>
          <w:rFonts w:ascii="Arial" w:cs="Arial" w:eastAsia="Arial" w:hAnsi="Arial"/>
          <w:sz w:val="22"/>
          <w:szCs w:val="22"/>
          <w:color w:val="auto"/>
        </w:rPr>
      </w:pPr>
    </w:p>
    <w:p>
      <w:pPr>
        <w:ind w:left="660" w:right="5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Key members of senior management or a significant number of our employees being unable to work as a result of contracting COVID-19 or related illnesses;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Impacts on our third-party suppliers and their ability to fulfill their obligations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trading volume and unprecedented market stresses in global financial markets;</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demand for our products and services, based upon fiscal, monetary, and trade policies adopted in response to the economic impact of the pandemic;</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economic activity generally, which could cause businesses to have less need to hedge in our markets; and</w:t>
      </w:r>
    </w:p>
    <w:p>
      <w:pPr>
        <w:spacing w:after="0" w:line="63"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and operational stress experienced by our clearing firm members due to unprecedented volatility or downturn, including significant losses that may result in a reduction of business or a default.</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potential impacts may exist for a significant period of time and may adversely affect our business, financial condition, and results of operations even if the COVID-19 pandemic becomes endemic.</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since implementing broad work-from-home measures during the pandemic, we have an increased dependency on remote equipment and connectivity infrastructure to access critical business systems that may be subject to failure or disruption of availability, which could negatively impact our business operations. Further, we have been subject to increased phishing and other social engineering attempts by malicious actors to manipulate individuals into divulging confidential or personal information or access to our networks. If our cybersecurity diligence and efforts to offset the increased risks associated with this greater reliance on mobile, collaborative and remote technologies are not effective or successful, we will be at increased risk for cyber security or data privacy incidents.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extent to which COVID-19 further impacts our business, results of operations or financial condition will depend on future developments, which are highly uncertain and difficult to predict, but may include, among others, the duration and spread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virus, including through new variant strains, its severity, the actions taken by governments and other third parties to contain the virus or treat its impact, such as vaccination, and the effect of such actions on our business practices, the impact of any future federal stimulus measures, and the pace at which, and the extent to which, normal economic and operating conditions resume.</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many of the other risk factors described herein could be heightened by the effects of COVID-19 and related economic conditions, which could result in a material impact on our results of operations, financial condition and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harm our business.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Maintaining our reputation and brand is critical to attracting and retaining customers, investors and employees and to maintaining our relationships with our regulators and other government officials. Negative publicity regarding our company or actual, alleged or perceived issues regarding our company, products or services, including social and environmental concerns relating to our company or certain commodity products and increased impact from climate change or criticism or market reaction to the performance of our market in periods of extreme volatility, could give rise to reputational risk, which could significantly harm our business prospects. These issues may include, but are not limited to, any of the risks discussed in this Item 1A, including risks from customer disputes, system failures or intrusions, failures to meet our regulatory obligations, failures of a clearing firm or other counterparty, issues relating to our third-party suppliers, alleged or actual fraud or misconduct or manipulative activity, or ineffective risk management.</w:t>
      </w:r>
    </w:p>
    <w:p>
      <w:pPr>
        <w:spacing w:after="0" w:line="5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The success of our markets depends on our ability to complete development of, successfully implement and maintain the electronic trading and clearing systems that have the functionality, performance, availability and resilience, capacity, security and speed required by our customers.</w:t>
      </w:r>
    </w:p>
    <w:p>
      <w:pPr>
        <w:spacing w:after="0" w:line="2" w:lineRule="exact"/>
        <w:rPr>
          <w:sz w:val="20"/>
          <w:szCs w:val="20"/>
          <w:color w:val="auto"/>
        </w:rPr>
      </w:pPr>
    </w:p>
    <w:p>
      <w:pPr>
        <w:jc w:val="both"/>
        <w:ind w:right="340"/>
        <w:spacing w:after="0" w:line="270" w:lineRule="auto"/>
        <w:rPr>
          <w:sz w:val="20"/>
          <w:szCs w:val="20"/>
          <w:color w:val="auto"/>
        </w:rPr>
      </w:pPr>
      <w:r>
        <w:rPr>
          <w:rFonts w:ascii="Arial" w:cs="Arial" w:eastAsia="Arial" w:hAnsi="Arial"/>
          <w:sz w:val="17"/>
          <w:szCs w:val="17"/>
          <w:color w:val="auto"/>
        </w:rPr>
        <w:t>The success of our business depends in large part on our ability to create interactive electronic marketplaces for a wide range of products that have the required functionality, performance, availability and resilience, capacity, security and speed to attract and retain customers. In 2022, 93% of our overall contract volume was generated through electronic trading on our CME Globex electronic platform.</w:t>
      </w:r>
    </w:p>
    <w:p>
      <w:pPr>
        <w:spacing w:after="0" w:line="5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10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provide reliable and cost-effective services to our customers;</w:t>
      </w:r>
    </w:p>
    <w:p>
      <w:pPr>
        <w:spacing w:after="0" w:line="39" w:lineRule="exact"/>
        <w:rPr>
          <w:rFonts w:ascii="Arial" w:cs="Arial" w:eastAsia="Arial" w:hAnsi="Arial"/>
          <w:sz w:val="22"/>
          <w:szCs w:val="22"/>
          <w:color w:val="auto"/>
        </w:rPr>
      </w:pPr>
    </w:p>
    <w:p>
      <w:pPr>
        <w:ind w:left="660" w:right="7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a manner that is competitive with the functionality supported by other electronic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the competitiveness of our fee structure;</w:t>
      </w:r>
    </w:p>
    <w:p>
      <w:pPr>
        <w:spacing w:after="0" w:line="63"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systems and automated order routing system;</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6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platforms and other technology offerings.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success of our markets depends on our ability to complete development of, successfully implement and maintain the electronic trading and clearing</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systems that have the functionality, performance, availability and resilience, capacity, security and speed required by our customers. If we do not successfully enhance our electronic trading systems and technology offerings, including the development and migration of our marketplace and supporting operational and business functions to the Cloud, if we are unable to develop our trading systems and technology offerings to include other products and markets, or if they do not have the required functionality, performance, availability and resilience, capacity, security and speed desired by our customers, our ability to successfully compete and our revenues and profits will be adversely affected.</w:t>
      </w:r>
    </w:p>
    <w:p>
      <w:pPr>
        <w:spacing w:after="0" w:line="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unanticipated disruptions in service to our customers;</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response times and delays in our customers' trade execution and processing;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cannot assure that we will not experience system failures from power or telecommunications failures, acts of God, war or terrorism, human error on our part or on the part of our third-party providers or partners,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5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or speed.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76"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We depend on a number of suppliers, such as banking, clearing and settlement organizations, telephone companies, internet service providers, data processors, cloud hosting providers, data center providers, and software and hardware vendors, for elements of our trading, clearing, and other systems, as</w:t>
      </w:r>
    </w:p>
    <w:p>
      <w:pPr>
        <w:ind w:right="280"/>
        <w:spacing w:after="0" w:line="259" w:lineRule="auto"/>
        <w:rPr>
          <w:sz w:val="20"/>
          <w:szCs w:val="20"/>
          <w:color w:val="auto"/>
        </w:rPr>
      </w:pPr>
      <w:r>
        <w:rPr>
          <w:rFonts w:ascii="Arial" w:cs="Arial" w:eastAsia="Arial" w:hAnsi="Arial"/>
          <w:sz w:val="18"/>
          <w:szCs w:val="18"/>
          <w:color w:val="auto"/>
        </w:rPr>
        <w:t>well as communications and networking equipment, computer hardware and software and related support and maintenance. Although we conduct due diligence and monitor important suppliers and service providers (including their resiliency), we cannot provide assurances of their performance and any interruption or cessation of their supplies or services could negatively impact our operations or those of our customers, as well as affect our reputation, financial or regulatory posture.</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and certify as to our enhancements and changes to their software to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interfaces and functionality, we cannot guarantee that they will continue to make the necessary monetary, resource and time investments to keep up with our enhancements and changes.</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the extent any of our service providers or the organizations that provide services to our customers in connection with their trading activities cease to provide these services or provide these services in an efficient, cost-effective manner, or fail to adequately expand their services to meet our needs and the needs of our customers, we could experience decreased trading volume, lower revenues, and higher costs. In addition, while we may be entitled to recovery for breaches of, or liabilities otherwise incurred in connection with, our agreements with third-party suppliers and service providers, such recovery is limited by the terms of these agreements and may not compensate us in full.</w:t>
      </w:r>
    </w:p>
    <w:p>
      <w:pPr>
        <w:spacing w:after="0" w:line="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guarantee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clearing firm becomes insolvent.</w:t>
      </w:r>
    </w:p>
    <w:p>
      <w:pPr>
        <w:spacing w:after="0" w:line="5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Our Three-Month Eurodollar futures and options contracts are based on the three-month U.S. Dollar London Interbank Offered Rate (LIBOR) underlying rate and will be transitioned to the three-month Secured Overnight Financing Rate (SOFR) futures and options in the first half of 2023. To the extent trading in Eurodollar contracts decreases ahead of this transition or our alternative contracts are not successful, our revenues would be negatively impacted. Certain of our other businesses could also be negatively affected by changes to LIBOR.</w:t>
      </w:r>
    </w:p>
    <w:p>
      <w:pPr>
        <w:spacing w:after="0" w:line="4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Eurodollar futures and options contracts are based on the three-month U.S. Dollar ICE LIBOR underlying rate. In 2022, average trading volume in our Eurodollar contracts was 2.4 million contracts and open interest was 17 million contracts and our average trading volume in our SOFR contracts was 2.2 million contracts and open interest was 29.3 million contracts. The U.K. FCA, which regulates LIBOR, announced its intention to phase out the use of LIBOR with the cessation of one-week and two-month USD LIBOR, as well as non-USD LIBOR tenors, after December 31, 2021, and the cessation of publication of the remaining USD LIBOR settings in a "representative" form (including three-month USD LIBOR) after June 30, 2023. In 2021, the U.S. Federal Reserve Board and other regulatory bodies issued guidance encouraging banks and other financial market participants to cease entering into new contracts that use USD LIBOR as a reference rate no later than December 31, 2021, and in March 2022, the Adjustable Interest Rate (LIBOR) Act was signed into law, establishing a framework for the replacement of LIBOR as a benchmark interest rate in U.S. contracts that do not provide for the use of a</w:t>
      </w:r>
    </w:p>
    <w:p>
      <w:pPr>
        <w:spacing w:after="0" w:line="2"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clearly defined and practicable benchmark replacement rate following the cessation of publication or publication in a "representative" form. In light of these developments, financial institutions that currently report information used to set USD LIBOR are expected to stop doing so during 2023, and we expect banks and other financial market participants to continue to cease entering into new contracts based on USD LIBOR. There is no guarantee that these market participants will adopt reference rates associated with our alternative products.</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U.S. Federal Reserve, in conjunction with the Alternative Reference Rates Committee, a steering committee comprised of large U.S. financial institutions, has recommended replacing USD LIBOR with SOFR. However, it is unknown whether SOFR will attain the same level of market acceptance as a replacement for LIBOR.</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transition away from LIBOR to alternative reference rates is complex and could have a material adverse effect on our business, financial condition and results of operations. We have closely engaged with the industry, regulators and market participants to launch products using alternative reference rates, including our SOFR and Sterling Overnight Index Average (SONIA) futures contracts, and we have announced that our Eurodollar futures and options contracts will be transitioned to SOFR futures and options in the first half of 2023. While these actions have resulted in an increase in market acceptance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SOFR, there is no guarantee that this transition will be successful, maintain current market structure, or replace the revenue we derive from our Eurodollar contracts if trading volume were to decline or discontinue altogether.</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offer a wide range of data services designed to support the trading, risk management, investment and business needs of our customers. Revenues from our market data and information services represented 12% of our total revenues during the years ended December 31, 2022 and December 31, 2021. Factors that may affect our performance and demand for our data include, but are not limited to:</w:t>
      </w:r>
    </w:p>
    <w:p>
      <w:pPr>
        <w:spacing w:after="0" w:line="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ability to maintain existing customers utilizing our data and to attract new customers with our products and services;</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overall trading volume, which may lead to a decreased demand for our market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challenging business environment for our customers, which may require them to reduce their usage of our market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impacts of new regulations, laws, rules or other government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ensure that customers are appropriately licensed and are paying fees for the data used;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protection of our intellectual property rights and identification of misappropriation and/or misuses of CME Group market data;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keep pace with technological developments and client preferences.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continue to execute on strategic initiatives to grow our business, including efforts to serve the OTC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and partnerships. Our growth strategy also may subject us to increased legal, compliance and regulatory obligations. Unless our growth results in an increase in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w:t>
      </w:r>
    </w:p>
    <w:p>
      <w:pPr>
        <w:spacing w:after="0" w:line="7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issue additional equity and/or debt or, as was the case in connection with our transaction with Google Cloud, issue additional equity as part of strategic partnerships with third parties. The issuance of additional equity in connection with any future transaction could be substantially dilutive to our existing shareholders. The issuance of additional debt could increase our leverage substantially.</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OSTTRA, our joint venture with IHS Markit (now a part of S&amp;P Global), is subject to many of these risks, including the potential we may not achieve the expected cost savings, synergies and other strategic benefits from the transaction within the anticipated time frames, that the joint venture may be more costly than expected, or that we may experience customer attrition.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expanded global operations, we face certain risks inherent in doing business internationally. These risks include:</w:t>
      </w:r>
    </w:p>
    <w:p>
      <w:pPr>
        <w:spacing w:after="0" w:line="13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fluctuations in currency exchange rates;</w:t>
      </w:r>
    </w:p>
    <w:p>
      <w:pPr>
        <w:spacing w:after="0" w:line="39" w:lineRule="exact"/>
        <w:rPr>
          <w:rFonts w:ascii="Arial" w:cs="Arial" w:eastAsia="Arial" w:hAnsi="Arial"/>
          <w:sz w:val="22"/>
          <w:szCs w:val="22"/>
          <w:color w:val="auto"/>
        </w:rPr>
      </w:pPr>
    </w:p>
    <w:p>
      <w:pPr>
        <w:ind w:left="660" w:right="5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complying with extensive and complex compliance requirements, regulations and oversight by regulators other than our primary functional regulators, including sanctions and anti-bribery laws;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associated costs in managing multiple international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social, and political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language and cultural differences;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E.U.-U.K. Trade and Cooperation Agreement was effective on January 1, 2021. As a result of Brexit, we have established a CME Group business in Amsterdam, an E.U. jurisdiction, which allows this business to continue offering products and services to customers in the E.U.; however, this has resulted in, and may continue to result in, increased legal, compliance and operational costs.</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risk management, compliance and monitoring programs might not be effective and may result in outcomes that could adversely affect our reputation, financial condition and operating results.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normal course of our business, we discuss matters with our regulators, including during supervisory engagements and regulatory examinations, and we are subject to their inquiry and oversight. Our regulators have broad enforcement and supervisory powers, including the power to censure, fine, issue cease-and-desist orders, prohibit us from engaging in some of our businesses or suspend or revoke our regulatory designations or the registration of our officers or employees who violate applicable laws or regulations. Our ability to manage our risks and comply with applicable laws and regulations in the jurisdictions where we operate is largely dependent on our establishment and maintenance of effective risk management,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risk management, compliance and monitoring policies, procedures and programs that are designed to prevent, detect, deter, monitor and manage our risks, including enterprise risk, compliance and internal audit programs, but such policies, procedures and programs may not be fully effective in their operation. Some of our risk management processes depend upon evaluation of information regarding markets, customers, employees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guarantee that our policies and procedures will always be effective or that we will always be successful in monitoring or evaluating the risks to which we are or may be exposed.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There continue to be highly publicized cases involving fraud or other misconduct or manipulative activity by employees of financial services firms and other market participants. Improper trading activity on our platforms by participants could include activities such as spoofing, layering, wash trading and manipulation. Misconduct by our employees and agents could include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hiding unauthorized activities from us, improper or unauthorized activities on behalf of customers or the company, improper securities trading activities, circumvention of controls and procedures, improper use or unauthorized disclosure of assets, data or confidential information of the company or its customers, among other potential misconduct.</w:t>
      </w:r>
    </w:p>
    <w:p>
      <w:pPr>
        <w:spacing w:after="0" w:line="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It is not always possible to deter misconduct, and the precautions we take to prevent and detect this activity may not be effective in all cases. If we were found to have not met our regulatory oversight and compliance obligations, we could be subject to regulatory sanctions, enforcement actions, financial penalties and restrictions on our activities for failure to properly identify, monitor and respond to potentially problematic activity, and such outcomes could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in our markets could affect our brand and reputation and reduce the number of participants trading in our markets. If that should occur, we could face a corresponding decline in trading volume and revenue.</w:t>
      </w:r>
    </w:p>
    <w:p>
      <w:pPr>
        <w:spacing w:after="0" w:line="6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7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are significantly dependent on the contract volume of products that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business is dependent on proprietary technology and other intellectual property that we own or license from third parties. We own the rights to a large number of trademarks, service marks, domain names and trade names in the U.S., Europe, and other parts of the world. We have registered many of our most important trademarks in the U.S.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trademarks, copyright, database rights, trade secrets, restrictions on disclosure, and other methods. Notwithstanding the precautions we take to protect our proprietary technology and intellectual property rights, it is possible that employees or third parties may copy, misappropriate, or otherwise obtain and use our proprietary technology without authorization or otherwise infringe on our rights.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guarantee that we are or will be aware of all patents containing claims that may pose a risk of infringement by our products and services. In addition, some patent applications in the U.S.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2022, we had approximately $3.4 billion of total indebtedness and we had excess borrowing capacity for general corporate purposes under our existing facilities of approximately $2.3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117" w:lineRule="exact"/>
        <w:rPr>
          <w:sz w:val="20"/>
          <w:szCs w:val="20"/>
          <w:color w:val="auto"/>
        </w:rPr>
      </w:pPr>
    </w:p>
    <w:p>
      <w:pPr>
        <w:ind w:left="660" w:right="360" w:hanging="328"/>
        <w:spacing w:after="0" w:line="29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117"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particularly given the recent changes in interest rates could increase the risks described above to the extent that we incur additional debt. Our regulated businesses are also required to maintain minimum capital requirements set by their applicable regulators.</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see "Item 7 - Management's Discussion and Analysis of Financial Condition and Results of Operations — Regulatory Requirements" beginning on page 45 for additional information regarding capital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including in connection with the global pandemic and rising interest rates, there can be no assurance that we will maintain our current ratings. In the past, we have experienced ratings downgrades. Our failure to maintain our ratings could adversely affect the cost and other terms upon which we are able</w:t>
      </w:r>
    </w:p>
    <w:p>
      <w:pPr>
        <w:spacing w:after="0" w:line="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average rate per contract for our derivatives business is subject to fluctuation due to a number of factors. As a result, our average rate per contract in any particular period may not be a reliable indication of our future average rate per contract.</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Ten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substantial influence over the operation of our business.</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Ten of our directors own, or are officers or directors of firms that own trading rights on our exchanges. We are dependent on the revenues from the trading and clearing activities of our exchange members. In 2022, 83% of our derivatives contract volume was derived from our members. This dependence may give them substantial influence over how we operate our business.</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Many of our members and clearing firms derive a substantial portion of their income and profit from their trading or clearing activities on or through our exchanges. In addition, trading rights on our exchanges have substantial independent value. The amount of profit that members derive from their trading, brokering and clearing activities and the value of their trading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and prior attempts to do so did not receive the necessary shareholder approvals.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corporate headquarters are located at 20 South Wacker Drive, Chicago, IL, where we lease approximately 575,000 square feet of general office space. This lease expires in 2032. Our European headquarters are located at the London Fruit &amp; Wool Exchange at 1 Duval Square, London, where we lease approximately 120,000 square feet of general office space. This lease expires in 2038.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also lease our largest data center from CyrusOne in Aurora, IL. This lease expires in 2031.</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to the above properties, we have other offices and data centers in various locations around the globe. The company’s management believes that its properties are suitable for the purposes for which they are used and our current needs. Please see note 5. Property and note 11. Leases to the consolidated financial statements for more information.</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"Legal and Regulatory Matters" in note 12. Contingencies to the consolidated financial statements beginning on page 74 for CME Group’s legal proceedings disclosure, which is incorporated herein by reference.</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840" w:right="180" w:hanging="1295"/>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8, 2023, there were approximately 4,365 holders of record of our Class A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(OTC)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8, 2023, there were approximately 1,535 holders of record of our Class B common stock.</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2021, we issued and sold in a private placement approximately 4.6 million shares of Series G Non-Voting Convertible Preferred Stock. Series G Non-Voting Convertible Preferred Stock is not listed on a national securities exchange or traded in an organized OTC market. These shares are convertible to Class A common stock at the discretion of the holder at a specified conversion rate, which is initially 1:1. Series G Non-Voting Convertible Preferred Stock has the same equitable interest in our earnings and the same dividend payments per share as our Class A shares on an as converted basis. As of February 8, 2023, there was one holder of record of our Series G Non-Voting Convertible Preferred Stock.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graph below compares the cumulative five-year total return on CME Group Inc.'s Class A common stock relative to the cumulative total returns of the S&amp;P 500 index and a customized peer group of five companies that include: Cboe Global Markets Inc, Deutsche Boerse Ag, Intercontinental Exchange Inc, London Stock Exchange Group Plc and Nasdaq Inc. An investment of $100 (with reinvestment of all dividends) is assumed to have been made in our Class A common stock, in the peer group and the S&amp;P 500 index on December 29, 2017 and its relative performance is tracked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40005</wp:posOffset>
            </wp:positionV>
            <wp:extent cx="5469255" cy="4723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9255"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5"/>
        </w:trPr>
        <w:tc>
          <w:tcPr>
            <w:tcW w:w="2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 Group Inc.</w:t>
            </w:r>
          </w:p>
        </w:tc>
        <w:tc>
          <w:tcPr>
            <w:tcW w:w="20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3"/>
              </w:rPr>
              <w:t>132.12</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144.90</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135.72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175.75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w:t>
            </w: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0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95.62</w:t>
            </w:r>
          </w:p>
        </w:tc>
        <w:tc>
          <w:tcPr>
            <w:tcW w:w="94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125.72</w:t>
            </w:r>
          </w:p>
        </w:tc>
        <w:tc>
          <w:tcPr>
            <w:tcW w:w="9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148.85</w:t>
            </w:r>
          </w:p>
        </w:tc>
        <w:tc>
          <w:tcPr>
            <w:tcW w:w="4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191.58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156.89</w:t>
            </w: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3"/>
              </w:rPr>
              <w:t>106.56</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139.51</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162.48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186.96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252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5"/>
              </w:rPr>
              <w:t>Maximum Number (or Approximate</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w w:val="92"/>
              </w:rPr>
              <w:t>Shares (or Units)</w:t>
            </w:r>
          </w:p>
        </w:tc>
        <w:tc>
          <w:tcPr>
            <w:tcW w:w="3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Number</w:t>
            </w:r>
          </w:p>
        </w:tc>
        <w:tc>
          <w:tcPr>
            <w:tcW w:w="14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Average Price</w:t>
            </w:r>
          </w:p>
        </w:tc>
        <w:tc>
          <w:tcPr>
            <w:tcW w:w="15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tcPr>
          <w:p>
            <w:pPr>
              <w:jc w:val="center"/>
              <w:ind w:left="228"/>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40"/>
              <w:spacing w:after="0" w:line="13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4"/>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 in 2022</w:t>
            </w:r>
          </w:p>
        </w:tc>
        <w:tc>
          <w:tcPr>
            <w:tcW w:w="17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of Shares (or Units)</w:t>
            </w:r>
          </w:p>
        </w:tc>
        <w:tc>
          <w:tcPr>
            <w:tcW w:w="1460" w:type="dxa"/>
            <w:vAlign w:val="bottom"/>
          </w:tcPr>
          <w:p>
            <w:pPr>
              <w:jc w:val="center"/>
              <w:ind w:right="159"/>
              <w:spacing w:after="0" w:line="145" w:lineRule="exact"/>
              <w:rPr>
                <w:sz w:val="20"/>
                <w:szCs w:val="20"/>
                <w:color w:val="auto"/>
              </w:rPr>
            </w:pPr>
            <w:r>
              <w:rPr>
                <w:rFonts w:ascii="Arial" w:cs="Arial" w:eastAsia="Arial" w:hAnsi="Arial"/>
                <w:sz w:val="14"/>
                <w:szCs w:val="14"/>
                <w:b w:val="1"/>
                <w:bCs w:val="1"/>
                <w:color w:val="auto"/>
                <w:w w:val="93"/>
              </w:rPr>
              <w:t>Paid Per Share (or</w:t>
            </w:r>
          </w:p>
        </w:tc>
        <w:tc>
          <w:tcPr>
            <w:tcW w:w="158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23"/>
                <w:szCs w:val="23"/>
                <w:b w:val="1"/>
                <w:bCs w:val="1"/>
                <w:color w:val="auto"/>
                <w:w w:val="86"/>
                <w:vertAlign w:val="superscript"/>
              </w:rPr>
              <w:t>(1)</w:t>
            </w: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Unit)</w:t>
            </w:r>
          </w:p>
        </w:tc>
        <w:tc>
          <w:tcPr>
            <w:tcW w:w="15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Plans or Programs</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the Plans or Programs (in millions)</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to October 31</w:t>
            </w:r>
          </w:p>
        </w:tc>
        <w:tc>
          <w:tcPr>
            <w:tcW w:w="17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November 1 to November 30</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8"/>
                <w:szCs w:val="18"/>
                <w:color w:val="auto"/>
              </w:rPr>
              <w:t>174.25</w:t>
            </w:r>
          </w:p>
        </w:tc>
        <w:tc>
          <w:tcPr>
            <w:tcW w:w="158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8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to December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168.16</w:t>
            </w: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20" w:hanging="652"/>
        <w:spacing w:after="0" w:line="27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Shares purchased consist of an aggregate of 20,536 shares of Class A common stock surrendered to satisfy employee tax obligations upon the vesting of restricted stock.</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8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100" w:lineRule="exact"/>
        <w:rPr>
          <w:sz w:val="20"/>
          <w:szCs w:val="20"/>
          <w:color w:val="auto"/>
        </w:rPr>
      </w:pPr>
    </w:p>
    <w:p>
      <w:pPr>
        <w:ind w:left="660" w:right="30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40"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that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10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2022 financial results and a discussion of any known events or trends that are likely to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results.</w:t>
      </w:r>
    </w:p>
    <w:p>
      <w:pPr>
        <w:spacing w:after="0" w:line="40" w:lineRule="exact"/>
        <w:rPr>
          <w:rFonts w:ascii="Arial" w:cs="Arial" w:eastAsia="Arial" w:hAnsi="Arial"/>
          <w:sz w:val="18"/>
          <w:szCs w:val="18"/>
          <w:color w:val="auto"/>
        </w:rPr>
      </w:pPr>
    </w:p>
    <w:p>
      <w:pPr>
        <w:ind w:left="660" w:right="12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offer our customers the opportunity to trade futures contracts and options contracts on a range of products, including those based on interest rates, equity indexes, foreign exchange, agricultural commodities, energy and metals.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4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Prior to September 2021, we provided optimization services that delivered transaction lifecycle management and information services to help our customers optimize their capital, mitigate their risk and reduce operational costs. Optimization services included Traiana, TriOptima and Reset. In September 2021, we contributed the net assets of our optimization business to OSTTRA, our joint venture with IHS Markit (later acquired by S&amp;P Global).</w:t>
      </w:r>
    </w:p>
    <w:p>
      <w:pPr>
        <w:spacing w:after="0" w:line="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 Certain BrokerTec contracts are cleared at third-party clearing houses.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Economic Environment. </w:t>
      </w:r>
      <w:r>
        <w:rPr>
          <w:rFonts w:ascii="Arial" w:cs="Arial" w:eastAsia="Arial" w:hAnsi="Arial"/>
          <w:sz w:val="18"/>
          <w:szCs w:val="18"/>
          <w:color w:val="auto"/>
        </w:rPr>
        <w:t>Our customers continue to use our markets as an effective and transparent means to manage risk and meet their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needs. Trading activity in our centralized markets has fluctuated due to the ongoing uncertainty in the financial markets,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competitive and we continue to encounter competition in all aspects of our business. We expect competition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intensify, especially in light of ongoing regulatory reform in the financial services industry. Competition is influenced by our brand and reputation; the efficiency and security of our settlement, clearing and support services; depth and liquidity of our markets;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and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compete in a large and expanding financial services trading, clearing and settlement marketplace globally. As markets continue to evolve, we will continue to adapt our trading technology and clearing services to meet the needs of our customers. The competitive environment to which we are subject is discussed in "Item 1 - Business" beginning on page 10.</w:t>
      </w:r>
    </w:p>
    <w:p>
      <w:pPr>
        <w:spacing w:after="0" w:line="74"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Regulatory Environment. </w:t>
      </w:r>
      <w:r>
        <w:rPr>
          <w:rFonts w:ascii="Arial" w:cs="Arial" w:eastAsia="Arial" w:hAnsi="Arial"/>
          <w:sz w:val="17"/>
          <w:szCs w:val="17"/>
          <w:color w:val="auto"/>
        </w:rPr>
        <w:t>Our exchange-traded derivatives exchanges and other businesses are regulated and we serve a customer base that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regulated institutions and individuals. Developments in the regulatory environment 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 Business" beginning on page 11.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strategy focuses on maximizing futures and options growth globally, diversifying our business and revenues and delivering unparalleled customer efficiencies and operational excellence, including through our partnership with Google Cloud. This strategy allows us to continue to develop into a more broadly diversified financial exchange that provides trading and clearing solutions across a wide range of products and asset classes. Our strategic initiatives are discussed in "Item 1 - Business" beginning on page 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w:t>
      </w:r>
      <w:r>
        <w:rPr>
          <w:rFonts w:ascii="Arial" w:cs="Arial" w:eastAsia="Arial" w:hAnsi="Arial"/>
          <w:sz w:val="16"/>
          <w:szCs w:val="16"/>
          <w:b w:val="1"/>
          <w:bCs w:val="1"/>
          <w:color w:val="auto"/>
        </w:rPr>
        <w:t xml:space="preserve"> </w:t>
      </w:r>
      <w:r>
        <w:rPr>
          <w:rFonts w:ascii="Arial" w:cs="Arial" w:eastAsia="Arial" w:hAnsi="Arial"/>
          <w:sz w:val="16"/>
          <w:szCs w:val="16"/>
          <w:color w:val="auto"/>
        </w:rPr>
        <w:t>for privately negotiated transactions and other volume-related charges for exchange-traded and over-the-counter (OTC)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62"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venue;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03" w:lineRule="exact"/>
        <w:rPr>
          <w:sz w:val="20"/>
          <w:szCs w:val="20"/>
          <w:color w:val="auto"/>
        </w:rPr>
      </w:pPr>
    </w:p>
    <w:p>
      <w:pPr>
        <w:ind w:left="340" w:right="260"/>
        <w:spacing w:after="0" w:line="311" w:lineRule="auto"/>
        <w:rPr>
          <w:sz w:val="20"/>
          <w:szCs w:val="20"/>
          <w:color w:val="auto"/>
        </w:rPr>
      </w:pPr>
      <w:r>
        <w:rPr>
          <w:rFonts w:ascii="Arial" w:cs="Arial" w:eastAsia="Arial" w:hAnsi="Arial"/>
          <w:sz w:val="16"/>
          <w:szCs w:val="16"/>
          <w:i w:val="1"/>
          <w:iCs w:val="1"/>
          <w:color w:val="auto"/>
        </w:rPr>
        <w:t xml:space="preserve">Rate structure. </w:t>
      </w:r>
      <w:r>
        <w:rPr>
          <w:rFonts w:ascii="Arial" w:cs="Arial" w:eastAsia="Arial" w:hAnsi="Arial"/>
          <w:sz w:val="16"/>
          <w:szCs w:val="16"/>
          <w:color w:val="auto"/>
        </w:rPr>
        <w:t>Customers benefit from volume discounts and limits on fees as part of our effort to increase liquidity in certain products. We offer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41"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contracts as well as cleared-only interest rate swap contracts. We also offer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spot and forward contracts and fixed income products. Rates are varied by product in order to optimize revenue on existing products and to encourage contract volume upon introduction of new products.</w:t>
      </w:r>
    </w:p>
    <w:p>
      <w:pPr>
        <w:spacing w:after="0" w:line="76" w:lineRule="exact"/>
        <w:rPr>
          <w:sz w:val="20"/>
          <w:szCs w:val="20"/>
          <w:color w:val="auto"/>
        </w:rPr>
      </w:pPr>
    </w:p>
    <w:p>
      <w:pPr>
        <w:jc w:val="both"/>
        <w:ind w:left="340" w:right="280"/>
        <w:spacing w:after="0" w:line="263"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and platforms are an international marketplace that brings together buyers and sellers mainly through our electronic trading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through open outcry trading and privately negotiated transactions. Any customer who is guaranteed by a clearing firm and who agrees to be bound by our exchange rules is able to obtain direct access to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electronic platforms. Open outcry trading is conducted exclusively by our members, who may execute trades on behalf of customers or for themselves. Beginning in May 2021, open outcry trading is now limited to Eurodollar options and Secured Overnight Financing Rate (SOFR) options products following the permanent closure of most of our open outcry pits.</w:t>
      </w:r>
    </w:p>
    <w:p>
      <w:pPr>
        <w:spacing w:after="0" w:line="76" w:lineRule="exact"/>
        <w:rPr>
          <w:sz w:val="20"/>
          <w:szCs w:val="20"/>
          <w:color w:val="auto"/>
        </w:rPr>
      </w:pPr>
    </w:p>
    <w:p>
      <w:pPr>
        <w:ind w:left="340" w:right="140"/>
        <w:spacing w:after="0" w:line="263"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76" w:lineRule="exact"/>
        <w:rPr>
          <w:sz w:val="20"/>
          <w:szCs w:val="20"/>
          <w:color w:val="auto"/>
        </w:rPr>
      </w:pPr>
    </w:p>
    <w:p>
      <w:pPr>
        <w:ind w:left="340" w:right="220"/>
        <w:spacing w:after="0" w:line="342" w:lineRule="auto"/>
        <w:rPr>
          <w:sz w:val="20"/>
          <w:szCs w:val="20"/>
          <w:color w:val="auto"/>
        </w:rPr>
      </w:pPr>
      <w:r>
        <w:rPr>
          <w:rFonts w:ascii="Arial" w:cs="Arial" w:eastAsia="Arial" w:hAnsi="Arial"/>
          <w:sz w:val="16"/>
          <w:szCs w:val="16"/>
          <w:i w:val="1"/>
          <w:iCs w:val="1"/>
          <w:color w:val="auto"/>
        </w:rPr>
        <w:t xml:space="preserve">Member/non-member mix. </w:t>
      </w:r>
      <w:r>
        <w:rPr>
          <w:rFonts w:ascii="Arial" w:cs="Arial" w:eastAsia="Arial" w:hAnsi="Arial"/>
          <w:sz w:val="16"/>
          <w:szCs w:val="16"/>
          <w:color w:val="auto"/>
        </w:rPr>
        <w:t>Generally, member customers are charged lower fees than our non-member customers. Holding all other factors constant,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decreases if the percentage of trades executed by members increases, and increases if the percentage of non-member trades increases.</w:t>
      </w:r>
    </w:p>
    <w:p>
      <w:pPr>
        <w:spacing w:after="0" w:line="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Clearing and transaction fees for cash markets business</w:t>
      </w:r>
      <w:r>
        <w:rPr>
          <w:rFonts w:ascii="Arial" w:cs="Arial" w:eastAsia="Arial" w:hAnsi="Arial"/>
          <w:sz w:val="18"/>
          <w:szCs w:val="18"/>
          <w:color w:val="auto"/>
        </w:rPr>
        <w:t>. Our cash markets business provides matching services whereby we match a buyer and seller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BrokerTec Americas also generates revenue from a matched principal business. This business serves as a fully matched counterparty to offsetting positions entered into by clients on our electronic trading platform to facilitate anonymity and access to clearing and settlement. Revenue is generated from this business generally on a transaction fee basis.</w:t>
      </w:r>
    </w:p>
    <w:p>
      <w:pPr>
        <w:spacing w:after="0" w:line="8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and other various services related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6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 includes access and communication fees. Access and communication fees are connectivity fees charged to members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contribution of the net assets of our optimization business to OSTTRA, other revenues included revenues from our optimization services, which included fees for risk management and information services for the OTC markets, including portfolio reconciliation and post-trade processing. Revenue earned from these services was typically generated through subscriptions or transaction fees.</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revenues also include fees for collateral management, equity subscription fees and fees for trade order routing through agreements from various strategic relationships as well as other services to members and clearing firms.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majority of our expenses do not vary directly with changes in our contract volume. However, licensing and other fee agreements can vary directly with certain equity, energy and swap volumes, and the majority of our employee bonuses vary indirectly with overall contract volume, as bonuses are primarily based on our financial performance.</w:t>
      </w:r>
    </w:p>
    <w:p>
      <w:pPr>
        <w:spacing w:after="0" w:line="7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7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50"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Amortization of purchased intangibles includes amortization of intangible assets obtained in our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operations.</w:t>
      </w:r>
    </w:p>
    <w:p>
      <w:pPr>
        <w:spacing w:after="0" w:line="58" w:lineRule="exact"/>
        <w:rPr>
          <w:sz w:val="20"/>
          <w:szCs w:val="20"/>
          <w:color w:val="auto"/>
        </w:rPr>
      </w:pPr>
    </w:p>
    <w:p>
      <w:pPr>
        <w:ind w:left="660" w:right="160" w:hanging="328"/>
        <w:spacing w:after="0" w:line="27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cloud consumption, functionality and redundancy requirements. It also may be impacted by growth in electronic contract volume and changes in the number of telecommunications hubs and connections which allow customers outside the U.S. to access our electronic platforms directly.</w:t>
      </w:r>
    </w:p>
    <w:p>
      <w:pPr>
        <w:spacing w:after="0" w:line="14" w:lineRule="exact"/>
        <w:rPr>
          <w:rFonts w:ascii="Arial" w:cs="Arial" w:eastAsia="Arial" w:hAnsi="Arial"/>
          <w:sz w:val="17"/>
          <w:szCs w:val="17"/>
          <w:color w:val="auto"/>
        </w:rPr>
      </w:pPr>
    </w:p>
    <w:p>
      <w:pPr>
        <w:ind w:left="660" w:right="180" w:hanging="328"/>
        <w:spacing w:after="0" w:line="30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ind w:left="660" w:right="40" w:hanging="328"/>
        <w:spacing w:after="0" w:line="293"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expenses include occupancy and building operations expenses including rent, maintenance, real estate taxes, utilities and other related costs related to leased property in Chicago, New York, the U.K., and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62" w:lineRule="exact"/>
        <w:rPr>
          <w:sz w:val="20"/>
          <w:szCs w:val="20"/>
          <w:color w:val="auto"/>
        </w:rPr>
      </w:pPr>
    </w:p>
    <w:p>
      <w:pPr>
        <w:ind w:left="660" w:right="20" w:hanging="328"/>
        <w:spacing w:after="0" w:line="27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and dividend income from our strategic equity investments, and gains and losses on trading securities in our non-qualified deferred compensation plans. 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54" w:lineRule="exact"/>
        <w:rPr>
          <w:rFonts w:ascii="Arial" w:cs="Arial" w:eastAsia="Arial" w:hAnsi="Arial"/>
          <w:sz w:val="17"/>
          <w:szCs w:val="17"/>
          <w:color w:val="auto"/>
        </w:rPr>
      </w:pPr>
    </w:p>
    <w:p>
      <w:pPr>
        <w:ind w:left="660" w:right="6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80" w:hanging="328"/>
        <w:spacing w:after="0" w:line="277"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Equity in net earnings (losses) of unconsolidated subsidiaries includes income and losses from our investments in S&amp;P Dow Jones Indices LLC, OSTTRA, Shanghai CFETS-NEX International Money Broking Co., Ltd. and Dubai Mercantile Exchange.</w:t>
      </w:r>
    </w:p>
    <w:p>
      <w:pPr>
        <w:spacing w:after="0" w:line="62" w:lineRule="exact"/>
        <w:rPr>
          <w:rFonts w:ascii="Arial" w:cs="Arial" w:eastAsia="Arial" w:hAnsi="Arial"/>
          <w:sz w:val="18"/>
          <w:szCs w:val="18"/>
          <w:b w:val="1"/>
          <w:bCs w:val="1"/>
          <w:color w:val="auto"/>
        </w:rPr>
      </w:pPr>
    </w:p>
    <w:p>
      <w:pPr>
        <w:ind w:lef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income (expense) includes expenses related to the distribution of a portion of interest earned on performance bond collateral reinvestment to the clearing firms, gains and losses on derivative contracts and other various income and expenses outside our core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6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38" w:lineRule="exact"/>
        <w:rPr>
          <w:sz w:val="20"/>
          <w:szCs w:val="20"/>
          <w:color w:val="auto"/>
        </w:rPr>
      </w:pPr>
    </w:p>
    <w:p>
      <w:pPr>
        <w:ind w:left="660" w:right="4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discussion regarding the fair value of financial assets and liabilities, see note 2. Summary of Significant Accounting Policies and note 17. Fair Value Measurements to the consolidated financial statements.</w:t>
      </w:r>
    </w:p>
    <w:p>
      <w:pPr>
        <w:spacing w:after="0" w:line="5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We review goodwill for impairment on a quarterly basis and whenever events or circumstances indicate that its carrying</w:t>
      </w:r>
      <w:r>
        <w:rPr>
          <w:rFonts w:ascii="Arial" w:cs="Arial" w:eastAsia="Arial" w:hAnsi="Arial"/>
          <w:sz w:val="16"/>
          <w:szCs w:val="16"/>
          <w:b w:val="1"/>
          <w:bCs w:val="1"/>
          <w:color w:val="auto"/>
        </w:rPr>
        <w:t xml:space="preserve"> </w:t>
      </w:r>
      <w:r>
        <w:rPr>
          <w:rFonts w:ascii="Arial" w:cs="Arial" w:eastAsia="Arial" w:hAnsi="Arial"/>
          <w:sz w:val="16"/>
          <w:szCs w:val="16"/>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 In addition, the carrying value of goodwill, as denominated in foreign currencies, is adjusted each reporting period as a result of movements in foreign currency exchange rates relative to the U.S. dollar. Such foreign currency translation adjustments are recorded in accumulated other comprehensive income (loss) within shareholders' equity.</w:t>
      </w:r>
    </w:p>
    <w:p>
      <w:pPr>
        <w:spacing w:after="0" w:line="5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also review indefinite-lived intangible assets on a quarterly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carrying value of the amortizing asset to its undiscounted net cash flows. If the carrying value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definite-lived intangible assets.</w:t>
      </w:r>
    </w:p>
    <w:p>
      <w:pPr>
        <w:spacing w:after="0" w:line="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A significant portion of our revenue is derived from the clearing and transaction fees we assess on each contract executed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our trading venues and cleared through our clearing house. Clearing and transaction fees are recognized as revenue when a buy and sell order are matched, novated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 reserve is established for estimated fee adjustments to reflect corrections to customer exchange trading privileges. This reserve has historically been immaterial. The reserve is based on the historical pattern of adjustments processed as well as management's estimate of future adjustment activity.</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w:t>
      </w:r>
      <w:r>
        <w:rPr>
          <w:rFonts w:ascii="Arial" w:cs="Arial" w:eastAsia="Arial" w:hAnsi="Arial"/>
          <w:sz w:val="17"/>
          <w:szCs w:val="17"/>
          <w:b w:val="1"/>
          <w:bCs w:val="1"/>
          <w:color w:val="auto"/>
        </w:rPr>
        <w:t xml:space="preserve"> </w:t>
      </w:r>
      <w:r>
        <w:rPr>
          <w:rFonts w:ascii="Arial" w:cs="Arial" w:eastAsia="Arial" w:hAnsi="Arial"/>
          <w:sz w:val="17"/>
          <w:szCs w:val="17"/>
          <w:color w:val="auto"/>
        </w:rPr>
        <w:t>of 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third-party expertise where appropriate.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software for internal use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We also enter into software hosting arrangements for software projects maintained or developed in the cloud. Software development costs incurred during the planning or maintenance stages of a software project are expensed as incurred, while certain costs incurred during the application development stage are capitalized and are amortized over the estimated useful life of the software, which is generally two to four years, but up to eight years for certain trading and clearing applications, depending upon expected useful lives. Amortization of capitalized costs begins only when the software becomes ready for its intended use. In addition, software assets are assessed for impairment when events or circumstances indicate that the carrying values may not be recoverable or that a reduction in the estimated useful lives is warranted.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following summarizes significant changes in our financial performance for the years presented. For a comparison of our results of operations for the fiscal years ended December 31, 2021 to December 31, 2020, see "Part II, Item 7 - Management's Discussion and Analysis of Financial Condition and Results of Operations" of our Annual Report on Form 10-K for the fiscal year ended December 31, 2021, filed with the SEC on February 25,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5"/>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data)</w:t>
            </w:r>
          </w:p>
        </w:tc>
        <w:tc>
          <w:tcPr>
            <w:tcW w:w="1260" w:type="dxa"/>
            <w:vAlign w:val="bottom"/>
          </w:tcPr>
          <w:p>
            <w:pPr>
              <w:spacing w:after="0"/>
              <w:rPr>
                <w:sz w:val="2"/>
                <w:szCs w:val="2"/>
                <w:color w:val="auto"/>
              </w:rPr>
            </w:pPr>
          </w:p>
        </w:tc>
        <w:tc>
          <w:tcPr>
            <w:tcW w:w="122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2"/>
                <w:szCs w:val="2"/>
                <w:color w:val="auto"/>
              </w:rPr>
            </w:pPr>
          </w:p>
        </w:tc>
        <w:tc>
          <w:tcPr>
            <w:tcW w:w="128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5,019.4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4,689.7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26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2,003.5</w:t>
            </w:r>
          </w:p>
        </w:tc>
        <w:tc>
          <w:tcPr>
            <w:tcW w:w="420" w:type="dxa"/>
            <w:vAlign w:val="bottom"/>
          </w:tcPr>
          <w:p>
            <w:pPr>
              <w:spacing w:after="0"/>
              <w:rPr>
                <w:sz w:val="19"/>
                <w:szCs w:val="19"/>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2,044.5</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56.4 %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474.4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728.4</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expense rate</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21.8 %</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CME Group</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2,691.0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2,636.4</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attributable to CME Group</w:t>
            </w: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7.40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7.29</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tcPr>
          <w:p>
            <w:pPr>
              <w:spacing w:after="0"/>
              <w:rPr>
                <w:sz w:val="20"/>
                <w:szCs w:val="20"/>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3,056.0</w:t>
            </w:r>
          </w:p>
        </w:tc>
        <w:tc>
          <w:tcPr>
            <w:tcW w:w="420" w:type="dxa"/>
            <w:vAlign w:val="bottom"/>
          </w:tcPr>
          <w:p>
            <w:pPr>
              <w:spacing w:after="0"/>
              <w:rPr>
                <w:sz w:val="20"/>
                <w:szCs w:val="20"/>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2,402.4</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
                <w:szCs w:val="2"/>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576.9</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6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4,689.7</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w:t>
      </w:r>
    </w:p>
    <w:p>
      <w:pPr>
        <w:spacing w:after="0" w:line="10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Year-over-Year Change</w:t>
            </w:r>
          </w:p>
        </w:tc>
      </w:tr>
      <w:tr>
        <w:trPr>
          <w:trHeight w:val="26"/>
        </w:trPr>
        <w:tc>
          <w:tcPr>
            <w:tcW w:w="4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7"/>
        </w:trPr>
        <w:tc>
          <w:tcPr>
            <w:tcW w:w="4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1180" w:type="dxa"/>
            <w:vAlign w:val="bottom"/>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80" w:type="dxa"/>
            <w:vAlign w:val="bottom"/>
          </w:tcPr>
          <w:p>
            <w:pPr>
              <w:jc w:val="right"/>
              <w:ind w:right="397"/>
              <w:spacing w:after="0"/>
              <w:rPr>
                <w:sz w:val="20"/>
                <w:szCs w:val="20"/>
                <w:color w:val="auto"/>
              </w:rPr>
            </w:pPr>
            <w:r>
              <w:rPr>
                <w:rFonts w:ascii="Arial" w:cs="Arial" w:eastAsia="Arial" w:hAnsi="Arial"/>
                <w:sz w:val="14"/>
                <w:szCs w:val="14"/>
                <w:b w:val="1"/>
                <w:bCs w:val="1"/>
                <w:color w:val="auto"/>
              </w:rPr>
              <w:t>2022-2021</w:t>
            </w:r>
          </w:p>
        </w:tc>
      </w:tr>
      <w:tr>
        <w:trPr>
          <w:trHeight w:val="26"/>
        </w:trPr>
        <w:tc>
          <w:tcPr>
            <w:tcW w:w="48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5,846.0</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4,942.7</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2"/>
              </w:rPr>
              <w:t>18 %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3,758.5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3,306.3</w:t>
            </w:r>
          </w:p>
        </w:tc>
        <w:tc>
          <w:tcPr>
            <w:tcW w:w="1580" w:type="dxa"/>
            <w:vAlign w:val="bottom"/>
          </w:tcPr>
          <w:p>
            <w:pPr>
              <w:ind w:left="1180"/>
              <w:spacing w:after="0"/>
              <w:rPr>
                <w:sz w:val="20"/>
                <w:szCs w:val="20"/>
                <w:color w:val="auto"/>
              </w:rPr>
            </w:pPr>
            <w:r>
              <w:rPr>
                <w:rFonts w:ascii="Arial" w:cs="Arial" w:eastAsia="Arial" w:hAnsi="Arial"/>
                <w:sz w:val="18"/>
                <w:szCs w:val="18"/>
                <w:color w:val="auto"/>
              </w:rPr>
              <w:t>14</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0.643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0.669</w:t>
            </w: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estimate the following net increase in clearing and transaction fees based on a change in total contract volume and a change in average rate per contract during 2022 compared with 2021.</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Increase due to change in total contract volume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Decrease due to change in average rate per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clearing and transaction fees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Year-over-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9086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2022-2021</w:t>
      </w:r>
    </w:p>
    <w:p>
      <w:pPr>
        <w:spacing w:after="0" w:line="63" w:lineRule="exact"/>
        <w:rPr>
          <w:sz w:val="20"/>
          <w:szCs w:val="20"/>
          <w:color w:val="auto"/>
        </w:rPr>
      </w:pPr>
    </w:p>
    <w:p>
      <w:pPr>
        <w:ind w:left="940" w:hanging="940"/>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580.7</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6"/>
          <w:szCs w:val="16"/>
          <w:color w:val="auto"/>
        </w:rPr>
        <w:t>(128.5)</w:t>
      </w:r>
    </w:p>
    <w:p>
      <w:pPr>
        <w:spacing w:after="0" w:line="58" w:lineRule="exact"/>
        <w:rPr>
          <w:sz w:val="20"/>
          <w:szCs w:val="20"/>
          <w:color w:val="auto"/>
        </w:rPr>
      </w:pPr>
    </w:p>
    <w:p>
      <w:pPr>
        <w:ind w:left="940" w:hanging="940"/>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452.2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08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720"/>
            <w:col w:w="1420"/>
          </w:cols>
          <w:pgMar w:left="320" w:top="121" w:right="359" w:bottom="1440" w:gutter="0" w:footer="0" w:header="0"/>
          <w:type w:val="continuous"/>
        </w:sectPr>
      </w:pPr>
    </w:p>
    <w:p>
      <w:pPr>
        <w:spacing w:after="0" w:line="9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Volume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5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15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52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9,200</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52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799</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Energy</w:t>
            </w:r>
          </w:p>
        </w:tc>
        <w:tc>
          <w:tcPr>
            <w:tcW w:w="152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2,188</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19,614</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95"/>
        </w:trPr>
        <w:tc>
          <w:tcPr>
            <w:tcW w:w="640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 Globex</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Open outcry</w:t>
            </w: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679</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Privately negotiated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520" w:type="dxa"/>
            <w:vAlign w:val="bottom"/>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19,614</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rate, equity, and foreign exchange volatility were higher in 2022 when compared with 2021 as result of a change in market expectations and uncertainty regarding the Federal Reserve's interest rate policy amid higher than expected inflation levels. The Federal Open Market Committee raised the Federal Funds rate by a total of 425 percentage points in 2022 and has indicated that it intends to further raise interest rates in the near future. The Federal Reserve also began quantitative tightening in the second half of 2022 by reducing its holdings of U.S. Treasury securities. However, the geopolitical uncertainty between Russia and Ukraine led to risk aversion and reduced trading by market participants within the agricultural commodity and energy markets due to global commodity trade uncertainty. We believe these factors led to the changes in contract volume during 2022, when compared with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5"/>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340" w:type="dxa"/>
            <w:vAlign w:val="bottom"/>
            <w:vMerge w:val="restart"/>
          </w:tcPr>
          <w:p>
            <w:pPr>
              <w:jc w:val="right"/>
              <w:ind w:right="792"/>
              <w:spacing w:after="0"/>
              <w:rPr>
                <w:sz w:val="20"/>
                <w:szCs w:val="20"/>
                <w:color w:val="auto"/>
              </w:rPr>
            </w:pPr>
            <w:r>
              <w:rPr>
                <w:rFonts w:ascii="Arial" w:cs="Arial" w:eastAsia="Arial" w:hAnsi="Arial"/>
                <w:sz w:val="14"/>
                <w:szCs w:val="14"/>
                <w:b w:val="1"/>
                <w:bCs w:val="1"/>
                <w:color w:val="auto"/>
              </w:rPr>
              <w:t>2022</w:t>
            </w:r>
          </w:p>
        </w:tc>
        <w:tc>
          <w:tcPr>
            <w:tcW w:w="13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1,100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1,291</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3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833</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1,059</w:t>
            </w:r>
          </w:p>
        </w:tc>
        <w:tc>
          <w:tcPr>
            <w:tcW w:w="158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Futures expiring beyond two years</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440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1580" w:type="dxa"/>
            <w:vAlign w:val="bottom"/>
          </w:tcPr>
          <w:p>
            <w:pPr>
              <w:jc w:val="center"/>
              <w:ind w:left="833"/>
              <w:spacing w:after="0"/>
              <w:rPr>
                <w:sz w:val="20"/>
                <w:szCs w:val="20"/>
                <w:color w:val="auto"/>
              </w:rPr>
            </w:pPr>
            <w:r>
              <w:rPr>
                <w:rFonts w:ascii="Arial" w:cs="Arial" w:eastAsia="Arial" w:hAnsi="Arial"/>
                <w:sz w:val="18"/>
                <w:szCs w:val="18"/>
                <w:color w:val="auto"/>
                <w:w w:val="93"/>
              </w:rPr>
              <w:t>(59)</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1,479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Futures expiring beyond two years</w:t>
            </w:r>
          </w:p>
        </w:tc>
        <w:tc>
          <w:tcPr>
            <w:tcW w:w="3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282</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Options</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440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3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10-Year</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2,497</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2,495</w:t>
            </w:r>
          </w:p>
        </w:tc>
        <w:tc>
          <w:tcPr>
            <w:tcW w:w="1580" w:type="dxa"/>
            <w:vAlign w:val="bottom"/>
          </w:tcPr>
          <w:p>
            <w:pPr>
              <w:jc w:val="center"/>
              <w:ind w:left="8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3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1,543</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1,278</w:t>
            </w:r>
          </w:p>
        </w:tc>
        <w:tc>
          <w:tcPr>
            <w:tcW w:w="158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2-Year</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682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459</w:t>
            </w:r>
          </w:p>
        </w:tc>
        <w:tc>
          <w:tcPr>
            <w:tcW w:w="1580" w:type="dxa"/>
            <w:vAlign w:val="bottom"/>
          </w:tcPr>
          <w:p>
            <w:pPr>
              <w:jc w:val="center"/>
              <w:ind w:left="873"/>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Bond</w:t>
            </w:r>
          </w:p>
        </w:tc>
        <w:tc>
          <w:tcPr>
            <w:tcW w:w="3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503</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580</w:t>
            </w:r>
          </w:p>
        </w:tc>
        <w:tc>
          <w:tcPr>
            <w:tcW w:w="1580" w:type="dxa"/>
            <w:vAlign w:val="bottom"/>
            <w:shd w:val="clear" w:color="auto" w:fill="CCEEFF"/>
          </w:tcPr>
          <w:p>
            <w:pPr>
              <w:jc w:val="center"/>
              <w:ind w:left="833"/>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Federal Funds futures and options</w:t>
            </w:r>
          </w:p>
        </w:tc>
        <w:tc>
          <w:tcPr>
            <w:tcW w:w="3340" w:type="dxa"/>
            <w:vAlign w:val="bottom"/>
          </w:tcPr>
          <w:p>
            <w:pPr>
              <w:jc w:val="right"/>
              <w:ind w:right="252"/>
              <w:spacing w:after="0"/>
              <w:rPr>
                <w:sz w:val="20"/>
                <w:szCs w:val="20"/>
                <w:color w:val="auto"/>
              </w:rPr>
            </w:pPr>
            <w:r>
              <w:rPr>
                <w:rFonts w:ascii="Arial" w:cs="Arial" w:eastAsia="Arial" w:hAnsi="Arial"/>
                <w:sz w:val="18"/>
                <w:szCs w:val="18"/>
                <w:color w:val="auto"/>
              </w:rPr>
              <w:t>335</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2022 compared with 2021, overall interest rate contract volume increased as a result of higher overall volatility. We believe this was due to higher than expected inflation levels, the Federal Open Market Committee's decision to increase the Federal Funds rate multiple times in 2022 as well as the Federal Reserve's quantitative tightening in the second half of 2022. The increase in overall SOFR volume was also due to more market participants transitioning to the new reference rate away from LIBOR as well as incentive programs designed to encourage market participation in SOFR options trading.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0" w:type="dxa"/>
            <w:vAlign w:val="bottom"/>
            <w:vMerge w:val="restart"/>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130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E-mini S&amp;P 500 futures and options </w:t>
            </w:r>
            <w:r>
              <w:rPr>
                <w:rFonts w:ascii="Arial" w:cs="Arial" w:eastAsia="Arial" w:hAnsi="Arial"/>
                <w:sz w:val="23"/>
                <w:szCs w:val="23"/>
                <w:color w:val="auto"/>
                <w:vertAlign w:val="superscript"/>
              </w:rPr>
              <w:t>(1)</w:t>
            </w:r>
          </w:p>
        </w:tc>
        <w:tc>
          <w:tcPr>
            <w:tcW w:w="3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4,535</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3,179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E-mini Nasdaq 100 futures and options </w:t>
            </w:r>
            <w:r>
              <w:rPr>
                <w:rFonts w:ascii="Arial" w:cs="Arial" w:eastAsia="Arial" w:hAnsi="Arial"/>
                <w:sz w:val="23"/>
                <w:szCs w:val="23"/>
                <w:color w:val="auto"/>
                <w:vertAlign w:val="superscript"/>
              </w:rPr>
              <w:t>(1)</w:t>
            </w:r>
          </w:p>
        </w:tc>
        <w:tc>
          <w:tcPr>
            <w:tcW w:w="3200" w:type="dxa"/>
            <w:vAlign w:val="bottom"/>
          </w:tcPr>
          <w:p>
            <w:pPr>
              <w:jc w:val="right"/>
              <w:ind w:right="255"/>
              <w:spacing w:after="0"/>
              <w:rPr>
                <w:sz w:val="20"/>
                <w:szCs w:val="20"/>
                <w:color w:val="auto"/>
              </w:rPr>
            </w:pPr>
            <w:r>
              <w:rPr>
                <w:rFonts w:ascii="Arial" w:cs="Arial" w:eastAsia="Arial" w:hAnsi="Arial"/>
                <w:sz w:val="18"/>
                <w:szCs w:val="18"/>
                <w:color w:val="auto"/>
              </w:rPr>
              <w:t>2,208</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1,536</w:t>
            </w:r>
          </w:p>
        </w:tc>
        <w:tc>
          <w:tcPr>
            <w:tcW w:w="1580" w:type="dxa"/>
            <w:vAlign w:val="bottom"/>
          </w:tcPr>
          <w:p>
            <w:pPr>
              <w:jc w:val="right"/>
              <w:ind w:right="137"/>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E-mini Russell 2000 futures and options </w:t>
            </w:r>
            <w:r>
              <w:rPr>
                <w:rFonts w:ascii="Arial" w:cs="Arial" w:eastAsia="Arial" w:hAnsi="Arial"/>
                <w:sz w:val="23"/>
                <w:szCs w:val="23"/>
                <w:color w:val="auto"/>
                <w:vertAlign w:val="superscript"/>
              </w:rPr>
              <w:t>(1)</w:t>
            </w:r>
          </w:p>
        </w:tc>
        <w:tc>
          <w:tcPr>
            <w:tcW w:w="3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378</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368</w:t>
            </w:r>
          </w:p>
        </w:tc>
        <w:tc>
          <w:tcPr>
            <w:tcW w:w="15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08" w:lineRule="exact"/>
        <w:rPr>
          <w:sz w:val="20"/>
          <w:szCs w:val="20"/>
          <w:color w:val="auto"/>
        </w:rPr>
      </w:pPr>
    </w:p>
    <w:p>
      <w:pPr>
        <w:ind w:right="280" w:firstLine="8"/>
        <w:spacing w:after="0" w:line="275" w:lineRule="auto"/>
        <w:tabs>
          <w:tab w:leader="none" w:pos="2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Futures and options now include respective weekly Micro E-mini options that were previously separated under a unique product category. Prior period amounts have been revised to conform to the current period presentation.</w:t>
      </w:r>
    </w:p>
    <w:p>
      <w:pPr>
        <w:spacing w:after="0" w:line="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Equity index contract volume increased due to higher overall volatility in 2022 when compared with 2021. Volatility within the equity indexes increased as a result of higher than expected inflation levels as well as the Federal Reserve's actions to increase the Federal Funds rate and quantitative tightening in 2022. We believe these factors led to the overall increases in equity contract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40" w:type="dxa"/>
            <w:vAlign w:val="bottom"/>
            <w:vMerge w:val="restart"/>
          </w:tcPr>
          <w:p>
            <w:pPr>
              <w:jc w:val="right"/>
              <w:ind w:right="814"/>
              <w:spacing w:after="0"/>
              <w:rPr>
                <w:sz w:val="20"/>
                <w:szCs w:val="20"/>
                <w:color w:val="auto"/>
              </w:rPr>
            </w:pPr>
            <w:r>
              <w:rPr>
                <w:rFonts w:ascii="Arial" w:cs="Arial" w:eastAsia="Arial" w:hAnsi="Arial"/>
                <w:sz w:val="14"/>
                <w:szCs w:val="14"/>
                <w:b w:val="1"/>
                <w:bCs w:val="1"/>
                <w:color w:val="auto"/>
              </w:rPr>
              <w:t>2022</w:t>
            </w:r>
          </w:p>
        </w:tc>
        <w:tc>
          <w:tcPr>
            <w:tcW w:w="128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40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263</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4040" w:type="dxa"/>
            <w:vAlign w:val="bottom"/>
          </w:tcPr>
          <w:p>
            <w:pPr>
              <w:jc w:val="right"/>
              <w:ind w:right="274"/>
              <w:spacing w:after="0"/>
              <w:rPr>
                <w:sz w:val="20"/>
                <w:szCs w:val="20"/>
                <w:color w:val="auto"/>
              </w:rPr>
            </w:pPr>
            <w:r>
              <w:rPr>
                <w:rFonts w:ascii="Arial" w:cs="Arial" w:eastAsia="Arial" w:hAnsi="Arial"/>
                <w:sz w:val="18"/>
                <w:szCs w:val="18"/>
                <w:color w:val="auto"/>
              </w:rPr>
              <w:t>167</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40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129</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Australian dollar</w:t>
            </w:r>
          </w:p>
        </w:tc>
        <w:tc>
          <w:tcPr>
            <w:tcW w:w="4040" w:type="dxa"/>
            <w:vAlign w:val="bottom"/>
          </w:tcPr>
          <w:p>
            <w:pPr>
              <w:jc w:val="right"/>
              <w:ind w:right="274"/>
              <w:spacing w:after="0"/>
              <w:rPr>
                <w:sz w:val="20"/>
                <w:szCs w:val="20"/>
                <w:color w:val="auto"/>
              </w:rPr>
            </w:pPr>
            <w:r>
              <w:rPr>
                <w:rFonts w:ascii="Arial" w:cs="Arial" w:eastAsia="Arial" w:hAnsi="Arial"/>
                <w:sz w:val="18"/>
                <w:szCs w:val="18"/>
                <w:color w:val="auto"/>
              </w:rPr>
              <w:t>106</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Overall foreign exchange contract volume increased in 2022 when compared with 2021, which we believe is due to higher overall market volatility. Market volatility increased in 2022 due to the global central banks' interest rate policy decisions as a result of higher than expected inflation.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5"/>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40" w:type="dxa"/>
            <w:vAlign w:val="bottom"/>
            <w:vMerge w:val="restart"/>
          </w:tcPr>
          <w:p>
            <w:pPr>
              <w:jc w:val="right"/>
              <w:ind w:right="815"/>
              <w:spacing w:after="0"/>
              <w:rPr>
                <w:sz w:val="20"/>
                <w:szCs w:val="20"/>
                <w:color w:val="auto"/>
              </w:rPr>
            </w:pPr>
            <w:r>
              <w:rPr>
                <w:rFonts w:ascii="Arial" w:cs="Arial" w:eastAsia="Arial" w:hAnsi="Arial"/>
                <w:sz w:val="14"/>
                <w:szCs w:val="14"/>
                <w:b w:val="1"/>
                <w:bCs w:val="1"/>
                <w:color w:val="auto"/>
              </w:rPr>
              <w:t>2022</w:t>
            </w:r>
          </w:p>
        </w:tc>
        <w:tc>
          <w:tcPr>
            <w:tcW w:w="128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4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418</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Soybean</w:t>
            </w:r>
          </w:p>
        </w:tc>
        <w:tc>
          <w:tcPr>
            <w:tcW w:w="4040" w:type="dxa"/>
            <w:vAlign w:val="bottom"/>
          </w:tcPr>
          <w:p>
            <w:pPr>
              <w:jc w:val="right"/>
              <w:ind w:right="275"/>
              <w:spacing w:after="0"/>
              <w:rPr>
                <w:sz w:val="20"/>
                <w:szCs w:val="20"/>
                <w:color w:val="auto"/>
              </w:rPr>
            </w:pPr>
            <w:r>
              <w:rPr>
                <w:rFonts w:ascii="Arial" w:cs="Arial" w:eastAsia="Arial" w:hAnsi="Arial"/>
                <w:sz w:val="18"/>
                <w:szCs w:val="18"/>
                <w:color w:val="auto"/>
              </w:rPr>
              <w:t>268</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281</w:t>
            </w: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40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175</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197</w:t>
            </w:r>
          </w:p>
        </w:tc>
        <w:tc>
          <w:tcPr>
            <w:tcW w:w="15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2022 when compared with 2021, overall commodity contract volume decreased, which we believe is largely due to risk aversion by market participants following price increases and global trade uncertainty resulting from the Russia and Ukraine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Year-over-Year Change</w:t>
            </w:r>
          </w:p>
        </w:tc>
        <w:tc>
          <w:tcPr>
            <w:tcW w:w="0" w:type="dxa"/>
            <w:vAlign w:val="bottom"/>
          </w:tcPr>
          <w:p>
            <w:pPr>
              <w:spacing w:after="0"/>
              <w:rPr>
                <w:sz w:val="1"/>
                <w:szCs w:val="1"/>
                <w:color w:val="auto"/>
              </w:rPr>
            </w:pPr>
          </w:p>
        </w:tc>
      </w:tr>
      <w:tr>
        <w:trPr>
          <w:trHeight w:val="26"/>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130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1,108</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1,181</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4020" w:type="dxa"/>
            <w:vAlign w:val="bottom"/>
          </w:tcPr>
          <w:p>
            <w:pPr>
              <w:jc w:val="right"/>
              <w:ind w:right="255"/>
              <w:spacing w:after="0"/>
              <w:rPr>
                <w:sz w:val="20"/>
                <w:szCs w:val="20"/>
                <w:color w:val="auto"/>
              </w:rPr>
            </w:pPr>
            <w:r>
              <w:rPr>
                <w:rFonts w:ascii="Arial" w:cs="Arial" w:eastAsia="Arial" w:hAnsi="Arial"/>
                <w:sz w:val="18"/>
                <w:szCs w:val="18"/>
                <w:color w:val="auto"/>
              </w:rPr>
              <w:t>492</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1580" w:type="dxa"/>
            <w:vAlign w:val="bottom"/>
          </w:tcPr>
          <w:p>
            <w:pPr>
              <w:ind w:left="1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328</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351</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Overall energy contract volume decreased in 2022 when compared with 2021. Participant trading activity slowed down largely due to concerns regarding high inflation and an economic downturn. In addition, the sustained conflict between Russia and Ukraine continued to cause disruptions to the global energy markets. We believe these factors led to the overall decrease in energy contract volume.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20" w:type="dxa"/>
            <w:vAlign w:val="bottom"/>
            <w:vMerge w:val="restart"/>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130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auto"/>
            </w:tcBorders>
            <w:vMerge w:val="continue"/>
          </w:tcPr>
          <w:p>
            <w:pPr>
              <w:spacing w:after="0"/>
              <w:rPr>
                <w:sz w:val="16"/>
                <w:szCs w:val="16"/>
                <w:color w:val="auto"/>
              </w:rPr>
            </w:pPr>
          </w:p>
        </w:tc>
        <w:tc>
          <w:tcPr>
            <w:tcW w:w="40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318</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Copper</w:t>
            </w:r>
          </w:p>
        </w:tc>
        <w:tc>
          <w:tcPr>
            <w:tcW w:w="4020" w:type="dxa"/>
            <w:vAlign w:val="bottom"/>
          </w:tcPr>
          <w:p>
            <w:pPr>
              <w:jc w:val="right"/>
              <w:ind w:right="255"/>
              <w:spacing w:after="0"/>
              <w:rPr>
                <w:sz w:val="20"/>
                <w:szCs w:val="20"/>
                <w:color w:val="auto"/>
              </w:rPr>
            </w:pPr>
            <w:r>
              <w:rPr>
                <w:rFonts w:ascii="Arial" w:cs="Arial" w:eastAsia="Arial" w:hAnsi="Arial"/>
                <w:sz w:val="18"/>
                <w:szCs w:val="18"/>
                <w:color w:val="auto"/>
              </w:rPr>
              <w:t>93</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101</w:t>
            </w: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Silver</w:t>
            </w:r>
          </w:p>
        </w:tc>
        <w:tc>
          <w:tcPr>
            <w:tcW w:w="40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83</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95</w:t>
            </w: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2022 when compared with 2021, overall metal contract volume decreased, which we believe was attributable to lower overall market volatility within the gold and silver markets. Volume was higher in 2021, as investors were using gold and other precious metals as safe-haven investments following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Rate per Contract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average rate per contract was lower in 2022 when compared with 2021. The decrease in the average rate per contract was primarily due to a change in product mix. Equity index contract volume increased by 5 percentage points as a percent of total volume, while agricultural commodity, energy and metal contract volume collectively decreased by 5 percentage points. In general, equity index products have a lower rate per contract compared with the agricultural commodity, energy and metal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Total clearing and transaction fees revenue in 2022 included $318.8 million of transaction fees attributable to the cash markets business, compared with $396.2 million in 2021. This revenue primarily includes BrokerTecs's fixed income volume and EBS foreign exchange volume. In September 2021, we contributed the net assets of our optimization business to OSTTRA, our joint venture with IHS Markit.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16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2"/>
                <w:szCs w:val="2"/>
                <w:color w:val="auto"/>
              </w:rPr>
            </w:pPr>
          </w:p>
        </w:tc>
        <w:tc>
          <w:tcPr>
            <w:tcW w:w="120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 transaction fees</w:t>
            </w:r>
          </w:p>
        </w:tc>
        <w:tc>
          <w:tcPr>
            <w:tcW w:w="2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164.7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EBS foreign exchange transaction fees</w:t>
            </w:r>
          </w:p>
        </w:tc>
        <w:tc>
          <w:tcPr>
            <w:tcW w:w="21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154.1</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164.3</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Optimization transaction fees</w:t>
            </w:r>
          </w:p>
        </w:tc>
        <w:tc>
          <w:tcPr>
            <w:tcW w:w="2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59.9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the years ended 2022 and 2021 for key cash markets products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billions)</w:t>
            </w:r>
          </w:p>
        </w:tc>
        <w:tc>
          <w:tcPr>
            <w:tcW w:w="270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2"/>
                <w:szCs w:val="2"/>
                <w:color w:val="auto"/>
              </w:rPr>
            </w:pPr>
          </w:p>
        </w:tc>
        <w:tc>
          <w:tcPr>
            <w:tcW w:w="120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Repo (in euros)</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345.2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27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126.1</w:t>
            </w:r>
          </w:p>
        </w:tc>
        <w:tc>
          <w:tcPr>
            <w:tcW w:w="4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115.0</w:t>
            </w: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Overall average daily notional value for the cash markets business increased in 2022 when compared with 2021. The increases in European Repo and U.S. Treasury transactions were largely due to increased volatility as a result of a change in market expectations regarding the Federal Reserve's interest rate policy, following higher than expected inflation levels in 2022. Despite the increase in average daily notional value, transaction revenue for BrokerTec and EBS decreased slightly due to the tiered pricing structure and incentive rate programs.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One clearing firm represented at least approximately 10% of our clearing and transaction fees in 2022.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In 2022 when compared with 2021, the increase in market data and information services revenue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price increases for certain products as well as an increase in usage for certain products.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two largest resellers of our market data represented, in aggregate, approximately 33% of our market data and information services revenue in 2022. Despite this concentration, we consider exposure to significant risk of revenue loss to be minimal. In the event that one of these vendors no longer distributes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Other revenues</w:t>
      </w:r>
      <w:r>
        <w:rPr>
          <w:rFonts w:ascii="Arial" w:cs="Arial" w:eastAsia="Arial" w:hAnsi="Arial"/>
          <w:sz w:val="18"/>
          <w:szCs w:val="18"/>
          <w:color w:val="auto"/>
        </w:rPr>
        <w:t>. In 2022 when compared with 2021, the decrease in other revenue was largely attributable to the deconsolidation of the optimization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September 2021 as part of the contribution of the business's net assets to OSTTRA, our joint venture with IHS Markit. In 2021, the optimization business generated $115.1 million in other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ind w:right="24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5"/>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2"/>
                <w:szCs w:val="2"/>
                <w:color w:val="auto"/>
              </w:rPr>
            </w:pPr>
          </w:p>
        </w:tc>
        <w:tc>
          <w:tcPr>
            <w:tcW w:w="134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2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192.6</w:t>
            </w:r>
          </w:p>
        </w:tc>
        <w:tc>
          <w:tcPr>
            <w:tcW w:w="2180" w:type="dxa"/>
            <w:vAlign w:val="bottom"/>
            <w:gridSpan w:val="2"/>
          </w:tcPr>
          <w:p>
            <w:pPr>
              <w:jc w:val="right"/>
              <w:ind w:right="10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1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237.6</w:t>
            </w:r>
          </w:p>
        </w:tc>
        <w:tc>
          <w:tcPr>
            <w:tcW w:w="2180" w:type="dxa"/>
            <w:vAlign w:val="bottom"/>
            <w:gridSpan w:val="2"/>
          </w:tcPr>
          <w:p>
            <w:pPr>
              <w:jc w:val="right"/>
              <w:ind w:right="10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1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236.9</w:t>
            </w:r>
          </w:p>
        </w:tc>
        <w:tc>
          <w:tcPr>
            <w:tcW w:w="2180" w:type="dxa"/>
            <w:vAlign w:val="bottom"/>
            <w:gridSpan w:val="2"/>
          </w:tcPr>
          <w:p>
            <w:pPr>
              <w:jc w:val="right"/>
              <w:ind w:right="14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2,044.5</w:t>
            </w:r>
          </w:p>
        </w:tc>
        <w:tc>
          <w:tcPr>
            <w:tcW w:w="2180" w:type="dxa"/>
            <w:vAlign w:val="bottom"/>
            <w:gridSpan w:val="2"/>
          </w:tcPr>
          <w:p>
            <w:pPr>
              <w:jc w:val="right"/>
              <w:ind w:right="10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by $41.0 million in 2022 when compared with 2021. The following table shows the estimated impact of key factors resulting in the net decrease in operating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9"/>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8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5"/>
              </w:rPr>
              <w:t>over-Year</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2021 Expenses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Non-qualified deferred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separation and retention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580" w:type="dxa"/>
            <w:vAlign w:val="bottom"/>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fluctuation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Bonus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decreased in 2022 when compared with 2021 due to the following reasons:</w:t>
      </w:r>
    </w:p>
    <w:p>
      <w:pPr>
        <w:spacing w:after="0" w:line="117" w:lineRule="exact"/>
        <w:rPr>
          <w:sz w:val="20"/>
          <w:szCs w:val="20"/>
          <w:color w:val="auto"/>
        </w:rPr>
      </w:pPr>
    </w:p>
    <w:p>
      <w:pPr>
        <w:ind w:left="660" w:right="4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Salaries, benefits and employer taxes were lower during 2022 when compared with 2021 due to a net decrease in average headcount, including the contribution of employees from CME Group's optimization businesses to the joint venture with IHS Markit in September 2021.</w:t>
      </w:r>
    </w:p>
    <w:p>
      <w:pPr>
        <w:spacing w:after="0" w:line="38" w:lineRule="exact"/>
        <w:rPr>
          <w:rFonts w:ascii="Arial" w:cs="Arial" w:eastAsia="Arial" w:hAnsi="Arial"/>
          <w:sz w:val="17"/>
          <w:szCs w:val="17"/>
          <w:color w:val="auto"/>
        </w:rPr>
      </w:pPr>
    </w:p>
    <w:p>
      <w:pPr>
        <w:ind w:left="660" w:right="18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decrease in our non-qualified deferred compensation liability during 2022, the impact of which does not affect net income because of an equal and offsetting change in investment income, contributed to a decrease in compensation and benefits expense.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separation and retention costs were lower in 2022 compared with 2021 due to a lower reduction in workforce.</w:t>
      </w:r>
    </w:p>
    <w:p>
      <w:pPr>
        <w:spacing w:after="0" w:line="11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Professional fees and outside services expense decreased due to one-time legal and other professional fees incurred in 2021 related to our joint venture with IHS Markit. The decrease in professional fees was partially offset by an increase in consulting fees attributable to CME Group's partnership with Google Cloud, which was signed in November 2021.</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2022, we recognized a net gain of $13.2 million, compared to a net gain of $0.4 million in 2021, due to currency exchange rate fluctuations.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2022 when compared with 2021 were as follows:</w:t>
      </w:r>
    </w:p>
    <w:p>
      <w:pPr>
        <w:spacing w:after="0" w:line="117" w:lineRule="exact"/>
        <w:rPr>
          <w:sz w:val="20"/>
          <w:szCs w:val="20"/>
          <w:color w:val="auto"/>
        </w:rPr>
      </w:pPr>
    </w:p>
    <w:p>
      <w:pPr>
        <w:ind w:left="660" w:right="3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Bonus expense increased in 2022 largely due to performance relative to our 2022 cash earnings target when compared with 2021 performance relative to our 2021 cash earnings target.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Licensing and other fee agreements expense increased in 2022 due to higher volumes for certain equity products during 2022 compared with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80" w:type="dxa"/>
            <w:vAlign w:val="bottom"/>
          </w:tcPr>
          <w:p>
            <w:pPr>
              <w:jc w:val="right"/>
              <w:ind w:right="27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5"/>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
                <w:szCs w:val="2"/>
                <w:color w:val="auto"/>
              </w:rPr>
            </w:pPr>
          </w:p>
        </w:tc>
        <w:tc>
          <w:tcPr>
            <w:tcW w:w="128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88"/>
              </w:rPr>
              <w:t>306.9</w:t>
            </w:r>
          </w:p>
        </w:tc>
        <w:tc>
          <w:tcPr>
            <w:tcW w:w="2180" w:type="dxa"/>
            <w:vAlign w:val="bottom"/>
            <w:shd w:val="clear" w:color="auto" w:fill="CCEEFF"/>
          </w:tcPr>
          <w:p>
            <w:pPr>
              <w:jc w:val="center"/>
              <w:ind w:left="1735"/>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center"/>
              <w:ind w:left="493"/>
              <w:spacing w:after="0"/>
              <w:rPr>
                <w:sz w:val="20"/>
                <w:szCs w:val="20"/>
                <w:color w:val="auto"/>
              </w:rPr>
            </w:pPr>
            <w:r>
              <w:rPr>
                <w:rFonts w:ascii="Arial" w:cs="Arial" w:eastAsia="Arial" w:hAnsi="Arial"/>
                <w:sz w:val="18"/>
                <w:szCs w:val="18"/>
                <w:color w:val="auto"/>
                <w:w w:val="94"/>
              </w:rPr>
              <w:t>(166.9)</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(losses) of unconsolidated subsidiaries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88"/>
              </w:rPr>
              <w:t>245.8</w:t>
            </w:r>
          </w:p>
        </w:tc>
        <w:tc>
          <w:tcPr>
            <w:tcW w:w="2180" w:type="dxa"/>
            <w:vAlign w:val="bottom"/>
            <w:shd w:val="clear" w:color="auto" w:fill="CCEEFF"/>
          </w:tcPr>
          <w:p>
            <w:pPr>
              <w:jc w:val="center"/>
              <w:ind w:left="1755"/>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88"/>
              </w:rPr>
              <w:t>342.6</w:t>
            </w:r>
          </w:p>
        </w:tc>
        <w:tc>
          <w:tcPr>
            <w:tcW w:w="2180" w:type="dxa"/>
            <w:vAlign w:val="bottom"/>
            <w:tcBorders>
              <w:bottom w:val="single" w:sz="8" w:color="CCEEFF"/>
            </w:tcBorders>
          </w:tcPr>
          <w:p>
            <w:pPr>
              <w:jc w:val="center"/>
              <w:ind w:left="1735"/>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88"/>
              </w:rPr>
              <w:t>728.4</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Investment income</w:t>
      </w:r>
      <w:r>
        <w:rPr>
          <w:rFonts w:ascii="Arial" w:cs="Arial" w:eastAsia="Arial" w:hAnsi="Arial"/>
          <w:sz w:val="16"/>
          <w:szCs w:val="16"/>
          <w:color w:val="auto"/>
        </w:rPr>
        <w:t>. In 2022 when compared with 2021, there was an increase in earnings from reinvested cash performance bond and guaranty fund</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due to a higher rate of interest earned in the cash accounts at the Federal Reserve Bank of Chicago following interest rate hikes in 2022. In 2022 and 2021, earnings from cash performance bond and guaranty fund contributions were $2,169.5 million and $173.9 million, respectively. The increase in income was partially offset by a decrease in net realized and unrealized gains on investments as well as a decrease in earnings on our deferred compensation plan, the impact of which does not affect net income because of an equal and offsetting change in compensation and benefits expense.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Equity in net earnings (losses) of unconsolidated subsidiaries</w:t>
      </w:r>
      <w:r>
        <w:rPr>
          <w:rFonts w:ascii="Arial" w:cs="Arial" w:eastAsia="Arial" w:hAnsi="Arial"/>
          <w:sz w:val="17"/>
          <w:szCs w:val="17"/>
          <w:color w:val="auto"/>
        </w:rPr>
        <w:t>. Higher income generated from our S&amp;P Dow Jones Indices LLC business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to an increase in equity in net earnings (losses) of unconsolidated subsidiaries in 2022 when compared with 2021. We also recognized our share of net earnings on our investment in OSTTRA, our joint venture with IHS Markit that was formed in September 2021.</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 2022 when compared with 2021, we recognized higher expenses related to the distribution of interest earned on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 collateral reinvestments to the clearing firms in conjunction with higher interest income earned on our reinvestment during the period due to a higher Federal Funds rate in 2022. In 2022 and 2021, expenses related to the distribution of interest earned on collateral reinvestments were $1,889.7 million and $119.6 million, respectively. In 2021, we also recognized a net gain of $400.7 million on the deconsolidation and contribution of our optimization business to OSTTRA.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26"/>
        </w:trPr>
        <w:tc>
          <w:tcPr>
            <w:tcW w:w="7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940" w:type="dxa"/>
            <w:vAlign w:val="bottom"/>
          </w:tcPr>
          <w:p>
            <w:pPr>
              <w:spacing w:after="0"/>
              <w:rPr>
                <w:sz w:val="2"/>
                <w:szCs w:val="2"/>
                <w:color w:val="auto"/>
              </w:rPr>
            </w:pPr>
          </w:p>
        </w:tc>
        <w:tc>
          <w:tcPr>
            <w:tcW w:w="138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jc w:val="right"/>
              <w:ind w:right="5419"/>
              <w:spacing w:after="0"/>
              <w:rPr>
                <w:sz w:val="20"/>
                <w:szCs w:val="20"/>
                <w:color w:val="auto"/>
              </w:rPr>
            </w:pPr>
            <w:r>
              <w:rPr>
                <w:rFonts w:ascii="Arial" w:cs="Arial" w:eastAsia="Arial" w:hAnsi="Arial"/>
                <w:sz w:val="18"/>
                <w:szCs w:val="18"/>
                <w:color w:val="auto"/>
                <w:w w:val="88"/>
              </w:rPr>
              <w:t>Year ended December 31</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6"/>
              </w:rPr>
              <w:t>22.9 %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21.8 %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effective tax rate increased in 2022 when compared with 2021. In 2021, we recognized a gain on the deconsolidation and contribution of our optimization business to OSTTRA, which was not taxable. The impact of the gain in 2021 was partially offset by an increase to the statutory rate in the United Kingdom in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historically met our funding requirements with cash generated by our ongoing operations. However, we have used our commercial paper program from time to time to fund large short-term funding needs. While our cost structure is generally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7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Cash will also be required for non-cancellable purchase obligations as at December 31, 2022. Commitments include material contractual purchase obligations that are non-cancellable. Purchase obligations relate to advertising, licensing, hardware, software and maintenance as well as telecommunication services. Aside from the table below, we have certain other arrangements that have a perpetual term for which we pay a minimum of $5.0 million per year. At December 31, 2022, future minimum payments due under purchase obligations were payable as follows (in millions):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Future capital expenditures for technology are anticipated as we continue to support our growth through increased system capacity, performance improvements, integration of acquired platforms and improvements to some of our office spaces. Each year, capital expenditures are incurred for improvements to and modification of our offices, remote data centers, telecommunications network and other operating equipment. In 2023, we expect capital expenditures to total approximately $100.0 million, net of any leasehold improvement allowances. We continue to monitor our capital needs and may revise our forecasted expenditures as necessary in the future.</w:t>
      </w:r>
    </w:p>
    <w:p>
      <w:pPr>
        <w:spacing w:after="0" w:line="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We are also required to comply with restrictions contained in the general corporation laws of our state of incorporation, which could limit our ability to declare and pay dividends. On February 2, 2023, the company declared a regular quarterly dividend of $1.10 per share for all outstanding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common and preferred shares. The dividend will be payable on March 27, 2023 to shareholders of record on March 10, 2023. Assuming no changes in the number of shares outstanding, the first quarter dividend payment will total approximately $400.0 million. The board of directors also declared an additional, annual variable dividend of $4.50 per share on December 8, 2022 paid on January 18, 2023 to the shareholders of record on December 28, 2022. In general, the amount of the annual variable dividend will be determined by the end of each year, and the level will increase or decrease from year to year based on operating results, capital expenditures, potential merger and acquisition activity and other forms of capital return, including regular dividends and share buybacks during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20" w:type="dxa"/>
            <w:vAlign w:val="bottom"/>
          </w:tcPr>
          <w:p>
            <w:pPr>
              <w:spacing w:after="0"/>
              <w:rPr>
                <w:sz w:val="2"/>
                <w:szCs w:val="2"/>
                <w:color w:val="auto"/>
              </w:rPr>
            </w:pPr>
          </w:p>
        </w:tc>
        <w:tc>
          <w:tcPr>
            <w:tcW w:w="112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2"/>
                <w:szCs w:val="2"/>
                <w:color w:val="auto"/>
              </w:rPr>
            </w:pPr>
          </w:p>
        </w:tc>
        <w:tc>
          <w:tcPr>
            <w:tcW w:w="118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2022-2021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3,056.0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2,402.4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(489.8)</w:t>
            </w:r>
          </w:p>
        </w:tc>
        <w:tc>
          <w:tcPr>
            <w:tcW w:w="40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58.4</w:t>
            </w: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(25,381.7)</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69,908.7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operating activities was higher in 2022 compared with 2021, largely due to an increase in clearing and transaction fee revenue. This was partially offset by income tax payments which were higher in 2022 compared with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cash used in investing activities in 2022 compared with 2021 was largely due to the additional investment in S&amp;P Dow Jones Indices LLC of $410.0 million. In addition, we received $100.7 million from the OSTTRA joint venture transaction and additional proceeds from sales of investments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used in financing activities was higher in 2022 when compared with 2021 mainly due to a decrease in cash performance bonds and guaranty fund contributions. In addition, there was an increase in dividends paid in 2022. In 2021, we received proceeds of $965.0 million from the issuance of preferred shares in connection with our partnership with Google Cloud.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5"/>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May 2023, stated rate of 4.30%</w:t>
            </w:r>
          </w:p>
        </w:tc>
        <w:tc>
          <w:tcPr>
            <w:tcW w:w="29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(1)</w:t>
            </w:r>
          </w:p>
        </w:tc>
        <w:tc>
          <w:tcPr>
            <w:tcW w:w="2980" w:type="dxa"/>
            <w:vAlign w:val="bottom"/>
          </w:tcPr>
          <w:p>
            <w:pPr>
              <w:ind w:left="28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March 2032, stated rate of 2.65%</w:t>
            </w:r>
          </w:p>
        </w:tc>
        <w:tc>
          <w:tcPr>
            <w:tcW w:w="2980" w:type="dxa"/>
            <w:vAlign w:val="bottom"/>
          </w:tcPr>
          <w:p>
            <w:pPr>
              <w:ind w:left="28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(2)</w:t>
            </w:r>
          </w:p>
        </w:tc>
        <w:tc>
          <w:tcPr>
            <w:tcW w:w="298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tcPr>
          <w:p>
            <w:pPr>
              <w:ind w:left="28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140" w:hanging="328"/>
        <w:spacing w:after="0" w:line="27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64" w:lineRule="exact"/>
        <w:rPr>
          <w:rFonts w:ascii="Arial" w:cs="Arial" w:eastAsia="Arial" w:hAnsi="Arial"/>
          <w:sz w:val="16"/>
          <w:szCs w:val="16"/>
          <w:color w:val="auto"/>
        </w:rPr>
      </w:pPr>
    </w:p>
    <w:p>
      <w:pPr>
        <w:ind w:left="660" w:right="580" w:hanging="328"/>
        <w:spacing w:after="0" w:line="293"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4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3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December 31, 2022, guaranty fund contributions available to collateralize the facility totaled $6.9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December 31, 2022, we have excess borrowing capacity for general corporate purposes of approximately $2.3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were in compliance with the various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that it uses to pay dividends to its shareholders.</w:t>
      </w:r>
    </w:p>
    <w:p>
      <w:pPr>
        <w:spacing w:after="0" w:line="6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December 31, 2022, the letters of credit totaled $330.0 million. We also maintain a $350.0 million line of credit to meet our obligations under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Rating Agency</w:t>
            </w:r>
          </w:p>
        </w:tc>
        <w:tc>
          <w:tcPr>
            <w:tcW w:w="368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Debt Rating</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w:t>
            </w:r>
          </w:p>
        </w:tc>
        <w:tc>
          <w:tcPr>
            <w:tcW w:w="3680" w:type="dxa"/>
            <w:vAlign w:val="bottom"/>
            <w:shd w:val="clear" w:color="auto" w:fill="CCEEFF"/>
          </w:tcPr>
          <w:p>
            <w:pPr>
              <w:jc w:val="center"/>
              <w:ind w:left="2079"/>
              <w:spacing w:after="0"/>
              <w:rPr>
                <w:sz w:val="20"/>
                <w:szCs w:val="20"/>
                <w:color w:val="auto"/>
              </w:rPr>
            </w:pPr>
            <w:r>
              <w:rPr>
                <w:rFonts w:ascii="Arial" w:cs="Arial" w:eastAsia="Arial" w:hAnsi="Arial"/>
                <w:sz w:val="18"/>
                <w:szCs w:val="18"/>
                <w:color w:val="auto"/>
                <w:w w:val="98"/>
              </w:rPr>
              <w:t>A1+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Moody’s Investors Service</w:t>
            </w:r>
          </w:p>
        </w:tc>
        <w:tc>
          <w:tcPr>
            <w:tcW w:w="3680" w:type="dxa"/>
            <w:vAlign w:val="bottom"/>
          </w:tcPr>
          <w:p>
            <w:pPr>
              <w:jc w:val="center"/>
              <w:ind w:left="2079"/>
              <w:spacing w:after="0"/>
              <w:rPr>
                <w:sz w:val="20"/>
                <w:szCs w:val="20"/>
                <w:color w:val="auto"/>
              </w:rPr>
            </w:pPr>
            <w:r>
              <w:rPr>
                <w:rFonts w:ascii="Arial" w:cs="Arial" w:eastAsia="Arial" w:hAnsi="Arial"/>
                <w:sz w:val="18"/>
                <w:szCs w:val="18"/>
                <w:color w:val="auto"/>
                <w:w w:val="90"/>
              </w:rPr>
              <w:t>P1</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Cash and cash equivalents, excluding restricted cash, totaled $2.7 billion and $2.8 billion at December 31, 2022 and December 31, 2021,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no additional contribution will be necessary in 2023 to meet our funding goal. However, the amount of the actual contribution is contingent on various factors, including the actual rate of return on our plan assets during 2023 and the December 31, 2023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5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5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various market risks, including those caused by changes in interest rates, credit and foreign currency exchange rates.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Debt outstanding at December 31, 2022 consisted of fixed-rate borrowings of $3.4 billion (in U.S. dollar equivalent). Changes in interest rates impact the fair values of fixed-rate debt, but do not impact earnings or cash flows. We did not have any variable-rate borrowings at December 31, 2022.</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CME Clearing House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clearing house acts as the counterparty to all trades consummated on our exchanges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6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Despite our safeguards, we cannot guarantee that these measures will be sufficient to protect us from a default or that we will not be materially and adversely affected in the event of a significant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maintain two separate financial safeguard packages:</w:t>
      </w:r>
    </w:p>
    <w:p>
      <w:pPr>
        <w:spacing w:after="0" w:line="117" w:lineRule="exact"/>
        <w:rPr>
          <w:sz w:val="20"/>
          <w:szCs w:val="20"/>
          <w:color w:val="auto"/>
        </w:rPr>
      </w:pPr>
    </w:p>
    <w:p>
      <w:pPr>
        <w:ind w:left="660" w:right="3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all futures, options and over-the-counter swap contracts other than cleared interest rate swap contracts (base package);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non-defaulting clearing firms within the respective financial safeguard package to satisfy the deficit.</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 in the unlikely event of default.</w:t>
      </w:r>
    </w:p>
    <w:p>
      <w:pPr>
        <w:spacing w:after="0" w:line="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At December 31, 2022, aggregate performance bond deposits for clearing firms for both financial safeguard packages was $231.5 billion, including cash performance bond deposits, non-cash deposits, Interest Earnings Facility funds and letters of credit. A defaulting firm's performance bond deposits can be used in the event of default of that clearing firm.</w:t>
      </w:r>
    </w:p>
    <w:p>
      <w:pPr>
        <w:spacing w:after="0" w:line="76"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The following shows the available assets at December 31, 2022 in the event of a payment default by a clearing firm for the base financial safeguard package after first utilizing the defaulting firm's available assets:</w:t>
      </w:r>
    </w:p>
    <w:tbl>
      <w:tblPr>
        <w:tblLayout w:type="fixed"/>
        <w:tblInd w:w="0" w:type="dxa"/>
        <w:tblCellMar>
          <w:top w:w="0" w:type="dxa"/>
          <w:left w:w="0" w:type="dxa"/>
          <w:bottom w:w="0" w:type="dxa"/>
          <w:right w:w="0" w:type="dxa"/>
        </w:tblCellMar>
      </w:tblPr>
      <w:tr>
        <w:trPr>
          <w:trHeight w:val="149"/>
        </w:trPr>
        <w:tc>
          <w:tcPr>
            <w:tcW w:w="6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7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3"/>
                <w:szCs w:val="23"/>
                <w:color w:val="auto"/>
                <w:vertAlign w:val="superscript"/>
              </w:rPr>
              <w:t>(1)</w:t>
            </w: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line="23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3"/>
                <w:szCs w:val="23"/>
                <w:color w:val="auto"/>
                <w:vertAlign w:val="superscript"/>
              </w:rPr>
              <w:t>(2)</w:t>
            </w:r>
          </w:p>
        </w:tc>
        <w:tc>
          <w:tcPr>
            <w:tcW w:w="2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4,404.5</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Assessment powers</w:t>
            </w:r>
            <w:r>
              <w:rPr>
                <w:rFonts w:ascii="Arial" w:cs="Arial" w:eastAsia="Arial" w:hAnsi="Arial"/>
                <w:sz w:val="23"/>
                <w:szCs w:val="23"/>
                <w:color w:val="auto"/>
                <w:vertAlign w:val="superscript"/>
              </w:rPr>
              <w:t>(3)</w:t>
            </w:r>
          </w:p>
        </w:tc>
        <w:tc>
          <w:tcPr>
            <w:tcW w:w="2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8" w:lineRule="exact"/>
        <w:rPr>
          <w:sz w:val="20"/>
          <w:szCs w:val="20"/>
          <w:color w:val="auto"/>
        </w:rPr>
      </w:pPr>
    </w:p>
    <w:p>
      <w:pPr>
        <w:ind w:left="660" w:right="18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spacing w:after="0" w:line="23"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3" w:lineRule="exact"/>
        <w:rPr>
          <w:rFonts w:ascii="Arial" w:cs="Arial" w:eastAsia="Arial" w:hAnsi="Arial"/>
          <w:sz w:val="16"/>
          <w:szCs w:val="16"/>
          <w:color w:val="auto"/>
        </w:rPr>
      </w:pPr>
    </w:p>
    <w:p>
      <w:pPr>
        <w:ind w:left="660" w:right="80" w:hanging="652"/>
        <w:spacing w:after="0" w:line="279"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2022 in the event of a payment default by a clearing firm that clears interest rate swap contracts, after first utilizing the defaulting firm's available assets: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1520" w:type="dxa"/>
            <w:vAlign w:val="bottom"/>
          </w:tcPr>
          <w:p>
            <w:pPr>
              <w:jc w:val="right"/>
              <w:ind w:right="317"/>
              <w:spacing w:after="0"/>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3"/>
                <w:szCs w:val="23"/>
                <w:color w:val="auto"/>
                <w:vertAlign w:val="superscript"/>
              </w:rPr>
              <w:t>(1)</w:t>
            </w:r>
          </w:p>
        </w:tc>
        <w:tc>
          <w:tcPr>
            <w:tcW w:w="2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3"/>
                <w:szCs w:val="23"/>
                <w:color w:val="auto"/>
                <w:vertAlign w:val="superscript"/>
              </w:rPr>
              <w:t>(2)</w:t>
            </w:r>
          </w:p>
        </w:tc>
        <w:tc>
          <w:tcPr>
            <w:tcW w:w="2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Assessment powers</w:t>
            </w:r>
            <w:r>
              <w:rPr>
                <w:rFonts w:ascii="Arial" w:cs="Arial" w:eastAsia="Arial" w:hAnsi="Arial"/>
                <w:sz w:val="23"/>
                <w:szCs w:val="23"/>
                <w:color w:val="auto"/>
                <w:vertAlign w:val="superscript"/>
              </w:rPr>
              <w:t>(3)</w:t>
            </w:r>
          </w:p>
        </w:tc>
        <w:tc>
          <w:tcPr>
            <w:tcW w:w="25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18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spacing w:after="0" w:line="23"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spacing w:after="0" w:line="23" w:lineRule="exact"/>
        <w:rPr>
          <w:rFonts w:ascii="Arial" w:cs="Arial" w:eastAsia="Arial" w:hAnsi="Arial"/>
          <w:sz w:val="16"/>
          <w:szCs w:val="16"/>
          <w:color w:val="auto"/>
        </w:rPr>
      </w:pPr>
    </w:p>
    <w:p>
      <w:pPr>
        <w:ind w:left="660" w:hanging="652"/>
        <w:spacing w:after="0" w:line="258"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 Assessment powers are calculated to reflect the potential obligation that each clearing member could be called for based on potential failure of the third and fourth largest clearing member; however, the total amount available would be reduced by the defaulted clearing members' assessment obligations since they would no longer be able to satisfy their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BrokerTec Americas Matched Principal Business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2022, the balance of the collateral at FICC was $100.0 million, which was included in other current assets on the consolidated balance sheet.</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 counterparty fails to meet its obligations. If that were to occur, BrokerTec Americas would have the right to cover or liquidate the open position but could incur a loss as a result of market movements.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79"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Aggregate transaction gains (losses) for 2022, 2021 and 2020 were $13.2 million, $0.4 million and $(9.3) million, respectively. We expect the foreign currency gain/loss to continue to fluctuate as long as we continue to hold monetary assets and liabilities at those subsidiaries. Market uncertainty could potentially lead to significant volatility with foreign currency exchange rates, which could result in additional foreign currency gain/loss.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foreign currency translation risk related to the translation of our foreign consolidated and unconsolidated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2022, 2021 and 2020 were $(195.4) million, $(62.0) million and $134.3 million,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6"/>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of $8.1 and $5.6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current assets (includes $4.9 and $4.8 in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139,078.3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161,761.8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assets—trading products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17,175.3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10,528.0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(includes $0.1 and $0.5 in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196,780.3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8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1,650.6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bonds and guaranty fund contributions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137,687.5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160,398.4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5,390.4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169,381.0</w:t>
            </w:r>
          </w:p>
        </w:tc>
      </w:tr>
      <w:tr>
        <w:trPr>
          <w:trHeight w:val="129"/>
        </w:trPr>
        <w:tc>
          <w:tcPr>
            <w:tcW w:w="8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Preferred stock, $0.01 par value, 10,000 shares authorized as of December 31, 2022 and 2021; 4,584 issued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December 31, 2022 and 2021, respectively</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2"/>
              </w:rPr>
              <w:t>Class A common stock, $0.01 par value, 1,000,000 shares authorized as of December 31, 2022 and 2021,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w w:val="96"/>
              </w:rPr>
              <w:t>358,929 and 358,599 shares issued and outstanding as of December 31, 2022 and 2021,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Class B common stock, $0.01 par value, 3 shares authorized, issued and outstanding as of December 31,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and 2021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22,261.6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22,190.3</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CME Group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27,399.3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174,175.7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196,780.3</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4,142.7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3,897.4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w:t>
            </w:r>
          </w:p>
        </w:tc>
      </w:tr>
      <w:tr>
        <w:trPr>
          <w:trHeight w:val="108"/>
        </w:trPr>
        <w:tc>
          <w:tcPr>
            <w:tcW w:w="6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in net earnings (losses) of unconsolidated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CME Group</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Shareholders of CME Group</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Shareholders of CME Group:</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357,764</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358,524</w:t>
            </w: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6"/>
                <w:szCs w:val="16"/>
                <w:color w:val="auto"/>
              </w:rPr>
            </w:pPr>
          </w:p>
        </w:tc>
      </w:tr>
      <w:tr>
        <w:trPr>
          <w:trHeight w:val="26"/>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2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securities,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175"/>
        </w:trPr>
        <w:tc>
          <w:tcPr>
            <w:tcW w:w="7240" w:type="dxa"/>
            <w:vAlign w:val="bottom"/>
          </w:tcPr>
          <w:p>
            <w:pPr>
              <w:ind w:left="200"/>
              <w:spacing w:after="0" w:line="176" w:lineRule="exact"/>
              <w:rPr>
                <w:sz w:val="20"/>
                <w:szCs w:val="20"/>
                <w:color w:val="auto"/>
              </w:rPr>
            </w:pPr>
            <w:r>
              <w:rPr>
                <w:rFonts w:ascii="Arial" w:cs="Arial" w:eastAsia="Arial" w:hAnsi="Arial"/>
                <w:sz w:val="18"/>
                <w:szCs w:val="18"/>
                <w:color w:val="auto"/>
                <w:w w:val="95"/>
              </w:rPr>
              <w:t>Amortization of net actuarial (gains) losses and prior service costs included in compensation</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7240" w:type="dxa"/>
            <w:vAlign w:val="bottom"/>
          </w:tcPr>
          <w:p>
            <w:pPr>
              <w:ind w:left="20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240" w:type="dxa"/>
            <w:vAlign w:val="bottom"/>
          </w:tcPr>
          <w:p>
            <w:pPr>
              <w:ind w:left="120"/>
              <w:spacing w:after="0"/>
              <w:rPr>
                <w:sz w:val="20"/>
                <w:szCs w:val="20"/>
                <w:color w:val="auto"/>
              </w:rPr>
            </w:pPr>
            <w:r>
              <w:rPr>
                <w:rFonts w:ascii="Arial" w:cs="Arial" w:eastAsia="Arial" w:hAnsi="Arial"/>
                <w:sz w:val="18"/>
                <w:szCs w:val="18"/>
                <w:color w:val="auto"/>
              </w:rPr>
              <w:t>Defined benefit plans,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6"/>
        </w:trPr>
        <w:tc>
          <w:tcPr>
            <w:tcW w:w="7240" w:type="dxa"/>
            <w:vAlign w:val="bottom"/>
          </w:tcPr>
          <w:p>
            <w:pPr>
              <w:ind w:left="200"/>
              <w:spacing w:after="0" w:line="176" w:lineRule="exact"/>
              <w:rPr>
                <w:sz w:val="20"/>
                <w:szCs w:val="20"/>
                <w:color w:val="auto"/>
              </w:rPr>
            </w:pPr>
            <w:r>
              <w:rPr>
                <w:rFonts w:ascii="Arial" w:cs="Arial" w:eastAsia="Arial" w:hAnsi="Arial"/>
                <w:sz w:val="18"/>
                <w:szCs w:val="18"/>
                <w:color w:val="auto"/>
              </w:rPr>
              <w:t>Amortization of effective portion of net (gains) losses on cash flow hedges included in</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7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7240" w:type="dxa"/>
            <w:vAlign w:val="bottom"/>
          </w:tcPr>
          <w:p>
            <w:pPr>
              <w:ind w:left="120"/>
              <w:spacing w:after="0"/>
              <w:rPr>
                <w:sz w:val="20"/>
                <w:szCs w:val="20"/>
                <w:color w:val="auto"/>
              </w:rPr>
            </w:pPr>
            <w:r>
              <w:rPr>
                <w:rFonts w:ascii="Arial" w:cs="Arial" w:eastAsia="Arial" w:hAnsi="Arial"/>
                <w:sz w:val="18"/>
                <w:szCs w:val="18"/>
                <w:color w:val="auto"/>
              </w:rPr>
              <w:t>Derivative investments,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 for loss included in other expense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r>
      <w:tr>
        <w:trPr>
          <w:trHeight w:val="22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2,237.9</w:t>
            </w: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2,236.7</w:t>
            </w:r>
          </w:p>
        </w:tc>
      </w:tr>
      <w:tr>
        <w:trPr>
          <w:trHeight w:val="21"/>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Balance at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Dividends on common stock of $5.90 per share</w:t>
      </w:r>
    </w:p>
    <w:p>
      <w:pPr>
        <w:spacing w:after="0" w:line="1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Impact of adoption of standards updates on credit losses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Vesting of issued restricted Class A common stock</w:t>
      </w:r>
    </w:p>
    <w:p>
      <w:pPr>
        <w:spacing w:after="0" w:line="14"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Shares issued to Board of Directors</w:t>
      </w:r>
    </w:p>
    <w:p>
      <w:pPr>
        <w:spacing w:after="0" w:line="13"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Shares issued under Employee Stock Purchase Plan</w:t>
      </w:r>
    </w:p>
    <w:p>
      <w:pPr>
        <w:ind w:right="80"/>
        <w:spacing w:after="0" w:line="412" w:lineRule="auto"/>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b w:val="1"/>
          <w:bCs w:val="1"/>
          <w:color w:val="auto"/>
        </w:rPr>
        <w:t>Balance at December 31, 2020</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3"/>
              </w:rPr>
              <w:t>Class A</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0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9"/>
              </w:rPr>
              <w:t>Total CME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w w:val="89"/>
              </w:rPr>
              <w:t>Stock and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2"/>
              </w:rPr>
              <w:t>Common</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1"/>
                <w:szCs w:val="11"/>
                <w:color w:val="auto"/>
              </w:rPr>
            </w:pPr>
          </w:p>
        </w:tc>
        <w:tc>
          <w:tcPr>
            <w:tcW w:w="8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1"/>
                <w:szCs w:val="11"/>
                <w:color w:val="auto"/>
              </w:rPr>
            </w:pPr>
          </w:p>
        </w:tc>
        <w:tc>
          <w:tcPr>
            <w:tcW w:w="8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1"/>
                <w:szCs w:val="11"/>
                <w:color w:val="auto"/>
              </w:rPr>
            </w:pPr>
          </w:p>
        </w:tc>
        <w:tc>
          <w:tcPr>
            <w:tcW w:w="12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106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0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20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7"/>
        </w:trPr>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(Shares)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0" w:type="dxa"/>
            <w:vAlign w:val="bottom"/>
          </w:tcPr>
          <w:p>
            <w:pPr>
              <w:jc w:val="right"/>
              <w:ind w:right="57"/>
              <w:spacing w:after="0"/>
              <w:rPr>
                <w:sz w:val="20"/>
                <w:szCs w:val="20"/>
                <w:color w:val="auto"/>
              </w:rPr>
            </w:pPr>
            <w:r>
              <w:rPr>
                <w:rFonts w:ascii="Arial" w:cs="Arial" w:eastAsia="Arial" w:hAnsi="Arial"/>
                <w:sz w:val="18"/>
                <w:szCs w:val="18"/>
                <w:color w:val="auto"/>
              </w:rPr>
              <w:t>357,469</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21,116.8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5,008.7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26,128.9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2,105.2</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2,105.2</w:t>
            </w: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(2,117.7)</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(2,117.7)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(2,117.7)</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920" w:type="dxa"/>
            <w:vAlign w:val="bottom"/>
          </w:tcPr>
          <w:p>
            <w:pPr>
              <w:jc w:val="right"/>
              <w:ind w:right="57"/>
              <w:spacing w:after="0"/>
              <w:rPr>
                <w:sz w:val="20"/>
                <w:szCs w:val="20"/>
                <w:color w:val="auto"/>
              </w:rPr>
            </w:pPr>
            <w:r>
              <w:rPr>
                <w:rFonts w:ascii="Arial" w:cs="Arial" w:eastAsia="Arial" w:hAnsi="Arial"/>
                <w:sz w:val="18"/>
                <w:szCs w:val="18"/>
                <w:color w:val="auto"/>
              </w:rPr>
              <w:t>123</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920" w:type="dxa"/>
            <w:vAlign w:val="bottom"/>
          </w:tcPr>
          <w:p>
            <w:pPr>
              <w:jc w:val="right"/>
              <w:ind w:right="57"/>
              <w:spacing w:after="0"/>
              <w:rPr>
                <w:sz w:val="20"/>
                <w:szCs w:val="20"/>
                <w:color w:val="auto"/>
              </w:rPr>
            </w:pPr>
            <w:r>
              <w:rPr>
                <w:rFonts w:ascii="Arial" w:cs="Arial" w:eastAsia="Arial" w:hAnsi="Arial"/>
                <w:sz w:val="18"/>
                <w:szCs w:val="18"/>
                <w:color w:val="auto"/>
              </w:rPr>
              <w:t>457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18"/>
        </w:trPr>
        <w:tc>
          <w:tcPr>
            <w:tcW w:w="920" w:type="dxa"/>
            <w:vAlign w:val="bottom"/>
          </w:tcPr>
          <w:p>
            <w:pPr>
              <w:jc w:val="right"/>
              <w:ind w:right="57"/>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920" w:type="dxa"/>
            <w:vAlign w:val="bottom"/>
          </w:tcPr>
          <w:p>
            <w:pPr>
              <w:jc w:val="right"/>
              <w:ind w:right="57"/>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96.0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358,110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21,189.1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4,995.9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26,319.9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-2254250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-1953895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-1542415</wp:posOffset>
            </wp:positionV>
            <wp:extent cx="713232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-1130935</wp:posOffset>
            </wp:positionV>
            <wp:extent cx="7132320" cy="266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-599440</wp:posOffset>
            </wp:positionV>
            <wp:extent cx="71323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2380" w:space="60"/>
            <w:col w:w="8780"/>
          </w:cols>
          <w:pgMar w:left="340" w:top="891" w:right="339" w:bottom="1440" w:gutter="0" w:footer="0" w:header="0"/>
        </w:sect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Dividends of $6.85 per</w:t>
      </w:r>
    </w:p>
    <w:p>
      <w:pPr>
        <w:ind w:right="140"/>
        <w:spacing w:after="0" w:line="226" w:lineRule="auto"/>
        <w:rPr>
          <w:sz w:val="20"/>
          <w:szCs w:val="20"/>
          <w:color w:val="auto"/>
        </w:rPr>
      </w:pPr>
      <w:r>
        <w:rPr>
          <w:rFonts w:ascii="Arial" w:cs="Arial" w:eastAsia="Arial" w:hAnsi="Arial"/>
          <w:sz w:val="18"/>
          <w:szCs w:val="18"/>
          <w:color w:val="auto"/>
        </w:rPr>
        <w:t>common share and $4.15 per preferred share</w:t>
      </w:r>
    </w:p>
    <w:p>
      <w:pPr>
        <w:spacing w:after="0"/>
        <w:rPr>
          <w:sz w:val="20"/>
          <w:szCs w:val="20"/>
          <w:color w:val="auto"/>
        </w:rPr>
      </w:pPr>
      <w:r>
        <w:rPr>
          <w:rFonts w:ascii="Arial" w:cs="Arial" w:eastAsia="Arial" w:hAnsi="Arial"/>
          <w:sz w:val="18"/>
          <w:szCs w:val="18"/>
          <w:color w:val="auto"/>
        </w:rPr>
        <w:t>Issuance of preferred stock</w:t>
      </w:r>
    </w:p>
    <w:p>
      <w:pPr>
        <w:spacing w:after="0" w:line="2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Purchase of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Vesting of issued restricted Class A common stock</w:t>
      </w:r>
    </w:p>
    <w:p>
      <w:pPr>
        <w:spacing w:after="0" w:line="1"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Shares issued to Board of Directors</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Shares issued under Employee Stock Purchase Plan</w:t>
      </w: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Preferred Stock,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2"/>
                <w:szCs w:val="12"/>
                <w:color w:val="auto"/>
              </w:rPr>
            </w:pPr>
          </w:p>
        </w:tc>
        <w:tc>
          <w:tcPr>
            <w:tcW w:w="9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80" w:type="dxa"/>
            <w:vAlign w:val="bottom"/>
            <w:vMerge w:val="continue"/>
          </w:tcPr>
          <w:p>
            <w:pPr>
              <w:spacing w:after="0"/>
              <w:rPr>
                <w:sz w:val="12"/>
                <w:szCs w:val="12"/>
                <w:color w:val="auto"/>
              </w:rPr>
            </w:pPr>
          </w:p>
        </w:tc>
        <w:tc>
          <w:tcPr>
            <w:tcW w:w="80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90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180" w:type="dxa"/>
            <w:vAlign w:val="bottom"/>
          </w:tcPr>
          <w:p>
            <w:pPr>
              <w:jc w:val="center"/>
              <w:ind w:right="6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0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80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358,110</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center"/>
              <w:ind w:left="36"/>
              <w:spacing w:after="0"/>
              <w:rPr>
                <w:sz w:val="20"/>
                <w:szCs w:val="20"/>
                <w:color w:val="auto"/>
              </w:rPr>
            </w:pPr>
            <w:r>
              <w:rPr>
                <w:rFonts w:ascii="Arial" w:cs="Arial" w:eastAsia="Arial" w:hAnsi="Arial"/>
                <w:sz w:val="18"/>
                <w:szCs w:val="18"/>
                <w:color w:val="auto"/>
                <w:w w:val="89"/>
              </w:rPr>
              <w:t>4,995.9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6"/>
              <w:spacing w:after="0"/>
              <w:rPr>
                <w:sz w:val="20"/>
                <w:szCs w:val="20"/>
                <w:color w:val="auto"/>
              </w:rPr>
            </w:pPr>
            <w:r>
              <w:rPr>
                <w:rFonts w:ascii="Arial" w:cs="Arial" w:eastAsia="Arial" w:hAnsi="Arial"/>
                <w:sz w:val="18"/>
                <w:szCs w:val="18"/>
                <w:color w:val="auto"/>
                <w:w w:val="89"/>
              </w:rPr>
              <w:t>2,636.4</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2,636.9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593"/>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(2,480.4)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(2,480.4)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30"/>
        </w:trPr>
        <w:tc>
          <w:tcPr>
            <w:tcW w:w="880" w:type="dxa"/>
            <w:vAlign w:val="bottom"/>
          </w:tcPr>
          <w:p>
            <w:pPr>
              <w:jc w:val="right"/>
              <w:ind w:right="59"/>
              <w:spacing w:after="0"/>
              <w:rPr>
                <w:sz w:val="20"/>
                <w:szCs w:val="20"/>
                <w:color w:val="auto"/>
              </w:rPr>
            </w:pPr>
            <w:r>
              <w:rPr>
                <w:rFonts w:ascii="Arial" w:cs="Arial" w:eastAsia="Arial" w:hAnsi="Arial"/>
                <w:sz w:val="18"/>
                <w:szCs w:val="18"/>
                <w:color w:val="auto"/>
              </w:rPr>
              <w:t>4,584</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19"/>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372"/>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89"/>
              </w:rPr>
              <w:t>5,151.9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-2605405</wp:posOffset>
            </wp:positionV>
            <wp:extent cx="705485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-2305050</wp:posOffset>
            </wp:positionV>
            <wp:extent cx="705485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-1782445</wp:posOffset>
            </wp:positionV>
            <wp:extent cx="705485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-1370965</wp:posOffset>
            </wp:positionV>
            <wp:extent cx="705485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-959485</wp:posOffset>
            </wp:positionV>
            <wp:extent cx="705485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54850" cy="26543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-427990</wp:posOffset>
            </wp:positionV>
            <wp:extent cx="705485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40"/>
            <w:col w:w="8840"/>
          </w:cols>
          <w:pgMar w:left="340" w:top="891" w:right="459" w:bottom="1440" w:gutter="0" w:footer="0" w:header="0"/>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891" w:right="45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 xml:space="preserve">CONSOLIDATED STATEMENTS OF EQUITY </w:t>
      </w:r>
      <w:r>
        <w:rPr>
          <w:rFonts w:ascii="Arial" w:cs="Arial" w:eastAsia="Arial" w:hAnsi="Arial"/>
          <w:sz w:val="17"/>
          <w:szCs w:val="17"/>
          <w:color w:val="auto"/>
        </w:rPr>
        <w:t>(continued)</w:t>
      </w:r>
    </w:p>
    <w:p>
      <w:pPr>
        <w:spacing w:after="0" w:line="3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(dollars in millions, except per share data; shares in thousands)</w:t>
      </w:r>
    </w:p>
    <w:p>
      <w:pPr>
        <w:sectPr>
          <w:pgSz w:w="11900" w:h="16838" w:orient="portrait"/>
          <w:cols w:equalWidth="0" w:num="1">
            <w:col w:w="11220"/>
          </w:cols>
          <w:pgMar w:left="34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980"/>
        <w:spacing w:after="0" w:line="266" w:lineRule="auto"/>
        <w:rPr>
          <w:sz w:val="20"/>
          <w:szCs w:val="20"/>
          <w:color w:val="auto"/>
        </w:rPr>
      </w:pPr>
      <w:r>
        <w:rPr>
          <w:rFonts w:ascii="Arial" w:cs="Arial" w:eastAsia="Arial" w:hAnsi="Arial"/>
          <w:sz w:val="18"/>
          <w:szCs w:val="18"/>
          <w:color w:val="auto"/>
        </w:rPr>
        <w:t>Balance at December 31, 2021 Net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Dividends of $8.50 per common share and preferred share Exercise of stock options</w:t>
      </w:r>
    </w:p>
    <w:p>
      <w:pPr>
        <w:ind w:right="540"/>
        <w:spacing w:after="0" w:line="266" w:lineRule="auto"/>
        <w:rPr>
          <w:sz w:val="20"/>
          <w:szCs w:val="20"/>
          <w:color w:val="auto"/>
        </w:rPr>
      </w:pPr>
      <w:r>
        <w:rPr>
          <w:rFonts w:ascii="Arial" w:cs="Arial" w:eastAsia="Arial" w:hAnsi="Arial"/>
          <w:sz w:val="18"/>
          <w:szCs w:val="18"/>
          <w:color w:val="auto"/>
        </w:rPr>
        <w:t>Vesting of issued restricted Class A common stock Shares issued to Board of Directors</w:t>
      </w:r>
    </w:p>
    <w:p>
      <w:pPr>
        <w:ind w:right="480"/>
        <w:spacing w:after="0" w:line="286" w:lineRule="auto"/>
        <w:rPr>
          <w:sz w:val="20"/>
          <w:szCs w:val="20"/>
          <w:color w:val="auto"/>
        </w:rPr>
      </w:pPr>
      <w:r>
        <w:rPr>
          <w:rFonts w:ascii="Arial" w:cs="Arial" w:eastAsia="Arial" w:hAnsi="Arial"/>
          <w:sz w:val="18"/>
          <w:szCs w:val="18"/>
          <w:color w:val="auto"/>
        </w:rPr>
        <w:t>Shares issued under Employee Stock Purchase Plan Stock-based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Class A</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9"/>
              </w:rPr>
              <w:t>Total CME</w:t>
            </w:r>
          </w:p>
        </w:tc>
        <w:tc>
          <w:tcPr>
            <w:tcW w:w="0" w:type="dxa"/>
            <w:vAlign w:val="bottom"/>
          </w:tcPr>
          <w:p>
            <w:pPr>
              <w:spacing w:after="0"/>
              <w:rPr>
                <w:sz w:val="1"/>
                <w:szCs w:val="1"/>
                <w:color w:val="auto"/>
              </w:rPr>
            </w:pPr>
          </w:p>
        </w:tc>
      </w:tr>
      <w:tr>
        <w:trPr>
          <w:trHeight w:val="144"/>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w w:val="89"/>
              </w:rPr>
              <w:t>Stock and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0" w:type="dxa"/>
            <w:vAlign w:val="bottom"/>
            <w:vMerge w:val="continue"/>
          </w:tcPr>
          <w:p>
            <w:pPr>
              <w:spacing w:after="0"/>
              <w:rPr>
                <w:sz w:val="12"/>
                <w:szCs w:val="12"/>
                <w:color w:val="auto"/>
              </w:rPr>
            </w:pPr>
          </w:p>
        </w:tc>
        <w:tc>
          <w:tcPr>
            <w:tcW w:w="800" w:type="dxa"/>
            <w:vAlign w:val="bottom"/>
          </w:tcPr>
          <w:p>
            <w:pPr>
              <w:jc w:val="center"/>
              <w:ind w:right="17"/>
              <w:spacing w:after="0" w:line="139" w:lineRule="exact"/>
              <w:rPr>
                <w:sz w:val="20"/>
                <w:szCs w:val="20"/>
                <w:color w:val="auto"/>
              </w:rPr>
            </w:pPr>
            <w:r>
              <w:rPr>
                <w:rFonts w:ascii="Arial" w:cs="Arial" w:eastAsia="Arial" w:hAnsi="Arial"/>
                <w:sz w:val="14"/>
                <w:szCs w:val="14"/>
                <w:b w:val="1"/>
                <w:bCs w:val="1"/>
                <w:color w:val="auto"/>
                <w:w w:val="95"/>
              </w:rPr>
              <w:t>Common</w:t>
            </w:r>
          </w:p>
        </w:tc>
        <w:tc>
          <w:tcPr>
            <w:tcW w:w="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94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180" w:type="dxa"/>
            <w:vAlign w:val="bottom"/>
          </w:tcPr>
          <w:p>
            <w:pPr>
              <w:jc w:val="center"/>
              <w:ind w:right="6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0" w:type="dxa"/>
            <w:vAlign w:val="bottom"/>
          </w:tcPr>
          <w:p>
            <w:pPr>
              <w:jc w:val="center"/>
              <w:ind w:right="35"/>
              <w:spacing w:after="0" w:line="139" w:lineRule="exact"/>
              <w:rPr>
                <w:sz w:val="20"/>
                <w:szCs w:val="20"/>
                <w:color w:val="auto"/>
              </w:rPr>
            </w:pPr>
            <w:r>
              <w:rPr>
                <w:rFonts w:ascii="Arial" w:cs="Arial" w:eastAsia="Arial" w:hAnsi="Arial"/>
                <w:sz w:val="14"/>
                <w:szCs w:val="14"/>
                <w:b w:val="1"/>
                <w:bCs w:val="1"/>
                <w:color w:val="auto"/>
                <w:w w:val="95"/>
              </w:rPr>
              <w:t>Group</w:t>
            </w:r>
          </w:p>
        </w:tc>
        <w:tc>
          <w:tcPr>
            <w:tcW w:w="0" w:type="dxa"/>
            <w:vAlign w:val="bottom"/>
          </w:tcPr>
          <w:p>
            <w:pPr>
              <w:spacing w:after="0"/>
              <w:rPr>
                <w:sz w:val="1"/>
                <w:szCs w:val="1"/>
                <w:color w:val="auto"/>
              </w:rPr>
            </w:pPr>
          </w:p>
        </w:tc>
      </w:tr>
      <w:tr>
        <w:trPr>
          <w:trHeight w:val="144"/>
        </w:trPr>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80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4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860" w:type="dxa"/>
            <w:vAlign w:val="bottom"/>
          </w:tcPr>
          <w:p>
            <w:pPr>
              <w:jc w:val="right"/>
              <w:ind w:right="1"/>
              <w:spacing w:after="0"/>
              <w:rPr>
                <w:sz w:val="20"/>
                <w:szCs w:val="20"/>
                <w:color w:val="auto"/>
              </w:rPr>
            </w:pPr>
            <w:r>
              <w:rPr>
                <w:rFonts w:ascii="Arial" w:cs="Arial" w:eastAsia="Arial" w:hAnsi="Arial"/>
                <w:sz w:val="18"/>
                <w:szCs w:val="18"/>
                <w:color w:val="auto"/>
              </w:rPr>
              <w:t>4,584</w:t>
            </w:r>
          </w:p>
        </w:tc>
        <w:tc>
          <w:tcPr>
            <w:tcW w:w="800" w:type="dxa"/>
            <w:vAlign w:val="bottom"/>
          </w:tcPr>
          <w:p>
            <w:pPr>
              <w:jc w:val="right"/>
              <w:spacing w:after="0"/>
              <w:rPr>
                <w:sz w:val="20"/>
                <w:szCs w:val="20"/>
                <w:color w:val="auto"/>
              </w:rPr>
            </w:pPr>
            <w:r>
              <w:rPr>
                <w:rFonts w:ascii="Arial" w:cs="Arial" w:eastAsia="Arial" w:hAnsi="Arial"/>
                <w:sz w:val="18"/>
                <w:szCs w:val="18"/>
                <w:color w:val="auto"/>
              </w:rPr>
              <w:t>358,599</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22,193.9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89"/>
              </w:rPr>
              <w:t>5,151.9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27,399.3</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89"/>
              </w:rPr>
              <w:t>2,691.0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2,691.0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6"/>
              <w:spacing w:after="0"/>
              <w:rPr>
                <w:sz w:val="20"/>
                <w:szCs w:val="20"/>
                <w:color w:val="auto"/>
              </w:rPr>
            </w:pPr>
            <w:r>
              <w:rPr>
                <w:rFonts w:ascii="Arial" w:cs="Arial" w:eastAsia="Arial" w:hAnsi="Arial"/>
                <w:sz w:val="18"/>
                <w:szCs w:val="18"/>
                <w:color w:val="auto"/>
                <w:w w:val="91"/>
              </w:rPr>
              <w:t>(3,096.1)</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(3,096.1)</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4,584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358,929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color w:val="auto"/>
                <w:w w:val="89"/>
              </w:rPr>
              <w:t>4,746.8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26,878.7</w:t>
            </w: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-1508125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-1207770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-916305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-624840</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-334010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0"/>
            <w:col w:w="6960"/>
          </w:cols>
          <w:pgMar w:left="340" w:top="891" w:right="339" w:bottom="1440" w:gutter="0" w:footer="0" w:header="0"/>
          <w:type w:val="continuous"/>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2,106.4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on assets held for sale and impaired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Gain on sale of building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joint venture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(Gain)/Loss on derivative contracts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and unrealized (gains)/losses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0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670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70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6700" w:type="dxa"/>
            <w:vAlign w:val="bottom"/>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w:t>
            </w:r>
          </w:p>
        </w:tc>
      </w:tr>
      <w:tr>
        <w:trPr>
          <w:trHeight w:val="88"/>
        </w:trPr>
        <w:tc>
          <w:tcPr>
            <w:tcW w:w="6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business ventures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Payment for acquisition of subsidiary's interests from the non-controlling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sale of building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cash proceeds from OSTTRA joint venture transaction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S&amp;P Dow Jones Indices LLC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Repayment issuance of commercial paper,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Repayment of other borrowings, including call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preferred stock offering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performance bond and guaranty fund contributions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49,704.8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47,246.6</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8"/>
              </w:rPr>
              <w:t>Net change in cash, cash equivalents, restricted cash and 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49,786.7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 restricted cash and restricted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38,633.6</w:t>
            </w:r>
          </w:p>
        </w:tc>
        <w:tc>
          <w:tcPr>
            <w:tcW w:w="0" w:type="dxa"/>
            <w:vAlign w:val="bottom"/>
          </w:tcPr>
          <w:p>
            <w:pPr>
              <w:spacing w:after="0"/>
              <w:rPr>
                <w:sz w:val="1"/>
                <w:szCs w:val="1"/>
                <w:color w:val="auto"/>
              </w:rPr>
            </w:pPr>
          </w:p>
        </w:tc>
      </w:tr>
      <w:tr>
        <w:trPr>
          <w:trHeight w:val="164"/>
        </w:trPr>
        <w:tc>
          <w:tcPr>
            <w:tcW w:w="6700" w:type="dxa"/>
            <w:vAlign w:val="bottom"/>
          </w:tcPr>
          <w:p>
            <w:pPr>
              <w:ind w:left="20"/>
              <w:spacing w:after="0" w:line="164" w:lineRule="exact"/>
              <w:rPr>
                <w:sz w:val="20"/>
                <w:szCs w:val="20"/>
                <w:color w:val="auto"/>
              </w:rPr>
            </w:pPr>
            <w:r>
              <w:rPr>
                <w:rFonts w:ascii="Arial" w:cs="Arial" w:eastAsia="Arial" w:hAnsi="Arial"/>
                <w:sz w:val="18"/>
                <w:szCs w:val="18"/>
                <w:b w:val="1"/>
                <w:bCs w:val="1"/>
                <w:color w:val="auto"/>
                <w:w w:val="94"/>
              </w:rPr>
              <w:t>Cash, Cash Equivalents, Restricted Cash and Restricted Cash Equivalents, End of</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137,974.3</w:t>
            </w:r>
          </w:p>
        </w:tc>
        <w:tc>
          <w:tcPr>
            <w:tcW w:w="4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160,789.8</w:t>
            </w:r>
          </w:p>
        </w:tc>
        <w:tc>
          <w:tcPr>
            <w:tcW w:w="10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88,420.3</w:t>
            </w:r>
          </w:p>
        </w:tc>
        <w:tc>
          <w:tcPr>
            <w:tcW w:w="0" w:type="dxa"/>
            <w:vAlign w:val="bottom"/>
          </w:tcPr>
          <w:p>
            <w:pPr>
              <w:spacing w:after="0"/>
              <w:rPr>
                <w:sz w:val="1"/>
                <w:szCs w:val="1"/>
                <w:color w:val="auto"/>
              </w:rPr>
            </w:pPr>
          </w:p>
        </w:tc>
      </w:tr>
      <w:tr>
        <w:trPr>
          <w:trHeight w:val="20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line="184" w:lineRule="exact"/>
              <w:rPr>
                <w:sz w:val="20"/>
                <w:szCs w:val="20"/>
                <w:color w:val="auto"/>
              </w:rPr>
            </w:pPr>
            <w:r>
              <w:rPr>
                <w:rFonts w:ascii="Arial" w:cs="Arial" w:eastAsia="Arial" w:hAnsi="Arial"/>
                <w:sz w:val="18"/>
                <w:szCs w:val="18"/>
                <w:b w:val="1"/>
                <w:bCs w:val="1"/>
                <w:color w:val="auto"/>
              </w:rPr>
              <w:t>Reconciliation of cash, cash equivalents, restricted cash and restricted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equivalents: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Short-term restricted cash (within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 (within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88"/>
        </w:trPr>
        <w:tc>
          <w:tcPr>
            <w:tcW w:w="6700" w:type="dxa"/>
            <w:vAlign w:val="bottom"/>
          </w:tcPr>
          <w:p>
            <w:pPr>
              <w:ind w:left="20"/>
              <w:spacing w:after="0" w:line="189" w:lineRule="exact"/>
              <w:rPr>
                <w:sz w:val="20"/>
                <w:szCs w:val="20"/>
                <w:color w:val="auto"/>
              </w:rPr>
            </w:pPr>
            <w:r>
              <w:rPr>
                <w:rFonts w:ascii="Arial" w:cs="Arial" w:eastAsia="Arial" w:hAnsi="Arial"/>
                <w:sz w:val="18"/>
                <w:szCs w:val="18"/>
                <w:color w:val="auto"/>
                <w:w w:val="96"/>
              </w:rPr>
              <w:t>Restricted cash and restricted cash equivalents (performance bonds and guaranty fund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157,949.6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86,781.8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88,420.3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700" w:type="dxa"/>
            <w:vAlign w:val="bottom"/>
          </w:tcPr>
          <w:p>
            <w:pPr>
              <w:ind w:left="480"/>
              <w:spacing w:after="0" w:line="189" w:lineRule="exact"/>
              <w:rPr>
                <w:sz w:val="20"/>
                <w:szCs w:val="20"/>
                <w:color w:val="auto"/>
              </w:rPr>
            </w:pPr>
            <w:r>
              <w:rPr>
                <w:rFonts w:ascii="Arial" w:cs="Arial" w:eastAsia="Arial" w:hAnsi="Arial"/>
                <w:sz w:val="18"/>
                <w:szCs w:val="18"/>
                <w:color w:val="auto"/>
                <w:w w:val="92"/>
              </w:rPr>
              <w:t>Declaration of annual variable dividend, payable in January 2023, January 2022 and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80"/>
              <w:spacing w:after="0"/>
              <w:rPr>
                <w:sz w:val="20"/>
                <w:szCs w:val="20"/>
                <w:color w:val="auto"/>
              </w:rPr>
            </w:pPr>
            <w:r>
              <w:rPr>
                <w:rFonts w:ascii="Arial" w:cs="Arial" w:eastAsia="Arial" w:hAnsi="Arial"/>
                <w:sz w:val="18"/>
                <w:szCs w:val="18"/>
                <w:color w:val="auto"/>
              </w:rPr>
              <w:t>January 2021</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CME Group Inc. (CME Group) exchanges offer the widest range of global benchmark products across all major asset classes based on interest rates, equity indexes, foreign exchange (FX), agricultural, energy and metal commodities. We offer futures and options across asset classes as well as cash, repo fixed income and OTC FX trading through the CME Globex platform. In addition, it operates one of the world’s leading central counterparty clearing houses. CME Group offers clearing, settlement and guarantees for all products cleared through the clearing house.</w:t>
      </w:r>
    </w:p>
    <w:p>
      <w:pPr>
        <w:spacing w:after="0" w:line="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2021, the company and IHS Markit launched a new joint venture, OSTTRA, to combine their post-trade services. OSTTRA performs trade processing and risk mitigation services. The company contributed the net assets of its optimization business, which included Traiana, TriOptima and Reset, to the joint venture and deconsolidated the net assets of the optimization business. The financial statements and accompanying notes presented in this report exclude the assets, liabilities, revenues and expenses from the optimization business and include an investment in the joint venture and equity in net earnings from the joint venture after September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 and include the accounts of the company and its subsidiaries. All intercompany transactions and balances have been eliminated.</w:t>
      </w:r>
    </w:p>
    <w:p>
      <w:pPr>
        <w:spacing w:after="0" w:line="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Financial Investments. </w:t>
      </w:r>
      <w:r>
        <w:rPr>
          <w:rFonts w:ascii="Arial" w:cs="Arial" w:eastAsia="Arial" w:hAnsi="Arial"/>
          <w:sz w:val="17"/>
          <w:szCs w:val="17"/>
          <w:color w:val="auto"/>
        </w:rPr>
        <w:t>The company maintains short-term and long-term investments, classified as equity method investments, available-for-sale debt</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equity investments in privately-held entities,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Additionally, the company maintains long-term investments accounted for under the equity method, which requires that the company recognize its share of net income (loss) and other comprehensive income (loss) in the investee as an adjustment to the carrying amount of the investment each reporting period.</w:t>
      </w:r>
    </w:p>
    <w:p>
      <w:pPr>
        <w:spacing w:after="0" w:line="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reviews its investment portfolio at least quarterly, as well as whenever facts or circumstances exist which indicate that the carrying value of an investment is greater than its fair value. For investments not carried at fair value, the carrying value of the investment is reduced to its fair value and a corresponding impairment expense is charged to earnings, if events and circumstances indicate that a markdown to fair value is warranted. Declines in the fair value of available-for-sale debt securities that are deemed to represent indicators of impairment are charged to earnings as a realized loss.</w:t>
      </w:r>
    </w:p>
    <w:p>
      <w:pPr>
        <w:spacing w:after="0" w:line="4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company uses a three-level classification hierarchy of fair value measurements that establishes the quality of</w:t>
      </w:r>
      <w:r>
        <w:rPr>
          <w:rFonts w:ascii="Arial" w:cs="Arial" w:eastAsia="Arial" w:hAnsi="Arial"/>
          <w:sz w:val="18"/>
          <w:szCs w:val="18"/>
          <w:b w:val="1"/>
          <w:bCs w:val="1"/>
          <w:color w:val="auto"/>
        </w:rPr>
        <w:t xml:space="preserve"> </w:t>
      </w:r>
      <w:r>
        <w:rPr>
          <w:rFonts w:ascii="Arial" w:cs="Arial" w:eastAsia="Arial" w:hAnsi="Arial"/>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Derivative Investments. </w:t>
      </w:r>
      <w:r>
        <w:rPr>
          <w:rFonts w:ascii="Arial" w:cs="Arial" w:eastAsia="Arial" w:hAnsi="Arial"/>
          <w:sz w:val="18"/>
          <w:szCs w:val="18"/>
          <w:color w:val="auto"/>
        </w:rPr>
        <w:t>The company occasionally uses derivative instruments to limit exposure to changes in interest rates and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rates. Derivatives are recorded at fair value on the consolidated balance sheets. For those derivatives that meet the criteria for hedge accounting and are classified as effective cash flow hedges, changes in the fair value of derivative financial instruments are initially recorded in other comprehensive income and subsequently reclassified into earnings when the hedged item affects income. The company assesses, both at the inception of each hedge and on an ongoing basis, whether the derivative financial instruments that are designated as cash flow hedging transactions are highly effective in offsetting changes in cash flows of the hedged items. For any hedges no longer deemed effective or for which hedge accounting is not applied, changes in fair value of the derivative instruments are recognized in earnings within other non-operating income (expense). There were no outstanding derivative instruments at December 31, 2022.</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comprised of trade receivables and unbilled revenue. All accounts receivable are stated at net realizable</w:t>
      </w:r>
      <w:r>
        <w:rPr>
          <w:rFonts w:ascii="Arial" w:cs="Arial" w:eastAsia="Arial" w:hAnsi="Arial"/>
          <w:sz w:val="18"/>
          <w:szCs w:val="18"/>
          <w:b w:val="1"/>
          <w:bCs w:val="1"/>
          <w:color w:val="auto"/>
        </w:rPr>
        <w:t xml:space="preserve"> </w:t>
      </w:r>
      <w:r>
        <w:rPr>
          <w:rFonts w:ascii="Arial" w:cs="Arial" w:eastAsia="Arial" w:hAnsi="Arial"/>
          <w:sz w:val="18"/>
          <w:szCs w:val="18"/>
          <w:color w:val="auto"/>
        </w:rPr>
        <w:t>value. Exposure to 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management's assessment of future expected losses over the life of the receivable, historical trends and the current economic environment within which we operate.</w:t>
      </w:r>
    </w:p>
    <w:p>
      <w:pPr>
        <w:spacing w:after="0" w:line="7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cash, securities or other non-cash deposits.</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these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 The cash performance bonds and guaranty fund contributions are considered restricted cash as the cash deposits cannot be used for the company's operations or to satisfy any operational liabilities.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4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Property. </w:t>
      </w:r>
      <w:r>
        <w:rPr>
          <w:rFonts w:ascii="Arial" w:cs="Arial" w:eastAsia="Arial" w:hAnsi="Arial"/>
          <w:sz w:val="17"/>
          <w:szCs w:val="17"/>
          <w:color w:val="auto"/>
        </w:rPr>
        <w:t>Property is stated at cost, less accumulated depreciation and amortization. Depreciation and amortization are calculated using the straight-line</w:t>
      </w:r>
      <w:r>
        <w:rPr>
          <w:rFonts w:ascii="Arial" w:cs="Arial" w:eastAsia="Arial" w:hAnsi="Arial"/>
          <w:sz w:val="17"/>
          <w:szCs w:val="17"/>
          <w:b w:val="1"/>
          <w:bCs w:val="1"/>
          <w:color w:val="auto"/>
        </w:rPr>
        <w:t xml:space="preserve"> </w:t>
      </w:r>
      <w:r>
        <w:rPr>
          <w:rFonts w:ascii="Arial" w:cs="Arial" w:eastAsia="Arial" w:hAnsi="Arial"/>
          <w:sz w:val="17"/>
          <w:szCs w:val="17"/>
          <w:color w:val="auto"/>
        </w:rPr>
        <w:t>method, generally over two to twenty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obtaining, or implementing computer software for internal use which meet the requirements for capitalization are amortized on a straight-line basis over the estimated useful life of the software, generally two to four years, but up to eight years for certain trading and clearing applications, depending upon expected useful lives.</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accounts for our leases of office space as operating leases. Landlord allowances are recorded as a direct reduction to the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lease asset, which is reported in other assets and amortized to rent expense over the term of the lease. Both lease and direct non-lease costs are accounted for as a single lease component for purposes of capitalization on the consolidated balance sheets.The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over the fair value of the net assets acquired in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 company reviews goodwill for impairment at least quarterly and whenever events or circumstances indicate that the carrying value may not be recoverable. The company may test goodwill quantitatively for impairment by comparing the carrying value of a reporting unit to its estimated fair value. Estimating the fair value of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6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performs an impairment assessment of indefinite-lived intangible assets at least quarterly or whenever events or circumstances indicate that their carrying values may not be recoverable.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Intangible assets subject to amortization are also assessed for impairment at least quarterly or when indicated by a change in economic or operational circumstances. The impairment assessment of these assets requires management to first compare the carrying value of the amortizing asset to undiscounted net cash flows. If the carrying value exceeds the undiscounted net cash flows, management is then required to estimate the fair value of the assets and record an impairment loss for the excess of the carrying value over the fair value. In connection with this impairment assessment, management also challenges the useful lives of our amortizing intangible assets.</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business combinations using the acquisition method. The method requires the acquirer to recognize</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on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Foreign currency denominated monetary assets and liabilities are re-measured into the functional currency using period-end exchange rates. Gains and losses from foreign currency transactions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upon successful execution of the trade.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company, a fee adjustment is provided to the clearing firm. A reserve is established for estimated fee adjustments to reflect corrections to customer exchange trading privileges. The reserve is based on the historical pattern of adjustments processed as well as management's estimate of future adjustment activity. The company believes the reserve is adequate to cover estimated adjustments as of December 31, 2022 and 2021.</w:t>
      </w:r>
    </w:p>
    <w:p>
      <w:pPr>
        <w:spacing w:after="0" w:line="58" w:lineRule="exact"/>
        <w:rPr>
          <w:sz w:val="20"/>
          <w:szCs w:val="20"/>
          <w:color w:val="auto"/>
        </w:rPr>
      </w:pPr>
    </w:p>
    <w:p>
      <w:pPr>
        <w:ind w:left="460" w:right="120"/>
        <w:spacing w:after="0" w:line="301"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Market data and information services represent revenue earned for the dissemination of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49"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include access and communication fees, fees for collateral management, equity membership subscription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trade order routing through agreements from various strategic relationships as well as other services to customers. Revenue is recognized as services are provided.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One clearing firm represented at least approximately 10% of the company's clearing and transaction fee revenue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79"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two largest resellers of market data represented approximately 33% of market data and information services revenue in 2022, 34% in 2021, and 35% in 2020.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59"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The company accounts for share-based payments at fair value, which is based on the grant date price of the equity awards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recognizes expense relating to stock-based compensation on an accelerated basis. As a result, the expense associated with each vesting date within a stock grant is recognized over the period of time that each portion of that grant vests. Forfeitures are recognized in the period in which they occur.</w:t>
      </w:r>
    </w:p>
    <w:p>
      <w:pPr>
        <w:spacing w:after="0" w:line="34"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arise from temporary differences between the tax basis and book basis of assets and liabilities. A 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recognizes interest and penalties related to uncertain tax positions in income tax expense.</w:t>
      </w:r>
    </w:p>
    <w:p>
      <w:pPr>
        <w:spacing w:after="0" w:line="43"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the businesses of CME, CBOT,</w:t>
      </w:r>
      <w:r>
        <w:rPr>
          <w:rFonts w:ascii="Arial" w:cs="Arial" w:eastAsia="Arial" w:hAnsi="Arial"/>
          <w:sz w:val="18"/>
          <w:szCs w:val="18"/>
          <w:b w:val="1"/>
          <w:bCs w:val="1"/>
          <w:color w:val="auto"/>
        </w:rPr>
        <w:t xml:space="preserve"> </w:t>
      </w:r>
      <w:r>
        <w:rPr>
          <w:rFonts w:ascii="Arial" w:cs="Arial" w:eastAsia="Arial" w:hAnsi="Arial"/>
          <w:sz w:val="18"/>
          <w:szCs w:val="18"/>
          <w:color w:val="auto"/>
        </w:rPr>
        <w:t>NYMEX, COMEX and our cash markets business. The individual operations of the company do not meet the thresholds for reporting separate segment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Newly Adopted Accounting Policies. </w:t>
      </w:r>
      <w:r>
        <w:rPr>
          <w:rFonts w:ascii="Arial" w:cs="Arial" w:eastAsia="Arial" w:hAnsi="Arial"/>
          <w:sz w:val="18"/>
          <w:szCs w:val="18"/>
          <w:color w:val="auto"/>
        </w:rPr>
        <w:t>The company adopted the following accounting policies during 2022:</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August 2020, FASB issued an accounting update that simplifies the accounting for convertible instruments and amends certain guidance on the computation of EPS for convertible instruments. This guidance reduces the number of accounting models used for the allocation of proceeds attributable to the issuance of a convertible instrument, thereby eliminating the beneficial conversion feature model. It is also noted that this guidance revises and eliminates certain criteria for achieving equity classification on the balance sheet. This accounting update requires entities to provide expanded disclosures about the terms and features of convertible instruments, including information about events, conditions and circumstances that can affect how to assess the amount or timing of an entity’s future cash flows related to those instruments. The company adopted this guidance on January 1, 2022. Adoption of this guidance did not have an impact on the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currently expect any pending accounting pronouncements to have a material impact on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4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2022, 2021 and 2020:</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r>
      <w:tr>
        <w:trPr>
          <w:trHeight w:val="26"/>
        </w:trPr>
        <w:tc>
          <w:tcPr>
            <w:tcW w:w="7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1,326.8</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1,121.9</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1,008.1</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699.3</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BrokerTec fixed income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EBS foreign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Optimization</w:t>
            </w: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clearing and transaction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3,897.4</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3,785.6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2022 were not materially impacted by any other factors. The balance of contract liabilities was $12.7 million and $15.2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U.S., clearing firm funds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5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clearing firm is required to deposit and maintain balances in the form of cash, U.S. government securities, certain foreign government securities, bank letters of credit or other approved collateral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investment choices available to clearing firms and changes in the amount of contributions required.</w:t>
      </w:r>
    </w:p>
    <w:p>
      <w:pPr>
        <w:spacing w:after="0" w:line="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clearing house marks-to-market open positions at least once a day (twice a day for futures and options contracts), and requires payment from clearing firms whose positions have lost value and makes payments to clearing firms whose positions have gained value. The clearing house has the capability to mark-to-market more frequently as market conditions warrant.</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the extremely unlikely scenario of simultaneous default by every clearing firm who has open positions with unrealized losses, the maximum exposure at the time of default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The clearing firms' collateral requirements are sized to cover at least one day of anticipated price movements. During 2022, the clearing house transferred an average of approximately $6.0 billion a day through the clearing system for settlement from clearing firms whose positions had lost value to clearing firms whose positions had gained value. The clearing house reduces its exposure through maintenance performance bond requirements and guaranty fund contributions. For futures and options products, the clearing firms' collateral requirements are sized to cover at least one day of anticipated price movements. For cleared swap products, the clearing firms' collateral requirements are sized to cover at least five days of anticipated price movements.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2022.</w:t>
      </w:r>
    </w:p>
    <w:p>
      <w:pPr>
        <w:spacing w:after="0" w:line="7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CME has been designated as a systemically important financial market utility by the Financial Stability Oversight Council and is authorized to maintain cash accounts at the Federal Reserve Bank of Chicago. At December 31, 2022 and 2021, the clearing house maintained $124.9 billion and $146.1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 margin account would be allocated equally between CME and OCC.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CME has a cross-margin arrangement with Fixed Income Clearing Corporation (FICC) whereby certain of the clearing firms' offsetting positions with CME and FICC are subject to reduced performance bond requirements. Clearing firms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maintain separate performance bond deposits with each clearing house, but based on the net offsetting positions between CME and FICC, each clearing house may reduce that firm's performance bond requirements. If a participating firm defaults, the gain or loss on the liquidation of the firm’s open positions and the proceeds from the liquidation of the cross margin account would be allocated between CME and FICC pursuant to a publicly-available cross-margining agreement. In the event of a remaining loss, CME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Thereafter, if the payment default remains unsatisfied, the clearing house would use its corporate contributions designated for the respective financial safeguard package. The clearing house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clearing firm for futures and options is required to deposit and maintain specified guaranty fund contributions in the form of cash or U.S. Treasury securities (base guaranty fund).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clearing house maintains a separate guaranty fund to support the clearing firms that clear interest rate swap products (cleared interest rate swaps contract guaranty fund).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6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2022, guaranty fund contributions available to collateralize the facility were $6.9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clearing house is required under the Commodity Exchange Act in the U.S. to segregate cash and securities deposited by clearing firms from its clearing member customers. In addition, the clearing house requires segregation of all funds deposited by its clearing firms from operating funds.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and non-cash deposits held as performance bonds and guaranty fund contributions at fair value at December 31, 2022 and 2021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18"/>
              <w:spacing w:after="0" w:line="133" w:lineRule="exact"/>
              <w:rPr>
                <w:sz w:val="20"/>
                <w:szCs w:val="20"/>
                <w:color w:val="auto"/>
              </w:rPr>
            </w:pPr>
            <w:r>
              <w:rPr>
                <w:rFonts w:ascii="Arial" w:cs="Arial" w:eastAsia="Arial" w:hAnsi="Arial"/>
                <w:sz w:val="14"/>
                <w:szCs w:val="14"/>
                <w:b w:val="1"/>
                <w:bCs w:val="1"/>
                <w:color w:val="auto"/>
                <w:w w:val="93"/>
              </w:rPr>
              <w:t>Non-Cash</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58"/>
              <w:spacing w:after="0" w:line="13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7"/>
              </w:rPr>
              <w:t>Deposits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36"/>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Cash</w:t>
            </w:r>
          </w:p>
        </w:tc>
        <w:tc>
          <w:tcPr>
            <w:tcW w:w="220" w:type="dxa"/>
            <w:vAlign w:val="bottom"/>
          </w:tcPr>
          <w:p>
            <w:pPr>
              <w:spacing w:after="0"/>
              <w:rPr>
                <w:sz w:val="11"/>
                <w:szCs w:val="11"/>
                <w:color w:val="auto"/>
              </w:rPr>
            </w:pPr>
          </w:p>
        </w:tc>
        <w:tc>
          <w:tcPr>
            <w:tcW w:w="1220" w:type="dxa"/>
            <w:vAlign w:val="bottom"/>
          </w:tcPr>
          <w:p>
            <w:pPr>
              <w:jc w:val="center"/>
              <w:ind w:right="138"/>
              <w:spacing w:after="0" w:line="136"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215"/>
        </w:trPr>
        <w:tc>
          <w:tcPr>
            <w:tcW w:w="51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IEF Funds </w:t>
            </w:r>
            <w:r>
              <w:rPr>
                <w:rFonts w:ascii="Arial" w:cs="Arial" w:eastAsia="Arial" w:hAnsi="Arial"/>
                <w:sz w:val="18"/>
                <w:szCs w:val="18"/>
                <w:b w:val="1"/>
                <w:bCs w:val="1"/>
                <w:color w:val="auto"/>
                <w:w w:val="92"/>
                <w:vertAlign w:val="superscript"/>
              </w:rPr>
              <w:t>(1)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 xml:space="preserve">IEF Funds </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70,005.3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Guaranty fund contributions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3,326.1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Cross-margin arrangements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73,333.5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IEF funds include customer-directed investments in IEF funds that are not included on the consolidated balance sheets.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Cross-margin arrangements include collateral for the cross-margin accounts with OCC and FICC.</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$436.7 million and $156.4 million at December 31, 2022 and 2021, respectively. Intraday settlements may be invested on an overnight basis and are offset by an equal liability owed to clearing firms.</w:t>
      </w:r>
    </w:p>
    <w:p>
      <w:pPr>
        <w:spacing w:after="0" w:line="7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to cash, securities and other non-cash deposits, irrevocable letters of credit may be used as performance bond deposits for clearing firms. At December 31, 2022 and 2021, these letters of credit, which are not included in the accompanying consolidated balance sheets,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6"/>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bond collateral for delivery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Letters of Credit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2022 and 2021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60" w:type="dxa"/>
            <w:vAlign w:val="bottom"/>
          </w:tcPr>
          <w:p>
            <w:pPr>
              <w:jc w:val="center"/>
              <w:ind w:left="34"/>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building improvements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6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1 - 10 years</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232.3</w:t>
            </w:r>
          </w:p>
        </w:tc>
        <w:tc>
          <w:tcPr>
            <w:tcW w:w="1660" w:type="dxa"/>
            <w:vAlign w:val="bottom"/>
          </w:tcPr>
          <w:p>
            <w:pPr>
              <w:jc w:val="center"/>
              <w:ind w:left="14"/>
              <w:spacing w:after="0"/>
              <w:rPr>
                <w:sz w:val="20"/>
                <w:szCs w:val="20"/>
                <w:color w:val="auto"/>
              </w:rPr>
            </w:pPr>
            <w:r>
              <w:rPr>
                <w:rFonts w:ascii="Arial" w:cs="Arial" w:eastAsia="Arial" w:hAnsi="Arial"/>
                <w:sz w:val="18"/>
                <w:szCs w:val="18"/>
                <w:color w:val="auto"/>
                <w:w w:val="88"/>
              </w:rPr>
              <w:t>3 - 19 years</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6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9"/>
              </w:rPr>
              <w:t>2 - 7 years</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and software development costs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c>
          <w:tcPr>
            <w:tcW w:w="166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89"/>
              </w:rPr>
              <w:t>2 - 4 years</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66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1660" w:type="dxa"/>
            <w:vAlign w:val="bottom"/>
            <w:tcBorders>
              <w:bottom w:val="single" w:sz="8" w:color="CCEEFF"/>
            </w:tcBorders>
          </w:tcPr>
          <w:p>
            <w:pPr>
              <w:spacing w:after="0"/>
              <w:rPr>
                <w:sz w:val="19"/>
                <w:szCs w:val="19"/>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3"/>
          </w:tcPr>
          <w:p>
            <w:pPr>
              <w:jc w:val="center"/>
              <w:ind w:right="11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92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 w:type="dxa"/>
            <w:vAlign w:val="bottom"/>
          </w:tcPr>
          <w:p>
            <w:pPr>
              <w:spacing w:after="0"/>
              <w:rPr>
                <w:sz w:val="11"/>
                <w:szCs w:val="11"/>
                <w:color w:val="auto"/>
              </w:rPr>
            </w:pPr>
          </w:p>
        </w:tc>
        <w:tc>
          <w:tcPr>
            <w:tcW w:w="106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18"/>
                <w:szCs w:val="18"/>
                <w:b w:val="1"/>
                <w:bCs w:val="1"/>
                <w:color w:val="auto"/>
                <w:vertAlign w:val="superscript"/>
              </w:rPr>
              <w:t>(2)</w:t>
            </w:r>
          </w:p>
        </w:tc>
        <w:tc>
          <w:tcPr>
            <w:tcW w:w="200" w:type="dxa"/>
            <w:vAlign w:val="bottom"/>
          </w:tcPr>
          <w:p>
            <w:pPr>
              <w:spacing w:after="0"/>
              <w:rPr>
                <w:sz w:val="11"/>
                <w:szCs w:val="11"/>
                <w:color w:val="auto"/>
              </w:rPr>
            </w:pPr>
          </w:p>
        </w:tc>
        <w:tc>
          <w:tcPr>
            <w:tcW w:w="90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Amortizable Intangible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6" w:lineRule="exact"/>
              <w:rPr>
                <w:sz w:val="20"/>
                <w:szCs w:val="20"/>
                <w:color w:val="auto"/>
              </w:rPr>
            </w:pPr>
            <w:r>
              <w:rPr>
                <w:rFonts w:ascii="Arial" w:cs="Arial" w:eastAsia="Arial" w:hAnsi="Arial"/>
                <w:sz w:val="18"/>
                <w:szCs w:val="18"/>
                <w:color w:val="auto"/>
                <w:w w:val="97"/>
              </w:rPr>
              <w:t>Clearing firm, market data and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other customer relationships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2,776.1</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(1,847.7)</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3,020.5</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Technology-related intellectual</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Amortizable Intangible</w:t>
            </w: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4,817.8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40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6,099.2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3,269.7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3,532.0</w:t>
            </w:r>
          </w:p>
        </w:tc>
        <w:tc>
          <w:tcPr>
            <w:tcW w:w="0" w:type="dxa"/>
            <w:vAlign w:val="bottom"/>
          </w:tcPr>
          <w:p>
            <w:pPr>
              <w:spacing w:after="0"/>
              <w:rPr>
                <w:sz w:val="1"/>
                <w:szCs w:val="1"/>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3"/>
                <w:szCs w:val="23"/>
                <w:color w:val="auto"/>
                <w:vertAlign w:val="superscript"/>
              </w:rPr>
              <w:t>(1)</w:t>
            </w: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66"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activity from deconsolidation includes intangible assets as part of the contribution of the net assets of the optimization business to OSTTRA.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2022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3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3940" w:type="dxa"/>
            <w:vAlign w:val="bottom"/>
          </w:tcPr>
          <w:p>
            <w:pPr>
              <w:jc w:val="right"/>
              <w:spacing w:after="0"/>
              <w:rPr>
                <w:sz w:val="20"/>
                <w:szCs w:val="20"/>
                <w:color w:val="auto"/>
              </w:rPr>
            </w:pPr>
            <w:r>
              <w:rPr>
                <w:rFonts w:ascii="Arial" w:cs="Arial" w:eastAsia="Arial" w:hAnsi="Arial"/>
                <w:sz w:val="18"/>
                <w:szCs w:val="18"/>
                <w:color w:val="auto"/>
              </w:rPr>
              <w:t>5 - 9 years</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bl>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Total amortization expense for intangible assets was $227.7 million, $237.6 million and $311.2 million for the years ended December 31, 2022, 2021 and 2020, respectively. As of December 31, 2022, the future estimated amortization expense related to amortizable intangible assets is expected to be as follows: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2024</w:t>
            </w:r>
          </w:p>
        </w:tc>
        <w:tc>
          <w:tcPr>
            <w:tcW w:w="4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221.3</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2026</w:t>
            </w:r>
          </w:p>
        </w:tc>
        <w:tc>
          <w:tcPr>
            <w:tcW w:w="4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221.3</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years ended December 31, 2022 and 2021</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Activity </w:t>
            </w:r>
            <w:r>
              <w:rPr>
                <w:rFonts w:ascii="Arial" w:cs="Arial" w:eastAsia="Arial" w:hAnsi="Arial"/>
                <w:sz w:val="9"/>
                <w:szCs w:val="9"/>
                <w:b w:val="1"/>
                <w:bCs w:val="1"/>
                <w:color w:val="auto"/>
                <w:w w:val="94"/>
              </w:rPr>
              <w:t>(2)</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9"/>
                <w:szCs w:val="9"/>
                <w:color w:val="auto"/>
              </w:rPr>
            </w:pPr>
          </w:p>
        </w:tc>
        <w:tc>
          <w:tcPr>
            <w:tcW w:w="1320" w:type="dxa"/>
            <w:vAlign w:val="bottom"/>
          </w:tcPr>
          <w:p>
            <w:pPr>
              <w:jc w:val="center"/>
              <w:ind w:right="36"/>
              <w:spacing w:after="0" w:line="109" w:lineRule="exact"/>
              <w:rPr>
                <w:sz w:val="20"/>
                <w:szCs w:val="20"/>
                <w:color w:val="auto"/>
              </w:rPr>
            </w:pPr>
            <w:r>
              <w:rPr>
                <w:rFonts w:ascii="Arial" w:cs="Arial" w:eastAsia="Arial" w:hAnsi="Arial"/>
                <w:sz w:val="12"/>
                <w:szCs w:val="12"/>
                <w:b w:val="1"/>
                <w:bCs w:val="1"/>
                <w:color w:val="auto"/>
              </w:rPr>
              <w:t>Balance at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Deconsolidation</w:t>
            </w:r>
            <w:r>
              <w:rPr>
                <w:rFonts w:ascii="Arial" w:cs="Arial" w:eastAsia="Arial" w:hAnsi="Arial"/>
                <w:sz w:val="18"/>
                <w:szCs w:val="18"/>
                <w:b w:val="1"/>
                <w:bCs w:val="1"/>
                <w:color w:val="auto"/>
                <w:vertAlign w:val="superscript"/>
              </w:rPr>
              <w:t>(1)</w:t>
            </w:r>
          </w:p>
        </w:tc>
        <w:tc>
          <w:tcPr>
            <w:tcW w:w="260" w:type="dxa"/>
            <w:vAlign w:val="bottom"/>
          </w:tcPr>
          <w:p>
            <w:pPr>
              <w:spacing w:after="0"/>
              <w:rPr>
                <w:sz w:val="9"/>
                <w:szCs w:val="9"/>
                <w:color w:val="auto"/>
              </w:rPr>
            </w:pPr>
          </w:p>
        </w:tc>
        <w:tc>
          <w:tcPr>
            <w:tcW w:w="1160" w:type="dxa"/>
            <w:vAlign w:val="bottom"/>
          </w:tcPr>
          <w:p>
            <w:pPr>
              <w:jc w:val="center"/>
              <w:ind w:right="176"/>
              <w:spacing w:after="0" w:line="109"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jc w:val="center"/>
              <w:ind w:right="56"/>
              <w:spacing w:after="0" w:line="109"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Activity </w:t>
            </w:r>
            <w:r>
              <w:rPr>
                <w:rFonts w:ascii="Arial" w:cs="Arial" w:eastAsia="Arial" w:hAnsi="Arial"/>
                <w:sz w:val="9"/>
                <w:szCs w:val="9"/>
                <w:b w:val="1"/>
                <w:bCs w:val="1"/>
                <w:color w:val="auto"/>
                <w:w w:val="94"/>
              </w:rPr>
              <w:t>(2)</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4"/>
              </w:rPr>
              <w:t>(246.2)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4"/>
              </w:rPr>
              <w:t>(246.2)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3"/>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9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activity from deconsolidation includes goodwill as part of the contribution of the net assets of the optimization business to OSTTRA.</w:t>
      </w:r>
    </w:p>
    <w:p>
      <w:pPr>
        <w:spacing w:after="0" w:line="99" w:lineRule="exact"/>
        <w:rPr>
          <w:rFonts w:ascii="Arial" w:cs="Arial" w:eastAsia="Arial" w:hAnsi="Arial"/>
          <w:sz w:val="16"/>
          <w:szCs w:val="16"/>
          <w:color w:val="auto"/>
        </w:rPr>
      </w:pPr>
    </w:p>
    <w:p>
      <w:pPr>
        <w:ind w:left="180" w:hanging="172"/>
        <w:spacing w:after="0"/>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activity includes currency translation adjustments.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on the consolidated balance sheets.</w:t>
      </w:r>
    </w:p>
    <w:p>
      <w:pPr>
        <w:spacing w:after="0" w:line="13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DME Holdings Limited. </w:t>
      </w:r>
      <w:r>
        <w:rPr>
          <w:rFonts w:ascii="Arial" w:cs="Arial" w:eastAsia="Arial" w:hAnsi="Arial"/>
          <w:sz w:val="18"/>
          <w:szCs w:val="18"/>
          <w:color w:val="auto"/>
        </w:rPr>
        <w:t>The company owns a 50% interest in DME Holdings Limited (DME Holdings), and accounts for its investment in DME</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using the equity method of accounting. The carrying amount of the company's investment in DME Holdings was $13.3 million at December 31, 2022. The company and DME Holdings maintain an agreement for Dubai Mercantile Exchange futures contracts to be exclusively traded on the CME Globex platform.</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OSTTRA. </w:t>
      </w:r>
      <w:r>
        <w:rPr>
          <w:rFonts w:ascii="Arial" w:cs="Arial" w:eastAsia="Arial" w:hAnsi="Arial"/>
          <w:sz w:val="16"/>
          <w:szCs w:val="16"/>
          <w:color w:val="auto"/>
        </w:rPr>
        <w:t>In January 2021, the company announced that it agreed with IHS Markit to combine their post-trade services into a new joint venture. The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OSTTRA, was launched in September 2021. OSTTRA performs trade processing and risk mitigation services. The company contributed the net assets of its optimization business, which included Traiana, TriOptima and Reset, to the new joint venture in exchange for $112.5 million in cash and a 50% equity interest in OSTTRA. In September 2021, the company deconsolidated its optimization business. The company recognized a net gain of</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$400.7 million on the transaction in other non-operating income on the consolidated statements of net income during 2021. The company accounts for its investment using the equity method of accounting. The carrying amount of the company's investment in OSTTRA was $1.3 billion at December 31, 2022.</w:t>
      </w:r>
    </w:p>
    <w:p>
      <w:pPr>
        <w:spacing w:after="0" w:line="2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S&amp;P Dow Jones Indices LLC. </w:t>
      </w:r>
      <w:r>
        <w:rPr>
          <w:rFonts w:ascii="Arial" w:cs="Arial" w:eastAsia="Arial" w:hAnsi="Arial"/>
          <w:sz w:val="17"/>
          <w:szCs w:val="17"/>
          <w:color w:val="auto"/>
        </w:rPr>
        <w:t>In June 2022, the company invested $410.0 million in S&amp;P Dow Jones Indices LLC, which S&amp;P Dow Jones Indices LLC</w:t>
      </w:r>
      <w:r>
        <w:rPr>
          <w:rFonts w:ascii="Arial" w:cs="Arial" w:eastAsia="Arial" w:hAnsi="Arial"/>
          <w:sz w:val="17"/>
          <w:szCs w:val="17"/>
          <w:b w:val="1"/>
          <w:bCs w:val="1"/>
          <w:color w:val="auto"/>
        </w:rPr>
        <w:t xml:space="preserve"> </w:t>
      </w:r>
      <w:r>
        <w:rPr>
          <w:rFonts w:ascii="Arial" w:cs="Arial" w:eastAsia="Arial" w:hAnsi="Arial"/>
          <w:sz w:val="17"/>
          <w:szCs w:val="17"/>
          <w:color w:val="auto"/>
        </w:rPr>
        <w:t>used as part of the consideration for its acquisition of the IHS Markit index business. The company continues to own a 27% interest in S&amp;P Dow Jones Indices LLC and accounts for its investment in S&amp;P Dow Jones Indices LLC using the equity method of accounting. The carrying amount of the company's investment in S&amp;P Dow Jones Indices LLC was $1.4 billion at December 31, 2022. The company has long-term exclusive licensing agreements with S&amp;P Dow Jones Indices LLC to list products based on the Standard &amp; Poor's Indices and Dow Jones Indices.</w:t>
      </w:r>
    </w:p>
    <w:p>
      <w:pPr>
        <w:spacing w:after="0" w:line="60"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 xml:space="preserve">Shanghai CFETS-NEX International Money Broking Co., Ltd. </w:t>
      </w:r>
      <w:r>
        <w:rPr>
          <w:rFonts w:ascii="Arial" w:cs="Arial" w:eastAsia="Arial" w:hAnsi="Arial"/>
          <w:sz w:val="18"/>
          <w:szCs w:val="18"/>
          <w:color w:val="auto"/>
        </w:rPr>
        <w:t>The company owns a 33% interest in Shanghai CFETS-NEX International Money</w:t>
      </w:r>
      <w:r>
        <w:rPr>
          <w:rFonts w:ascii="Arial" w:cs="Arial" w:eastAsia="Arial" w:hAnsi="Arial"/>
          <w:sz w:val="18"/>
          <w:szCs w:val="18"/>
          <w:b w:val="1"/>
          <w:bCs w:val="1"/>
          <w:color w:val="auto"/>
        </w:rPr>
        <w:t xml:space="preserve"> </w:t>
      </w:r>
      <w:r>
        <w:rPr>
          <w:rFonts w:ascii="Arial" w:cs="Arial" w:eastAsia="Arial" w:hAnsi="Arial"/>
          <w:sz w:val="18"/>
          <w:szCs w:val="18"/>
          <w:color w:val="auto"/>
        </w:rPr>
        <w:t>Broking Co., Ltd. (CFETS) and accounts for its investment in CFETS using the equity method of accounting. The carrying amount of the company's investment in CFETS was $45.0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December 31, 2022 and 2021 (in U.S. dollar equivalents):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6"/>
        </w:trPr>
        <w:tc>
          <w:tcPr>
            <w:tcW w:w="8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€15.0 million fixed rate notes due May 2023, stated rate of 4.30%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460" w:hanging="652"/>
        <w:spacing w:after="0" w:line="27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consisted of the following at December 31, 2022 and 2021 (in U.S. dollar equivalents):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9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26"/>
        </w:trPr>
        <w:tc>
          <w:tcPr>
            <w:tcW w:w="47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517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€15.0 million fixed rate notes due May 2023, stated rate of 4.30%</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$750.0 million fixed rate notes due March 2025, stated rate of 3.00%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15175"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51" w:lineRule="exact"/>
        <w:rPr>
          <w:sz w:val="20"/>
          <w:szCs w:val="20"/>
          <w:color w:val="auto"/>
        </w:rPr>
      </w:pPr>
    </w:p>
    <w:p>
      <w:pPr>
        <w:ind w:left="20" w:right="2520"/>
        <w:spacing w:after="0" w:line="419" w:lineRule="auto"/>
        <w:rPr>
          <w:sz w:val="20"/>
          <w:szCs w:val="20"/>
          <w:color w:val="auto"/>
        </w:rPr>
      </w:pPr>
      <w:r>
        <w:rPr>
          <w:rFonts w:ascii="Arial" w:cs="Arial" w:eastAsia="Arial" w:hAnsi="Arial"/>
          <w:sz w:val="16"/>
          <w:szCs w:val="16"/>
          <w:color w:val="auto"/>
        </w:rPr>
        <w:t>$500.0 million fixed rate notes due June 2028, stated rate of 3.75% $750.0 million fixed rate notes due March 2032, stated rate of 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15175"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$750.0 million fixed rate notes due September 2043, stated rate of 5.30% </w:t>
      </w:r>
      <w:r>
        <w:rPr>
          <w:rFonts w:ascii="Arial" w:cs="Arial" w:eastAsia="Arial" w:hAnsi="Arial"/>
          <w:sz w:val="20"/>
          <w:szCs w:val="20"/>
          <w:color w:val="auto"/>
          <w:vertAlign w:val="superscript"/>
        </w:rPr>
        <w:t>(2)</w:t>
      </w:r>
    </w:p>
    <w:p>
      <w:pPr>
        <w:spacing w:after="0" w:line="194" w:lineRule="exact"/>
        <w:rPr>
          <w:sz w:val="20"/>
          <w:szCs w:val="20"/>
          <w:color w:val="auto"/>
        </w:rPr>
      </w:pPr>
    </w:p>
    <w:p>
      <w:pPr>
        <w:ind w:left="20" w:right="2660"/>
        <w:spacing w:after="0" w:line="402" w:lineRule="auto"/>
        <w:rPr>
          <w:sz w:val="20"/>
          <w:szCs w:val="20"/>
          <w:color w:val="auto"/>
        </w:rPr>
      </w:pPr>
      <w:r>
        <w:rPr>
          <w:rFonts w:ascii="Arial" w:cs="Arial" w:eastAsia="Arial" w:hAnsi="Arial"/>
          <w:sz w:val="18"/>
          <w:szCs w:val="18"/>
          <w:color w:val="auto"/>
        </w:rPr>
        <w:t>$700.0 million fixed rate notes due June 2048, stated rate of 4.15%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151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418"/>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418"/>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497.2</w:t>
            </w:r>
          </w:p>
        </w:tc>
      </w:tr>
      <w:tr>
        <w:trPr>
          <w:trHeight w:val="230"/>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743.4</w:t>
            </w:r>
          </w:p>
        </w:tc>
      </w:tr>
      <w:tr>
        <w:trPr>
          <w:trHeight w:val="418"/>
        </w:trPr>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76" w:lineRule="exact"/>
        <w:rPr>
          <w:sz w:val="20"/>
          <w:szCs w:val="20"/>
          <w:color w:val="auto"/>
        </w:rPr>
      </w:pPr>
    </w:p>
    <w:p>
      <w:pPr>
        <w:sectPr>
          <w:pgSz w:w="11900" w:h="16838" w:orient="portrait"/>
          <w:cols w:equalWidth="0" w:num="2">
            <w:col w:w="7520" w:space="720"/>
            <w:col w:w="3000"/>
          </w:cols>
          <w:pgMar w:left="320" w:top="122" w:right="339" w:bottom="1440" w:gutter="0" w:footer="0" w:header="0"/>
          <w:type w:val="continuous"/>
        </w:sectPr>
      </w:pPr>
    </w:p>
    <w:p>
      <w:pPr>
        <w:ind w:left="660" w:right="460" w:hanging="652"/>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0" w:lineRule="exact"/>
        <w:rPr>
          <w:rFonts w:ascii="Arial" w:cs="Arial" w:eastAsia="Arial" w:hAnsi="Arial"/>
          <w:sz w:val="16"/>
          <w:szCs w:val="16"/>
          <w:color w:val="auto"/>
        </w:rPr>
      </w:pPr>
    </w:p>
    <w:p>
      <w:pPr>
        <w:ind w:left="660" w:right="460" w:hanging="652"/>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Short term and long-term debt maturities, at par value (in U.S. dollar equivalents), were as follows as of December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8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 Value</w:t>
            </w:r>
          </w:p>
        </w:tc>
      </w:tr>
      <w:tr>
        <w:trPr>
          <w:trHeight w:val="25"/>
        </w:trPr>
        <w:tc>
          <w:tcPr>
            <w:tcW w:w="316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2024</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2026</w:t>
            </w:r>
          </w:p>
        </w:tc>
        <w:tc>
          <w:tcPr>
            <w:tcW w:w="6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2,700.0</w:t>
            </w:r>
          </w:p>
        </w:tc>
        <w:tc>
          <w:tcPr>
            <w:tcW w:w="20" w:type="dxa"/>
            <w:vAlign w:val="bottom"/>
          </w:tcPr>
          <w:p>
            <w:pPr>
              <w:spacing w:after="0"/>
              <w:rPr>
                <w:sz w:val="20"/>
                <w:szCs w:val="20"/>
                <w:color w:val="auto"/>
              </w:rPr>
            </w:pPr>
          </w:p>
        </w:tc>
      </w:tr>
      <w:tr>
        <w:trPr>
          <w:trHeight w:val="877"/>
        </w:trPr>
        <w:tc>
          <w:tcPr>
            <w:tcW w:w="3160" w:type="dxa"/>
            <w:vAlign w:val="bottom"/>
          </w:tcPr>
          <w:p>
            <w:pPr>
              <w:spacing w:after="0"/>
              <w:rPr>
                <w:sz w:val="24"/>
                <w:szCs w:val="24"/>
                <w:color w:val="auto"/>
              </w:rPr>
            </w:pPr>
          </w:p>
        </w:tc>
        <w:tc>
          <w:tcPr>
            <w:tcW w:w="6880" w:type="dxa"/>
            <w:vAlign w:val="bottom"/>
          </w:tcPr>
          <w:p>
            <w:pPr>
              <w:jc w:val="right"/>
              <w:ind w:right="4230"/>
              <w:spacing w:after="0"/>
              <w:rPr>
                <w:sz w:val="20"/>
                <w:szCs w:val="20"/>
                <w:color w:val="auto"/>
              </w:rPr>
            </w:pPr>
            <w:r>
              <w:rPr>
                <w:rFonts w:ascii="Arial" w:cs="Arial" w:eastAsia="Arial" w:hAnsi="Arial"/>
                <w:sz w:val="18"/>
                <w:szCs w:val="18"/>
                <w:color w:val="auto"/>
              </w:rPr>
              <w:t>67</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 2022, 2021 and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Domestic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3,291.7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2,728.5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2,640.7</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40" w:type="dxa"/>
            <w:vAlign w:val="bottom"/>
            <w:gridSpan w:val="7"/>
          </w:tcPr>
          <w:p>
            <w:pPr>
              <w:spacing w:after="0"/>
              <w:rPr>
                <w:sz w:val="20"/>
                <w:szCs w:val="20"/>
                <w:color w:val="auto"/>
              </w:rPr>
            </w:pPr>
            <w:r>
              <w:rPr>
                <w:rFonts w:ascii="Arial" w:cs="Arial" w:eastAsia="Arial" w:hAnsi="Arial"/>
                <w:sz w:val="18"/>
                <w:szCs w:val="18"/>
                <w:color w:val="auto"/>
                <w:w w:val="98"/>
              </w:rPr>
              <w:t>Reconciliation of the U.S. federal income tax rate (statutory tax rate) to the effective tax rate is as follows: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formation of OSTTRA</w:t>
            </w: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Statutory rate change</w:t>
            </w:r>
          </w:p>
        </w:tc>
        <w:tc>
          <w:tcPr>
            <w:tcW w:w="22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4"/>
        </w:trPr>
        <w:tc>
          <w:tcPr>
            <w:tcW w:w="6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Expense Benefit Rate</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2022, the effective tax rate was higher than the statutory tax rate. The increase to the effective tax rate for the state taxes was partially offset by the foreign-derived intangible income (FDII) deduction.</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2021, the effective tax rate was higher than the statutory tax rate. The increase to the effective tax rate for the state taxes and the impact of the statutory rate change in the United Kingdom was partially offset by the non-taxable gain on the formation of OSTTRA and the FDII deduction.</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2020, the effective tax rate was higher than the statutory tax rate. The increase to the effective tax rate for the state taxes was partially offset by the FDII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deferred income tax assets (liabilities)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6"/>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compensation, leases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Purchased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(5,405.8)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Reported as: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non-current deferred tax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non-current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2022 and 2021, the company had domestic and foreign income tax loss carry forwards of $17.6 million and $88.6 million, respectively. These amounts primarily related to losses from the acquisition of NEX Group plc, the acquisition of Pivot, Inc., and losses incurred in the operation of various foreign entities. At December 31, 2022 and 2021, the company determined that it was not more-likely-than-not that certain foreign deferred income tax assets will be fully realized.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a result, valuation allowances of $0.4 million and $0.6 million were recorded at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 at December 31, 2022,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
        </w:trPr>
        <w:tc>
          <w:tcPr>
            <w:tcW w:w="6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280.3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9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264.4</w:t>
            </w:r>
          </w:p>
        </w:tc>
        <w:tc>
          <w:tcPr>
            <w:tcW w:w="40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293.1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penalties related to uncertain tax positions</w:t>
            </w: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w w:val="99"/>
              </w:rPr>
              <w:t>Interest and penalties recognized on the consolidated statements of income</w:t>
            </w:r>
          </w:p>
        </w:tc>
        <w:tc>
          <w:tcPr>
            <w:tcW w:w="9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gross unrecognized tax benefits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5"/>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resulting from the lapse of statutes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Settlements with taxing authorities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2022, substantially all federal, state and United Kingdom income tax matters had been concluded through 2013.</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6"/>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r>
      <w:tr>
        <w:trPr>
          <w:trHeight w:val="229"/>
        </w:trPr>
        <w:tc>
          <w:tcPr>
            <w:tcW w:w="82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200" w:type="dxa"/>
            <w:vAlign w:val="bottom"/>
          </w:tcPr>
          <w:p>
            <w:pPr>
              <w:ind w:left="360"/>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$294.4 million and $358.7 million at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6"/>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w w:val="93"/>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major category of plan assets as of December 31, 2022 and 2021 is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5"/>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30"/>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Foreign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December 31, 2022 and 2021, the fair value of pension plan assets exceeded the projected benefit obligation by $15.3 million and $16.3 million, respectively, and the excess was recorded as a non-current pension asset in other assets.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2022 assumptions have been used to project the assets and liabilities from December 31, 2022 to December 31, 2023. The company anticipates based on this projection that no additional contribution in 2023 will be necessary for it to meet its funding goal. However, the amount of the actual contribution is contingent on various factors, including the actual rate of return on the plan assets during 2023 and the December 31, 2023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at December 31, 2022, 2021 and 2020 are indicated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6"/>
        </w:trPr>
        <w:tc>
          <w:tcPr>
            <w:tcW w:w="6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Pension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26.7</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w:t>
            </w: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(21.0)</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Recognized net actuarial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Net Pension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Cash balance interest crediting rate</w:t>
            </w: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Assumptions Used to Determine Net Pension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3.40 %</w:t>
            </w: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w:t>
            </w: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6.00</w:t>
            </w: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crediting 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2022 and 2021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ind w:left="8640"/>
              <w:spacing w:after="0"/>
              <w:rPr>
                <w:sz w:val="20"/>
                <w:szCs w:val="20"/>
                <w:color w:val="auto"/>
              </w:rPr>
            </w:pPr>
            <w:r>
              <w:rPr>
                <w:rFonts w:ascii="Arial" w:cs="Arial" w:eastAsia="Arial" w:hAnsi="Arial"/>
                <w:sz w:val="14"/>
                <w:szCs w:val="14"/>
                <w:b w:val="1"/>
                <w:bCs w:val="1"/>
                <w:color w:val="auto"/>
                <w:w w:val="96"/>
              </w:rPr>
              <w:t>2022</w:t>
            </w:r>
          </w:p>
        </w:tc>
        <w:tc>
          <w:tcPr>
            <w:tcW w:w="960" w:type="dxa"/>
            <w:vAlign w:val="bottom"/>
          </w:tcPr>
          <w:p>
            <w:pPr>
              <w:spacing w:after="0"/>
              <w:rPr>
                <w:sz w:val="16"/>
                <w:szCs w:val="16"/>
                <w:color w:val="auto"/>
              </w:rPr>
            </w:pPr>
          </w:p>
        </w:tc>
        <w:tc>
          <w:tcPr>
            <w:tcW w:w="13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5"/>
        </w:trPr>
        <w:tc>
          <w:tcPr>
            <w:tcW w:w="8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39.7 %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4.9</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9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39.1</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35.5</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16.2</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20.3</w:t>
            </w: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2023, management expects the fixed income asset class to be approximately 50% of the portfolio. The target allocation for the U.S. equity asset class is expected to range from 15% to 45% of the portfolio and the target allocation for the foreign equity asset class is expected to range from approximately 10% to 30% of the portfolio.</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At times, the company may determine that it is necessary to place some assets in cash equivalent investments in order to pay expected plan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this, the actual asset allocation for the plan may not fall within the target allocation ranges from time to time.</w:t>
      </w:r>
    </w:p>
    <w:p>
      <w:pPr>
        <w:spacing w:after="0" w:line="1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pre-tax balance and activity of actuarial losses for the pension plan, which are included in other comprehensive income (loss), for 2022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80" w:type="dxa"/>
            <w:vAlign w:val="bottom"/>
          </w:tcPr>
          <w:p>
            <w:pPr>
              <w:jc w:val="right"/>
              <w:ind w:right="353"/>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9780" w:type="dxa"/>
            <w:vAlign w:val="bottom"/>
          </w:tcPr>
          <w:p>
            <w:pPr>
              <w:ind w:left="360"/>
              <w:spacing w:after="0"/>
              <w:rPr>
                <w:sz w:val="20"/>
                <w:szCs w:val="20"/>
                <w:color w:val="auto"/>
              </w:rPr>
            </w:pPr>
            <w:r>
              <w:rPr>
                <w:rFonts w:ascii="Arial" w:cs="Arial" w:eastAsia="Arial" w:hAnsi="Arial"/>
                <w:sz w:val="18"/>
                <w:szCs w:val="18"/>
                <w:color w:val="auto"/>
              </w:rPr>
              <w:t>Unrecognized net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Recognized as a component of net pension expense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
        </w:trPr>
        <w:tc>
          <w:tcPr>
            <w:tcW w:w="9780" w:type="dxa"/>
            <w:vAlign w:val="bottom"/>
            <w:vMerge w:val="restart"/>
          </w:tcPr>
          <w:p>
            <w:pPr>
              <w:spacing w:after="0"/>
              <w:rPr>
                <w:sz w:val="20"/>
                <w:szCs w:val="20"/>
                <w:color w:val="auto"/>
              </w:rPr>
            </w:pPr>
            <w:r>
              <w:rPr>
                <w:rFonts w:ascii="Arial" w:cs="Arial" w:eastAsia="Arial" w:hAnsi="Arial"/>
                <w:sz w:val="18"/>
                <w:szCs w:val="18"/>
                <w:color w:val="auto"/>
              </w:rPr>
              <w:t>At December 31, 2022, anticipated benefit payments from the plan in future years are as follows:</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2028-2032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are participants and have the option to contribute to this plan. CME matches employee contributions up to 3% of the employee's base salary and may make additional discretionary contributions.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plan for U.S. employees, the company maintains defined contribution savings plans for employees in international locations.</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$18.3 million, $24.7 million and $27.7 million in 2022, 2021 and 2020, respectively.</w:t>
      </w:r>
    </w:p>
    <w:p>
      <w:pPr>
        <w:spacing w:after="0" w:line="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 xml:space="preserve">CME Non-Qualified Plans. </w:t>
      </w:r>
      <w:r>
        <w:rPr>
          <w:rFonts w:ascii="Arial" w:cs="Arial" w:eastAsia="Arial" w:hAnsi="Arial"/>
          <w:sz w:val="16"/>
          <w:szCs w:val="16"/>
          <w:color w:val="auto"/>
        </w:rPr>
        <w:t>CME maintains non-qualified plans, under which participants may make assumed investment choices with respect to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on their behalf. Although not required to do so, CME invests such contributions in assets that mirror the assumed investment choices. The balances in these plans are subject to the claims of general creditors of the company and totaled $84.5 million and $98.6 million at December 31, 2022 and 2021, respectively. Although the value of the plans is recorded as an asset in marketable securities on the consolidated balance sheets, there is an equal and offsetting 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non-qualified retirement and benefit plan under the COMEX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Plan and Benefits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2022, 2021 and 2020. At December 31, 2022 and 2021, the obligation for the MRRP totaled $10.3 million and $13.5 million, respectively. Assets with a fair value of $12.0 million and $16.6 million have been allocated to this plan at December 31, 2022 and 2021, respectively, and are included in marketable securities and cash and cash equivalents on the consolidated balance sheets. The balances in this plan are subject to the claims of general creditors of COMEX.</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datacenters and corporate offices. The operating leases have remaining lease terms of up to 15 years, some</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include options to extend or renew the leases for up to an additional five years, and some of which include options to early terminate the leases in less than 12 months. Management evaluates the exercisability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 In November 2021, the company sold a building in Chicago and subsequently entered into a leaseback arrangement for this property. This lease is classified as an operating lease.</w:t>
      </w:r>
    </w:p>
    <w:p>
      <w:pPr>
        <w:spacing w:after="0" w:line="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right-of-use lease asset is recorded within other assets, and the present value of the lease liability is recorded within other liabilities (segregated between short-term and long-term) on the consolidated balance sheets. The discount rate applied to the lease payments represents the company's incremental borrowing rate. The company has elected to utilize the short-term lease exception as prescribed in the leasing standard, such that the company has not capitalized on the balance sheet a lease asset or lease liability associated with leases with terms of 12 months or less from the commencement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 for the years ended December 31,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6"/>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cost</w:t>
            </w: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lease cost</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expense included in other expense</w:t>
            </w: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finance lease expense</w:t>
            </w:r>
          </w:p>
        </w:tc>
        <w:tc>
          <w:tcPr>
            <w:tcW w:w="124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Sublease revenue included in other revenue</w:t>
            </w: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1"/>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Supplemental cash flow information related to leases was as follows for years ended December 31, 2022 and 2021: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0"/>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5"/>
        </w:trPr>
        <w:tc>
          <w:tcPr>
            <w:tcW w:w="7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Cash outflows for operating leases</w:t>
            </w: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outflows for finance leases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as of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733"/>
              <w:spacing w:after="0"/>
              <w:rPr>
                <w:sz w:val="20"/>
                <w:szCs w:val="20"/>
                <w:color w:val="auto"/>
              </w:rPr>
            </w:pPr>
            <w:r>
              <w:rPr>
                <w:rFonts w:ascii="Arial" w:cs="Arial" w:eastAsia="Arial" w:hAnsi="Arial"/>
                <w:sz w:val="14"/>
                <w:szCs w:val="14"/>
                <w:b w:val="1"/>
                <w:bCs w:val="1"/>
                <w:color w:val="auto"/>
              </w:rPr>
              <w:t>2021</w:t>
            </w:r>
          </w:p>
        </w:tc>
      </w:tr>
      <w:tr>
        <w:trPr>
          <w:trHeight w:val="25"/>
        </w:trPr>
        <w:tc>
          <w:tcPr>
            <w:tcW w:w="7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310.6</w:t>
            </w:r>
          </w:p>
        </w:tc>
        <w:tc>
          <w:tcPr>
            <w:tcW w:w="1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345.3</w:t>
            </w:r>
          </w:p>
        </w:tc>
      </w:tr>
      <w:tr>
        <w:trPr>
          <w:trHeight w:val="270"/>
        </w:trPr>
        <w:tc>
          <w:tcPr>
            <w:tcW w:w="7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47.3</w:t>
            </w:r>
          </w:p>
        </w:tc>
      </w:tr>
      <w:tr>
        <w:trPr>
          <w:trHeight w:val="230"/>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383.5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449.4</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433.4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496.7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c>
          <w:tcPr>
            <w:tcW w:w="1240" w:type="dxa"/>
            <w:vAlign w:val="bottom"/>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Weighted average remaining lease term (in months)</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shd w:val="clear" w:color="auto" w:fill="CCEEFF"/>
          </w:tcPr>
          <w:p>
            <w:pPr>
              <w:spacing w:after="0"/>
              <w:rPr>
                <w:sz w:val="19"/>
                <w:szCs w:val="19"/>
                <w:color w:val="auto"/>
              </w:rPr>
            </w:pPr>
          </w:p>
        </w:tc>
      </w:tr>
      <w:tr>
        <w:trPr>
          <w:trHeight w:val="432"/>
        </w:trPr>
        <w:tc>
          <w:tcPr>
            <w:tcW w:w="790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Future minimum lease payments were as follows as of December 31, 2022 for operating and finance leases: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Operating Leases</w:t>
            </w:r>
          </w:p>
        </w:tc>
      </w:tr>
      <w:tr>
        <w:trPr>
          <w:trHeight w:val="26"/>
        </w:trPr>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r>
      <w:tr>
        <w:trPr>
          <w:trHeight w:val="22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r>
      <w:tr>
        <w:trPr>
          <w:trHeight w:val="23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4"/>
        </w:trPr>
        <w:tc>
          <w:tcPr>
            <w:tcW w:w="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Finance Lease</w:t>
            </w:r>
          </w:p>
        </w:tc>
      </w:tr>
      <w:tr>
        <w:trPr>
          <w:trHeight w:val="25"/>
        </w:trPr>
        <w:tc>
          <w:tcPr>
            <w:tcW w:w="72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Present value of lease liability</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reasonably possible loss or range of reasonably possible losses in the unlikely event it were found to be liable at trial. Based on its investigation to date, the company believes that it has strong factual and legal defenses to the claims.</w:t>
      </w:r>
    </w:p>
    <w:p>
      <w:pPr>
        <w:spacing w:after="0" w:line="36" w:lineRule="exact"/>
        <w:rPr>
          <w:sz w:val="20"/>
          <w:szCs w:val="20"/>
          <w:color w:val="auto"/>
        </w:rPr>
      </w:pPr>
    </w:p>
    <w:p>
      <w:pPr>
        <w:jc w:val="both"/>
        <w:ind w:right="460"/>
        <w:spacing w:after="0" w:line="294"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No accrual was required for contingent legal and regulatory matters as none were probable and estimable as of December 31, 2022 and 2021.</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maintain a mutual offset agreement with a current term through May 2023.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after May 2023 unless either party provides advance notice of its intent to terminate. CME can maintain collateral in the form of irrevocable, standby letters of credit. At December 31, 2022, CME was contingently liable to SGX on irrevocable letters of credit totaling $330.0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designed to provide payments, up to certain maximum levels, to family farmers, ranchers and other agricultural industry participants who use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agricultural products and who suffer losses to their segregated account balances due to their CME clearing member becoming insolvent.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Fund, farmers and ranchers are eligible for up to $25,000 per participant. Farming and ranching cooperatives are eligible for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per cooperative. The Fund has an aggregate maximum payment amount of $100.0 million. Since its establishment, the Fund has made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approximately $2.0 million, which leaves $98.0 million available for future claims. If payments to participants were to exceed this amount, payments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be pro-rated. Clearing members and customers must register in advance with the company and provide certain documentation in order to substantiate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eligibility. The company believes that its guarantee liability is nominal and therefore has not recorded any liability at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00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authorized</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Preferred stock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4,584</w:t>
            </w:r>
          </w:p>
        </w:tc>
        <w:tc>
          <w:tcPr>
            <w:tcW w:w="98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authorized</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1,000,000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Class A common stock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358,929</w:t>
            </w:r>
          </w:p>
        </w:tc>
        <w:tc>
          <w:tcPr>
            <w:tcW w:w="980" w:type="dxa"/>
            <w:vAlign w:val="bottom"/>
          </w:tcPr>
          <w:p>
            <w:pPr>
              <w:jc w:val="right"/>
              <w:spacing w:after="0"/>
              <w:rPr>
                <w:sz w:val="20"/>
                <w:szCs w:val="20"/>
                <w:color w:val="auto"/>
              </w:rPr>
            </w:pPr>
            <w:r>
              <w:rPr>
                <w:rFonts w:ascii="Arial" w:cs="Arial" w:eastAsia="Arial" w:hAnsi="Arial"/>
                <w:sz w:val="18"/>
                <w:szCs w:val="18"/>
                <w:color w:val="auto"/>
              </w:rPr>
              <w:t>358,599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B-1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Class B-2 common stock authorized,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0.8</w:t>
            </w: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B-3 common stock authorized, issued and outstanding</w:t>
            </w:r>
          </w:p>
        </w:tc>
        <w:tc>
          <w:tcPr>
            <w:tcW w:w="20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Class B-4 common stock authorized, issued and outstanding</w:t>
            </w:r>
          </w:p>
        </w:tc>
        <w:tc>
          <w:tcPr>
            <w:tcW w:w="2000" w:type="dxa"/>
            <w:vAlign w:val="bottom"/>
          </w:tcPr>
          <w:p>
            <w:pPr>
              <w:jc w:val="right"/>
              <w:ind w:right="494"/>
              <w:spacing w:after="0"/>
              <w:rPr>
                <w:sz w:val="20"/>
                <w:szCs w:val="20"/>
                <w:color w:val="auto"/>
              </w:rPr>
            </w:pPr>
            <w:r>
              <w:rPr>
                <w:rFonts w:ascii="Arial" w:cs="Arial" w:eastAsia="Arial" w:hAnsi="Arial"/>
                <w:sz w:val="18"/>
                <w:szCs w:val="18"/>
                <w:color w:val="auto"/>
              </w:rPr>
              <w:t>0.4</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CME Group has approximately 4.6 million shares of Series G Non-Voting Convertible Preferred Stock (Series G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The Series G preferred stock is non-voting and is convertible into Class A common stock at a specified conversion rate, which is initially 1:1. The Series G preferred stock ranks on a parity basis with the Class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common stock with respect to dividend and liquidation rights and therefore participates in the earnings and losses of CME Group on the same basis as Class A common stock.</w:t>
      </w:r>
    </w:p>
    <w:p>
      <w:pPr>
        <w:spacing w:after="0" w:line="7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access to open outcry</w:t>
      </w:r>
      <w:r>
        <w:rPr>
          <w:rFonts w:ascii="Arial" w:cs="Arial" w:eastAsia="Arial" w:hAnsi="Arial"/>
          <w:sz w:val="17"/>
          <w:szCs w:val="17"/>
          <w:b w:val="1"/>
          <w:bCs w:val="1"/>
          <w:color w:val="auto"/>
        </w:rPr>
        <w:t xml:space="preserve"> </w:t>
      </w:r>
      <w:r>
        <w:rPr>
          <w:rFonts w:ascii="Arial" w:cs="Arial" w:eastAsia="Arial" w:hAnsi="Arial"/>
          <w:sz w:val="17"/>
          <w:szCs w:val="17"/>
          <w:color w:val="auto"/>
        </w:rPr>
        <w:t>trading, 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7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w:t>
      </w:r>
      <w:r>
        <w:rPr>
          <w:rFonts w:ascii="Arial" w:cs="Arial" w:eastAsia="Arial" w:hAnsi="Arial"/>
          <w:sz w:val="17"/>
          <w:szCs w:val="17"/>
          <w:b w:val="1"/>
          <w:bCs w:val="1"/>
          <w:color w:val="auto"/>
        </w:rPr>
        <w:t xml:space="preserve"> </w:t>
      </w:r>
      <w:r>
        <w:rPr>
          <w:rFonts w:ascii="Arial" w:cs="Arial" w:eastAsia="Arial" w:hAnsi="Arial"/>
          <w:sz w:val="17"/>
          <w:szCs w:val="17"/>
          <w:color w:val="auto"/>
        </w:rPr>
        <w:t>CME 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65"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With the exception of the matters reserved to holders of CME Group Class B common stock, holders of CME Group common stock vote</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on all matters for which a vote of common shareholders is required. In these votes, each holder of shares of Class A or Class B common stock of CME Group has one vote per share. The holder of Series G preferred stock does not have any voting rights.</w:t>
      </w:r>
    </w:p>
    <w:p>
      <w:pPr>
        <w:spacing w:after="0" w:line="5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23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5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and Series G preferred stock of CME Group are entitled to receive proportionately such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as may be declared by the CME Group board of directors.</w:t>
      </w:r>
    </w:p>
    <w:p>
      <w:pPr>
        <w:spacing w:after="0" w:line="54"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 xml:space="preserve">CME Group Omnibus Stock Plan. </w:t>
      </w:r>
      <w:r>
        <w:rPr>
          <w:rFonts w:ascii="Arial" w:cs="Arial" w:eastAsia="Arial" w:hAnsi="Arial"/>
          <w:sz w:val="17"/>
          <w:szCs w:val="17"/>
          <w:color w:val="auto"/>
        </w:rPr>
        <w:t>CME Group has adopted an Omnibus Stock Plan under which stock-based awards may be made to employees. A total</w:t>
      </w:r>
      <w:r>
        <w:rPr>
          <w:rFonts w:ascii="Arial" w:cs="Arial" w:eastAsia="Arial" w:hAnsi="Arial"/>
          <w:sz w:val="17"/>
          <w:szCs w:val="17"/>
          <w:b w:val="1"/>
          <w:bCs w:val="1"/>
          <w:color w:val="auto"/>
        </w:rPr>
        <w:t xml:space="preserve"> </w:t>
      </w:r>
      <w:r>
        <w:rPr>
          <w:rFonts w:ascii="Arial" w:cs="Arial" w:eastAsia="Arial" w:hAnsi="Arial"/>
          <w:sz w:val="17"/>
          <w:szCs w:val="17"/>
          <w:color w:val="auto"/>
        </w:rPr>
        <w:t>of 40.2 million Class A common stock shares have been reserved for awards under the plan. Awards totaling 25.4 million shares have been granted and are outstanding or have been exercised under this plan at December 31, 2022 (See note 15 for further discussion).</w:t>
      </w:r>
    </w:p>
    <w:p>
      <w:pPr>
        <w:spacing w:after="0" w:line="5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Effective May 4, 2022, the number of Class A available shares reserved under the plan was increased from 625,000 to 725,000, and approximately 449,000 shares have been awarded through December 31, 2022.</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at 90% of the market value of the shares using after-tax payroll deductions. Effective May 4, 2022, the number of Class A shares reserved under the plan was increased from 500,000 to 800,000, of which approximately 432,000 shares have been purchased through December 31, 2022 (See note 15 for further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PAYMENTS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25.4 million shares have been granted and are outstanding or have been exercised under the plan as of December 31, 2022. Awards granted generally vest over a four-year period, with 25% vesting one year after the grant date and on that same date in each of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Total compensation expense for all stock-related awards (including ESPP) and total income tax benefit recognized on the consolidated statements of income for these awards at December 31, 2022, 2021 and 2020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6"/>
        </w:trPr>
        <w:tc>
          <w:tcPr>
            <w:tcW w:w="4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32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3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0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bl>
    <w:p>
      <w:pPr>
        <w:spacing w:after="0" w:line="93"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At December 31, 2022, there was $134.5 million of total unrecognized compensation expense related to employee stock-based compensation arrangements that had not yet vested. The total unrecognized expense is expected to be recognized over a weighted average period of 2.2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have not been granted since 2012. The following table summarizes stock option activity for 2022. Aggregate intrinsic value is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right="238"/>
              <w:spacing w:after="0" w:line="144"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360" w:type="dxa"/>
            <w:vAlign w:val="bottom"/>
          </w:tcPr>
          <w:p>
            <w:pPr>
              <w:spacing w:after="0"/>
              <w:rPr>
                <w:sz w:val="12"/>
                <w:szCs w:val="12"/>
                <w:color w:val="auto"/>
              </w:rPr>
            </w:pPr>
          </w:p>
        </w:tc>
        <w:tc>
          <w:tcPr>
            <w:tcW w:w="12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56</w:t>
            </w:r>
          </w:p>
        </w:tc>
        <w:tc>
          <w:tcPr>
            <w:tcW w:w="15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(1,020)</w:t>
            </w:r>
          </w:p>
        </w:tc>
        <w:tc>
          <w:tcPr>
            <w:tcW w:w="36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56</w:t>
            </w:r>
          </w:p>
        </w:tc>
        <w:tc>
          <w:tcPr>
            <w:tcW w:w="1540" w:type="dxa"/>
            <w:vAlign w:val="bottom"/>
          </w:tcPr>
          <w:p>
            <w:pPr>
              <w:ind w:left="1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540" w:type="dxa"/>
            <w:vAlign w:val="bottom"/>
          </w:tcPr>
          <w:p>
            <w:pPr>
              <w:ind w:left="12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2022, 2021 and 2020 was $0.1 million, $15.0 million and $16.7 million, respectively.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2022, the company granted 388,423 shares of restricted Class A common stock and restricted stock units with respect to 11,920 shares of Class A common stock. Restricted common stock and restricted stock units generally have a vesting period of two to four years. The fair value related to these grants was $76.7 million, which is recognized as compensation expense on an accelerated basis over the vesting period. Dividends are accrued on restricted Class A common stock and restricted stock units and are paid once the restricted stock vests. In 2022, the company also granted 91,964 performance shares. The fair value related to these grants was $19.5 million, which is recognized as compensation expense on a straight-lined basis over the vesting period. The vesting of these shares is contingent on meeting stated performance or market conditions, generally measured over a three-year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198"/>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8040" w:type="dxa"/>
            <w:vAlign w:val="bottom"/>
          </w:tcPr>
          <w:p>
            <w:pPr>
              <w:spacing w:after="0"/>
              <w:rPr>
                <w:sz w:val="12"/>
                <w:szCs w:val="12"/>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260" w:type="dxa"/>
            <w:vAlign w:val="bottom"/>
          </w:tcPr>
          <w:p>
            <w:pPr>
              <w:jc w:val="center"/>
              <w:ind w:right="198"/>
              <w:spacing w:after="0" w:line="13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8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1,115,055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492,307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(269,120)</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(220,783)</w:t>
            </w: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1,117,459</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2022, 2021 and 2020 was $52.2 million, $65.7 million and $79.4 million, respectively.</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2022, 2021 and 2020, a total of 41,722, 37,861 and 44,029 shares, respectively, of Class A common stock were issued to participating employees. These shares are subject to a six-month holding period. Annual expense of $0.8 million for the purchase discount was recognized in 2022, 2021 and 2020.</w:t>
      </w:r>
    </w:p>
    <w:p>
      <w:pPr>
        <w:spacing w:after="0" w:line="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Non-executive directors receive an annual award of Class A common stock with a value equal to $145,000. Non-executive directors could also elect to receive some or all of the cash portion of their annual stipend, up to $95,000, in shares of stock based on the closing price at the date of distribution. As a result, 18,836 shares, 13,769 shares and 17,322 shares of Class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common stock were issued to non-executive directors during 2022, 2021 and 2020, respectively. These shares are not subject to any vesting restrictions. Expense of $3.6 million, $2.9 million and $3.1 million related to these stock-based payments was recognized for the years ended December 31, 2022, 2021 and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Derivative</w:t>
            </w:r>
          </w:p>
        </w:tc>
        <w:tc>
          <w:tcPr>
            <w:tcW w:w="2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left="615"/>
              <w:spacing w:after="0"/>
              <w:rPr>
                <w:sz w:val="20"/>
                <w:szCs w:val="20"/>
                <w:color w:val="auto"/>
              </w:rPr>
            </w:pPr>
            <w:r>
              <w:rPr>
                <w:rFonts w:ascii="Arial" w:cs="Arial" w:eastAsia="Arial" w:hAnsi="Arial"/>
                <w:sz w:val="18"/>
                <w:szCs w:val="18"/>
                <w:color w:val="auto"/>
                <w:w w:val="91"/>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5"/>
              <w:spacing w:after="0"/>
              <w:rPr>
                <w:sz w:val="20"/>
                <w:szCs w:val="20"/>
                <w:color w:val="auto"/>
              </w:rPr>
            </w:pPr>
            <w:r>
              <w:rPr>
                <w:rFonts w:ascii="Arial" w:cs="Arial" w:eastAsia="Arial" w:hAnsi="Arial"/>
                <w:sz w:val="18"/>
                <w:szCs w:val="18"/>
                <w:color w:val="auto"/>
                <w:w w:val="91"/>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Derivative</w:t>
            </w:r>
          </w:p>
        </w:tc>
        <w:tc>
          <w:tcPr>
            <w:tcW w:w="2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left="615"/>
              <w:spacing w:after="0"/>
              <w:rPr>
                <w:sz w:val="20"/>
                <w:szCs w:val="20"/>
                <w:color w:val="auto"/>
              </w:rPr>
            </w:pPr>
            <w:r>
              <w:rPr>
                <w:rFonts w:ascii="Arial" w:cs="Arial" w:eastAsia="Arial" w:hAnsi="Arial"/>
                <w:sz w:val="18"/>
                <w:szCs w:val="18"/>
                <w:color w:val="auto"/>
                <w:w w:val="91"/>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15"/>
              <w:spacing w:after="0"/>
              <w:rPr>
                <w:sz w:val="20"/>
                <w:szCs w:val="20"/>
                <w:color w:val="auto"/>
              </w:rPr>
            </w:pPr>
            <w:r>
              <w:rPr>
                <w:rFonts w:ascii="Arial" w:cs="Arial" w:eastAsia="Arial" w:hAnsi="Arial"/>
                <w:sz w:val="18"/>
                <w:szCs w:val="18"/>
                <w:color w:val="auto"/>
                <w:w w:val="91"/>
              </w:rPr>
              <w:t>(0.9)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Defined Benefit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0" w:type="dxa"/>
            <w:vAlign w:val="bottom"/>
          </w:tcPr>
          <w:p>
            <w:pPr>
              <w:spacing w:after="0"/>
              <w:rPr>
                <w:sz w:val="21"/>
                <w:szCs w:val="21"/>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615"/>
              <w:spacing w:after="0"/>
              <w:rPr>
                <w:sz w:val="20"/>
                <w:szCs w:val="20"/>
                <w:color w:val="auto"/>
              </w:rPr>
            </w:pPr>
            <w:r>
              <w:rPr>
                <w:rFonts w:ascii="Arial" w:cs="Arial" w:eastAsia="Arial" w:hAnsi="Arial"/>
                <w:sz w:val="18"/>
                <w:szCs w:val="18"/>
                <w:color w:val="auto"/>
                <w:w w:val="85"/>
              </w:rPr>
              <w:t>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Other comprehensive income before reclassifications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5"/>
              </w:rPr>
              <w:t>67.0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44" w:lineRule="exact"/>
        <w:rPr>
          <w:sz w:val="20"/>
          <w:szCs w:val="20"/>
          <w:color w:val="auto"/>
        </w:rPr>
      </w:pPr>
    </w:p>
    <w:p>
      <w:pPr>
        <w:ind w:left="660" w:right="40" w:hanging="328"/>
        <w:spacing w:after="0" w:line="232" w:lineRule="auto"/>
        <w:tabs>
          <w:tab w:leader="none" w:pos="655" w:val="left"/>
        </w:tabs>
        <w:numPr>
          <w:ilvl w:val="0"/>
          <w:numId w:val="43"/>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81" w:lineRule="exact"/>
        <w:rPr>
          <w:rFonts w:ascii="Arial" w:cs="Arial" w:eastAsia="Arial" w:hAnsi="Arial"/>
          <w:sz w:val="22"/>
          <w:szCs w:val="22"/>
          <w:color w:val="auto"/>
        </w:rPr>
      </w:pPr>
    </w:p>
    <w:p>
      <w:pPr>
        <w:ind w:left="660" w:right="8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1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Level 2 liabilities generally consist of long-term debt notes. The fair values of the long-term debt notes were based on quoted market prices in an inactive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include certain investments that were adjusted to fair value.</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i w:val="1"/>
          <w:iCs w:val="1"/>
          <w:color w:val="auto"/>
        </w:rPr>
        <w:t xml:space="preserve">Recurring Fair Value Measurements. </w:t>
      </w:r>
      <w:r>
        <w:rPr>
          <w:rFonts w:ascii="Arial" w:cs="Arial" w:eastAsia="Arial" w:hAnsi="Arial"/>
          <w:sz w:val="17"/>
          <w:szCs w:val="17"/>
          <w:color w:val="auto"/>
        </w:rPr>
        <w:t>Financial assets recorded at fair value on the consolidated balance sheets as of December 31, 2022 and 2021 were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in their entirety based on the lowest level of input that was significant to each asset's fair value measurement.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During 2022, the company recognized net unrealized losses on certain investments of $8.5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fair values of these investments were estimated to be $51.9 million at December 31, 2022. These fair value assessments were based on quantitative factors, including observable price changes. The fair value measurements of the investments are considered level 3 and non-recurring. These investments are included within other assets on the consolidated balance sheets.</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Fair Values of Debt Notes. </w:t>
      </w:r>
      <w:r>
        <w:rPr>
          <w:rFonts w:ascii="Arial" w:cs="Arial" w:eastAsia="Arial" w:hAnsi="Arial"/>
          <w:sz w:val="18"/>
          <w:szCs w:val="18"/>
          <w:color w:val="auto"/>
        </w:rPr>
        <w:t>The following presents the estimated fair values of long-term debt notes, which are carried at amortized cost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The fair values below that are classified as level 2 under the fair value hierarchy were estimated using quoted market prices in inactive markets.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fair values (in U.S. dollar equivalents)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700" w:type="dxa"/>
            <w:vAlign w:val="bottom"/>
          </w:tcPr>
          <w:p>
            <w:pPr>
              <w:jc w:val="right"/>
              <w:ind w:right="413"/>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r>
      <w:tr>
        <w:trPr>
          <w:trHeight w:val="26"/>
        </w:trPr>
        <w:tc>
          <w:tcPr>
            <w:tcW w:w="63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million fixed rate notes due May 2023</w:t>
            </w:r>
          </w:p>
        </w:tc>
        <w:tc>
          <w:tcPr>
            <w:tcW w:w="3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3700" w:type="dxa"/>
            <w:vAlign w:val="bottom"/>
          </w:tcPr>
          <w:p>
            <w:pPr>
              <w:jc w:val="right"/>
              <w:ind w:right="213"/>
              <w:spacing w:after="0"/>
              <w:rPr>
                <w:sz w:val="20"/>
                <w:szCs w:val="20"/>
                <w:color w:val="auto"/>
              </w:rPr>
            </w:pPr>
            <w:r>
              <w:rPr>
                <w:rFonts w:ascii="Arial" w:cs="Arial" w:eastAsia="Arial" w:hAnsi="Arial"/>
                <w:sz w:val="18"/>
                <w:szCs w:val="18"/>
                <w:color w:val="auto"/>
              </w:rPr>
              <w:t>726.6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3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490.9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$750.0 million fixed rate notes due March 2032</w:t>
            </w:r>
          </w:p>
        </w:tc>
        <w:tc>
          <w:tcPr>
            <w:tcW w:w="3700" w:type="dxa"/>
            <w:vAlign w:val="bottom"/>
          </w:tcPr>
          <w:p>
            <w:pPr>
              <w:jc w:val="right"/>
              <w:ind w:right="213"/>
              <w:spacing w:after="0"/>
              <w:rPr>
                <w:sz w:val="20"/>
                <w:szCs w:val="20"/>
                <w:color w:val="auto"/>
              </w:rPr>
            </w:pPr>
            <w:r>
              <w:rPr>
                <w:rFonts w:ascii="Arial" w:cs="Arial" w:eastAsia="Arial" w:hAnsi="Arial"/>
                <w:sz w:val="18"/>
                <w:szCs w:val="18"/>
                <w:color w:val="auto"/>
              </w:rPr>
              <w:t>633.2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2043</w:t>
            </w:r>
          </w:p>
        </w:tc>
        <w:tc>
          <w:tcPr>
            <w:tcW w:w="3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786.6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3700" w:type="dxa"/>
            <w:vAlign w:val="bottom"/>
          </w:tcPr>
          <w:p>
            <w:pPr>
              <w:jc w:val="right"/>
              <w:ind w:right="213"/>
              <w:spacing w:after="0"/>
              <w:rPr>
                <w:sz w:val="20"/>
                <w:szCs w:val="20"/>
                <w:color w:val="auto"/>
              </w:rPr>
            </w:pPr>
            <w:r>
              <w:rPr>
                <w:rFonts w:ascii="Arial" w:cs="Arial" w:eastAsia="Arial" w:hAnsi="Arial"/>
                <w:sz w:val="18"/>
                <w:szCs w:val="18"/>
                <w:color w:val="auto"/>
              </w:rPr>
              <w:t>633.0</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Series G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 awards were as follows for the years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5"/>
              </w:rPr>
              <w:t>The following table presents the earnings per share calculation for the years presented: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CME Group (in millions)</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Less: Preferred stock dividends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Less: (Undistributed earnings) overdistributed earnings allocated to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Shareholders of CME Group</w:t>
            </w: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Effect of stock options and stock awards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99"/>
              </w:rPr>
              <w:t>Earnings per Common Share Attributable to Common Shareholders of CME Group: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period covered by this report that have materially affected, or are reasonably likely to materially affect, the company's internal control over financial reporting. There were no changes in the company’s internal control over financial reporting which occurred during the fourth quarter of 2022, that have materially affected, or are reasonably likely to materially affect,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2022.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Based on this assessment, management believes that, as of December 31, 2022, our internal control over financial reporting is effective. The effectiveness of our internal control over financial reporting as of December 31, 2022 has been audited by Ernst &amp; Young LLP (PCAOB ID 42), an independent registered public accounting firm, as stated in the report on page 82.</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CME Group Inc. and subsidiaries (the Company) as of December 31, 2022 and 2021, the related consolidated statements of income, comprehensive income, equity, and cash flows for each of the three years in the period ended December 31, 2022,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80"/>
        <w:spacing w:after="0"/>
        <w:rPr>
          <w:sz w:val="20"/>
          <w:szCs w:val="20"/>
          <w:color w:val="auto"/>
        </w:rPr>
      </w:pPr>
      <w:r>
        <w:rPr>
          <w:rFonts w:ascii="Arial" w:cs="Arial" w:eastAsia="Arial" w:hAnsi="Arial"/>
          <w:sz w:val="22"/>
          <w:szCs w:val="22"/>
          <w:b w:val="1"/>
          <w:bCs w:val="1"/>
          <w:i w:val="1"/>
          <w:iCs w:val="1"/>
          <w:color w:val="auto"/>
        </w:rPr>
        <w:t>Uncertain Tax Positions</w:t>
      </w:r>
    </w:p>
    <w:p>
      <w:pPr>
        <w:spacing w:after="0" w:line="38"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9 to the consolidated financial statements, the Company had unrecognized income tax benefits</w:t>
      </w:r>
    </w:p>
    <w:p>
      <w:pPr>
        <w:spacing w:after="0" w:line="12" w:lineRule="exact"/>
        <w:rPr>
          <w:sz w:val="20"/>
          <w:szCs w:val="20"/>
          <w:color w:val="auto"/>
        </w:rPr>
      </w:pPr>
    </w:p>
    <w:p>
      <w:pPr>
        <w:jc w:val="both"/>
        <w:ind w:left="1680" w:hanging="1659"/>
        <w:spacing w:after="0" w:line="238" w:lineRule="auto"/>
        <w:tabs>
          <w:tab w:leader="none" w:pos="16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of $280.3 million related to uncertain tax positions as of December 31, 2022.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216" w:lineRule="exact"/>
        <w:rPr>
          <w:sz w:val="20"/>
          <w:szCs w:val="20"/>
          <w:color w:val="auto"/>
        </w:rPr>
      </w:pPr>
    </w:p>
    <w:p>
      <w:pPr>
        <w:jc w:val="both"/>
        <w:ind w:left="1680"/>
        <w:spacing w:after="0" w:line="238" w:lineRule="auto"/>
        <w:rPr>
          <w:sz w:val="20"/>
          <w:szCs w:val="20"/>
          <w:color w:val="auto"/>
        </w:rPr>
      </w:pPr>
      <w:r>
        <w:rPr>
          <w:rFonts w:ascii="Arial" w:cs="Arial" w:eastAsia="Arial" w:hAnsi="Arial"/>
          <w:sz w:val="18"/>
          <w:szCs w:val="18"/>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29"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7"/>
          <w:szCs w:val="17"/>
          <w:color w:val="auto"/>
        </w:rPr>
        <w:t>We tested the Company’s controls that address the risk of material misstatement relating to the recognition and</w:t>
      </w:r>
    </w:p>
    <w:p>
      <w:pPr>
        <w:spacing w:after="0" w:line="7"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7"/>
          <w:szCs w:val="17"/>
          <w:color w:val="auto"/>
        </w:rPr>
        <w:t>measurement of uncertain tax positions. For example, we tested controls over the Company’s assessment of the</w:t>
      </w:r>
    </w:p>
    <w:p>
      <w:pPr>
        <w:ind w:left="1680" w:right="20" w:hanging="1659"/>
        <w:spacing w:after="0" w:line="243" w:lineRule="auto"/>
        <w:tabs>
          <w:tab w:leader="none" w:pos="166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technical merits of tax positions and management’s process to measure the benefit of those tax positions that qualified for recognition, including management’s review of the inputs used in the calculations.</w:t>
      </w:r>
    </w:p>
    <w:p>
      <w:pPr>
        <w:spacing w:after="0" w:line="213" w:lineRule="exact"/>
        <w:rPr>
          <w:sz w:val="20"/>
          <w:szCs w:val="20"/>
          <w:color w:val="auto"/>
        </w:rPr>
      </w:pPr>
    </w:p>
    <w:p>
      <w:pPr>
        <w:jc w:val="both"/>
        <w:ind w:left="1680"/>
        <w:spacing w:after="0" w:line="237" w:lineRule="auto"/>
        <w:rPr>
          <w:sz w:val="20"/>
          <w:szCs w:val="20"/>
          <w:color w:val="auto"/>
        </w:rPr>
      </w:pPr>
      <w:r>
        <w:rPr>
          <w:rFonts w:ascii="Arial" w:cs="Arial" w:eastAsia="Arial" w:hAnsi="Arial"/>
          <w:sz w:val="18"/>
          <w:szCs w:val="18"/>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0200"/>
          </w:cols>
          <w:pgMar w:left="320" w:top="121"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CME Group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CME Group Inc. and subsidiaries (the Company) maintained, in all material respects, effective internal control over financial reporting as of December 31, 2022, based on the COSO criteria.</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CME Group Inc. and subsidiaries as of December 31, 2022 and 2021, the related consolidated statements of income, comprehensive income, equity and cash flows for each of the three years in the period ended December 31, 2022, and the related notes and financial statement schedule listed in the Index at Item 15(a) and our report dated February 27, 2023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ind w:right="2980"/>
        <w:spacing w:after="0" w:line="3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written codes of conduct applicable to all of our employees, including our Chairman and Chief Executive Officer, Chief Financial Officer, Chief Accounting Officer and other senior financial officers. In accordance with SEC rules and regulations, copies of these codes of conduct are available on our website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 Business - Available Information."</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4, 2023, to be filed by CME Group with the SEC pursuant to Regulation 14A within 120 days after December 31, 2022 (Proxy Statement). Additional information called for by this item is contained in Item 1 of this Annual Report on Form 10-K under the caption "Information about our Executive Officers."</w:t>
      </w:r>
    </w:p>
    <w:p>
      <w:pPr>
        <w:spacing w:after="0" w:line="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940" w:right="42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15 of the notes to consolidated financial statements. The numbers in the following table are as of December 31, 2022.</w:t>
      </w:r>
    </w:p>
    <w:tbl>
      <w:tblPr>
        <w:tblLayout w:type="fixed"/>
        <w:tblInd w:w="0" w:type="dxa"/>
        <w:tblCellMar>
          <w:top w:w="0" w:type="dxa"/>
          <w:left w:w="0" w:type="dxa"/>
          <w:bottom w:w="0" w:type="dxa"/>
          <w:right w:w="0" w:type="dxa"/>
        </w:tblCellMar>
      </w:tblPr>
      <w:tr>
        <w:trPr>
          <w:trHeight w:val="165"/>
        </w:trPr>
        <w:tc>
          <w:tcPr>
            <w:tcW w:w="3400" w:type="dxa"/>
            <w:vAlign w:val="bottom"/>
          </w:tcPr>
          <w:p>
            <w:pPr>
              <w:spacing w:after="0"/>
              <w:rPr>
                <w:sz w:val="14"/>
                <w:szCs w:val="14"/>
                <w:color w:val="auto"/>
              </w:rPr>
            </w:pPr>
          </w:p>
        </w:tc>
        <w:tc>
          <w:tcPr>
            <w:tcW w:w="1200" w:type="dxa"/>
            <w:vAlign w:val="bottom"/>
          </w:tcPr>
          <w:p>
            <w:pPr>
              <w:jc w:val="center"/>
              <w:ind w:left="219"/>
              <w:spacing w:after="0" w:line="165" w:lineRule="exact"/>
              <w:rPr>
                <w:sz w:val="20"/>
                <w:szCs w:val="20"/>
                <w:color w:val="auto"/>
              </w:rPr>
            </w:pPr>
            <w:r>
              <w:rPr>
                <w:rFonts w:ascii="Arial" w:cs="Arial" w:eastAsia="Arial" w:hAnsi="Arial"/>
                <w:sz w:val="16"/>
                <w:szCs w:val="16"/>
                <w:b w:val="1"/>
                <w:bCs w:val="1"/>
                <w:color w:val="auto"/>
                <w:w w:val="92"/>
              </w:rPr>
              <w:t>Number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88"/>
              </w:rPr>
              <w:t>Securities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40" w:type="dxa"/>
            <w:vAlign w:val="bottom"/>
            <w:gridSpan w:val="3"/>
          </w:tcPr>
          <w:p>
            <w:pPr>
              <w:jc w:val="center"/>
              <w:ind w:right="179"/>
              <w:spacing w:after="0" w:line="162" w:lineRule="exact"/>
              <w:rPr>
                <w:sz w:val="20"/>
                <w:szCs w:val="20"/>
                <w:color w:val="auto"/>
              </w:rPr>
            </w:pPr>
            <w:r>
              <w:rPr>
                <w:rFonts w:ascii="Arial" w:cs="Arial" w:eastAsia="Arial" w:hAnsi="Arial"/>
                <w:sz w:val="16"/>
                <w:szCs w:val="16"/>
                <w:b w:val="1"/>
                <w:bCs w:val="1"/>
                <w:color w:val="auto"/>
                <w:w w:val="89"/>
              </w:rPr>
              <w:t>to be Issued Upon</w:t>
            </w:r>
          </w:p>
        </w:tc>
        <w:tc>
          <w:tcPr>
            <w:tcW w:w="2180" w:type="dxa"/>
            <w:vAlign w:val="bottom"/>
          </w:tcPr>
          <w:p>
            <w:pPr>
              <w:spacing w:after="0"/>
              <w:rPr>
                <w:sz w:val="14"/>
                <w:szCs w:val="14"/>
                <w:color w:val="auto"/>
              </w:rPr>
            </w:pPr>
          </w:p>
        </w:tc>
        <w:tc>
          <w:tcPr>
            <w:tcW w:w="3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 Securities Remaining Available for Future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88"/>
              </w:rPr>
              <w:t>Exercise of</w:t>
            </w:r>
          </w:p>
        </w:tc>
        <w:tc>
          <w:tcPr>
            <w:tcW w:w="280" w:type="dxa"/>
            <w:vAlign w:val="bottom"/>
          </w:tcPr>
          <w:p>
            <w:pPr>
              <w:spacing w:after="0"/>
              <w:rPr>
                <w:sz w:val="14"/>
                <w:szCs w:val="14"/>
                <w:color w:val="auto"/>
              </w:rPr>
            </w:pPr>
          </w:p>
        </w:tc>
        <w:tc>
          <w:tcPr>
            <w:tcW w:w="2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Weighted-Average Exercise Price</w:t>
            </w: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20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2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3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Issuance Under Equity Compensation Plans</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2"/>
              </w:rPr>
              <w:t>Options (a)</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8"/>
              </w:rPr>
              <w:t>of Outstanding Options</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(excluding securities reflected in column (a))</w:t>
            </w: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Equity compensation plans approved by</w:t>
            </w: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1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15,457,703</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w w:val="96"/>
              </w:rPr>
              <w:t>Equity compensation plans not approved by</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security holders</w:t>
            </w:r>
          </w:p>
        </w:tc>
        <w:tc>
          <w:tcPr>
            <w:tcW w:w="1200" w:type="dxa"/>
            <w:vAlign w:val="bottom"/>
          </w:tcPr>
          <w:p>
            <w:pPr>
              <w:spacing w:after="0"/>
              <w:rPr>
                <w:sz w:val="21"/>
                <w:szCs w:val="21"/>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3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3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15,457,703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at December 31, 2022 and 2021</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Income for the Years Ended December 31, 2022, 2021 and 2020</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Comprehensive Income for the Years Ended December 31, 2022, 2021 and 2020</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Equity for the Years Ended December 31, 2022, 2021 and 2020</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11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CME Group Inc. and Subsidiaries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Charged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3"/>
              </w:rPr>
              <w:t>(credited)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costs and</w:t>
            </w: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23"/>
                <w:szCs w:val="23"/>
                <w:b w:val="1"/>
                <w:bCs w:val="1"/>
                <w:color w:val="auto"/>
                <w:vertAlign w:val="superscript"/>
              </w:rPr>
              <w:t>(1)</w:t>
            </w:r>
          </w:p>
        </w:tc>
        <w:tc>
          <w:tcPr>
            <w:tcW w:w="220" w:type="dxa"/>
            <w:vAlign w:val="bottom"/>
          </w:tcPr>
          <w:p>
            <w:pPr>
              <w:spacing w:after="0"/>
              <w:rPr>
                <w:sz w:val="12"/>
                <w:szCs w:val="12"/>
                <w:color w:val="auto"/>
              </w:rPr>
            </w:pPr>
          </w:p>
        </w:tc>
        <w:tc>
          <w:tcPr>
            <w:tcW w:w="9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 year</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expenses</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of year</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00" w:hanging="652"/>
        <w:spacing w:after="0" w:line="26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write-offs of doubtful accounts, foreign currency and write-offs of fully reserved deferred tax assets. Other activity for the allowance for doubtful accounts also includes the impact of the adoption of new guidance on credit losses in 2020.</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16"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5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8"/>
              </w:rPr>
              <w:t>Exhibit</w:t>
            </w:r>
          </w:p>
        </w:tc>
        <w:tc>
          <w:tcPr>
            <w:tcW w:w="3360" w:type="dxa"/>
            <w:vAlign w:val="bottom"/>
            <w:vMerge w:val="restart"/>
          </w:tcPr>
          <w:p>
            <w:pPr>
              <w:ind w:left="200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520" w:type="dxa"/>
            <w:vAlign w:val="bottom"/>
          </w:tcPr>
          <w:p>
            <w:pPr>
              <w:jc w:val="center"/>
              <w:ind w:right="1928"/>
              <w:spacing w:after="0"/>
              <w:rPr>
                <w:sz w:val="20"/>
                <w:szCs w:val="20"/>
                <w:color w:val="auto"/>
              </w:rPr>
            </w:pPr>
            <w:r>
              <w:rPr>
                <w:rFonts w:ascii="Arial" w:cs="Arial" w:eastAsia="Arial" w:hAnsi="Arial"/>
                <w:sz w:val="14"/>
                <w:szCs w:val="14"/>
                <w:b w:val="1"/>
                <w:bCs w:val="1"/>
                <w:color w:val="auto"/>
                <w:w w:val="98"/>
              </w:rPr>
              <w:t>Number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214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319" w:lineRule="exact"/>
        <w:rPr>
          <w:sz w:val="20"/>
          <w:szCs w:val="20"/>
          <w:color w:val="auto"/>
        </w:rPr>
      </w:pPr>
    </w:p>
    <w:p>
      <w:pPr>
        <w:ind w:left="1260" w:hanging="1234"/>
        <w:spacing w:after="0"/>
        <w:tabs>
          <w:tab w:leader="none" w:pos="12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3.1</w:t>
            </w:r>
          </w:p>
        </w:tc>
        <w:tc>
          <w:tcPr>
            <w:tcW w:w="8500" w:type="dxa"/>
            <w:vAlign w:val="bottom"/>
            <w:gridSpan w:val="6"/>
          </w:tcPr>
          <w:p>
            <w:pPr>
              <w:spacing w:after="0"/>
              <w:rPr>
                <w:rFonts w:ascii="Arial" w:cs="Arial" w:eastAsia="Arial" w:hAnsi="Arial"/>
                <w:sz w:val="18"/>
                <w:szCs w:val="18"/>
                <w:color w:val="0000FF"/>
                <w:w w:val="98"/>
              </w:rPr>
            </w:pPr>
            <w:hyperlink r:id="rId124">
              <w:r>
                <w:rPr>
                  <w:rFonts w:ascii="Arial" w:cs="Arial" w:eastAsia="Arial" w:hAnsi="Arial"/>
                  <w:sz w:val="18"/>
                  <w:szCs w:val="18"/>
                  <w:color w:val="0000FF"/>
                  <w:w w:val="98"/>
                </w:rPr>
                <w:t>Fourth Amended and Restated Certificate of Incorporation of CME Group Inc., as amended (incorporated by</w:t>
              </w:r>
            </w:hyperlink>
          </w:p>
        </w:tc>
      </w:tr>
      <w:tr>
        <w:trPr>
          <w:trHeight w:val="156"/>
        </w:trPr>
        <w:tc>
          <w:tcPr>
            <w:tcW w:w="12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reference to Exhibit 3.2 to CME Group Inc.'s Current Report on Form 8-K, filed with the SEC on November</w:t>
              </w:r>
            </w:hyperlink>
          </w:p>
        </w:tc>
        <w:tc>
          <w:tcPr>
            <w:tcW w:w="660" w:type="dxa"/>
            <w:vAlign w:val="bottom"/>
            <w:tcBorders>
              <w:bottom w:val="single" w:sz="8" w:color="0000FF"/>
            </w:tcBorders>
            <w:gridSpan w:val="3"/>
          </w:tcPr>
          <w:p>
            <w:pPr>
              <w:jc w:val="right"/>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4, 2021).</w:t>
              </w:r>
            </w:hyperlink>
          </w:p>
        </w:tc>
      </w:tr>
      <w:tr>
        <w:trPr>
          <w:trHeight w:val="27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3.2</w:t>
            </w:r>
          </w:p>
        </w:tc>
        <w:tc>
          <w:tcPr>
            <w:tcW w:w="8500" w:type="dxa"/>
            <w:vAlign w:val="bottom"/>
            <w:gridSpan w:val="6"/>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Seventeenth Amended and Restated Bylaws of CME Group Inc. (incorporated by reference to Exhibit 3.1 to CME</w:t>
              </w:r>
            </w:hyperlink>
          </w:p>
        </w:tc>
      </w:tr>
      <w:tr>
        <w:trPr>
          <w:trHeight w:val="156"/>
        </w:trPr>
        <w:tc>
          <w:tcPr>
            <w:tcW w:w="1240" w:type="dxa"/>
            <w:vAlign w:val="bottom"/>
          </w:tcPr>
          <w:p>
            <w:pPr>
              <w:spacing w:after="0"/>
              <w:rPr>
                <w:sz w:val="13"/>
                <w:szCs w:val="13"/>
                <w:color w:val="auto"/>
              </w:rPr>
            </w:pPr>
          </w:p>
        </w:tc>
        <w:tc>
          <w:tcPr>
            <w:tcW w:w="61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Group Inc.’s Current Report on Form 8-K, filed with the SEC on December 9, 2022).</w:t>
              </w:r>
            </w:hyperlink>
          </w:p>
        </w:tc>
        <w:tc>
          <w:tcPr>
            <w:tcW w:w="2080" w:type="dxa"/>
            <w:vAlign w:val="bottom"/>
            <w:tcBorders>
              <w:top w:val="single" w:sz="8" w:color="0000FF"/>
            </w:tcBorders>
            <w:gridSpan w:val="3"/>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3.3</w:t>
            </w:r>
          </w:p>
        </w:tc>
        <w:tc>
          <w:tcPr>
            <w:tcW w:w="8500" w:type="dxa"/>
            <w:vAlign w:val="bottom"/>
            <w:gridSpan w:val="6"/>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Certificate of Designations of Series G Non-Voting Convertible Preferred Stock (incorporated by reference to Exhibit</w:t>
              </w:r>
            </w:hyperlink>
          </w:p>
        </w:tc>
      </w:tr>
      <w:tr>
        <w:trPr>
          <w:trHeight w:val="156"/>
        </w:trPr>
        <w:tc>
          <w:tcPr>
            <w:tcW w:w="1240" w:type="dxa"/>
            <w:vAlign w:val="bottom"/>
          </w:tcPr>
          <w:p>
            <w:pPr>
              <w:spacing w:after="0"/>
              <w:rPr>
                <w:sz w:val="13"/>
                <w:szCs w:val="13"/>
                <w:color w:val="auto"/>
              </w:rPr>
            </w:pPr>
          </w:p>
        </w:tc>
        <w:tc>
          <w:tcPr>
            <w:tcW w:w="84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CME Group Inc.'s Current Report on Form 8-K, filed with the SEC on November 4, 2021).</w:t>
              </w:r>
            </w:hyperlink>
          </w:p>
        </w:tc>
        <w:tc>
          <w:tcPr>
            <w:tcW w:w="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4" w:lineRule="exact"/>
        <w:rPr>
          <w:sz w:val="20"/>
          <w:szCs w:val="20"/>
          <w:color w:val="auto"/>
        </w:rPr>
      </w:pPr>
    </w:p>
    <w:p>
      <w:pPr>
        <w:ind w:left="1260" w:hanging="1234"/>
        <w:spacing w:after="0"/>
        <w:tabs>
          <w:tab w:leader="none" w:pos="12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4.1</w:t>
            </w:r>
          </w:p>
        </w:tc>
        <w:tc>
          <w:tcPr>
            <w:tcW w:w="8500" w:type="dxa"/>
            <w:vAlign w:val="bottom"/>
            <w:gridSpan w:val="10"/>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Amended and Restated Commercial Paper Dealer Agreement, dated as of October 20, 2014, among CME Group Inc.,</w:t>
              </w:r>
            </w:hyperlink>
          </w:p>
        </w:tc>
      </w:tr>
      <w:tr>
        <w:trPr>
          <w:trHeight w:val="156"/>
        </w:trPr>
        <w:tc>
          <w:tcPr>
            <w:tcW w:w="1240" w:type="dxa"/>
            <w:vAlign w:val="bottom"/>
          </w:tcPr>
          <w:p>
            <w:pPr>
              <w:spacing w:after="0"/>
              <w:rPr>
                <w:sz w:val="13"/>
                <w:szCs w:val="13"/>
                <w:color w:val="auto"/>
              </w:rPr>
            </w:pPr>
          </w:p>
        </w:tc>
        <w:tc>
          <w:tcPr>
            <w:tcW w:w="848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as Issuer, and Barclays Capital Inc., as Dealer (incorporated by reference to Exhibit 4.1 to CME Group Inc.'s Form</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10-K, filed with the SEC on February 26, 2015).</w:t>
              </w:r>
            </w:hyperlink>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1"/>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4.2</w:t>
            </w:r>
          </w:p>
        </w:tc>
        <w:tc>
          <w:tcPr>
            <w:tcW w:w="8500" w:type="dxa"/>
            <w:vAlign w:val="bottom"/>
            <w:gridSpan w:val="10"/>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Amended and Restated Commercial Paper Dealer Agreement, dated as of October 20, 2014, between CME Group</w:t>
              </w:r>
            </w:hyperlink>
          </w:p>
        </w:tc>
      </w:tr>
      <w:tr>
        <w:trPr>
          <w:trHeight w:val="156"/>
        </w:trPr>
        <w:tc>
          <w:tcPr>
            <w:tcW w:w="1240" w:type="dxa"/>
            <w:vAlign w:val="bottom"/>
          </w:tcPr>
          <w:p>
            <w:pPr>
              <w:spacing w:after="0"/>
              <w:rPr>
                <w:sz w:val="13"/>
                <w:szCs w:val="13"/>
                <w:color w:val="auto"/>
              </w:rPr>
            </w:pPr>
          </w:p>
        </w:tc>
        <w:tc>
          <w:tcPr>
            <w:tcW w:w="8220" w:type="dxa"/>
            <w:vAlign w:val="bottom"/>
            <w:tcBorders>
              <w:top w:val="single" w:sz="8" w:color="0000FF"/>
            </w:tcBorders>
            <w:gridSpan w:val="5"/>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Inc., as Issuer, and Merrill Lynch, Pierce, Fenner &amp; Smith Incorporated, as Dealer (incorporated by reference to</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Exhibit 4.3 to CME Group Inc.'s 10-K, filed with the SEC on February 26, 2015).</w:t>
              </w:r>
            </w:hyperlink>
          </w:p>
        </w:tc>
        <w:tc>
          <w:tcPr>
            <w:tcW w:w="216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77"/>
        </w:trPr>
        <w:tc>
          <w:tcPr>
            <w:tcW w:w="1240" w:type="dxa"/>
            <w:vAlign w:val="bottom"/>
          </w:tcPr>
          <w:p>
            <w:pPr>
              <w:jc w:val="right"/>
              <w:ind w:right="910"/>
              <w:spacing w:after="0"/>
              <w:rPr>
                <w:sz w:val="20"/>
                <w:szCs w:val="20"/>
                <w:color w:val="auto"/>
              </w:rPr>
            </w:pPr>
            <w:r>
              <w:rPr>
                <w:rFonts w:ascii="Arial" w:cs="Arial" w:eastAsia="Arial" w:hAnsi="Arial"/>
                <w:sz w:val="18"/>
                <w:szCs w:val="18"/>
                <w:color w:val="auto"/>
                <w:w w:val="87"/>
              </w:rPr>
              <w:t>4.3</w:t>
            </w:r>
          </w:p>
        </w:tc>
        <w:tc>
          <w:tcPr>
            <w:tcW w:w="8240" w:type="dxa"/>
            <w:vAlign w:val="bottom"/>
            <w:tcBorders>
              <w:bottom w:val="single" w:sz="8" w:color="0000FF"/>
            </w:tcBorders>
            <w:gridSpan w:val="6"/>
          </w:tcPr>
          <w:p>
            <w:pPr>
              <w:spacing w:after="0"/>
              <w:rPr>
                <w:rFonts w:ascii="Arial" w:cs="Arial" w:eastAsia="Arial" w:hAnsi="Arial"/>
                <w:sz w:val="18"/>
                <w:szCs w:val="18"/>
                <w:color w:val="0000FF"/>
                <w:w w:val="89"/>
              </w:rPr>
            </w:pPr>
            <w:hyperlink r:id="rId129">
              <w:r>
                <w:rPr>
                  <w:rFonts w:ascii="Arial" w:cs="Arial" w:eastAsia="Arial" w:hAnsi="Arial"/>
                  <w:sz w:val="18"/>
                  <w:szCs w:val="18"/>
                  <w:color w:val="0000FF"/>
                  <w:w w:val="89"/>
                </w:rPr>
                <w:t>Amended and Restated Commercial Paper Dealer Agreement, dated as of October 20, 2014, between CME Group</w:t>
              </w:r>
            </w:hyperlink>
          </w:p>
        </w:tc>
        <w:tc>
          <w:tcPr>
            <w:tcW w:w="260" w:type="dxa"/>
            <w:vAlign w:val="bottom"/>
            <w:gridSpan w:val="4"/>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8500" w:type="dxa"/>
            <w:vAlign w:val="bottom"/>
            <w:gridSpan w:val="10"/>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Inc., as Issuer, and Goldman, Sachs &amp; Co., as Dealer (incorporated by reference to Exhibit 4.4 to CME Group Inc.'s</w:t>
              </w:r>
            </w:hyperlink>
          </w:p>
        </w:tc>
      </w:tr>
      <w:tr>
        <w:trPr>
          <w:trHeight w:val="155"/>
        </w:trPr>
        <w:tc>
          <w:tcPr>
            <w:tcW w:w="1240" w:type="dxa"/>
            <w:vAlign w:val="bottom"/>
          </w:tcPr>
          <w:p>
            <w:pPr>
              <w:spacing w:after="0"/>
              <w:rPr>
                <w:sz w:val="13"/>
                <w:szCs w:val="13"/>
                <w:color w:val="auto"/>
              </w:rPr>
            </w:pPr>
          </w:p>
        </w:tc>
        <w:tc>
          <w:tcPr>
            <w:tcW w:w="8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Form 10-K, filed with the SEC on February 26, 2015).</w:t>
              </w:r>
            </w:hyperlink>
          </w:p>
        </w:tc>
        <w:tc>
          <w:tcPr>
            <w:tcW w:w="18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7"/>
          <w:szCs w:val="17"/>
          <w:color w:val="auto"/>
        </w:rPr>
        <w:t>4.4</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4.6</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br w:type="column"/>
      </w:r>
    </w:p>
    <w:p>
      <w:pPr>
        <w:ind w:right="1620"/>
        <w:spacing w:after="0" w:line="289" w:lineRule="auto"/>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Indenture, dated August 12, 2008, between CME Group Inc. and U.S. Bank National Association (incorporated by</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reference to Exhibit 4.1 to CME Group Inc.’s Current Report on Form 8-K, filed with the SEC on August 13, 2008).</w:t>
        </w:r>
      </w:hyperlink>
    </w:p>
    <w:p>
      <w:pPr>
        <w:spacing w:after="0" w:line="164" w:lineRule="exact"/>
        <w:rPr>
          <w:sz w:val="20"/>
          <w:szCs w:val="20"/>
          <w:color w:val="auto"/>
        </w:rPr>
      </w:pPr>
    </w:p>
    <w:p>
      <w:pPr>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Sixth Supplemental Indenture (including the form of 5.300% note due 2043), dated as of September 9, 2013, between</w:t>
        </w:r>
      </w:hyperlink>
    </w:p>
    <w:p>
      <w:pPr>
        <w:spacing w:after="0" w:line="21" w:lineRule="exact"/>
        <w:rPr>
          <w:sz w:val="20"/>
          <w:szCs w:val="20"/>
          <w:color w:val="auto"/>
        </w:rPr>
      </w:pPr>
    </w:p>
    <w:p>
      <w:pPr>
        <w:jc w:val="both"/>
        <w:ind w:right="1580"/>
        <w:spacing w:after="0" w:line="226"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CME Group Inc. and U.S. Bank National Association (incorporated by reference to Exhibit 4.2 to CME Group Inc.'s</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Current Report on Form 8-K, filed with the SEC on September 9, 2013).</w:t>
        </w:r>
      </w:hyperlink>
    </w:p>
    <w:p>
      <w:pPr>
        <w:spacing w:after="0" w:line="148" w:lineRule="exact"/>
        <w:rPr>
          <w:sz w:val="20"/>
          <w:szCs w:val="20"/>
          <w:color w:val="auto"/>
        </w:rPr>
      </w:pPr>
    </w:p>
    <w:p>
      <w:pPr>
        <w:jc w:val="both"/>
        <w:ind w:right="1580"/>
        <w:spacing w:after="0" w:line="224"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Seventh Supplemental Indenture (including the form of 3.000% note due 2025), dated as of March 9, 2015, between</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CME Group Inc. and U.S. Bank National Association (incorporated by reference to Exhibit 4.2 to CME Group Inc.'s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Current Report on Form 8-K, filed with the SEC on March 9, 2015).</w:t>
        </w:r>
      </w:hyperlink>
    </w:p>
    <w:p>
      <w:pPr>
        <w:spacing w:after="0" w:line="14" w:lineRule="exact"/>
        <w:rPr>
          <w:rFonts w:ascii="Arial" w:cs="Arial" w:eastAsia="Arial" w:hAnsi="Arial"/>
          <w:sz w:val="18"/>
          <w:szCs w:val="18"/>
          <w:u w:val="single" w:color="auto"/>
          <w:color w:val="0000FF"/>
        </w:rPr>
      </w:pPr>
    </w:p>
    <w:p>
      <w:pPr>
        <w:ind w:right="1580"/>
        <w:spacing w:after="0" w:line="224"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Eighth Supplemental Indenture (including the form of 3.750% note due 2028), dated as of June 21, 2018, between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CME Group Inc. and U.S. Bank National Association (incorporated by reference to Exhibit 4.2 to CME Group Inc.'s</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Current Report on Form 8-K, filed with the SEC on June 21, 2018).</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540" w:space="720"/>
            <w:col w:w="998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240" w:type="dxa"/>
            <w:vAlign w:val="bottom"/>
          </w:tcPr>
          <w:p>
            <w:pPr>
              <w:spacing w:after="0" w:line="204" w:lineRule="exact"/>
              <w:rPr>
                <w:sz w:val="20"/>
                <w:szCs w:val="20"/>
                <w:color w:val="auto"/>
              </w:rPr>
            </w:pPr>
            <w:r>
              <w:rPr>
                <w:rFonts w:ascii="Arial" w:cs="Arial" w:eastAsia="Arial" w:hAnsi="Arial"/>
                <w:sz w:val="18"/>
                <w:szCs w:val="18"/>
                <w:color w:val="auto"/>
              </w:rPr>
              <w:t>4.8</w:t>
            </w:r>
          </w:p>
        </w:tc>
        <w:tc>
          <w:tcPr>
            <w:tcW w:w="8420" w:type="dxa"/>
            <w:vAlign w:val="bottom"/>
            <w:gridSpan w:val="9"/>
          </w:tcPr>
          <w:p>
            <w:pPr>
              <w:spacing w:after="0" w:line="204"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Ninth Supplemental Indenture (including the form of 4.150% note due 2048), dated as of June 21, 2018, between</w:t>
              </w:r>
            </w:hyperlink>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8420" w:type="dxa"/>
            <w:vAlign w:val="bottom"/>
            <w:gridSpan w:val="9"/>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CME Group Inc. and U.S. Bank National Association (incorporated by reference to Exhibit 4.3 to CME Group Inc.'s</w:t>
              </w:r>
            </w:hyperlink>
          </w:p>
        </w:tc>
      </w:tr>
      <w:tr>
        <w:trPr>
          <w:trHeight w:val="155"/>
        </w:trPr>
        <w:tc>
          <w:tcPr>
            <w:tcW w:w="1240" w:type="dxa"/>
            <w:vAlign w:val="bottom"/>
          </w:tcPr>
          <w:p>
            <w:pPr>
              <w:spacing w:after="0"/>
              <w:rPr>
                <w:sz w:val="13"/>
                <w:szCs w:val="13"/>
                <w:color w:val="auto"/>
              </w:rPr>
            </w:pPr>
          </w:p>
        </w:tc>
        <w:tc>
          <w:tcPr>
            <w:tcW w:w="84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Current Report on Form 8-K, filed with the SEC on June 21, 2018).</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4.9</w:t>
            </w:r>
          </w:p>
        </w:tc>
        <w:tc>
          <w:tcPr>
            <w:tcW w:w="8420" w:type="dxa"/>
            <w:vAlign w:val="bottom"/>
            <w:gridSpan w:val="9"/>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Tenth Supplemental Indenture (including the form of 2.650% Notes due 2032), dated as of March 8, 2022, between</w:t>
              </w:r>
            </w:hyperlink>
          </w:p>
        </w:tc>
      </w:tr>
      <w:tr>
        <w:trPr>
          <w:trHeight w:val="156"/>
        </w:trPr>
        <w:tc>
          <w:tcPr>
            <w:tcW w:w="1240" w:type="dxa"/>
            <w:vAlign w:val="bottom"/>
          </w:tcPr>
          <w:p>
            <w:pPr>
              <w:spacing w:after="0"/>
              <w:rPr>
                <w:sz w:val="13"/>
                <w:szCs w:val="13"/>
                <w:color w:val="auto"/>
              </w:rPr>
            </w:pPr>
          </w:p>
        </w:tc>
        <w:tc>
          <w:tcPr>
            <w:tcW w:w="8300" w:type="dxa"/>
            <w:vAlign w:val="bottom"/>
            <w:tcBorders>
              <w:top w:val="single" w:sz="8" w:color="0000FF"/>
            </w:tcBorders>
            <w:gridSpan w:val="7"/>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CME Group Inc. and U.S. Bank Trust Company, National Association (incorporated by reference to Exhibit 4.2 to</w:t>
              </w:r>
            </w:hyperlink>
          </w:p>
        </w:tc>
        <w:tc>
          <w:tcPr>
            <w:tcW w:w="12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CME Group Inc.’s Current Report on Form 8-K filed with the SEC on March 8, 2022).</w:t>
              </w:r>
            </w:hyperlink>
          </w:p>
        </w:tc>
        <w:tc>
          <w:tcPr>
            <w:tcW w:w="198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4.10</w:t>
            </w:r>
          </w:p>
        </w:tc>
        <w:tc>
          <w:tcPr>
            <w:tcW w:w="8420" w:type="dxa"/>
            <w:vAlign w:val="bottom"/>
            <w:gridSpan w:val="9"/>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Description of securities (incorporated by reference to Exhibit 4.11 to CME Group Inc's Form 10-K, filed with the</w:t>
              </w:r>
            </w:hyperlink>
          </w:p>
        </w:tc>
      </w:tr>
      <w:tr>
        <w:trPr>
          <w:trHeight w:val="155"/>
        </w:trPr>
        <w:tc>
          <w:tcPr>
            <w:tcW w:w="124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SEC on February 2, 2022).</w:t>
              </w:r>
            </w:hyperlink>
          </w:p>
        </w:tc>
        <w:tc>
          <w:tcPr>
            <w:tcW w:w="6280" w:type="dxa"/>
            <w:vAlign w:val="bottom"/>
            <w:tcBorders>
              <w:top w:val="single" w:sz="8" w:color="0000FF"/>
            </w:tcBorders>
            <w:gridSpan w:val="4"/>
          </w:tcPr>
          <w:p>
            <w:pPr>
              <w:spacing w:after="0"/>
              <w:rPr>
                <w:sz w:val="13"/>
                <w:szCs w:val="13"/>
                <w:color w:val="auto"/>
              </w:rPr>
            </w:pPr>
          </w:p>
        </w:tc>
        <w:tc>
          <w:tcPr>
            <w:tcW w:w="200" w:type="dxa"/>
            <w:vAlign w:val="bottom"/>
            <w:gridSpan w:val="4"/>
          </w:tcPr>
          <w:p>
            <w:pPr>
              <w:spacing w:after="0"/>
              <w:rPr>
                <w:sz w:val="13"/>
                <w:szCs w:val="13"/>
                <w:color w:val="auto"/>
              </w:rPr>
            </w:pPr>
          </w:p>
        </w:tc>
      </w:tr>
    </w:tbl>
    <w:p>
      <w:pPr>
        <w:spacing w:after="0" w:line="94" w:lineRule="exact"/>
        <w:rPr>
          <w:sz w:val="20"/>
          <w:szCs w:val="20"/>
          <w:color w:val="auto"/>
        </w:rPr>
      </w:pPr>
    </w:p>
    <w:p>
      <w:pPr>
        <w:ind w:left="1260" w:hanging="1234"/>
        <w:spacing w:after="0"/>
        <w:tabs>
          <w:tab w:leader="none" w:pos="12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10.1(1)</w:t>
            </w:r>
          </w:p>
        </w:tc>
        <w:tc>
          <w:tcPr>
            <w:tcW w:w="9980" w:type="dxa"/>
            <w:vAlign w:val="bottom"/>
            <w:gridSpan w:val="9"/>
          </w:tcPr>
          <w:p>
            <w:pPr>
              <w:spacing w:after="0"/>
              <w:rPr>
                <w:rFonts w:ascii="Arial" w:cs="Arial" w:eastAsia="Arial" w:hAnsi="Arial"/>
                <w:sz w:val="18"/>
                <w:szCs w:val="18"/>
                <w:color w:val="0000FF"/>
              </w:rPr>
            </w:pPr>
            <w:hyperlink r:id="rId137">
              <w:r>
                <w:rPr>
                  <w:rFonts w:ascii="Arial" w:cs="Arial" w:eastAsia="Arial" w:hAnsi="Arial"/>
                  <w:sz w:val="18"/>
                  <w:szCs w:val="18"/>
                  <w:color w:val="0000FF"/>
                </w:rPr>
                <w:t>CME Group Inc. Third Amended and Restated Omnibus Stock Plan, amended and restated as of May 4, 2022</w:t>
              </w:r>
            </w:hyperlink>
          </w:p>
        </w:tc>
      </w:tr>
      <w:tr>
        <w:trPr>
          <w:trHeight w:val="155"/>
        </w:trPr>
        <w:tc>
          <w:tcPr>
            <w:tcW w:w="1260" w:type="dxa"/>
            <w:vAlign w:val="bottom"/>
          </w:tcPr>
          <w:p>
            <w:pPr>
              <w:spacing w:after="0"/>
              <w:rPr>
                <w:sz w:val="13"/>
                <w:szCs w:val="13"/>
                <w:color w:val="auto"/>
              </w:rPr>
            </w:pPr>
          </w:p>
        </w:tc>
        <w:tc>
          <w:tcPr>
            <w:tcW w:w="7880" w:type="dxa"/>
            <w:vAlign w:val="bottom"/>
            <w:tcBorders>
              <w:top w:val="single" w:sz="8" w:color="0000FF"/>
            </w:tcBorders>
            <w:gridSpan w:val="4"/>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(incorporated by reference to Exhibit 10.1 to CME Group Inc.'s Form 10-Q, filed with the SEC on August 3,</w:t>
              </w:r>
            </w:hyperlink>
          </w:p>
        </w:tc>
        <w:tc>
          <w:tcPr>
            <w:tcW w:w="500" w:type="dxa"/>
            <w:vAlign w:val="bottom"/>
            <w:gridSpan w:val="2"/>
          </w:tcPr>
          <w:p>
            <w:pPr>
              <w:jc w:val="right"/>
              <w:ind w:right="60"/>
              <w:spacing w:after="0" w:line="156" w:lineRule="exact"/>
              <w:rPr>
                <w:rFonts w:ascii="Arial" w:cs="Arial" w:eastAsia="Arial" w:hAnsi="Arial"/>
                <w:sz w:val="18"/>
                <w:szCs w:val="18"/>
                <w:color w:val="0000FF"/>
                <w:w w:val="82"/>
              </w:rPr>
            </w:pPr>
            <w:hyperlink r:id="rId137">
              <w:r>
                <w:rPr>
                  <w:rFonts w:ascii="Arial" w:cs="Arial" w:eastAsia="Arial" w:hAnsi="Arial"/>
                  <w:sz w:val="18"/>
                  <w:szCs w:val="18"/>
                  <w:color w:val="0000FF"/>
                  <w:w w:val="82"/>
                </w:rPr>
                <w:t>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10.2(1)</w:t>
            </w:r>
          </w:p>
        </w:tc>
        <w:tc>
          <w:tcPr>
            <w:tcW w:w="9980" w:type="dxa"/>
            <w:vAlign w:val="bottom"/>
            <w:gridSpan w:val="9"/>
          </w:tcPr>
          <w:p>
            <w:pPr>
              <w:spacing w:after="0"/>
              <w:rPr>
                <w:rFonts w:ascii="Arial" w:cs="Arial" w:eastAsia="Arial" w:hAnsi="Arial"/>
                <w:sz w:val="18"/>
                <w:szCs w:val="18"/>
                <w:color w:val="0000FF"/>
              </w:rPr>
            </w:pPr>
            <w:hyperlink r:id="rId138">
              <w:r>
                <w:rPr>
                  <w:rFonts w:ascii="Arial" w:cs="Arial" w:eastAsia="Arial" w:hAnsi="Arial"/>
                  <w:sz w:val="18"/>
                  <w:szCs w:val="18"/>
                  <w:color w:val="0000FF"/>
                </w:rPr>
                <w:t>CME Group Inc. Director Stock Plan, amended and restated as of May 4, 2022 (incorporated by reference to Exhibit</w:t>
              </w:r>
            </w:hyperlink>
          </w:p>
        </w:tc>
      </w:tr>
      <w:tr>
        <w:trPr>
          <w:trHeight w:val="155"/>
        </w:trPr>
        <w:tc>
          <w:tcPr>
            <w:tcW w:w="126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CME Group Inc.’s Form S-8, filed with the SEC on June 9, 2022).</w:t>
              </w:r>
            </w:hyperlink>
          </w:p>
        </w:tc>
        <w:tc>
          <w:tcPr>
            <w:tcW w:w="306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10.3(1)</w:t>
            </w:r>
          </w:p>
        </w:tc>
        <w:tc>
          <w:tcPr>
            <w:tcW w:w="9980" w:type="dxa"/>
            <w:vAlign w:val="bottom"/>
            <w:gridSpan w:val="9"/>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Equity Stipend Grant Letter for Non-Executive Directors (incorporated by reference to Exhibit 10.5 to CME</w:t>
              </w:r>
            </w:hyperlink>
          </w:p>
        </w:tc>
      </w:tr>
      <w:tr>
        <w:trPr>
          <w:trHeight w:val="155"/>
        </w:trPr>
        <w:tc>
          <w:tcPr>
            <w:tcW w:w="1260" w:type="dxa"/>
            <w:vAlign w:val="bottom"/>
          </w:tcPr>
          <w:p>
            <w:pPr>
              <w:spacing w:after="0"/>
              <w:rPr>
                <w:sz w:val="13"/>
                <w:szCs w:val="13"/>
                <w:color w:val="auto"/>
              </w:rPr>
            </w:pPr>
          </w:p>
        </w:tc>
        <w:tc>
          <w:tcPr>
            <w:tcW w:w="4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Group Inc.'s Form 10-K, filed with the SEC on March 1, 2018).</w:t>
              </w:r>
            </w:hyperlink>
          </w:p>
        </w:tc>
        <w:tc>
          <w:tcPr>
            <w:tcW w:w="38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1260" w:type="dxa"/>
            <w:vAlign w:val="bottom"/>
          </w:tcPr>
          <w:p>
            <w:pPr>
              <w:jc w:val="right"/>
              <w:ind w:right="610"/>
              <w:spacing w:after="0"/>
              <w:rPr>
                <w:sz w:val="20"/>
                <w:szCs w:val="20"/>
                <w:color w:val="auto"/>
              </w:rPr>
            </w:pPr>
            <w:r>
              <w:rPr>
                <w:rFonts w:ascii="Arial" w:cs="Arial" w:eastAsia="Arial" w:hAnsi="Arial"/>
                <w:sz w:val="18"/>
                <w:szCs w:val="18"/>
                <w:color w:val="auto"/>
                <w:w w:val="94"/>
              </w:rPr>
              <w:t>10.4(1)</w:t>
            </w:r>
          </w:p>
        </w:tc>
        <w:tc>
          <w:tcPr>
            <w:tcW w:w="9980" w:type="dxa"/>
            <w:vAlign w:val="bottom"/>
            <w:gridSpan w:val="9"/>
          </w:tcPr>
          <w:p>
            <w:pPr>
              <w:spacing w:after="0"/>
              <w:rPr>
                <w:rFonts w:ascii="Arial" w:cs="Arial" w:eastAsia="Arial" w:hAnsi="Arial"/>
                <w:sz w:val="18"/>
                <w:szCs w:val="18"/>
                <w:color w:val="0000FF"/>
              </w:rPr>
            </w:pPr>
            <w:hyperlink r:id="rId140">
              <w:r>
                <w:rPr>
                  <w:rFonts w:ascii="Arial" w:cs="Arial" w:eastAsia="Arial" w:hAnsi="Arial"/>
                  <w:sz w:val="18"/>
                  <w:szCs w:val="18"/>
                  <w:color w:val="0000FF"/>
                </w:rPr>
                <w:t>CME Group Inc. Employee Stock Purchase Plan, amended and restated as of May 4, 2022 (incorporated by reference</w:t>
              </w:r>
            </w:hyperlink>
          </w:p>
        </w:tc>
      </w:tr>
      <w:tr>
        <w:trPr>
          <w:trHeight w:val="155"/>
        </w:trPr>
        <w:tc>
          <w:tcPr>
            <w:tcW w:w="1260" w:type="dxa"/>
            <w:vAlign w:val="bottom"/>
          </w:tcPr>
          <w:p>
            <w:pPr>
              <w:spacing w:after="0"/>
              <w:rPr>
                <w:sz w:val="13"/>
                <w:szCs w:val="13"/>
                <w:color w:val="auto"/>
              </w:rPr>
            </w:pPr>
          </w:p>
        </w:tc>
        <w:tc>
          <w:tcPr>
            <w:tcW w:w="84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to Exhibit 99.2 to CME Group Inc.’s Form S-8, filed with the SEC on June 9, 2022).</w:t>
              </w:r>
            </w:hyperlink>
          </w:p>
        </w:tc>
        <w:tc>
          <w:tcPr>
            <w:tcW w:w="1540" w:type="dxa"/>
            <w:vAlign w:val="bottom"/>
          </w:tcPr>
          <w:p>
            <w:pPr>
              <w:spacing w:after="0"/>
              <w:rPr>
                <w:sz w:val="13"/>
                <w:szCs w:val="13"/>
                <w:color w:val="auto"/>
              </w:rPr>
            </w:pPr>
          </w:p>
        </w:tc>
      </w:tr>
      <w:tr>
        <w:trPr>
          <w:trHeight w:val="911"/>
        </w:trPr>
        <w:tc>
          <w:tcPr>
            <w:tcW w:w="1260" w:type="dxa"/>
            <w:vAlign w:val="bottom"/>
          </w:tcPr>
          <w:p>
            <w:pPr>
              <w:spacing w:after="0"/>
              <w:rPr>
                <w:sz w:val="24"/>
                <w:szCs w:val="24"/>
                <w:color w:val="auto"/>
              </w:rPr>
            </w:pPr>
          </w:p>
        </w:tc>
        <w:tc>
          <w:tcPr>
            <w:tcW w:w="4580" w:type="dxa"/>
            <w:vAlign w:val="bottom"/>
            <w:tcBorders>
              <w:top w:val="single" w:sz="8" w:color="0000FF"/>
            </w:tcBorders>
          </w:tcPr>
          <w:p>
            <w:pPr>
              <w:ind w:left="4280"/>
              <w:spacing w:after="0"/>
              <w:rPr>
                <w:sz w:val="20"/>
                <w:szCs w:val="20"/>
                <w:color w:val="auto"/>
              </w:rPr>
            </w:pPr>
            <w:r>
              <w:rPr>
                <w:rFonts w:ascii="Arial" w:cs="Arial" w:eastAsia="Arial" w:hAnsi="Arial"/>
                <w:sz w:val="18"/>
                <w:szCs w:val="18"/>
                <w:color w:val="auto"/>
              </w:rPr>
              <w:t>87</w:t>
            </w:r>
          </w:p>
        </w:tc>
        <w:tc>
          <w:tcPr>
            <w:tcW w:w="7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1"/>
        </w:trPr>
        <w:tc>
          <w:tcPr>
            <w:tcW w:w="1020" w:type="dxa"/>
            <w:vAlign w:val="bottom"/>
            <w:tcBorders>
              <w:top w:val="single" w:sz="8" w:color="0000FF"/>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40"/>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14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40"/>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50"/>
          </w:tcPr>
          <w:p>
            <w:pPr>
              <w:spacing w:after="0"/>
              <w:rPr>
                <w:rFonts w:ascii="Arial" w:cs="Arial" w:eastAsia="Arial" w:hAnsi="Arial"/>
                <w:sz w:val="18"/>
                <w:szCs w:val="18"/>
                <w:color w:val="0000FF"/>
              </w:rPr>
            </w:pPr>
            <w:hyperlink r:id="rId143">
              <w:r>
                <w:rPr>
                  <w:rFonts w:ascii="Arial" w:cs="Arial" w:eastAsia="Arial" w:hAnsi="Arial"/>
                  <w:sz w:val="18"/>
                  <w:szCs w:val="18"/>
                  <w:color w:val="0000FF"/>
                </w:rPr>
                <w:t>Chicago Mercantile Exchange Inc. Senior Management Supplemental Deferred Savings Plan (SMSDSP), Amended</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42"/>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and Restated as of January 1, 2017 (incorporated by reference to Exhibit 10.1 to CME Group Inc.'s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bottom w:val="single" w:sz="8" w:color="0000FF"/>
            </w:tcBorders>
            <w:gridSpan w:val="6"/>
          </w:tcPr>
          <w:p>
            <w:pPr>
              <w:spacing w:after="0" w:line="169"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with the SEC on August 2, 2017).</w:t>
              </w:r>
            </w:hyperlink>
          </w:p>
        </w:tc>
        <w:tc>
          <w:tcPr>
            <w:tcW w:w="5980" w:type="dxa"/>
            <w:vAlign w:val="bottom"/>
            <w:gridSpan w:val="3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0"/>
          </w:tcPr>
          <w:p>
            <w:pPr>
              <w:spacing w:after="0"/>
              <w:rPr>
                <w:rFonts w:ascii="Arial" w:cs="Arial" w:eastAsia="Arial" w:hAnsi="Arial"/>
                <w:sz w:val="18"/>
                <w:szCs w:val="18"/>
                <w:color w:val="0000FF"/>
              </w:rPr>
            </w:pPr>
            <w:hyperlink r:id="rId144">
              <w:r>
                <w:rPr>
                  <w:rFonts w:ascii="Arial" w:cs="Arial" w:eastAsia="Arial" w:hAnsi="Arial"/>
                  <w:sz w:val="18"/>
                  <w:szCs w:val="18"/>
                  <w:color w:val="0000FF"/>
                </w:rPr>
                <w:t>Chicago Mercantile Exchange Inc. Directors' Deferred Compensation Plan, amended and restated as of January 1,</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2009 (incorporated by reference to Exhibit 10.9 to CME Group Inc.'s Form 10-K, filed with the SEC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6"/>
              </w:rPr>
            </w:pPr>
            <w:hyperlink r:id="rId144">
              <w:r>
                <w:rPr>
                  <w:rFonts w:ascii="Arial" w:cs="Arial" w:eastAsia="Arial" w:hAnsi="Arial"/>
                  <w:sz w:val="18"/>
                  <w:szCs w:val="18"/>
                  <w:color w:val="0000FF"/>
                  <w:w w:val="86"/>
                </w:rPr>
                <w:t>2009).</w:t>
              </w:r>
            </w:hyperlink>
          </w:p>
        </w:tc>
        <w:tc>
          <w:tcPr>
            <w:tcW w:w="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0"/>
          </w:tcPr>
          <w:p>
            <w:pPr>
              <w:spacing w:after="0"/>
              <w:rPr>
                <w:rFonts w:ascii="Arial" w:cs="Arial" w:eastAsia="Arial" w:hAnsi="Arial"/>
                <w:sz w:val="18"/>
                <w:szCs w:val="18"/>
                <w:color w:val="0000FF"/>
              </w:rPr>
            </w:pPr>
            <w:hyperlink r:id="rId145">
              <w:r>
                <w:rPr>
                  <w:rFonts w:ascii="Arial" w:cs="Arial" w:eastAsia="Arial" w:hAnsi="Arial"/>
                  <w:sz w:val="18"/>
                  <w:szCs w:val="18"/>
                  <w:color w:val="0000FF"/>
                </w:rPr>
                <w:t>Chicago Mercantile Exchange Inc. Supplemental Executive Retirement Plan consisting of the Grandfathered</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0000FF"/>
            </w:tcBorders>
            <w:gridSpan w:val="21"/>
          </w:tcPr>
          <w:p>
            <w:pPr>
              <w:spacing w:after="0" w:line="156" w:lineRule="exact"/>
              <w:rPr>
                <w:rFonts w:ascii="Arial" w:cs="Arial" w:eastAsia="Arial" w:hAnsi="Arial"/>
                <w:sz w:val="18"/>
                <w:szCs w:val="18"/>
                <w:color w:val="0000FF"/>
                <w:w w:val="88"/>
              </w:rPr>
            </w:pPr>
            <w:hyperlink r:id="rId145">
              <w:r>
                <w:rPr>
                  <w:rFonts w:ascii="Arial" w:cs="Arial" w:eastAsia="Arial" w:hAnsi="Arial"/>
                  <w:sz w:val="18"/>
                  <w:szCs w:val="18"/>
                  <w:color w:val="0000FF"/>
                  <w:w w:val="88"/>
                </w:rPr>
                <w:t>Supplemental Retirement Plan, amended and restated as of January 1, 2008, and the Amended and Restated</w:t>
              </w:r>
            </w:hyperlink>
          </w:p>
        </w:tc>
        <w:tc>
          <w:tcPr>
            <w:tcW w:w="2160" w:type="dxa"/>
            <w:vAlign w:val="bottom"/>
            <w:gridSpan w:val="29"/>
          </w:tcPr>
          <w:p>
            <w:pPr>
              <w:jc w:val="center"/>
              <w:ind w:right="1780"/>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409A</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tcBorders>
              <w:top w:val="single" w:sz="8" w:color="0000FF"/>
            </w:tcBorders>
            <w:gridSpan w:val="35"/>
          </w:tcPr>
          <w:p>
            <w:pPr>
              <w:spacing w:after="0" w:line="169"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Supplemental Executive Retirement Plan, amended and restated as of January 1, 2008 (incorporated by reference</w:t>
              </w:r>
            </w:hyperlink>
          </w:p>
        </w:tc>
        <w:tc>
          <w:tcPr>
            <w:tcW w:w="1780" w:type="dxa"/>
            <w:vAlign w:val="bottom"/>
            <w:gridSpan w:val="15"/>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Exhibit 10.9 to CME Group Inc.'s Form 10-K, filed with the SEC on February 28, 2008).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960" w:type="dxa"/>
            <w:vAlign w:val="bottom"/>
            <w:tcBorders>
              <w:bottom w:val="single" w:sz="8" w:color="0000FF"/>
            </w:tcBorders>
            <w:gridSpan w:val="25"/>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Chicago Mercantile Exchange Inc. Supplemental Executive Retirement Trust; First Amendment thereto, dated</w:t>
              </w:r>
            </w:hyperlink>
          </w:p>
        </w:tc>
        <w:tc>
          <w:tcPr>
            <w:tcW w:w="202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5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September 7, 1993 (incorporated by reference to Exhibit 10.5 to Chicago Mercantile Exchange Inc.'s Form S-4, filed</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with the SEC on February 24, 2000).</w:t>
              </w:r>
            </w:hyperlink>
          </w:p>
        </w:tc>
        <w:tc>
          <w:tcPr>
            <w:tcW w:w="5780" w:type="dxa"/>
            <w:vAlign w:val="bottom"/>
            <w:tcBorders>
              <w:top w:val="single" w:sz="8" w:color="0000FF"/>
            </w:tcBorders>
            <w:gridSpan w:val="3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0"/>
          </w:tcPr>
          <w:p>
            <w:pPr>
              <w:spacing w:after="0"/>
              <w:rPr>
                <w:rFonts w:ascii="Arial" w:cs="Arial" w:eastAsia="Arial" w:hAnsi="Arial"/>
                <w:sz w:val="18"/>
                <w:szCs w:val="18"/>
                <w:color w:val="0000FF"/>
              </w:rPr>
            </w:pPr>
            <w:hyperlink r:id="rId147">
              <w:r>
                <w:rPr>
                  <w:rFonts w:ascii="Arial" w:cs="Arial" w:eastAsia="Arial" w:hAnsi="Arial"/>
                  <w:sz w:val="18"/>
                  <w:szCs w:val="18"/>
                  <w:color w:val="0000FF"/>
                </w:rPr>
                <w:t>Recognition and Retention Plan for Members of the COMEX Division of New York Mercantile Exchange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(incorporated by reference to Exhibit 10.11 to NYMEX Holdings, Inc.'s Form 10-K, filed with the SEC on</w:t>
              </w:r>
            </w:hyperlink>
          </w:p>
        </w:tc>
        <w:tc>
          <w:tcPr>
            <w:tcW w:w="2340" w:type="dxa"/>
            <w:vAlign w:val="bottom"/>
            <w:gridSpan w:val="30"/>
          </w:tcPr>
          <w:p>
            <w:pPr>
              <w:ind w:left="80"/>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March 29,</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tcBorders>
              <w:top w:val="single" w:sz="8" w:color="0000FF"/>
            </w:tcBorders>
            <w:gridSpan w:val="47"/>
          </w:tcPr>
          <w:p>
            <w:pPr>
              <w:spacing w:after="0" w:line="169"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2001)</w:t>
              </w:r>
              <w:r>
                <w:rPr>
                  <w:rFonts w:ascii="Arial" w:cs="Arial" w:eastAsia="Arial" w:hAnsi="Arial"/>
                  <w:sz w:val="18"/>
                  <w:szCs w:val="18"/>
                  <w:color w:val="000000"/>
                  <w:w w:val="95"/>
                </w:rPr>
                <w:t>;</w:t>
              </w:r>
              <w:r>
                <w:rPr>
                  <w:rFonts w:ascii="Arial" w:cs="Arial" w:eastAsia="Arial" w:hAnsi="Arial"/>
                  <w:sz w:val="18"/>
                  <w:szCs w:val="18"/>
                  <w:color w:val="0000FF"/>
                  <w:w w:val="95"/>
                </w:rPr>
                <w:t xml:space="preserve"> Amendment to the Recognition and Retention Plan for Members of the COMEX Division of the New York</w:t>
              </w:r>
            </w:hyperlink>
          </w:p>
        </w:tc>
        <w:tc>
          <w:tcPr>
            <w:tcW w:w="4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50"/>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Mercantile Exchange, dated October 22, 2015 (incorporated by reference to Exhibit 10.1 to CME Group Inc.'s Form</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10-Q, filed with the SEC on November 6, 2015).</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10.10(1)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0"/>
          </w:tcPr>
          <w:p>
            <w:pPr>
              <w:spacing w:after="0"/>
              <w:rPr>
                <w:rFonts w:ascii="Arial" w:cs="Arial" w:eastAsia="Arial" w:hAnsi="Arial"/>
                <w:sz w:val="18"/>
                <w:szCs w:val="18"/>
                <w:color w:val="0000FF"/>
              </w:rPr>
            </w:pPr>
            <w:hyperlink r:id="rId149">
              <w:r>
                <w:rPr>
                  <w:rFonts w:ascii="Arial" w:cs="Arial" w:eastAsia="Arial" w:hAnsi="Arial"/>
                  <w:sz w:val="18"/>
                  <w:szCs w:val="18"/>
                  <w:color w:val="0000FF"/>
                </w:rPr>
                <w:t>Second Amended and Restated CME Group Inc. Incentive Plan for Named Executive Officers (Amended and</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Restated as of May 24, 2017) (incorporated by reference to Exhibit 10.1 to CME Group Inc.’s Current Report</w:t>
              </w:r>
            </w:hyperlink>
          </w:p>
        </w:tc>
        <w:tc>
          <w:tcPr>
            <w:tcW w:w="20" w:type="dxa"/>
            <w:vAlign w:val="bottom"/>
          </w:tcPr>
          <w:p>
            <w:pPr>
              <w:spacing w:after="0"/>
              <w:rPr>
                <w:sz w:val="13"/>
                <w:szCs w:val="13"/>
                <w:color w:val="auto"/>
              </w:rPr>
            </w:pPr>
          </w:p>
        </w:tc>
        <w:tc>
          <w:tcPr>
            <w:tcW w:w="2060" w:type="dxa"/>
            <w:vAlign w:val="bottom"/>
            <w:gridSpan w:val="27"/>
          </w:tcPr>
          <w:p>
            <w:pPr>
              <w:jc w:val="center"/>
              <w:ind w:right="1880"/>
              <w:spacing w:after="0" w:line="156" w:lineRule="exact"/>
              <w:rPr>
                <w:rFonts w:ascii="Arial" w:cs="Arial" w:eastAsia="Arial" w:hAnsi="Arial"/>
                <w:sz w:val="18"/>
                <w:szCs w:val="18"/>
                <w:color w:val="0000FF"/>
                <w:w w:val="89"/>
              </w:rPr>
            </w:pPr>
            <w:hyperlink r:id="rId149">
              <w:r>
                <w:rPr>
                  <w:rFonts w:ascii="Arial" w:cs="Arial" w:eastAsia="Arial" w:hAnsi="Arial"/>
                  <w:sz w:val="18"/>
                  <w:szCs w:val="18"/>
                  <w:color w:val="0000FF"/>
                  <w:w w:val="89"/>
                </w:rPr>
                <w:t>on</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Form 8-K, filed with the SEC on May 30, 2017).</w:t>
              </w:r>
            </w:hyperlink>
          </w:p>
        </w:tc>
        <w:tc>
          <w:tcPr>
            <w:tcW w:w="45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bottom w:val="single" w:sz="8" w:color="0000FF"/>
            </w:tcBorders>
            <w:gridSpan w:val="19"/>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CME Group Inc. Severance Plan for Eligible Executives, amended and restated effective January 1, 2013</w:t>
              </w:r>
            </w:hyperlink>
          </w:p>
        </w:tc>
        <w:tc>
          <w:tcPr>
            <w:tcW w:w="2400" w:type="dxa"/>
            <w:vAlign w:val="bottom"/>
            <w:gridSpan w:val="31"/>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5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10.16 to CME Group Inc.'s Form 10-K, filed with the SEC on February 28,</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tcBorders>
              <w:top w:val="single" w:sz="8" w:color="0000FF"/>
            </w:tcBorders>
            <w:gridSpan w:val="32"/>
          </w:tcPr>
          <w:p>
            <w:pPr>
              <w:spacing w:after="0" w:line="169"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2014)</w:t>
              </w:r>
              <w:r>
                <w:rPr>
                  <w:rFonts w:ascii="Arial" w:cs="Arial" w:eastAsia="Arial" w:hAnsi="Arial"/>
                  <w:sz w:val="18"/>
                  <w:szCs w:val="18"/>
                  <w:color w:val="000000"/>
                  <w:w w:val="91"/>
                </w:rPr>
                <w:t>;</w:t>
              </w:r>
              <w:r>
                <w:rPr>
                  <w:rFonts w:ascii="Arial" w:cs="Arial" w:eastAsia="Arial" w:hAnsi="Arial"/>
                  <w:sz w:val="18"/>
                  <w:szCs w:val="18"/>
                  <w:color w:val="0000FF"/>
                  <w:w w:val="91"/>
                </w:rPr>
                <w:t xml:space="preserve"> First Amendment to CME Group Inc. Severance Plan for Eligible Executives, effective as of October 13,</w:t>
              </w:r>
            </w:hyperlink>
          </w:p>
        </w:tc>
        <w:tc>
          <w:tcPr>
            <w:tcW w:w="1860" w:type="dxa"/>
            <w:vAlign w:val="bottom"/>
            <w:gridSpan w:val="18"/>
          </w:tcPr>
          <w:p>
            <w:pPr>
              <w:jc w:val="right"/>
              <w:ind w:right="1500"/>
              <w:spacing w:after="0" w:line="169" w:lineRule="exact"/>
              <w:rPr>
                <w:rFonts w:ascii="Arial" w:cs="Arial" w:eastAsia="Arial" w:hAnsi="Arial"/>
                <w:sz w:val="18"/>
                <w:szCs w:val="18"/>
                <w:color w:val="0000FF"/>
                <w:w w:val="84"/>
              </w:rPr>
            </w:pPr>
            <w:hyperlink r:id="rId151">
              <w:r>
                <w:rPr>
                  <w:rFonts w:ascii="Arial" w:cs="Arial" w:eastAsia="Arial" w:hAnsi="Arial"/>
                  <w:sz w:val="18"/>
                  <w:szCs w:val="18"/>
                  <w:color w:val="0000FF"/>
                  <w:w w:val="84"/>
                </w:rPr>
                <w:t>2014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5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(incorporated by reference to Exhibit 10.16 to CME Group Inc.'s Form 10-K, filed with the SEC on February 26,</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51">
              <w:r>
                <w:rPr>
                  <w:rFonts w:ascii="Arial" w:cs="Arial" w:eastAsia="Arial" w:hAnsi="Arial"/>
                  <w:sz w:val="18"/>
                  <w:szCs w:val="18"/>
                  <w:color w:val="0000FF"/>
                  <w:w w:val="86"/>
                </w:rPr>
                <w:t>2015).</w:t>
              </w:r>
            </w:hyperlink>
          </w:p>
        </w:tc>
        <w:tc>
          <w:tcPr>
            <w:tcW w:w="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0"/>
          </w:tcPr>
          <w:p>
            <w:pPr>
              <w:spacing w:after="0"/>
              <w:rPr>
                <w:rFonts w:ascii="Arial" w:cs="Arial" w:eastAsia="Arial" w:hAnsi="Arial"/>
                <w:sz w:val="18"/>
                <w:szCs w:val="18"/>
                <w:color w:val="0000FF"/>
              </w:rPr>
            </w:pPr>
            <w:hyperlink r:id="rId152">
              <w:r>
                <w:rPr>
                  <w:rFonts w:ascii="Arial" w:cs="Arial" w:eastAsia="Arial" w:hAnsi="Arial"/>
                  <w:sz w:val="18"/>
                  <w:szCs w:val="18"/>
                  <w:color w:val="0000FF"/>
                </w:rPr>
                <w:t>CME Group Inc. Severance Plan, amended and restated effective January 1, 2013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Exhibit 10.17 to CME Group Inc.'s Form 10-K, filed with the SEC on February 28, 2014)</w:t>
              </w:r>
              <w:r>
                <w:rPr>
                  <w:rFonts w:ascii="Arial" w:cs="Arial" w:eastAsia="Arial" w:hAnsi="Arial"/>
                  <w:sz w:val="18"/>
                  <w:szCs w:val="18"/>
                  <w:color w:val="000000"/>
                  <w:w w:val="92"/>
                </w:rPr>
                <w:t>;</w:t>
              </w:r>
              <w:r>
                <w:rPr>
                  <w:rFonts w:ascii="Arial" w:cs="Arial" w:eastAsia="Arial" w:hAnsi="Arial"/>
                  <w:sz w:val="18"/>
                  <w:szCs w:val="18"/>
                  <w:color w:val="0000FF"/>
                  <w:w w:val="92"/>
                </w:rPr>
                <w:t xml:space="preserve"> First Amendment to</w:t>
              </w:r>
            </w:hyperlink>
          </w:p>
        </w:tc>
        <w:tc>
          <w:tcPr>
            <w:tcW w:w="40" w:type="dxa"/>
            <w:vAlign w:val="bottom"/>
          </w:tcPr>
          <w:p>
            <w:pPr>
              <w:spacing w:after="0"/>
              <w:rPr>
                <w:sz w:val="13"/>
                <w:szCs w:val="13"/>
                <w:color w:val="auto"/>
              </w:rPr>
            </w:pPr>
          </w:p>
        </w:tc>
        <w:tc>
          <w:tcPr>
            <w:tcW w:w="1940" w:type="dxa"/>
            <w:vAlign w:val="bottom"/>
            <w:gridSpan w:val="21"/>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50"/>
          </w:tcPr>
          <w:p>
            <w:pPr>
              <w:spacing w:after="0" w:line="169" w:lineRule="exact"/>
              <w:rPr>
                <w:rFonts w:ascii="Arial" w:cs="Arial" w:eastAsia="Arial" w:hAnsi="Arial"/>
                <w:sz w:val="18"/>
                <w:szCs w:val="18"/>
                <w:color w:val="0000FF"/>
              </w:rPr>
            </w:pPr>
            <w:hyperlink r:id="rId153">
              <w:r>
                <w:rPr>
                  <w:rFonts w:ascii="Arial" w:cs="Arial" w:eastAsia="Arial" w:hAnsi="Arial"/>
                  <w:sz w:val="18"/>
                  <w:szCs w:val="18"/>
                  <w:color w:val="0000FF"/>
                </w:rPr>
                <w:t>Amended and Restated CME Group Inc. Severance Plan, effective October 13, 2014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Exhibit 10.17 to CME Group Inc.'s Form 10-K, filed with the SEC on February 26, 2015).</w:t>
              </w:r>
            </w:hyperlink>
          </w:p>
        </w:tc>
        <w:tc>
          <w:tcPr>
            <w:tcW w:w="1800" w:type="dxa"/>
            <w:vAlign w:val="bottom"/>
            <w:tcBorders>
              <w:top w:val="single" w:sz="8" w:color="0000FF"/>
            </w:tcBorders>
            <w:gridSpan w:val="25"/>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0"/>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Amended and Restated Commercial Paper Dealer Agreement, dated as of October 20, 2014, among CME Group Inc.,</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48"/>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as Issuer, and Barclays Capital Inc., as Dealer (incorporated by reference to Exhibit 4.1 above).</w:t>
              </w:r>
            </w:hyperlink>
          </w:p>
        </w:tc>
        <w:tc>
          <w:tcPr>
            <w:tcW w:w="1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0"/>
          </w:tcPr>
          <w:p>
            <w:pPr>
              <w:spacing w:after="0"/>
              <w:rPr>
                <w:rFonts w:ascii="Arial" w:cs="Arial" w:eastAsia="Arial" w:hAnsi="Arial"/>
                <w:sz w:val="18"/>
                <w:szCs w:val="18"/>
                <w:color w:val="0000FF"/>
              </w:rPr>
            </w:pPr>
            <w:hyperlink r:id="rId128">
              <w:r>
                <w:rPr>
                  <w:rFonts w:ascii="Arial" w:cs="Arial" w:eastAsia="Arial" w:hAnsi="Arial"/>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38"/>
          </w:tcPr>
          <w:p>
            <w:pPr>
              <w:spacing w:after="0" w:line="15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Inc., as Issuer, and Merrill Lynch, Pierce, Fenner &amp; Smith Incorporated, as Dealer (incorporated by reference to</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Exhibit 4.2 above).</w:t>
              </w:r>
            </w:hyperlink>
          </w:p>
        </w:tc>
        <w:tc>
          <w:tcPr>
            <w:tcW w:w="66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5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50"/>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Amended and Restated Commercial Paper Dealer Agreement, dated as of October 20, 2014, between CME Group</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Inc., as Issuer, and Goldman, Sachs &amp; Co., as Dealer (incorporated by reference to Exhibit 4.3 above).</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50"/>
          </w:tcPr>
          <w:p>
            <w:pPr>
              <w:spacing w:after="0"/>
              <w:rPr>
                <w:rFonts w:ascii="Arial" w:cs="Arial" w:eastAsia="Arial" w:hAnsi="Arial"/>
                <w:sz w:val="18"/>
                <w:szCs w:val="18"/>
                <w:color w:val="0000FF"/>
              </w:rPr>
            </w:pPr>
            <w:hyperlink r:id="rId154">
              <w:r>
                <w:rPr>
                  <w:rFonts w:ascii="Arial" w:cs="Arial" w:eastAsia="Arial" w:hAnsi="Arial"/>
                  <w:sz w:val="18"/>
                  <w:szCs w:val="18"/>
                  <w:color w:val="0000FF"/>
                </w:rPr>
                <w:t>Amendment No. 5 to Credit Agreement, dated as of April 28, 2021, among Chicago Mercantile Exchange Inc.,</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certain lenders, Bank of America, N.A., as Administrative Agent, and Citibank, N.A., as Collateral Agent and</w:t>
              </w:r>
            </w:hyperlink>
          </w:p>
        </w:tc>
        <w:tc>
          <w:tcPr>
            <w:tcW w:w="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Collateral Monitoring Agent. The Amended Credit Agreement, as amended through Amendment No. 5, among</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5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50"/>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Chicago Mercantile Exchange Inc., certain lenders, Bank of America, N.A., as Administrative Agent, and Citibank,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N.A., as Collateral Agent and Collateral Monitoring Agent, is attached as Annex A to Amendment No. 5</w:t>
              </w:r>
            </w:hyperlink>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tcBorders>
              <w:top w:val="single" w:sz="8" w:color="0000FF"/>
            </w:tcBorders>
            <w:gridSpan w:val="18"/>
          </w:tcPr>
          <w:p>
            <w:pPr>
              <w:spacing w:after="0" w:line="169"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(incorporated by reference to Exhibit 10.1 to CME Group Inc.'s Current Report on Form 8-K, filed with</w:t>
              </w:r>
            </w:hyperlink>
          </w:p>
        </w:tc>
        <w:tc>
          <w:tcPr>
            <w:tcW w:w="2440" w:type="dxa"/>
            <w:vAlign w:val="bottom"/>
            <w:gridSpan w:val="32"/>
          </w:tcPr>
          <w:p>
            <w:pPr>
              <w:spacing w:after="0" w:line="169" w:lineRule="exact"/>
              <w:rPr>
                <w:rFonts w:ascii="Arial" w:cs="Arial" w:eastAsia="Arial" w:hAnsi="Arial"/>
                <w:sz w:val="18"/>
                <w:szCs w:val="18"/>
                <w:color w:val="0000FF"/>
              </w:rPr>
            </w:pPr>
            <w:hyperlink r:id="rId154">
              <w:r>
                <w:rPr>
                  <w:rFonts w:ascii="Arial" w:cs="Arial" w:eastAsia="Arial" w:hAnsi="Arial"/>
                  <w:sz w:val="18"/>
                  <w:szCs w:val="18"/>
                  <w:color w:val="0000FF"/>
                </w:rPr>
                <w:t>the SEC 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April 29, 2021).</w:t>
              </w:r>
            </w:hyperlink>
          </w:p>
        </w:tc>
        <w:tc>
          <w:tcPr>
            <w:tcW w:w="7200" w:type="dxa"/>
            <w:vAlign w:val="bottom"/>
            <w:tcBorders>
              <w:top w:val="single" w:sz="8" w:color="0000FF"/>
            </w:tcBorders>
            <w:gridSpan w:val="37"/>
          </w:tcPr>
          <w:p>
            <w:pPr>
              <w:spacing w:after="0"/>
              <w:rPr>
                <w:sz w:val="13"/>
                <w:szCs w:val="13"/>
                <w:color w:val="auto"/>
              </w:rPr>
            </w:pPr>
          </w:p>
        </w:tc>
        <w:tc>
          <w:tcPr>
            <w:tcW w:w="100" w:type="dxa"/>
            <w:vAlign w:val="bottom"/>
            <w:gridSpan w:val="5"/>
          </w:tcPr>
          <w:p>
            <w:pPr>
              <w:spacing w:after="0"/>
              <w:rPr>
                <w:sz w:val="13"/>
                <w:szCs w:val="13"/>
                <w:color w:val="auto"/>
              </w:rPr>
            </w:pPr>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50"/>
          </w:tcPr>
          <w:p>
            <w:pPr>
              <w:spacing w:after="0"/>
              <w:rPr>
                <w:rFonts w:ascii="Arial" w:cs="Arial" w:eastAsia="Arial" w:hAnsi="Arial"/>
                <w:sz w:val="18"/>
                <w:szCs w:val="18"/>
                <w:color w:val="0000FF"/>
              </w:rPr>
            </w:pPr>
            <w:hyperlink r:id="rId155">
              <w:r>
                <w:rPr>
                  <w:rFonts w:ascii="Arial" w:cs="Arial" w:eastAsia="Arial" w:hAnsi="Arial"/>
                  <w:sz w:val="18"/>
                  <w:szCs w:val="18"/>
                  <w:color w:val="0000FF"/>
                </w:rPr>
                <w:t>Amendment No. 6 to Credit Agreement, dated as of April 27, 2022, among Chicago Mercantile Exchange Inc., Bank</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46"/>
          </w:tcPr>
          <w:p>
            <w:pPr>
              <w:spacing w:after="0" w:line="156" w:lineRule="exact"/>
              <w:rPr>
                <w:rFonts w:ascii="Arial" w:cs="Arial" w:eastAsia="Arial" w:hAnsi="Arial"/>
                <w:sz w:val="18"/>
                <w:szCs w:val="18"/>
                <w:color w:val="0000FF"/>
                <w:w w:val="97"/>
              </w:rPr>
            </w:pPr>
            <w:hyperlink r:id="rId155">
              <w:r>
                <w:rPr>
                  <w:rFonts w:ascii="Arial" w:cs="Arial" w:eastAsia="Arial" w:hAnsi="Arial"/>
                  <w:sz w:val="18"/>
                  <w:szCs w:val="18"/>
                  <w:color w:val="0000FF"/>
                  <w:w w:val="97"/>
                </w:rPr>
                <w:t>of America, N.A., in its capacity as administrative agent, Citibank, N.A., in its capacity as collateral agent and</w:t>
              </w:r>
            </w:hyperlink>
          </w:p>
        </w:tc>
        <w:tc>
          <w:tcPr>
            <w:tcW w:w="15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40" w:type="dxa"/>
            <w:vAlign w:val="bottom"/>
            <w:tcBorders>
              <w:top w:val="single" w:sz="8" w:color="0000FF"/>
              <w:bottom w:val="single" w:sz="8" w:color="0000FF"/>
            </w:tcBorders>
            <w:gridSpan w:val="24"/>
          </w:tcPr>
          <w:p>
            <w:pPr>
              <w:spacing w:after="0" w:line="169"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collateral monitoring agent, and the banks party thereto. The Amended Credit Agreement, as amended through</w:t>
              </w:r>
            </w:hyperlink>
          </w:p>
        </w:tc>
        <w:tc>
          <w:tcPr>
            <w:tcW w:w="40" w:type="dxa"/>
            <w:vAlign w:val="bottom"/>
            <w:tcBorders>
              <w:bottom w:val="single" w:sz="8" w:color="0000FF"/>
            </w:tcBorders>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6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bottom w:val="single" w:sz="8" w:color="0000FF"/>
            </w:tcBorders>
            <w:gridSpan w:val="26"/>
          </w:tcPr>
          <w:p>
            <w:pP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Amendment No. 6, among Chicago Mercantile Exchange Inc., each of the banks party thereto, Bank of America,</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6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bottom w:val="single" w:sz="8" w:color="0000FF"/>
            </w:tcBorders>
            <w:gridSpan w:val="30"/>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N.A., in its capacity as administrative agent, and Citibank, N.A., in its capacity as collateral agent and collateral</w:t>
              </w:r>
            </w:hyperlink>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6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50"/>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monitoring agent, is attached as Annex A to Amendment No. 6 (incorporated by reference to Exhibit 10.1 to CME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Group Inc.’s Current Report on Form 8-K, filed with the SEC on April 28, 2022).</w:t>
              </w:r>
            </w:hyperlink>
          </w:p>
        </w:tc>
        <w:tc>
          <w:tcPr>
            <w:tcW w:w="16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10"/>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380" w:type="dxa"/>
            <w:vAlign w:val="bottom"/>
            <w:gridSpan w:val="26"/>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50"/>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Form of Equity Grant Letter for Restricted Shares (incorporated by reference to Exhibit 10.1 to CME Group Inc.'s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Form 10-Q, filed with the SEC on November 3, 2021).</w:t>
              </w:r>
            </w:hyperlink>
          </w:p>
        </w:tc>
        <w:tc>
          <w:tcPr>
            <w:tcW w:w="17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019"/>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top w:val="single" w:sz="8" w:color="0000FF"/>
            </w:tcBorders>
            <w:gridSpan w:val="10"/>
          </w:tcPr>
          <w:p>
            <w:pPr>
              <w:spacing w:after="0"/>
              <w:rPr>
                <w:sz w:val="24"/>
                <w:szCs w:val="24"/>
                <w:color w:val="auto"/>
              </w:rPr>
            </w:pPr>
          </w:p>
        </w:tc>
        <w:tc>
          <w:tcPr>
            <w:tcW w:w="1920" w:type="dxa"/>
            <w:vAlign w:val="bottom"/>
          </w:tcPr>
          <w:p>
            <w:pPr>
              <w:jc w:val="right"/>
              <w:ind w:right="1310"/>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1"/>
        </w:trPr>
        <w:tc>
          <w:tcPr>
            <w:tcW w:w="1020" w:type="dxa"/>
            <w:vAlign w:val="bottom"/>
            <w:tcBorders>
              <w:top w:val="single" w:sz="8" w:color="0000FF"/>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gridSpan w:val="12"/>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2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10.19(1)</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540" w:type="dxa"/>
            <w:vAlign w:val="bottom"/>
            <w:tcBorders>
              <w:top w:val="single" w:sz="8" w:color="auto"/>
            </w:tcBorders>
            <w:gridSpan w:val="19"/>
          </w:tcPr>
          <w:p>
            <w:pPr>
              <w:spacing w:after="0" w:line="189"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Form of Equity Grant Letter for Annual Grant of Performance Shares (incorporated by reference to Exhibit 10.2 to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CME Group Inc.'s Form 10-Q, filed with the SEC on November 3,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bottom w:val="single" w:sz="8" w:color="0000FF"/>
            </w:tcBorders>
            <w:gridSpan w:val="12"/>
          </w:tcPr>
          <w:p>
            <w:pPr>
              <w:spacing w:after="0"/>
              <w:rPr>
                <w:rFonts w:ascii="Arial" w:cs="Arial" w:eastAsia="Arial" w:hAnsi="Arial"/>
                <w:sz w:val="18"/>
                <w:szCs w:val="18"/>
                <w:color w:val="0000FF"/>
                <w:w w:val="89"/>
              </w:rPr>
            </w:pPr>
            <w:hyperlink r:id="rId160">
              <w:r>
                <w:rPr>
                  <w:rFonts w:ascii="Arial" w:cs="Arial" w:eastAsia="Arial" w:hAnsi="Arial"/>
                  <w:sz w:val="18"/>
                  <w:szCs w:val="18"/>
                  <w:color w:val="0000FF"/>
                  <w:w w:val="89"/>
                </w:rPr>
                <w:t>Credit Agreement, dated as of November 12, 2021, among CME Group Inc., certain lenders, agents, arrangers,</w:t>
              </w:r>
            </w:hyperlink>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19"/>
          </w:tcPr>
          <w:p>
            <w:pPr>
              <w:spacing w:after="0" w:line="156"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bookrunners, and Bank of America, N.A., as Administrative Agent (incorporated by reference to Exhibit 10.1 to CME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60">
              <w:r>
                <w:rPr>
                  <w:rFonts w:ascii="Arial" w:cs="Arial" w:eastAsia="Arial" w:hAnsi="Arial"/>
                  <w:sz w:val="18"/>
                  <w:szCs w:val="18"/>
                  <w:color w:val="0000FF"/>
                </w:rPr>
                <w:t>Group Inc.'s Current Report on Form 8-K, filed with the SEC on November 16, 2021).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10.21(1)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9"/>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Amended and Restated Agreement, effective as of February 2, 2022, by and between CME Group Inc. and Terrence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19"/>
          </w:tcPr>
          <w:p>
            <w:pPr>
              <w:spacing w:after="0" w:line="156" w:lineRule="exact"/>
              <w:rPr>
                <w:rFonts w:ascii="Arial" w:cs="Arial" w:eastAsia="Arial" w:hAnsi="Arial"/>
                <w:sz w:val="18"/>
                <w:szCs w:val="18"/>
                <w:color w:val="0000FF"/>
                <w:w w:val="94"/>
              </w:rPr>
            </w:pPr>
            <w:hyperlink r:id="rId161">
              <w:r>
                <w:rPr>
                  <w:rFonts w:ascii="Arial" w:cs="Arial" w:eastAsia="Arial" w:hAnsi="Arial"/>
                  <w:sz w:val="18"/>
                  <w:szCs w:val="18"/>
                  <w:color w:val="0000FF"/>
                  <w:w w:val="94"/>
                </w:rPr>
                <w:t>A. Duffy (incorporated by reference to Exhibit 10.1 to CME Group Inc.'s Current Report on Form 8-K, filed 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SEC on February 3, 2022).</w:t>
              </w:r>
            </w:hyperlink>
          </w:p>
        </w:tc>
        <w:tc>
          <w:tcPr>
            <w:tcW w:w="6480" w:type="dxa"/>
            <w:vAlign w:val="bottom"/>
            <w:tcBorders>
              <w:top w:val="single" w:sz="8" w:color="0000FF"/>
            </w:tcBorders>
            <w:gridSpan w:val="13"/>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19"/>
          </w:tcPr>
          <w:p>
            <w:pPr>
              <w:spacing w:after="0"/>
              <w:rPr>
                <w:rFonts w:ascii="Arial" w:cs="Arial" w:eastAsia="Arial" w:hAnsi="Arial"/>
                <w:sz w:val="18"/>
                <w:szCs w:val="18"/>
                <w:color w:val="0000FF"/>
                <w:w w:val="93"/>
              </w:rPr>
            </w:pPr>
            <w:hyperlink r:id="rId162">
              <w:r>
                <w:rPr>
                  <w:rFonts w:ascii="Arial" w:cs="Arial" w:eastAsia="Arial" w:hAnsi="Arial"/>
                  <w:sz w:val="18"/>
                  <w:szCs w:val="18"/>
                  <w:color w:val="0000FF"/>
                  <w:w w:val="93"/>
                </w:rPr>
                <w:t>Retirement Agreement, dated as of April 12, 2022, between Chicago Mercantile Exchange Inc. and Kevin Kometer</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(incorporated by reference to Exhibit 10.1 to CME Group Inc.’s Current Report on Form 8-K filed with the SEC on</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0000FF"/>
            </w:tcBorders>
            <w:gridSpan w:val="2"/>
          </w:tcPr>
          <w:p>
            <w:pPr>
              <w:spacing w:after="0" w:line="169"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April 14, 2022).</w:t>
              </w:r>
            </w:hyperlink>
          </w:p>
        </w:tc>
        <w:tc>
          <w:tcPr>
            <w:tcW w:w="718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gridSpan w:val="19"/>
          </w:tcPr>
          <w:p>
            <w:pPr>
              <w:spacing w:after="0"/>
              <w:rPr>
                <w:rFonts w:ascii="Arial" w:cs="Arial" w:eastAsia="Arial" w:hAnsi="Arial"/>
                <w:sz w:val="18"/>
                <w:szCs w:val="18"/>
                <w:color w:val="0000FF"/>
                <w:w w:val="99"/>
              </w:rPr>
            </w:pPr>
            <w:hyperlink r:id="rId163">
              <w:r>
                <w:rPr>
                  <w:rFonts w:ascii="Arial" w:cs="Arial" w:eastAsia="Arial" w:hAnsi="Arial"/>
                  <w:sz w:val="18"/>
                  <w:szCs w:val="18"/>
                  <w:color w:val="0000FF"/>
                  <w:w w:val="99"/>
                </w:rPr>
                <w:t>License Agreement, dated June 29, 2012, between Standard &amp; Poor’s Financial Services LLC and Chicago</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Mercantile Exchange Inc. (incorporated by reference to Exhibit 10.5 to CME Group Inc.'s Form 10-Q, filed</w:t>
              </w:r>
            </w:hyperlink>
          </w:p>
        </w:tc>
        <w:tc>
          <w:tcPr>
            <w:tcW w:w="840" w:type="dxa"/>
            <w:vAlign w:val="bottom"/>
            <w:gridSpan w:val="8"/>
          </w:tcPr>
          <w:p>
            <w:pPr>
              <w:ind w:left="80"/>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SEC on August 3, 2022).</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0000FF"/>
              </w:rPr>
              <w:t>List of Subsidiaries of CME Group Inc.</w:t>
            </w: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Consent of Ernst &amp; Young LLP.</w:t>
            </w:r>
          </w:p>
        </w:tc>
        <w:tc>
          <w:tcPr>
            <w:tcW w:w="540" w:type="dxa"/>
            <w:vAlign w:val="bottom"/>
            <w:tcBorders>
              <w:top w:val="single" w:sz="8" w:color="0000FF"/>
            </w:tcBorders>
          </w:tcPr>
          <w:p>
            <w:pPr>
              <w:spacing w:after="0"/>
              <w:rPr>
                <w:sz w:val="24"/>
                <w:szCs w:val="24"/>
                <w:color w:val="auto"/>
              </w:rPr>
            </w:pPr>
          </w:p>
        </w:tc>
        <w:tc>
          <w:tcPr>
            <w:tcW w:w="5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0000FF"/>
              </w:rPr>
              <w:t>Section 302—Certification of Terrence A. Duffy.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0000FF"/>
              </w:rPr>
              <w:t>Section 302—Certification of John W. Pietrowicz.</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0000FF"/>
                <w:w w:val="92"/>
              </w:rPr>
              <w:t>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7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right="399" w:hanging="1234"/>
        <w:spacing w:after="0" w:line="219"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materials from CME Group Inc.’s Annual Report on Form 10-K for the year ended December 31, 2022, formatted in Inline XBRL (Extensible Business Reporting Language): (i) the Consolidated Balance Sheets, (ii) the Consolidated Statements of Income, (iii) the Consolidated Statements of Comprehensive Income, (iv) the Consolidated Statements of Equity, (v) the Consolidated Statements of Cash Flows and (vi) the Notes to Consolidated Financial Statements, tagged as blocks of text.</w:t>
      </w:r>
    </w:p>
    <w:p>
      <w:pPr>
        <w:spacing w:after="0" w:line="68" w:lineRule="exact"/>
        <w:rPr>
          <w:sz w:val="20"/>
          <w:szCs w:val="20"/>
          <w:color w:val="auto"/>
        </w:rPr>
      </w:pPr>
    </w:p>
    <w:p>
      <w:pPr>
        <w:ind w:left="1260" w:right="979" w:hanging="1234"/>
        <w:spacing w:after="0" w:line="235"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cover page from CME Group Inc.'s Annual Report on Form 10-K for the year ended December 31, 2022, formatted in Inline XBRL.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66" w:lineRule="exact"/>
        <w:rPr>
          <w:sz w:val="20"/>
          <w:szCs w:val="20"/>
          <w:color w:val="auto"/>
        </w:rPr>
      </w:pPr>
    </w:p>
    <w:p>
      <w:pPr>
        <w:ind w:left="1340" w:hanging="1314"/>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Item 601(b)(10) of Regulation S-K.</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27th day of February, 2023.</w:t>
      </w:r>
    </w:p>
    <w:p>
      <w:pPr>
        <w:spacing w:after="0" w:line="12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CME Group Inc.</w:t>
      </w:r>
    </w:p>
    <w:p>
      <w:pPr>
        <w:spacing w:after="0" w:line="297" w:lineRule="exact"/>
        <w:rPr>
          <w:sz w:val="20"/>
          <w:szCs w:val="20"/>
          <w:color w:val="auto"/>
        </w:rPr>
      </w:pPr>
    </w:p>
    <w:p>
      <w:pPr>
        <w:ind w:left="552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23495</wp:posOffset>
            </wp:positionV>
            <wp:extent cx="30689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John W. Pietrowicz</w:t>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Senior Managing Director and Chief Financial Officer</w:t>
      </w:r>
    </w:p>
    <w:p>
      <w:pPr>
        <w:spacing w:after="0" w:line="322"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in the City of Chicago and State of Illinois on the 27th day of February, 2023.</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480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84"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Terrence A. Duffy</w:t>
      </w:r>
    </w:p>
    <w:p>
      <w:pPr>
        <w:spacing w:after="0" w:line="104" w:lineRule="exact"/>
        <w:rPr>
          <w:sz w:val="20"/>
          <w:szCs w:val="20"/>
          <w:color w:val="auto"/>
        </w:rPr>
      </w:pPr>
    </w:p>
    <w:p>
      <w:pPr>
        <w:jc w:val="center"/>
        <w:ind w:left="5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John W. Pietrowicz</w:t>
      </w:r>
    </w:p>
    <w:p>
      <w:pPr>
        <w:spacing w:after="0" w:line="104" w:lineRule="exact"/>
        <w:rPr>
          <w:sz w:val="20"/>
          <w:szCs w:val="20"/>
          <w:color w:val="auto"/>
        </w:rPr>
      </w:pPr>
    </w:p>
    <w:p>
      <w:pPr>
        <w:jc w:val="center"/>
        <w:ind w:left="5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JACK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Jack Tobin</w:t>
      </w:r>
    </w:p>
    <w:p>
      <w:pPr>
        <w:spacing w:after="0" w:line="104"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TIMOTHY S. BITSBERGER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Timothy S. Bitsberger</w:t>
      </w:r>
    </w:p>
    <w:p>
      <w:pPr>
        <w:spacing w:after="0" w:line="104"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CHARLES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Charles P. Carey</w:t>
      </w:r>
    </w:p>
    <w:p>
      <w:pPr>
        <w:spacing w:after="0" w:line="50" w:lineRule="exact"/>
        <w:rPr>
          <w:sz w:val="20"/>
          <w:szCs w:val="20"/>
          <w:color w:val="auto"/>
        </w:rPr>
      </w:pPr>
    </w:p>
    <w:p>
      <w:pPr>
        <w:ind w:left="142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DENNIS H. CHOOKASZIAN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Dennis H. Chookaszian</w:t>
      </w:r>
    </w:p>
    <w:p>
      <w:pPr>
        <w:spacing w:after="0" w:line="10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ELIZABETH A.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Elizabeth A. Cook</w:t>
      </w:r>
    </w:p>
    <w:p>
      <w:pPr>
        <w:spacing w:after="0" w:line="10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MICHAEL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Michael G. Dennis</w:t>
      </w:r>
    </w:p>
    <w:p>
      <w:pPr>
        <w:spacing w:after="0" w:line="104" w:lineRule="exact"/>
        <w:rPr>
          <w:sz w:val="20"/>
          <w:szCs w:val="20"/>
          <w:color w:val="auto"/>
        </w:rPr>
      </w:pPr>
    </w:p>
    <w:p>
      <w:pPr>
        <w:jc w:val="center"/>
        <w:ind w:left="5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BRYAN T.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Bryan T. Durkin</w:t>
      </w:r>
    </w:p>
    <w:p>
      <w:pPr>
        <w:spacing w:after="0" w:line="104"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ANA DUTRA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Ana Dutra</w:t>
      </w:r>
    </w:p>
    <w:p>
      <w:pPr>
        <w:spacing w:after="0" w:line="104" w:lineRule="exact"/>
        <w:rPr>
          <w:sz w:val="20"/>
          <w:szCs w:val="20"/>
          <w:color w:val="auto"/>
        </w:rPr>
      </w:pPr>
    </w:p>
    <w:p>
      <w:pPr>
        <w:jc w:val="center"/>
        <w:ind w:left="5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MARTIN J. GEPSMAN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Martin J. Gepsman</w:t>
      </w:r>
    </w:p>
    <w:p>
      <w:pPr>
        <w:spacing w:after="0" w:line="104" w:lineRule="exact"/>
        <w:rPr>
          <w:sz w:val="20"/>
          <w:szCs w:val="20"/>
          <w:color w:val="auto"/>
        </w:rPr>
      </w:pPr>
    </w:p>
    <w:p>
      <w:pPr>
        <w:ind w:left="164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LARRY G. GERDES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Larry G. Gerdes</w:t>
      </w:r>
    </w:p>
    <w:p>
      <w:pPr>
        <w:spacing w:after="0" w:line="104" w:lineRule="exact"/>
        <w:rPr>
          <w:sz w:val="20"/>
          <w:szCs w:val="20"/>
          <w:color w:val="auto"/>
        </w:rPr>
      </w:pPr>
    </w:p>
    <w:p>
      <w:pPr>
        <w:jc w:val="center"/>
        <w:ind w:left="48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DANIEL R.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Daniel R. Glickman</w:t>
      </w:r>
    </w:p>
    <w:p>
      <w:pPr>
        <w:spacing w:after="0" w:line="10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W. HOBERT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William W. Hobert</w:t>
      </w:r>
    </w:p>
    <w:p>
      <w:pPr>
        <w:spacing w:after="0" w:line="14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DANIEL G.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0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Daniel G. Kaye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3531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Director and Chief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Senior Managing Director and Chief Financial Officer</w:t>
      </w:r>
    </w:p>
    <w:p>
      <w:pPr>
        <w:spacing w:after="0" w:line="306" w:lineRule="exact"/>
        <w:rPr>
          <w:sz w:val="20"/>
          <w:szCs w:val="20"/>
          <w:color w:val="auto"/>
        </w:rPr>
      </w:pPr>
    </w:p>
    <w:p>
      <w:pPr>
        <w:jc w:val="center"/>
        <w:ind w:right="1860"/>
        <w:spacing w:after="0"/>
        <w:rPr>
          <w:sz w:val="20"/>
          <w:szCs w:val="20"/>
          <w:color w:val="auto"/>
        </w:rPr>
      </w:pPr>
      <w:r>
        <w:rPr>
          <w:rFonts w:ascii="Arial" w:cs="Arial" w:eastAsia="Arial" w:hAnsi="Arial"/>
          <w:sz w:val="16"/>
          <w:szCs w:val="16"/>
          <w:color w:val="auto"/>
        </w:rPr>
        <w:t>Managing Director and Chief Accounting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Lead 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88" w:lineRule="exact"/>
        <w:rPr>
          <w:sz w:val="20"/>
          <w:szCs w:val="20"/>
          <w:color w:val="auto"/>
        </w:rPr>
      </w:pPr>
    </w:p>
    <w:p>
      <w:pPr>
        <w:sectPr>
          <w:pgSz w:w="11900" w:h="16838" w:orient="portrait"/>
          <w:cols w:equalWidth="0" w:num="2">
            <w:col w:w="4980" w:space="720"/>
            <w:col w:w="5420"/>
          </w:cols>
          <w:pgMar w:left="320" w:top="12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8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PHYLLIS M. LOCKETT</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6"/>
              </w:rPr>
              <w:t>Phyllis M. Lockett</w:t>
            </w:r>
          </w:p>
        </w:tc>
        <w:tc>
          <w:tcPr>
            <w:tcW w:w="820" w:type="dxa"/>
            <w:vAlign w:val="bottom"/>
          </w:tcPr>
          <w:p>
            <w:pPr>
              <w:spacing w:after="0"/>
              <w:rPr>
                <w:sz w:val="15"/>
                <w:szCs w:val="15"/>
                <w:color w:val="auto"/>
              </w:rPr>
            </w:pPr>
          </w:p>
        </w:tc>
      </w:tr>
      <w:tr>
        <w:trPr>
          <w:trHeight w:val="367"/>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DEBORAH J. LUCAS</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Deborah J. Lucas</w:t>
            </w:r>
          </w:p>
        </w:tc>
        <w:tc>
          <w:tcPr>
            <w:tcW w:w="820" w:type="dxa"/>
            <w:vAlign w:val="bottom"/>
          </w:tcPr>
          <w:p>
            <w:pPr>
              <w:spacing w:after="0"/>
              <w:rPr>
                <w:sz w:val="15"/>
                <w:szCs w:val="15"/>
                <w:color w:val="auto"/>
              </w:rPr>
            </w:pPr>
          </w:p>
        </w:tc>
      </w:tr>
      <w:tr>
        <w:trPr>
          <w:trHeight w:val="300"/>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/S/ PATRICK W. MALONEY</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5"/>
              </w:rPr>
              <w:t>Patrick W. Maloney</w:t>
            </w:r>
          </w:p>
        </w:tc>
        <w:tc>
          <w:tcPr>
            <w:tcW w:w="820" w:type="dxa"/>
            <w:vAlign w:val="bottom"/>
          </w:tcPr>
          <w:p>
            <w:pPr>
              <w:spacing w:after="0"/>
              <w:rPr>
                <w:sz w:val="15"/>
                <w:szCs w:val="15"/>
                <w:color w:val="auto"/>
              </w:rPr>
            </w:pPr>
          </w:p>
        </w:tc>
      </w:tr>
      <w:tr>
        <w:trPr>
          <w:trHeight w:val="340"/>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PATRICK J. MULCHRONE</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Patrick J. Mulchrone</w:t>
            </w:r>
          </w:p>
        </w:tc>
        <w:tc>
          <w:tcPr>
            <w:tcW w:w="820" w:type="dxa"/>
            <w:vAlign w:val="bottom"/>
          </w:tcPr>
          <w:p>
            <w:pPr>
              <w:spacing w:after="0"/>
              <w:rPr>
                <w:sz w:val="15"/>
                <w:szCs w:val="15"/>
                <w:color w:val="auto"/>
              </w:rPr>
            </w:pPr>
          </w:p>
        </w:tc>
      </w:tr>
      <w:tr>
        <w:trPr>
          <w:trHeight w:val="246"/>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TERRY L. SAVAGE</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3"/>
              </w:rPr>
              <w:t>Terry L. Savage</w:t>
            </w:r>
          </w:p>
        </w:tc>
        <w:tc>
          <w:tcPr>
            <w:tcW w:w="820" w:type="dxa"/>
            <w:vAlign w:val="bottom"/>
          </w:tcPr>
          <w:p>
            <w:pPr>
              <w:spacing w:after="0"/>
              <w:rPr>
                <w:sz w:val="15"/>
                <w:szCs w:val="15"/>
                <w:color w:val="auto"/>
              </w:rPr>
            </w:pPr>
          </w:p>
        </w:tc>
      </w:tr>
      <w:tr>
        <w:trPr>
          <w:trHeight w:val="313"/>
        </w:trPr>
        <w:tc>
          <w:tcPr>
            <w:tcW w:w="1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804"/>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RAHAEL SEIFU</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2"/>
              </w:rPr>
              <w:t>Rahael Seifu</w:t>
            </w:r>
          </w:p>
        </w:tc>
        <w:tc>
          <w:tcPr>
            <w:tcW w:w="820" w:type="dxa"/>
            <w:vAlign w:val="bottom"/>
          </w:tcPr>
          <w:p>
            <w:pPr>
              <w:spacing w:after="0"/>
              <w:rPr>
                <w:sz w:val="15"/>
                <w:szCs w:val="15"/>
                <w:color w:val="auto"/>
              </w:rPr>
            </w:pPr>
          </w:p>
        </w:tc>
      </w:tr>
      <w:tr>
        <w:trPr>
          <w:trHeight w:val="367"/>
        </w:trPr>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Arial" w:cs="Arial" w:eastAsia="Arial" w:hAnsi="Arial"/>
                <w:sz w:val="18"/>
                <w:szCs w:val="18"/>
                <w:color w:val="auto"/>
                <w:w w:val="98"/>
              </w:rPr>
              <w:t>WILLIAM R. SHEPARD</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6"/>
              </w:rPr>
              <w:t>William R. Shepard</w:t>
            </w:r>
          </w:p>
        </w:tc>
        <w:tc>
          <w:tcPr>
            <w:tcW w:w="820" w:type="dxa"/>
            <w:vAlign w:val="bottom"/>
          </w:tcPr>
          <w:p>
            <w:pPr>
              <w:spacing w:after="0"/>
              <w:rPr>
                <w:sz w:val="15"/>
                <w:szCs w:val="15"/>
                <w:color w:val="auto"/>
              </w:rPr>
            </w:pPr>
          </w:p>
        </w:tc>
      </w:tr>
      <w:tr>
        <w:trPr>
          <w:trHeight w:val="313"/>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HOWARD J. SIEGEL</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Howard J. Siegel</w:t>
            </w:r>
          </w:p>
        </w:tc>
        <w:tc>
          <w:tcPr>
            <w:tcW w:w="820" w:type="dxa"/>
            <w:vAlign w:val="bottom"/>
          </w:tcPr>
          <w:p>
            <w:pPr>
              <w:spacing w:after="0"/>
              <w:rPr>
                <w:sz w:val="15"/>
                <w:szCs w:val="15"/>
                <w:color w:val="auto"/>
              </w:rPr>
            </w:pPr>
          </w:p>
        </w:tc>
      </w:tr>
      <w:tr>
        <w:trPr>
          <w:trHeight w:val="313"/>
        </w:trPr>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tcPr>
          <w:p>
            <w:pPr>
              <w:jc w:val="center"/>
              <w:ind w:right="1484"/>
              <w:spacing w:after="0"/>
              <w:rPr>
                <w:sz w:val="20"/>
                <w:szCs w:val="20"/>
                <w:color w:val="auto"/>
              </w:rPr>
            </w:pPr>
            <w:r>
              <w:rPr>
                <w:rFonts w:ascii="Arial" w:cs="Arial" w:eastAsia="Arial" w:hAnsi="Arial"/>
                <w:sz w:val="18"/>
                <w:szCs w:val="18"/>
                <w:color w:val="auto"/>
                <w:w w:val="97"/>
              </w:rPr>
              <w:t>DENNIS A. SUSKIND</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92"/>
              </w:rPr>
              <w:t>Dennis A. Suskind</w:t>
            </w:r>
          </w:p>
        </w:tc>
        <w:tc>
          <w:tcPr>
            <w:tcW w:w="820" w:type="dxa"/>
            <w:vAlign w:val="bottom"/>
          </w:tcPr>
          <w:p>
            <w:pPr>
              <w:spacing w:after="0"/>
              <w:rPr>
                <w:sz w:val="15"/>
                <w:szCs w:val="15"/>
                <w:color w:val="auto"/>
              </w:rPr>
            </w:pPr>
          </w:p>
        </w:tc>
      </w:tr>
      <w:tr>
        <w:trPr>
          <w:trHeight w:val="313"/>
        </w:trPr>
        <w:tc>
          <w:tcPr>
            <w:tcW w:w="5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ROBERT J. TIERNEY JR.</w:t>
            </w:r>
          </w:p>
        </w:tc>
        <w:tc>
          <w:tcPr>
            <w:tcW w:w="820" w:type="dxa"/>
            <w:vAlign w:val="bottom"/>
          </w:tcPr>
          <w:p>
            <w:pPr>
              <w:ind w:left="220"/>
              <w:spacing w:after="0"/>
              <w:rPr>
                <w:sz w:val="20"/>
                <w:szCs w:val="20"/>
                <w:color w:val="auto"/>
              </w:rPr>
            </w:pPr>
            <w:r>
              <w:rPr>
                <w:rFonts w:ascii="Arial" w:cs="Arial" w:eastAsia="Arial" w:hAnsi="Arial"/>
                <w:sz w:val="18"/>
                <w:szCs w:val="18"/>
                <w:color w:val="auto"/>
                <w:w w:val="91"/>
              </w:rPr>
              <w:t>Director</w:t>
            </w:r>
          </w:p>
        </w:tc>
      </w:tr>
      <w:tr>
        <w:trPr>
          <w:trHeight w:val="180"/>
        </w:trPr>
        <w:tc>
          <w:tcPr>
            <w:tcW w:w="1940" w:type="dxa"/>
            <w:vAlign w:val="bottom"/>
          </w:tcPr>
          <w:p>
            <w:pPr>
              <w:spacing w:after="0"/>
              <w:rPr>
                <w:sz w:val="15"/>
                <w:szCs w:val="15"/>
                <w:color w:val="auto"/>
              </w:rPr>
            </w:pPr>
          </w:p>
        </w:tc>
        <w:tc>
          <w:tcPr>
            <w:tcW w:w="3540" w:type="dxa"/>
            <w:vAlign w:val="bottom"/>
          </w:tcPr>
          <w:p>
            <w:pPr>
              <w:jc w:val="center"/>
              <w:ind w:right="1864"/>
              <w:spacing w:after="0"/>
              <w:rPr>
                <w:sz w:val="20"/>
                <w:szCs w:val="20"/>
                <w:color w:val="auto"/>
              </w:rPr>
            </w:pPr>
            <w:r>
              <w:rPr>
                <w:rFonts w:ascii="Arial" w:cs="Arial" w:eastAsia="Arial" w:hAnsi="Arial"/>
                <w:sz w:val="14"/>
                <w:szCs w:val="14"/>
                <w:b w:val="1"/>
                <w:bCs w:val="1"/>
                <w:color w:val="auto"/>
                <w:w w:val="94"/>
              </w:rPr>
              <w:t>Robert J. Tierney Jr.</w:t>
            </w: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139"/>
          </w:cols>
          <w:pgMar w:left="320" w:top="121"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CME Group Subsidiaries</w:t>
            </w:r>
          </w:p>
        </w:tc>
      </w:tr>
      <w:tr>
        <w:trPr>
          <w:trHeight w:val="20"/>
        </w:trPr>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Trade of the City of Chicago,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BrokerTec Americas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BrokerTec Europe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BrokerTec Holdings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C-B-T Corporation</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Chicago Mercantile Exchange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Mercantile Exchange Korea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Republic of Korea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Amsterdam B.V.</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Consulting (Beijing) Co.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Finance Holdings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Global Marketplace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Asia Holdings Pte. Ltd.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Australia Pty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South Wales</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Benchmark Administrative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Hong Kong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Index Services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Japan Kabushiki Kaisha</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Marketing Canada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British Columbia</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Singapore Operations Pte.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Group Strategic Investments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India Holdings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w w:val="93"/>
              </w:rPr>
              <w:t>CME India Technology and Support Services Private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Investment Firm B.V.</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London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Operations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 Platforms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Shareholder Servicing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 Technology and Support Services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Ventures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CMEG Brazil 1 Participações Ltda.</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Brazil</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Brazil Investments 1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CMEG Brazil Investments 2 LLC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Finance Holdings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CMEG Foundation Services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México, S. de R.L. de C.V.</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CMEG NYMEX Holdings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CMESCC Inc.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Commodity Exchange, Inc.</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ConfirmHub, LLC</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EBO Investments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Malta</w:t>
            </w: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EBS (Shanghai) Information Technology Co., Ltd.*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EBS Dealing Resources International Limited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29"/>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EBS Dealing Resources Japan Limited</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200"/>
          </w:cols>
          <w:pgMar w:left="360" w:top="985"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EBS Dealing Resources, Inc.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EBS Financial Technologies Ltd.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Israel</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EBS Group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EBS No. 2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EBS Service Company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Switzerland</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Elysian Systems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Euclid Investment Holdings Inc.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F&amp;O Financial LLC</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Delaware</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F&amp;O Holdings LLC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Godsell Astley &amp; Pearce (Holdings) Ltd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Intercapital (Germany) GmbH</w:t>
            </w:r>
          </w:p>
        </w:tc>
        <w:tc>
          <w:tcPr>
            <w:tcW w:w="6920" w:type="dxa"/>
            <w:vAlign w:val="bottom"/>
          </w:tcPr>
          <w:p>
            <w:pPr>
              <w:ind w:left="1340"/>
              <w:spacing w:after="0"/>
              <w:rPr>
                <w:sz w:val="20"/>
                <w:szCs w:val="20"/>
                <w:color w:val="auto"/>
              </w:rPr>
            </w:pPr>
            <w:r>
              <w:rPr>
                <w:rFonts w:ascii="Arial" w:cs="Arial" w:eastAsia="Arial" w:hAnsi="Arial"/>
                <w:sz w:val="18"/>
                <w:szCs w:val="18"/>
                <w:color w:val="auto"/>
              </w:rPr>
              <w:t>Germany</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Intercapital Argentina S.A.</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Argentina</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Intercapital Capital Markets LLC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Intercapital Lat Am Services S.A.</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Argentina</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Intercapital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Intercapital Securities Inc</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New York</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New York Mercantile Exchange, Inc.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Group Holdings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NEX Group Investments Inc.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Group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NEX International Investments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International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NEX Markets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Optimisation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NEX SEF Limited</w:t>
            </w:r>
          </w:p>
        </w:tc>
        <w:tc>
          <w:tcPr>
            <w:tcW w:w="6920" w:type="dxa"/>
            <w:vAlign w:val="bottom"/>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Services Limited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United Kingdom</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NEX Services North America LLC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NEX Services Pte. Ltd</w:t>
            </w:r>
          </w:p>
        </w:tc>
        <w:tc>
          <w:tcPr>
            <w:tcW w:w="69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Singapore</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Pivot, Inc.</w:t>
            </w:r>
          </w:p>
        </w:tc>
        <w:tc>
          <w:tcPr>
            <w:tcW w:w="6920" w:type="dxa"/>
            <w:vAlign w:val="bottom"/>
          </w:tcPr>
          <w:p>
            <w:pPr>
              <w:ind w:left="1340"/>
              <w:spacing w:after="0"/>
              <w:rPr>
                <w:sz w:val="20"/>
                <w:szCs w:val="20"/>
                <w:color w:val="auto"/>
              </w:rPr>
            </w:pPr>
            <w:r>
              <w:rPr>
                <w:rFonts w:ascii="Arial" w:cs="Arial" w:eastAsia="Arial" w:hAnsi="Arial"/>
                <w:sz w:val="18"/>
                <w:szCs w:val="18"/>
                <w:color w:val="auto"/>
              </w:rPr>
              <w:t>Delaware</w:t>
            </w:r>
          </w:p>
        </w:tc>
      </w:tr>
      <w:tr>
        <w:trPr>
          <w:trHeight w:val="270"/>
        </w:trPr>
        <w:tc>
          <w:tcPr>
            <w:tcW w:w="4260" w:type="dxa"/>
            <w:vAlign w:val="bottom"/>
            <w:shd w:val="clear" w:color="auto" w:fill="CCEEFF"/>
          </w:tcPr>
          <w:p>
            <w:pPr>
              <w:spacing w:after="0"/>
              <w:rPr>
                <w:sz w:val="23"/>
                <w:szCs w:val="23"/>
                <w:color w:val="auto"/>
              </w:rPr>
            </w:pPr>
          </w:p>
        </w:tc>
        <w:tc>
          <w:tcPr>
            <w:tcW w:w="6920" w:type="dxa"/>
            <w:vAlign w:val="bottom"/>
            <w:shd w:val="clear" w:color="auto" w:fill="CCEEFF"/>
          </w:tcPr>
          <w:p>
            <w:pPr>
              <w:spacing w:after="0"/>
              <w:rPr>
                <w:sz w:val="23"/>
                <w:szCs w:val="23"/>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*In liquidation.</w:t>
            </w:r>
          </w:p>
        </w:tc>
        <w:tc>
          <w:tcPr>
            <w:tcW w:w="6920" w:type="dxa"/>
            <w:vAlign w:val="bottom"/>
          </w:tcPr>
          <w:p>
            <w:pPr>
              <w:spacing w:after="0"/>
              <w:rPr>
                <w:sz w:val="20"/>
                <w:szCs w:val="20"/>
                <w:color w:val="auto"/>
              </w:rPr>
            </w:pPr>
          </w:p>
        </w:tc>
      </w:tr>
    </w:tbl>
    <w:p>
      <w:pPr>
        <w:sectPr>
          <w:pgSz w:w="11900" w:h="16838" w:orient="portrait"/>
          <w:cols w:equalWidth="0" w:num="1">
            <w:col w:w="11180"/>
          </w:cols>
          <w:pgMar w:left="360" w:top="1030" w:right="359" w:bottom="1440" w:gutter="0" w:footer="0" w:header="0"/>
        </w:sectPr>
      </w:pPr>
    </w:p>
    <w:bookmarkStart w:id="94" w:name="page95"/>
    <w:bookmarkEnd w:id="94"/>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23.1</w:t>
      </w:r>
    </w:p>
    <w:p>
      <w:pPr>
        <w:spacing w:after="0" w:line="112" w:lineRule="exact"/>
        <w:rPr>
          <w:sz w:val="20"/>
          <w:szCs w:val="20"/>
          <w:color w:val="auto"/>
        </w:rPr>
      </w:pPr>
    </w:p>
    <w:p>
      <w:pPr>
        <w:ind w:right="2860" w:firstLine="2858"/>
        <w:spacing w:after="0" w:line="411"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firstLine="449"/>
        <w:spacing w:after="0" w:line="263" w:lineRule="auto"/>
        <w:tabs>
          <w:tab w:leader="none" w:pos="7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333-105236 as filed on May 14, 2003) pertaining to the CME Group Inc. Amended and Restated Omnibus Stock Plan,</w:t>
      </w:r>
    </w:p>
    <w:p>
      <w:pPr>
        <w:spacing w:after="0" w:line="66" w:lineRule="exact"/>
        <w:rPr>
          <w:rFonts w:ascii="Arial" w:cs="Arial" w:eastAsia="Arial" w:hAnsi="Arial"/>
          <w:sz w:val="22"/>
          <w:szCs w:val="22"/>
          <w:color w:val="auto"/>
        </w:rPr>
      </w:pPr>
    </w:p>
    <w:p>
      <w:pPr>
        <w:ind w:firstLine="449"/>
        <w:spacing w:after="0" w:line="263" w:lineRule="auto"/>
        <w:tabs>
          <w:tab w:leader="none" w:pos="7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333-159932 as filed on June 12, 2009)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jc w:val="both"/>
        <w:ind w:firstLine="449"/>
        <w:spacing w:after="0" w:line="259" w:lineRule="auto"/>
        <w:tabs>
          <w:tab w:leader="none" w:pos="761"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and Post-Effective Amendments No. 1 and No. 2 No. 333-104804 as filed on April 29, 2003, September 9, 2003 and April 12, 2004); Form S-8 No. 333-115656 as filed on May 20, 2004) pertaining to the Agreement between Chicago Mercantile Exchange Holdings Inc. and James J. McNulty,</w:t>
      </w:r>
    </w:p>
    <w:p>
      <w:pPr>
        <w:spacing w:after="0" w:line="72" w:lineRule="exact"/>
        <w:rPr>
          <w:rFonts w:ascii="Arial" w:cs="Arial" w:eastAsia="Arial" w:hAnsi="Arial"/>
          <w:sz w:val="22"/>
          <w:szCs w:val="22"/>
          <w:color w:val="auto"/>
        </w:rPr>
      </w:pPr>
    </w:p>
    <w:p>
      <w:pPr>
        <w:ind w:firstLine="449"/>
        <w:spacing w:after="0" w:line="263" w:lineRule="auto"/>
        <w:tabs>
          <w:tab w:leader="none" w:pos="794"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333-124497 as filed on April 29, 2005) pertaining to the Employee Stock Purchase Plan and the 2005 Director Stock Plan,</w:t>
      </w:r>
    </w:p>
    <w:p>
      <w:pPr>
        <w:spacing w:after="0" w:line="66" w:lineRule="exact"/>
        <w:rPr>
          <w:rFonts w:ascii="Arial" w:cs="Arial" w:eastAsia="Arial" w:hAnsi="Arial"/>
          <w:sz w:val="22"/>
          <w:szCs w:val="22"/>
          <w:color w:val="auto"/>
        </w:rPr>
      </w:pPr>
    </w:p>
    <w:p>
      <w:pPr>
        <w:ind w:right="20" w:firstLine="449"/>
        <w:spacing w:after="0" w:line="263" w:lineRule="auto"/>
        <w:tabs>
          <w:tab w:leader="none" w:pos="754"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333-144543 as filed on July 13, 2007) pertaining to CBOT Holdings, Inc.’s 2005 Long-Term Equity Incentive Plan,</w:t>
      </w:r>
    </w:p>
    <w:p>
      <w:pPr>
        <w:spacing w:after="0" w:line="80" w:lineRule="exact"/>
        <w:rPr>
          <w:rFonts w:ascii="Arial" w:cs="Arial" w:eastAsia="Arial" w:hAnsi="Arial"/>
          <w:sz w:val="22"/>
          <w:szCs w:val="22"/>
          <w:color w:val="auto"/>
        </w:rPr>
      </w:pPr>
    </w:p>
    <w:p>
      <w:pPr>
        <w:jc w:val="both"/>
        <w:ind w:firstLine="449"/>
        <w:spacing w:after="0" w:line="253" w:lineRule="auto"/>
        <w:tabs>
          <w:tab w:leader="none" w:pos="749"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333-153462 as filed on September 12, 2008) and Post-Effective Amendments No. 1 and No. 2 to Registration Statement on Form S-4 (Form S-8 No. 333-151577 as filed on July 18, 2012) pertaining to the NYMEX Holdings, Inc.’s 2006 Omnibus Long-Term Incentive Plan,</w:t>
      </w:r>
    </w:p>
    <w:p>
      <w:pPr>
        <w:spacing w:after="0" w:line="77" w:lineRule="exact"/>
        <w:rPr>
          <w:rFonts w:ascii="Arial" w:cs="Arial" w:eastAsia="Arial" w:hAnsi="Arial"/>
          <w:sz w:val="22"/>
          <w:szCs w:val="22"/>
          <w:color w:val="auto"/>
        </w:rPr>
      </w:pPr>
    </w:p>
    <w:p>
      <w:pPr>
        <w:ind w:firstLine="449"/>
        <w:spacing w:after="0" w:line="263" w:lineRule="auto"/>
        <w:tabs>
          <w:tab w:leader="none" w:pos="754"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S-8 No. 333-265499 as filed on June 9, 2022) pertaining to the Employee Stock Purchase Plan and CME Group Inc. Director Stock Plan as amended and restated effective May 4, 2022,</w:t>
      </w:r>
    </w:p>
    <w:p>
      <w:pPr>
        <w:spacing w:after="0" w:line="80" w:lineRule="exact"/>
        <w:rPr>
          <w:rFonts w:ascii="Arial" w:cs="Arial" w:eastAsia="Arial" w:hAnsi="Arial"/>
          <w:sz w:val="22"/>
          <w:szCs w:val="22"/>
          <w:color w:val="auto"/>
        </w:rPr>
      </w:pPr>
    </w:p>
    <w:p>
      <w:pPr>
        <w:ind w:right="20" w:firstLine="449"/>
        <w:spacing w:after="0" w:line="263" w:lineRule="auto"/>
        <w:tabs>
          <w:tab w:leader="none" w:pos="756"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333-163473 as filed on December 3, 2009)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firstLine="449"/>
        <w:spacing w:after="0" w:line="263" w:lineRule="auto"/>
        <w:tabs>
          <w:tab w:leader="none" w:pos="7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333-185311 as filed on December 6, 2012)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right="20" w:firstLine="449"/>
        <w:spacing w:after="0" w:line="276" w:lineRule="auto"/>
        <w:tabs>
          <w:tab w:leader="none" w:pos="8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333-208334 as filed on December 4, 2015) Shelf Registration Statement for the offering of debt securities, Class A Common Stock, Preferred Stock and Warrants.</w:t>
      </w:r>
    </w:p>
    <w:p>
      <w:pPr>
        <w:spacing w:after="0" w:line="52" w:lineRule="exact"/>
        <w:rPr>
          <w:rFonts w:ascii="Arial" w:cs="Arial" w:eastAsia="Arial" w:hAnsi="Arial"/>
          <w:sz w:val="22"/>
          <w:szCs w:val="22"/>
          <w:color w:val="auto"/>
        </w:rPr>
      </w:pPr>
    </w:p>
    <w:p>
      <w:pPr>
        <w:ind w:firstLine="449"/>
        <w:spacing w:after="0" w:line="263" w:lineRule="auto"/>
        <w:tabs>
          <w:tab w:leader="none" w:pos="847"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333-232982 as filed on August 2, 2019)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firstLine="449"/>
        <w:spacing w:after="0" w:line="263" w:lineRule="auto"/>
        <w:tabs>
          <w:tab w:leader="none" w:pos="858"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Registration Statement (Form S-3ASR No. 333-263130 as filed on March 1, 2022) Shelf Registration Statement for the offering of debt securities, Class A Common Stock, Preferred Stock and Warrants.</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of our reports dated February 27, 2023, with respect to the consolidated financial statements and schedule of CME Group Inc., and the effectiveness of internal control over financial reporting of CME Group Inc., included in this Annual Report (Form 10-K) of CME Group Inc. for the year ended December 31, 2022.</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February 27, 2023</w:t>
      </w:r>
    </w:p>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40" w:hanging="187"/>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53"/>
        <w:spacing w:after="0" w:line="263" w:lineRule="auto"/>
        <w:tabs>
          <w:tab w:leader="none" w:pos="6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400" w:firstLine="453"/>
        <w:spacing w:after="0" w:line="263" w:lineRule="auto"/>
        <w:tabs>
          <w:tab w:leader="none" w:pos="6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00" w:firstLine="453"/>
        <w:spacing w:after="0" w:line="342" w:lineRule="auto"/>
        <w:tabs>
          <w:tab w:leader="none" w:pos="6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20" w:firstLine="453"/>
        <w:spacing w:after="0" w:line="308" w:lineRule="auto"/>
        <w:tabs>
          <w:tab w:leader="none" w:pos="6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sz w:val="20"/>
          <w:szCs w:val="20"/>
          <w:color w:val="auto"/>
        </w:rPr>
      </w:pPr>
    </w:p>
    <w:p>
      <w:pPr>
        <w:ind w:right="300" w:firstLine="453"/>
        <w:spacing w:after="0" w:line="277" w:lineRule="auto"/>
        <w:tabs>
          <w:tab w:leader="none" w:pos="6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40" w:firstLine="453"/>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432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Name:</w:t>
        <w:tab/>
        <w:t>Terrence A. Duffy</w:t>
      </w:r>
    </w:p>
    <w:p>
      <w:pPr>
        <w:spacing w:after="0" w:line="23"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40" w:hanging="187"/>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53"/>
        <w:spacing w:after="0" w:line="263" w:lineRule="auto"/>
        <w:tabs>
          <w:tab w:leader="none" w:pos="6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400" w:firstLine="453"/>
        <w:spacing w:after="0" w:line="263" w:lineRule="auto"/>
        <w:tabs>
          <w:tab w:leader="none" w:pos="6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00" w:firstLine="453"/>
        <w:spacing w:after="0" w:line="342" w:lineRule="auto"/>
        <w:tabs>
          <w:tab w:leader="none" w:pos="63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20" w:firstLine="453"/>
        <w:spacing w:after="0" w:line="308" w:lineRule="auto"/>
        <w:tabs>
          <w:tab w:leader="none" w:pos="62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sz w:val="20"/>
          <w:szCs w:val="20"/>
          <w:color w:val="auto"/>
        </w:rPr>
      </w:pPr>
    </w:p>
    <w:p>
      <w:pPr>
        <w:ind w:right="300" w:firstLine="453"/>
        <w:spacing w:after="0" w:line="277"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40" w:firstLine="453"/>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432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23" w:lineRule="exact"/>
        <w:rPr>
          <w:sz w:val="20"/>
          <w:szCs w:val="20"/>
          <w:color w:val="auto"/>
        </w:rPr>
      </w:pPr>
    </w:p>
    <w:p>
      <w:pPr>
        <w:ind w:left="596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2022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160" w:hanging="261"/>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61"/>
        <w:spacing w:after="0"/>
        <w:tabs>
          <w:tab w:leader="none" w:pos="11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Terrence A. Duffy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5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Terrence A. Duffy</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105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86"/>
        </w:trPr>
        <w:tc>
          <w:tcPr>
            <w:tcW w:w="11200" w:type="dxa"/>
            <w:vAlign w:val="bottom"/>
            <w:gridSpan w:val="2"/>
          </w:tcPr>
          <w:p>
            <w:pPr>
              <w:ind w:left="20"/>
              <w:spacing w:after="0"/>
              <w:rPr>
                <w:sz w:val="20"/>
                <w:szCs w:val="20"/>
                <w:color w:val="auto"/>
              </w:rPr>
            </w:pPr>
            <w:r>
              <w:rPr>
                <w:rFonts w:ascii="Arial" w:cs="Arial" w:eastAsia="Arial" w:hAnsi="Arial"/>
                <w:sz w:val="18"/>
                <w:szCs w:val="18"/>
                <w:color w:val="auto"/>
              </w:rPr>
              <w:t>Date: February 27, 2023</w:t>
            </w:r>
          </w:p>
        </w:tc>
      </w:tr>
      <w:tr>
        <w:trPr>
          <w:trHeight w:val="486"/>
        </w:trPr>
        <w:tc>
          <w:tcPr>
            <w:tcW w:w="1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W. Pietrowicz</w:t>
            </w:r>
          </w:p>
        </w:tc>
      </w:tr>
      <w:tr>
        <w:trPr>
          <w:trHeight w:val="222"/>
        </w:trPr>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10560" w:type="dxa"/>
            <w:vAlign w:val="bottom"/>
          </w:tcPr>
          <w:p>
            <w:pPr>
              <w:ind w:left="120"/>
              <w:spacing w:after="0"/>
              <w:rPr>
                <w:sz w:val="20"/>
                <w:szCs w:val="20"/>
                <w:color w:val="auto"/>
              </w:rPr>
            </w:pPr>
            <w:r>
              <w:rPr>
                <w:rFonts w:ascii="Arial" w:cs="Arial" w:eastAsia="Arial" w:hAnsi="Arial"/>
                <w:sz w:val="18"/>
                <w:szCs w:val="18"/>
                <w:color w:val="auto"/>
              </w:rPr>
              <w:t>John W. Pietrowicz</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105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2023</w:t>
      </w:r>
    </w:p>
    <w:p>
      <w:pPr>
        <w:spacing w:after="0" w:line="117" w:lineRule="exact"/>
        <w:rPr>
          <w:sz w:val="20"/>
          <w:szCs w:val="20"/>
          <w:color w:val="auto"/>
        </w:rPr>
      </w:pPr>
    </w:p>
    <w:p>
      <w:pPr>
        <w:ind w:right="320" w:firstLine="445"/>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2"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3"/>
    </w:lvl>
  </w:abstractNum>
  <w:abstractNum w:abstractNumId="45">
    <w:nsid w:val="374A3FE6"/>
    <w:multiLevelType w:val="hybridMultilevel"/>
    <w:lvl w:ilvl="0">
      <w:lvlJc w:val="left"/>
      <w:lvlText w:val="%1."/>
      <w:numFmt w:val="decimal"/>
      <w:start w:val="3"/>
    </w:lvl>
  </w:abstractNum>
  <w:abstractNum w:abstractNumId="46">
    <w:nsid w:val="4F4EF005"/>
    <w:multiLevelType w:val="hybridMultilevel"/>
    <w:lvl w:ilvl="0">
      <w:lvlJc w:val="left"/>
      <w:lvlText w:val="%1."/>
      <w:numFmt w:val="decimal"/>
      <w:start w:val="4"/>
    </w:lvl>
  </w:abstractNum>
  <w:abstractNum w:abstractNumId="47">
    <w:nsid w:val="23F9C13C"/>
    <w:multiLevelType w:val="hybridMultilevel"/>
    <w:lvl w:ilvl="0">
      <w:lvlJc w:val="left"/>
      <w:lvlText w:val="%1."/>
      <w:numFmt w:val="decimal"/>
      <w:start w:val="10"/>
    </w:lvl>
  </w:abstractNum>
  <w:abstractNum w:abstractNumId="48">
    <w:nsid w:val="649BB77C"/>
    <w:multiLevelType w:val="hybridMultilevel"/>
    <w:lvl w:ilvl="0">
      <w:lvlJc w:val="left"/>
      <w:lvlText w:val="%1"/>
      <w:numFmt w:val="decimal"/>
      <w:start w:val="101"/>
    </w:lvl>
  </w:abstractNum>
  <w:abstractNum w:abstractNumId="49">
    <w:nsid w:val="275AC794"/>
    <w:multiLevelType w:val="hybridMultilevel"/>
    <w:lvl w:ilvl="0">
      <w:lvlJc w:val="left"/>
      <w:lvlText w:val="%1"/>
      <w:numFmt w:val="decimal"/>
      <w:start w:val="104"/>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5"/>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24" Type="http://schemas.openxmlformats.org/officeDocument/2006/relationships/hyperlink" Target="http://www.sec.gov/Archives/edgar/data/1156375/000119312521319504/d204323dex32.htm" TargetMode="External"/><Relationship Id="rId125" Type="http://schemas.openxmlformats.org/officeDocument/2006/relationships/hyperlink" Target="http://www.sec.gov/Archives/edgar/data/1156375/000119312522301477/d412380dex31.htm" TargetMode="External"/><Relationship Id="rId126" Type="http://schemas.openxmlformats.org/officeDocument/2006/relationships/hyperlink" Target="http://www.sec.gov/Archives/edgar/data/1156375/000119312521319504/d204323dex31.htm" TargetMode="External"/><Relationship Id="rId127" Type="http://schemas.openxmlformats.org/officeDocument/2006/relationships/hyperlink" Target="http://www.sec.gov/Archives/edgar/data/1156375/000115637515000014/cme-2014123110kex41.htm" TargetMode="External"/><Relationship Id="rId128" Type="http://schemas.openxmlformats.org/officeDocument/2006/relationships/hyperlink" Target="http://www.sec.gov/Archives/edgar/data/1156375/000115637515000014/cme-2014123110kex43.htm" TargetMode="External"/><Relationship Id="rId129" Type="http://schemas.openxmlformats.org/officeDocument/2006/relationships/hyperlink" Target="http://www.sec.gov/Archives/edgar/data/1156375/000115637515000014/cme-2014123110kex44.htm" TargetMode="External"/><Relationship Id="rId130" Type="http://schemas.openxmlformats.org/officeDocument/2006/relationships/hyperlink" Target="http://www.sec.gov/Archives/edgar/data/1156375/000119312508176550/dex41.htm" TargetMode="External"/><Relationship Id="rId131" Type="http://schemas.openxmlformats.org/officeDocument/2006/relationships/hyperlink" Target="http://www.sec.gov/Archives/edgar/data/1156375/000119312513360978/d594525dex42.htm" TargetMode="External"/><Relationship Id="rId132" Type="http://schemas.openxmlformats.org/officeDocument/2006/relationships/hyperlink" Target="http://www.sec.gov/Archives/edgar/data/1156375/000119312515082491/d887316dex42.htm" TargetMode="External"/><Relationship Id="rId133" Type="http://schemas.openxmlformats.org/officeDocument/2006/relationships/hyperlink" Target="http://www.sec.gov/Archives/edgar/data/1156375/000119312518199544/d771010dex42.htm" TargetMode="External"/><Relationship Id="rId134" Type="http://schemas.openxmlformats.org/officeDocument/2006/relationships/hyperlink" Target="http://www.sec.gov/Archives/edgar/data/1156375/000119312518199544/d771010dex43.htm" TargetMode="External"/><Relationship Id="rId135" Type="http://schemas.openxmlformats.org/officeDocument/2006/relationships/hyperlink" Target="http://www.sec.gov/Archives/edgar/data/1156375/000119312522069252/d301292dex42.htm" TargetMode="External"/><Relationship Id="rId136" Type="http://schemas.openxmlformats.org/officeDocument/2006/relationships/hyperlink" Target="http://www.sec.gov/Archives/edgar/data/1156375/000115637522000076/cme-2021123110kex411.htm" TargetMode="External"/><Relationship Id="rId137" Type="http://schemas.openxmlformats.org/officeDocument/2006/relationships/hyperlink" Target="http://www.sec.gov/Archives/edgar/data/1156375/000115637522000215/a2022amendedandrestatedomn.htm" TargetMode="External"/><Relationship Id="rId138" Type="http://schemas.openxmlformats.org/officeDocument/2006/relationships/hyperlink" Target="http://www.sec.gov/Archives/edgar/data/1156375/000119312522171053/d280362dex991.htm" TargetMode="External"/><Relationship Id="rId139" Type="http://schemas.openxmlformats.org/officeDocument/2006/relationships/hyperlink" Target="http://www.sec.gov/Archives/edgar/data/1156375/000115637518000026/cme-2017123110kex105.htm" TargetMode="External"/><Relationship Id="rId140" Type="http://schemas.openxmlformats.org/officeDocument/2006/relationships/hyperlink" Target="http://www.sec.gov/Archives/edgar/data/1156375/000119312522171053/d280362dex992.htm" TargetMode="External"/><Relationship Id="rId143" Type="http://schemas.openxmlformats.org/officeDocument/2006/relationships/hyperlink" Target="http://www.sec.gov/Archives/edgar/data/1156375/000115637517000080/cme-201763010qex101.htm" TargetMode="External"/><Relationship Id="rId144" Type="http://schemas.openxmlformats.org/officeDocument/2006/relationships/hyperlink" Target="http://www.sec.gov/Archives/edgar/data/1156375/000119312509042361/dex109.htm" TargetMode="External"/><Relationship Id="rId145" Type="http://schemas.openxmlformats.org/officeDocument/2006/relationships/hyperlink" Target="http://www.sec.gov/Archives/edgar/data/1156375/000119312508040449/dex109.htm" TargetMode="External"/><Relationship Id="rId146" Type="http://schemas.openxmlformats.org/officeDocument/2006/relationships/hyperlink" Target="http://www.sec.gov/Archives/edgar/data/1103945/000095013100001428/0000950131-00-001428.txt" TargetMode="External"/><Relationship Id="rId147" Type="http://schemas.openxmlformats.org/officeDocument/2006/relationships/hyperlink" Target="http://www.sec.gov/Archives/edgar/data/1105018/000095012301002844/y46628ex10-11.txt" TargetMode="External"/><Relationship Id="rId148" Type="http://schemas.openxmlformats.org/officeDocument/2006/relationships/hyperlink" Target="http://www.sec.gov/Archives/edgar/data/1156375/000115637515000108/cme-201593010qex101.htm" TargetMode="External"/><Relationship Id="rId149" Type="http://schemas.openxmlformats.org/officeDocument/2006/relationships/hyperlink" Target="http://www.sec.gov/Archives/edgar/data/1156375/000119312517186768/d594804dex101.htm" TargetMode="External"/><Relationship Id="rId150" Type="http://schemas.openxmlformats.org/officeDocument/2006/relationships/hyperlink" Target="http://www.sec.gov/Archives/edgar/data/1156375/000115637514000012/cme-2013123110kex1017.htm" TargetMode="External"/><Relationship Id="rId151" Type="http://schemas.openxmlformats.org/officeDocument/2006/relationships/hyperlink" Target="http://www.sec.gov/Archives/edgar/data/1156375/000115637515000014/cme-2014123110kex1016.htm" TargetMode="External"/><Relationship Id="rId152" Type="http://schemas.openxmlformats.org/officeDocument/2006/relationships/hyperlink" Target="http://www.sec.gov/Archives/edgar/data/1156375/000115637514000012/cme-2013123110kex1018.htm" TargetMode="External"/><Relationship Id="rId153" Type="http://schemas.openxmlformats.org/officeDocument/2006/relationships/hyperlink" Target="http://www.sec.gov/Archives/edgar/data/1156375/000115637515000014/cme-2014123110kex1017.htm" TargetMode="External"/><Relationship Id="rId154" Type="http://schemas.openxmlformats.org/officeDocument/2006/relationships/hyperlink" Target="http://www.sec.gov/Archives/edgar/data/1156375/000119312521139919/d185277dex101.htm" TargetMode="External"/><Relationship Id="rId155" Type="http://schemas.openxmlformats.org/officeDocument/2006/relationships/hyperlink" Target="http://www.sec.gov/Archives/edgar/data/1156375/000119312522127526/d329281dex101.htm" TargetMode="External"/><Relationship Id="rId156" Type="http://schemas.openxmlformats.org/officeDocument/2006/relationships/hyperlink" Target="http://www.sec.gov/Archives/edgar/data/1156375/000115637521000167/equitygrantletterrestricte.htm" TargetMode="External"/><Relationship Id="rId159" Type="http://schemas.openxmlformats.org/officeDocument/2006/relationships/hyperlink" Target="http://www.sec.gov/Archives/edgar/data/1156375/000115637521000167/equitygrantletterperforman.htm" TargetMode="External"/><Relationship Id="rId160" Type="http://schemas.openxmlformats.org/officeDocument/2006/relationships/hyperlink" Target="http://www.sec.gov/Archives/edgar/data/1156375/000119312521330866/d260121dex101.htm" TargetMode="External"/><Relationship Id="rId161" Type="http://schemas.openxmlformats.org/officeDocument/2006/relationships/hyperlink" Target="http://www.sec.gov/Archives/edgar/data/1156375/000119312522027045/d307197dex101.htm" TargetMode="External"/><Relationship Id="rId162" Type="http://schemas.openxmlformats.org/officeDocument/2006/relationships/hyperlink" Target="http://www.sec.gov/Archives/edgar/data/1156375/000119312522105662/d344276dex101.htm" TargetMode="External"/><Relationship Id="rId163" Type="http://schemas.openxmlformats.org/officeDocument/2006/relationships/hyperlink" Target="http://www.sec.gov/Archives/edgar/data/1156375/000115637522000215/a20120629splicense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2023-02-27T19:40:00Z</dcterms:created>
  <dcterms:modified xsi:type="dcterms:W3CDTF">2023-02-27T19:40:00Z</dcterms:modified>
</cp:coreProperties>
</file>