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90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March 31, 2015</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28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April 15, 2015 was as follows: 337,554,839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 FINANCIAL INFORMATION</w:t>
              </w:r>
            </w:hyperlink>
          </w:p>
        </w:tc>
        <w:tc>
          <w:tcPr>
            <w:tcW w:w="806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19"/>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Financial Statements</w:t>
              </w:r>
            </w:hyperlink>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70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Balance Sheets at March 31, 2015 and December 31, 2014</w:t>
              </w:r>
            </w:hyperlink>
          </w:p>
        </w:tc>
        <w:tc>
          <w:tcPr>
            <w:tcW w:w="5200" w:type="dxa"/>
            <w:vAlign w:val="bottom"/>
            <w:gridSpan w:val="6"/>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54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Income for the Quarters Ended March 31, 2015 and 2014</w:t>
              </w:r>
            </w:hyperlink>
          </w:p>
        </w:tc>
        <w:tc>
          <w:tcPr>
            <w:tcW w:w="436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60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Comprehensive Income for the Quarters Ended March 31, 2015 and 2014</w:t>
              </w:r>
            </w:hyperlink>
          </w:p>
        </w:tc>
        <w:tc>
          <w:tcPr>
            <w:tcW w:w="330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Equity for the Quarters Ended March 31, 2015 and 2014</w:t>
              </w:r>
            </w:hyperlink>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Consolidated Statements of Cash Flows for the Quarters Ended March 31, 2015 and 2014</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800" w:type="dxa"/>
            <w:vAlign w:val="bottom"/>
            <w:tcBorders>
              <w:top w:val="single" w:sz="8" w:color="0000EE"/>
            </w:tcBorders>
            <w:gridSpan w:val="16"/>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Notes to Unaudited Consolidated Financial Statements</w:t>
              </w:r>
            </w:hyperlink>
          </w:p>
        </w:tc>
        <w:tc>
          <w:tcPr>
            <w:tcW w:w="4100" w:type="dxa"/>
            <w:vAlign w:val="bottom"/>
            <w:gridSpan w:val="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900" w:type="dxa"/>
            <w:vAlign w:val="bottom"/>
            <w:gridSpan w:val="19"/>
          </w:tcPr>
          <w:p>
            <w:pPr>
              <w:spacing w:after="0"/>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Management’s Discussion and Analysis of Financial Condition and Results of Operations</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7">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5"/>
          </w:tcPr>
          <w:p>
            <w:pPr>
              <w:spacing w:after="0"/>
              <w:rPr>
                <w:sz w:val="24"/>
                <w:szCs w:val="24"/>
                <w:color w:val="auto"/>
              </w:rPr>
            </w:pPr>
          </w:p>
        </w:tc>
        <w:tc>
          <w:tcPr>
            <w:tcW w:w="3760" w:type="dxa"/>
            <w:vAlign w:val="bottom"/>
            <w:gridSpan w:val="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7">
              <w:r>
                <w:rPr>
                  <w:rFonts w:ascii="Arial" w:cs="Arial" w:eastAsia="Arial" w:hAnsi="Arial"/>
                  <w:sz w:val="16"/>
                  <w:szCs w:val="16"/>
                  <w:b w:val="1"/>
                  <w:bCs w:val="1"/>
                  <w:color w:val="0000EE"/>
                  <w:w w:val="88"/>
                </w:rPr>
                <w:t>Controls and Procedures</w:t>
              </w:r>
            </w:hyperlink>
          </w:p>
        </w:tc>
        <w:tc>
          <w:tcPr>
            <w:tcW w:w="81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58"/>
        </w:trPr>
        <w:tc>
          <w:tcPr>
            <w:tcW w:w="10820" w:type="dxa"/>
            <w:vAlign w:val="bottom"/>
            <w:gridSpan w:val="20"/>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PART II. OTHER INFORMATION</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7">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7">
              <w:r>
                <w:rPr>
                  <w:rFonts w:ascii="Arial" w:cs="Arial" w:eastAsia="Arial" w:hAnsi="Arial"/>
                  <w:sz w:val="16"/>
                  <w:szCs w:val="16"/>
                  <w:b w:val="1"/>
                  <w:bCs w:val="1"/>
                  <w:color w:val="0000EE"/>
                  <w:w w:val="89"/>
                </w:rPr>
                <w:t>Risk Factors</w:t>
              </w:r>
            </w:hyperlink>
          </w:p>
        </w:tc>
        <w:tc>
          <w:tcPr>
            <w:tcW w:w="9020" w:type="dxa"/>
            <w:vAlign w:val="bottom"/>
            <w:gridSpan w:val="1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19"/>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Mine Safety Disclosures</w:t>
              </w:r>
            </w:hyperlink>
          </w:p>
        </w:tc>
        <w:tc>
          <w:tcPr>
            <w:tcW w:w="580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Exhibits</w:t>
              </w:r>
            </w:hyperlink>
          </w:p>
        </w:tc>
        <w:tc>
          <w:tcPr>
            <w:tcW w:w="826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340" w:type="dxa"/>
            <w:vAlign w:val="bottom"/>
            <w:gridSpan w:val="17"/>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29">
              <w:r>
                <w:rPr>
                  <w:rFonts w:ascii="Arial" w:cs="Arial" w:eastAsia="Arial" w:hAnsi="Arial"/>
                  <w:sz w:val="16"/>
                  <w:szCs w:val="16"/>
                  <w:b w:val="1"/>
                  <w:bCs w:val="1"/>
                  <w:color w:val="0000EE"/>
                  <w:w w:val="97"/>
                </w:rPr>
                <w:t>SIGNATURES</w:t>
              </w:r>
            </w:hyperlink>
          </w:p>
        </w:tc>
        <w:tc>
          <w:tcPr>
            <w:tcW w:w="9780" w:type="dxa"/>
            <w:vAlign w:val="bottom"/>
            <w:gridSpan w:val="18"/>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48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references to CME Group Inc. (CME Group or the company) products include references to products listed on one of its regulated exchanges or clearing houses: Chicago Mercantile Exchange Inc. (CME), Board of Trade of the City of Chicago, Inc. (CBOT), New York Mercantile Exchange, Inc. (NYMEX), Commodity Exchange, Inc. (COMEX), CME Clearing Europe Limited (CMECE) and CME Europe Limited (CME Europe). The products listed are subject to the rules and regulations of the particular entity and the applicable rulebook should be consulted. Unless otherwise indicated, references to NYMEX include its subsidiary, COMEX. The clearing houses include CME Clearing, which is our U.S. clearing house and a division of CME, and CMECE.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TRAKRS, credit default swaps, interest rate swaps and CMECE and CME Europe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non-U.S. regulations, including the impact of any changes in domestic and non-U.S. laws or government policy with respect to our industry, such as any changes to regulations and policies that require increased financial and operational resources from us or our customers;</w:t>
      </w:r>
    </w:p>
    <w:p>
      <w:pPr>
        <w:spacing w:after="0" w:line="7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117"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26, 2015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60" w:type="dxa"/>
            <w:vAlign w:val="bottom"/>
          </w:tcPr>
          <w:p>
            <w:pPr>
              <w:spacing w:after="0"/>
              <w:rPr>
                <w:sz w:val="24"/>
                <w:szCs w:val="24"/>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6"/>
              </w:rPr>
              <w:t>Current Assets: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1,366.1</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$0.9 and $1.2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$32.0 and $37.0 in restricted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196.5</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45,174.2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40,566.8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47,486.0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42,545.3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$764.3 and $741.0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2,637.4</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$70.1 and $72.4 in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1,805.6</w:t>
            </w: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77,128.4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72,241.5</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6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45,174.2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40,566.8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41,531.2</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8"/>
              </w:rPr>
              <w:t>Long-term debt</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2,107.9</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7,302.7</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376.2</w:t>
            </w:r>
          </w:p>
        </w:tc>
      </w:tr>
      <w:tr>
        <w:trPr>
          <w:trHeight w:val="27"/>
        </w:trPr>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56,032.9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51,318.0</w:t>
            </w:r>
          </w:p>
        </w:tc>
      </w:tr>
      <w:tr>
        <w:trPr>
          <w:trHeight w:val="223"/>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3"/>
              </w:rPr>
              <w:t>Preferred stock, $0.01 par value, 10,000 shares authorized at March 31, 2015 and December 31, 2014;</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60" w:type="dxa"/>
            <w:vAlign w:val="bottom"/>
          </w:tcPr>
          <w:p>
            <w:pPr>
              <w:ind w:left="380"/>
              <w:spacing w:after="0"/>
              <w:rPr>
                <w:sz w:val="20"/>
                <w:szCs w:val="20"/>
                <w:color w:val="auto"/>
              </w:rPr>
            </w:pPr>
            <w:r>
              <w:rPr>
                <w:rFonts w:ascii="Arial" w:cs="Arial" w:eastAsia="Arial" w:hAnsi="Arial"/>
                <w:sz w:val="18"/>
                <w:szCs w:val="18"/>
                <w:color w:val="auto"/>
                <w:w w:val="88"/>
              </w:rPr>
              <w:t>none issued</w:t>
            </w:r>
          </w:p>
        </w:tc>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at March 31, 2015 and December</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31, 2014; 335,928 and 335,452 shares issued and outstanding as of March 31, 2015 and December 31,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2014,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Class B common stock, $0.01 par value, 3 shares authorized, issued and outstanding as of March 31,</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2015 and December 31, 2014</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17,596.6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3,479.3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3,317.3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CME Group shareholders’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21,095.5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20,923.5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72,241.5</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Quarter Ended</w:t>
            </w:r>
          </w:p>
        </w:tc>
      </w:tr>
      <w:tr>
        <w:trPr>
          <w:trHeight w:val="276"/>
        </w:trPr>
        <w:tc>
          <w:tcPr>
            <w:tcW w:w="9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652.2</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777.4</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135.5</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24.2</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322.9</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454.5</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179.8</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9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0.80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333,905</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337,416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335,644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net actuarial (gains) losses included in compensation and benefits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Ineffectiveness on cash flow hedges included in (gain) loss on derivative investments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effective portion of net (gain) loss on cash flow hedges included in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attributable to CME Group</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$0.50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335,928</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17,642.0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21,095.5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333,852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17,508.2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stock of $0.47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Vesting of issued restricted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w w:val="97"/>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1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March 31,</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334,007</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17,524.4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3,603.9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21,304.6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21,310.1</w:t>
            </w: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266.6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(1,416.0)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1,053.7</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97"/>
        </w:trPr>
        <w:tc>
          <w:tcPr>
            <w:tcW w:w="8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66.8</w:t>
            </w: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2015 and December 31, 2014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2014, filed with the Securities and Exchange Commission (SEC) on February 26,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At March 31, 2015, performance bonds and guaranty fund contribution assets on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include cash and U.S. Treasury securities with maturity dates of 90 days or less. U.S. Treasury securities are purchased by CME, at its discretion, using cash collateral. The benefits, including interest earned, and risks of ownership accrue to CME. Interest earned is included in investment income on the consolidated statements of income. At March 31, 2015, the amortized cost and fair value of the U.S. Treasury securities were both $23.0 billion. The U.S. Treasury securities will mature in the second quarter of 2015. Performance bonds and guaranty fund contribution assets also include overnight reverse repurchase agreements that were purchased by CME, at its discretion, using cash collateral. The fair value of the overnight securities under the reverse repurchase agreements was $2.2 billion at March 31, 2015.</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Clearing and CMECE mark-to-market open positions for all products at least once a day (twice a day for futures</w:t>
      </w:r>
      <w:r>
        <w:rPr>
          <w:rFonts w:ascii="Arial" w:cs="Arial" w:eastAsia="Arial" w:hAnsi="Arial"/>
          <w:sz w:val="16"/>
          <w:szCs w:val="16"/>
          <w:i w:val="1"/>
          <w:iCs w:val="1"/>
          <w:color w:val="auto"/>
        </w:rPr>
        <w:t xml:space="preserve"> </w:t>
      </w:r>
      <w:r>
        <w:rPr>
          <w:rFonts w:ascii="Arial" w:cs="Arial" w:eastAsia="Arial" w:hAnsi="Arial"/>
          <w:sz w:val="16"/>
          <w:szCs w:val="16"/>
          <w:color w:val="auto"/>
        </w:rPr>
        <w:t>and options contracts). Based on values derived from the mark-to-market process, CME Clearing and CMECE require payment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over-the-counter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quarter of 2015, CME Clearing and CMECE transferred an average of approximately $4.5 billion a day through their clearing systems for settlement from clearing firms whose positions had lost value to clearing firms whose positions had gained value. CME Clearing and CMECE reduce the guarantee exposure through initial and maintenance performance bond requirements and mandatory guaranty fund contributions. The company believes that the guarantee liability is immaterial and therefore has not recorded any liability at March 31, 2015.</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2015 and December 31, 2014:</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2,156.0</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2,162.5</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$24.9 million and $25.2 million for the quarters ended March 31, 2015 and 2014, respectively.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the future estimated amortization expense related to amortizable intangible assets is expected to be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2015</w:t>
            </w:r>
          </w:p>
        </w:tc>
        <w:tc>
          <w:tcPr>
            <w:tcW w:w="5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2016</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96.1</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2018</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2020</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1,612.2</w:t>
            </w:r>
          </w:p>
        </w:tc>
      </w:tr>
      <w:tr>
        <w:trPr>
          <w:trHeight w:val="567"/>
        </w:trPr>
        <w:tc>
          <w:tcPr>
            <w:tcW w:w="3520" w:type="dxa"/>
            <w:vAlign w:val="bottom"/>
          </w:tcPr>
          <w:p>
            <w:pPr>
              <w:spacing w:after="0"/>
              <w:rPr>
                <w:sz w:val="24"/>
                <w:szCs w:val="24"/>
                <w:color w:val="auto"/>
              </w:rPr>
            </w:pPr>
          </w:p>
        </w:tc>
        <w:tc>
          <w:tcPr>
            <w:tcW w:w="5920" w:type="dxa"/>
            <w:vAlign w:val="bottom"/>
          </w:tcPr>
          <w:p>
            <w:pPr>
              <w:jc w:val="right"/>
              <w:ind w:right="3550"/>
              <w:spacing w:after="0"/>
              <w:rPr>
                <w:sz w:val="20"/>
                <w:szCs w:val="20"/>
                <w:color w:val="auto"/>
              </w:rPr>
            </w:pPr>
            <w:r>
              <w:rPr>
                <w:rFonts w:ascii="Arial" w:cs="Arial" w:eastAsia="Arial" w:hAnsi="Arial"/>
                <w:sz w:val="18"/>
                <w:szCs w:val="18"/>
                <w:color w:val="auto"/>
              </w:rPr>
              <w:t>12</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March 31, 2015 and December 31,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2014</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611.0</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748.2</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$750.0 million fixed rate notes due March 2025, stated rate of 3.00%</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$750.0 million fixed rates notes due September 2043, stated rate of 5.30% </w:t>
            </w:r>
            <w:r>
              <w:rPr>
                <w:rFonts w:ascii="Arial" w:cs="Arial" w:eastAsia="Arial" w:hAnsi="Arial"/>
                <w:sz w:val="25"/>
                <w:szCs w:val="25"/>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748.7</w:t>
            </w: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2,107.9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March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612.5</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2,250.0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19, 2015, the company entered into a $2.3 billion multi-currency senior revolving credit facility with various financial institutions, which expires in March 2020. The company has the option to increase the facility up to $3.0 billion. This credit facility replaces the existing $1.8 billion multi-currency senior revolving credit facility that was due to expire in January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 The Fifth Market legal matter involves an alleged infringement of intellectual property which, due to its nature, involves a potential liability that is uncertain, difficult to quantify and involves a wide range of potential outcomes. We expect the re-examination by the USPTO in the Fifth Market matter, including any appeals thereof, to result in a determination of the validity of the patent at issue which we expect will have an impact on the merits of the matter. Given the uncertainty of factors which may potentially impact the resolution of the matter, at this time the company is unable to estimate the reasonably possible loss or range of reasonably possible loss in the unlikely event it were found to be liable at trial in the matter.</w:t>
      </w:r>
    </w:p>
    <w:p>
      <w:pPr>
        <w:spacing w:after="0" w:line="1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February 2013, the CFTC filed suit against NYMEX and two former employees alleging disclosure of confidential customer information in violation of the Commodity Exchange Act. NYMEX’s motion to dismiss was denied in September 2014. Based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on its investigation to date and advice from legal counsel, the company believes that it has strong factual and legal defenses to the claim.</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March 31, 2015 and December 31, 2014, the company had accrued $3.5 million and $4.3 million, respectively, for legal and regulatory matters that were probable and estimable.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2015.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March 31, 2015, CME was contingently liable to SGX on letters of credit totaling $410.0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March 31, 2015.</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March 31, 2015.</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2015</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2014</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Level 1 assets generally include U.S. Treasury securities and investments in publicly traded mutual funds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and liabilities included in level 2 generally consist of asset-backed securities and interest rate swap contracts. Asset-backed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payout probabilities ranging from 75% to 100%. Significant changes in any of those inputs in isolation would result in a significantly different fair value.</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Financial assets and liabilities recorded in the consolidated balance sheet as of March 31, 2015 were classified in their entirety based on the lowest level of input that was significant to each asset or liability's fair value measurement.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March 31, 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59.1</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w:t>
            </w:r>
          </w:p>
        </w:tc>
      </w:tr>
      <w:tr>
        <w:trPr>
          <w:trHeight w:val="351"/>
        </w:trPr>
        <w:tc>
          <w:tcPr>
            <w:tcW w:w="5160" w:type="dxa"/>
            <w:vAlign w:val="bottom"/>
          </w:tcPr>
          <w:p>
            <w:pPr>
              <w:ind w:left="180"/>
              <w:spacing w:after="0"/>
              <w:rPr>
                <w:sz w:val="20"/>
                <w:szCs w:val="20"/>
                <w:color w:val="auto"/>
              </w:rPr>
            </w:pPr>
            <w:r>
              <w:rPr>
                <w:rFonts w:ascii="Arial" w:cs="Arial" w:eastAsia="Arial" w:hAnsi="Arial"/>
                <w:sz w:val="18"/>
                <w:szCs w:val="18"/>
                <w:color w:val="auto"/>
              </w:rPr>
              <w:t>Performance bonds and guaranty fund contributions: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23,004.5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23,004.5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404.4</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23,487.3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23,487.7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00" w:right="300" w:hanging="244"/>
        <w:spacing w:after="0" w:line="277"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March 31, 2015 include cash collateral that has been invested in U.S. Treasury securities.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quarter of 2015. The following is a reconciliation of level 3 liabilities valued at fair value on a recurring basis during the first quarter of 2015. There were no level 3 assets valued at fair value on a recurring basis during the first quarter of 2015.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2014</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March 31, 2015</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9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level 3 assets or level 3 liabilities valued at fair value on a nonrecurring basis during the first quarter of 2015.</w:t>
      </w:r>
    </w:p>
    <w:p>
      <w:pPr>
        <w:spacing w:after="0" w:line="25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following presents the estimated fair value of fixed rate notes, which are carried at amortized cost on the consolidated balance sheets. The fair values of the fixed rate notes due 2022, 2025 and 2043, which are classified as level 2 under the fair value hierarchy, were estimated using quoted market prices. The fair value of the fixed rate notes due 2018, which are classified as level 3 under the fair value hierarchy, was based on the price to redeem the notes in early April 2015. At March 31, 2015, the fair values of the fixed rate notes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2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779.4</w:t>
            </w:r>
          </w:p>
        </w:tc>
      </w:tr>
      <w:tr>
        <w:trPr>
          <w:trHeight w:val="27"/>
        </w:trPr>
        <w:tc>
          <w:tcPr>
            <w:tcW w:w="7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$750.0 million fixed rate notes due March 2025, stated rate of 3.00%</w:t>
            </w:r>
          </w:p>
        </w:tc>
        <w:tc>
          <w:tcPr>
            <w:tcW w:w="2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4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938.7</w:t>
            </w:r>
          </w:p>
        </w:tc>
      </w:tr>
      <w:tr>
        <w:trPr>
          <w:trHeight w:val="27"/>
        </w:trPr>
        <w:tc>
          <w:tcPr>
            <w:tcW w:w="7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3:</w:t>
            </w:r>
          </w:p>
        </w:tc>
        <w:tc>
          <w:tcPr>
            <w:tcW w:w="2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405"/>
        </w:trPr>
        <w:tc>
          <w:tcPr>
            <w:tcW w:w="7780" w:type="dxa"/>
            <w:vAlign w:val="bottom"/>
          </w:tcPr>
          <w:p>
            <w:pPr>
              <w:ind w:left="180"/>
              <w:spacing w:after="0"/>
              <w:rPr>
                <w:sz w:val="20"/>
                <w:szCs w:val="20"/>
                <w:color w:val="auto"/>
              </w:rPr>
            </w:pPr>
            <w:r>
              <w:rPr>
                <w:rFonts w:ascii="Arial" w:cs="Arial" w:eastAsia="Arial" w:hAnsi="Arial"/>
                <w:sz w:val="18"/>
                <w:szCs w:val="18"/>
                <w:color w:val="auto"/>
              </w:rPr>
              <w:t>$612.5 million fixed rate notes due March 2018, stated rate of 4.40%</w:t>
            </w:r>
          </w:p>
        </w:tc>
        <w:tc>
          <w:tcPr>
            <w:tcW w:w="248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674.7</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periods presented:</w:t>
      </w:r>
    </w:p>
    <w:p>
      <w:pPr>
        <w:spacing w:after="0" w:line="200" w:lineRule="exact"/>
        <w:rPr>
          <w:sz w:val="20"/>
          <w:szCs w:val="20"/>
          <w:color w:val="auto"/>
        </w:rPr>
      </w:pPr>
    </w:p>
    <w:p>
      <w:pPr>
        <w:spacing w:after="0" w:line="233"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81915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14"/>
        </w:trPr>
        <w:tc>
          <w:tcPr>
            <w:tcW w:w="9020" w:type="dxa"/>
            <w:vAlign w:val="bottom"/>
            <w:tcBorders>
              <w:bottom w:val="single" w:sz="8" w:color="auto"/>
            </w:tcBorders>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379"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13335</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333,905</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337,416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335,644</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4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April 2015, the company repurchased the $612.5 million fixed rate notes due 2018 and paid a call premium of $60.5 million. As a result of the transaction, the company recognized a net loss on early extinguishment of debt of $63.6 million in the second quarter of 2015, which includes the call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2014.</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 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2"/>
        </w:trPr>
        <w:tc>
          <w:tcPr>
            <w:tcW w:w="7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842.7</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777.4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322.9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16.5</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n.m.</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330.4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266.8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24</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attributable to CME Group</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93"/>
              <w:spacing w:after="0"/>
              <w:rPr>
                <w:sz w:val="20"/>
                <w:szCs w:val="20"/>
                <w:color w:val="auto"/>
              </w:rPr>
            </w:pPr>
            <w:r>
              <w:rPr>
                <w:rFonts w:ascii="Arial" w:cs="Arial" w:eastAsia="Arial" w:hAnsi="Arial"/>
                <w:sz w:val="18"/>
                <w:szCs w:val="18"/>
                <w:color w:val="auto"/>
              </w:rPr>
              <w:t>24</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383.0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567"/>
        </w:trPr>
        <w:tc>
          <w:tcPr>
            <w:tcW w:w="7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2"/>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708.2</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w:t>
            </w: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w:t>
            </w:r>
          </w:p>
        </w:tc>
      </w:tr>
      <w:tr>
        <w:trPr>
          <w:trHeight w:val="27"/>
        </w:trPr>
        <w:tc>
          <w:tcPr>
            <w:tcW w:w="7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842.7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777.4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following table summarizes our total contract volume, revenue and average rate per contract for futures and options. Total contract volume includes contracts that are traded on our exchange and cleared through CME Clearing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our TRAKRS, CMECE and CME Europe contracts as well as credit default swaps and interest rate swaps clearing. The credit default swaps and interest rate swaps are discussed in a later section. Other excluded contracts are not material to our financial results.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914.4</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833.2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688.6</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639.3</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8</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0.753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0.767</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7"/>
        </w:trPr>
        <w:tc>
          <w:tcPr>
            <w:tcW w:w="7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a change in total contract volume and a change in average rate per contract for futures and options during the first quarter of 2015 when compared with the same period in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 Ended</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change in total contract volume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due to change in average rate per contract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10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clearing and transaction fees</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10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8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96"/>
              </w:rPr>
              <w:t>Quarter Ended</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744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6,724</w:t>
            </w:r>
          </w:p>
        </w:tc>
        <w:tc>
          <w:tcPr>
            <w:tcW w:w="12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2,890</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817</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1,168</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Energy</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1,705</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26</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355</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3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14,990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13,659</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11,703</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1,179</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(1)</w:t>
            </w: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777</w:t>
            </w:r>
          </w:p>
        </w:tc>
        <w:tc>
          <w:tcPr>
            <w:tcW w:w="1240" w:type="dxa"/>
            <w:vAlign w:val="bottom"/>
            <w:tcBorders>
              <w:bottom w:val="single" w:sz="8" w:color="CCEEFF"/>
            </w:tcBorders>
          </w:tcPr>
          <w:p>
            <w:pPr>
              <w:jc w:val="right"/>
              <w:ind w:right="71"/>
              <w:spacing w:after="0"/>
              <w:rPr>
                <w:sz w:val="20"/>
                <w:szCs w:val="20"/>
                <w:color w:val="auto"/>
              </w:rPr>
            </w:pPr>
            <w:r>
              <w:rPr>
                <w:rFonts w:ascii="Arial" w:cs="Arial" w:eastAsia="Arial" w:hAnsi="Arial"/>
                <w:sz w:val="18"/>
                <w:szCs w:val="18"/>
                <w:color w:val="auto"/>
              </w:rPr>
              <w:t>(15)</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14,990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13,659</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240" w:type="dxa"/>
            <w:vAlign w:val="bottom"/>
          </w:tcPr>
          <w:p>
            <w:pPr>
              <w:spacing w:after="0"/>
              <w:rPr>
                <w:sz w:val="21"/>
                <w:szCs w:val="21"/>
                <w:color w:val="auto"/>
              </w:rPr>
            </w:pPr>
          </w:p>
        </w:tc>
      </w:tr>
    </w:tbl>
    <w:p>
      <w:pPr>
        <w:spacing w:after="0" w:line="121" w:lineRule="exact"/>
        <w:rPr>
          <w:sz w:val="20"/>
          <w:szCs w:val="20"/>
          <w:color w:val="auto"/>
        </w:rPr>
      </w:pPr>
    </w:p>
    <w:p>
      <w:pPr>
        <w:ind w:left="900" w:right="380" w:hanging="244"/>
        <w:spacing w:after="0" w:line="277" w:lineRule="auto"/>
        <w:tabs>
          <w:tab w:leader="none" w:pos="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average daily volume includes traditional block trades, off-exchange trades which were historically categorized as CME ClearPort (now executed as futures block trades) and Exchange for Related Positions (EFRPs).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believe the increase in total futures and options contract volume in the first quarter of 2015 when compared with the same period in 2014 was largely the result of a change in market expectations regarding short term interest rates. Improved domestic economic indicators led to a strengthening of the U.S. dollar in comparison to most major currencies. As a result of these factors, market participants are anticipating a potential change in the interest rate policy by the Federal Reserve in the near term. We believe market volatility resulting from a change in expectations regarding the short term interest rates contributed to an increase in contract volume for our short term interest rate products and foreign exchange products.</w:t>
      </w:r>
    </w:p>
    <w:p>
      <w:pPr>
        <w:spacing w:after="0" w:line="173"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The overall increase in total contract volume was also attributable to an increase in crude oil contract volume. The crude oil market has experienced a significant downward trend in oil prices in late 2014 through early 2015 due to a significant shift in global crude oil supplies. The downward trend and uncertainty regarding the direction of future crude oil prices has created significant price volatility within the market. We believe this price volatility has contributed to an increase in crude oil contract volume in the first quarter of 2015 when compared with the same period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2014</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1,917</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1,432</w:t>
            </w:r>
          </w:p>
        </w:tc>
        <w:tc>
          <w:tcPr>
            <w:tcW w:w="136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875</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1,007</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822</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10-Year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1,778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1,714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898</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422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381</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r>
      <w:tr>
        <w:trPr>
          <w:trHeight w:val="27"/>
        </w:trPr>
        <w:tc>
          <w:tcPr>
            <w:tcW w:w="76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believe overall interest rate volume increased in the first quarter of 2015 when compared with the same period in 2014 largely due to a change in expectations regarding the Federal Reserve's interest rate policy. As a result, contract volume increased for Eurodollar front 8 futures, Eurodollar options and 2-Year U.S. Treasury futures and options. Because market participants anticipate a potential change in interest rates in the near term, they shifted their focus to these shorter term products instead of longer term products, including the Back 32 Eurodollar futures and longer dated U.S. Treasury futures and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2014</w:t>
            </w: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6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2,172</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60" w:type="dxa"/>
            <w:vAlign w:val="bottom"/>
          </w:tcPr>
          <w:p>
            <w:pPr>
              <w:jc w:val="right"/>
              <w:ind w:right="541"/>
              <w:spacing w:after="0"/>
              <w:rPr>
                <w:sz w:val="20"/>
                <w:szCs w:val="20"/>
                <w:color w:val="auto"/>
              </w:rPr>
            </w:pPr>
            <w:r>
              <w:rPr>
                <w:rFonts w:ascii="Arial" w:cs="Arial" w:eastAsia="Arial" w:hAnsi="Arial"/>
                <w:sz w:val="18"/>
                <w:szCs w:val="18"/>
                <w:color w:val="auto"/>
              </w:rPr>
              <w:t>283</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315</w:t>
            </w: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In the first quarter of 2015 when compared with the same period in 2014, overall equity contract volume decreased slightly due to overall low market volatility, as measured by the CBOE Volatility Index and CBOE Nasdaq-100 Volatility Index, which we believe resulted from fewer market-moving geopolitical events in first quarter of 2015 when compared with the same period in 2014.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2014</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335</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171</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121</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108</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11</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80</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77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the overall increase in foreign exchange contract volume in the first quarter of 2015 when compared with the same period in 2014 was largely attributable to exchange rate volatility caused by a strengthening of the U.S. dollar and a change in expectations regarding a potential short term interest rate increase by the Federal Reserve. Euro contract volume also increased in the first quarter of 2015 when compared with the same period in 2014 due to volatility caused by quantitative easing programs initiated by central banks throughout Europe.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386</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38"/>
              <w:spacing w:after="0"/>
              <w:rPr>
                <w:sz w:val="20"/>
                <w:szCs w:val="20"/>
                <w:color w:val="auto"/>
              </w:rPr>
            </w:pPr>
            <w:r>
              <w:rPr>
                <w:rFonts w:ascii="Arial" w:cs="Arial" w:eastAsia="Arial" w:hAnsi="Arial"/>
                <w:sz w:val="18"/>
                <w:szCs w:val="18"/>
                <w:color w:val="auto"/>
              </w:rPr>
              <w:t>277</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254</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9</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170</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60" w:type="dxa"/>
            <w:vAlign w:val="bottom"/>
          </w:tcPr>
          <w:p>
            <w:pPr>
              <w:jc w:val="right"/>
              <w:ind w:right="538"/>
              <w:spacing w:after="0"/>
              <w:rPr>
                <w:sz w:val="20"/>
                <w:szCs w:val="20"/>
                <w:color w:val="auto"/>
              </w:rPr>
            </w:pPr>
            <w:r>
              <w:rPr>
                <w:rFonts w:ascii="Arial" w:cs="Arial" w:eastAsia="Arial" w:hAnsi="Arial"/>
                <w:sz w:val="18"/>
                <w:szCs w:val="18"/>
                <w:color w:val="auto"/>
              </w:rPr>
              <w:t>106</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2015 when compared with the same period in 2014, overall agricultural commodity contract volume remained relatively flat. We believe soybean contract volume increased slightly due to higher price volatility caused by tighter supply while other agricultural commodity product contract volume remained flat due to low price volatility.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1,133</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484</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606</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(20)</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346</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139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153</w:t>
            </w: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first quarter of 2015 when compared with the same period in 2014, overall energy contract volume increased due to higher crude oil contract volume, including significant growth in WTI and Brent crude oil contracts. A shift in crude oil supply that began in the fourth quarter of 2014 continued into 2015, resulted in an increase in price volatility in the first quarter of 2015 when compared with the same period in 2014. Refined products contract volume also increased as a result of higher volatility in the underlying crude oil market. Natural gas contract volume decreased in the first quarter of 2015 when compared with the same period in 2014 due to low price volatility.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222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69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14</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r>
      <w:tr>
        <w:trPr>
          <w:trHeight w:val="27"/>
        </w:trPr>
        <w:tc>
          <w:tcPr>
            <w:tcW w:w="76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Overall metal contract volume remained flat in the first quarter of 2015 when compared with the same period in 2014. We believe gold contract volume increased slightly due to a positive economic outlook in the United States and the strengthening of the U.S. dollar relative to other major currencies.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17"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The increase in clearing and transaction fees resulting from higher product volume was partially offset by a decrease due to a lower rate per contract in the first quarter of 2015 when compared with the same period in 2014. The average rate per contract decreased largely due to a change in venue mix for energy product volume. Electronic energy volume increased while open outcry energy volume decreased in the first quarter of 2015 when compared with the same period in 2014. In general, electronic contracts have a lower rate per contract compared with contracts traded through open outcry.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Cleared-only Swap Contracts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Clearing and transaction fees as presented on the consolidated statements of income include revenues for our cleared-only interest rate swap and credit default swap contracts. In the first quarter 2015 when compared with the same period in 2014, clearing and transaction fees generated from these contracts increased by $6.8 million. The growth in revenue was largely attributable to increased sales efforts centered around customer education.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of our clearing and transaction fees in the first quarter of 2015.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increase in market data and information services revenue in the first quarter of 2015 when compared with the same period in 2014 was attributable to the reduction of fee waivers for existing customers beginning in 2015. The increase was partially offset by a decline in market data subscriber counts attributable to screen count usage adjustments by customer firms as a result of the new market data pricing policies.</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two largest resellers of our market data represented approximately 46% of our market data and information services revenue in the first quarter of 2015.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2014</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r>
      <w:tr>
        <w:trPr>
          <w:trHeight w:val="257"/>
        </w:trPr>
        <w:tc>
          <w:tcPr>
            <w:tcW w:w="76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322.9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Operating expenses increased by $12.5 million in the first quarter of 2015 when compared with the same period in 2014. The following table shows the estimated impacts of key factors resulting in a change in operating expenses:</w:t>
      </w:r>
    </w:p>
    <w:p>
      <w:pPr>
        <w:spacing w:after="0" w:line="21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13335</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Litigation accrual</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in the first quarter of 2015 when compared with the same period in 2014 due to increases as follows:</w:t>
      </w:r>
    </w:p>
    <w:p>
      <w:pPr>
        <w:spacing w:after="0" w:line="225" w:lineRule="exact"/>
        <w:rPr>
          <w:sz w:val="20"/>
          <w:szCs w:val="20"/>
          <w:color w:val="auto"/>
        </w:rPr>
      </w:pPr>
    </w:p>
    <w:p>
      <w:pPr>
        <w:ind w:left="660" w:right="50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first quarter of 2015, we recognized a net loss within other expenses of $10.0 million due to an unfavorable change in exchange rates on foreign cash balances, compared with a net gain of $3.1 million in the first quarter of 2014. Gains and losses from exchange rate fluctuations primarily result when subsidiaries with a U.S. dollar functional currency hold cash as well as certain other monetary assets and liabilities denominated in foreign currencies. We expect to continue to incur gains and losses from exchange rate fluctuations.</w:t>
      </w:r>
    </w:p>
    <w:p>
      <w:pPr>
        <w:spacing w:after="0" w:line="154" w:lineRule="exact"/>
        <w:rPr>
          <w:rFonts w:ascii="Arial" w:cs="Arial" w:eastAsia="Arial" w:hAnsi="Arial"/>
          <w:sz w:val="16"/>
          <w:szCs w:val="16"/>
          <w:color w:val="auto"/>
        </w:rPr>
      </w:pPr>
    </w:p>
    <w:p>
      <w:pPr>
        <w:ind w:left="660" w:right="5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net reduction in a litigation accrual due to a favorable court ruling and a denial for a rehearing in the first quarter of 2014 contributed to the increase in overall operating expenses in the first quarter of 2015 when compared with the same period in 2014.</w:t>
      </w:r>
    </w:p>
    <w:p>
      <w:pPr>
        <w:spacing w:after="0" w:line="146" w:lineRule="exact"/>
        <w:rPr>
          <w:rFonts w:ascii="Arial" w:cs="Arial" w:eastAsia="Arial" w:hAnsi="Arial"/>
          <w:sz w:val="17"/>
          <w:szCs w:val="17"/>
          <w:color w:val="auto"/>
        </w:rPr>
      </w:pPr>
    </w:p>
    <w:p>
      <w:pPr>
        <w:ind w:left="660" w:right="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Severance and other costs related to the reorganization announced in October 2014 and the planned reduction of our trading floors in mid-2015 were recognized in the first quarter of 2015, resulting in an increase in compensation and benefits expenses in the first quarter of 2015 when compared with the same period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overall increase in operating expenses in the first quarter of 2015 was partially offset by the following decreases:</w:t>
      </w:r>
    </w:p>
    <w:p>
      <w:pPr>
        <w:spacing w:after="0" w:line="225"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expense decreased largely due to the acceleration of depreciation expense in 2014 related to the consolidation of some of our data centers.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 expense decreased as a result of a decline in average headcount related to our reorganization announced in the fourth quarter of 2014.</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the fair value of contingent consideration related to an acquisition completed in 2010 was recognized in the first quarter of 2014.</w:t>
      </w:r>
    </w:p>
    <w:p>
      <w:pPr>
        <w:sectPr>
          <w:pgSz w:w="11900" w:h="16838" w:orient="portrait"/>
          <w:cols w:equalWidth="0" w:num="1">
            <w:col w:w="11420"/>
          </w:cols>
          <w:pgMar w:left="240" w:top="125"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r>
      <w:tr>
        <w:trPr>
          <w:trHeight w:val="192"/>
        </w:trPr>
        <w:tc>
          <w:tcPr>
            <w:tcW w:w="8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2014</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22.4</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r>
      <w:tr>
        <w:trPr>
          <w:trHeight w:val="257"/>
        </w:trPr>
        <w:tc>
          <w:tcPr>
            <w:tcW w:w="802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overall increase in investment income in the first quarter of 2015 when compared with the same period in 2014 was largely due to an increase in earnings from cash performance bond and guaranty fund contributions that are reinvested. Cash performance bond and guaranty fund contribution balances increased due to higher open interest as well as a shift in clearing firm collateral preferences towards cash. Investment income also increased due to higher gains on marketable securities related to our non-qualified deferred compensation plan. Gains and losses from securities in the non-qualified deferred compensation plan are offset by an equal amount of compensation and benefits expense.</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key impacts in the overall decrease in interest expense and other borrowing costs in the first quarter of 2015 when compared with the same period in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2"/>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7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 millions)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2,295.8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3"/>
              </w:rPr>
              <w:t>2,487.5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(191.7)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4.27</w:t>
            </w: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4.54</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(0.27)</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w:t>
      </w:r>
    </w:p>
    <w:p>
      <w:pPr>
        <w:spacing w:after="0" w:line="170" w:lineRule="exact"/>
        <w:rPr>
          <w:sz w:val="20"/>
          <w:szCs w:val="20"/>
          <w:color w:val="auto"/>
        </w:rPr>
      </w:pPr>
    </w:p>
    <w:p>
      <w:pPr>
        <w:jc w:val="both"/>
        <w:ind w:left="60" w:right="280"/>
        <w:spacing w:after="0" w:line="264" w:lineRule="auto"/>
        <w:rPr>
          <w:sz w:val="20"/>
          <w:szCs w:val="20"/>
          <w:color w:val="auto"/>
        </w:rPr>
      </w:pPr>
      <w:r>
        <w:rPr>
          <w:rFonts w:ascii="Arial" w:cs="Arial" w:eastAsia="Arial" w:hAnsi="Arial"/>
          <w:sz w:val="18"/>
          <w:szCs w:val="18"/>
          <w:color w:val="auto"/>
        </w:rPr>
        <w:t>In February 2014, we repaid the $750.0 million of 5.75% fixed rate notes due February 2014. In March 2015, we issued $750.0 million of 3.0% fixed rate notes due March 2025. These factors contributed to decreases in weighted average borrowings outstanding, weighted average effective yield and average cost of borrowings in the first quarter of 2015 when compared with the same period in 2014.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the first quarter of 2015, we received a termination fee, net of the portion paid to outside advisers, related to our proposed acquisition of GFI Group Inc.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(GFI Group), which was included in other non-operating income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2014</w:t>
            </w:r>
          </w:p>
        </w:tc>
      </w:tr>
      <w:tr>
        <w:trPr>
          <w:trHeight w:val="243"/>
        </w:trPr>
        <w:tc>
          <w:tcPr>
            <w:tcW w:w="9240" w:type="dxa"/>
            <w:vAlign w:val="bottom"/>
            <w:shd w:val="clear" w:color="auto" w:fill="BFE4FF"/>
          </w:tcPr>
          <w:p>
            <w:pPr>
              <w:jc w:val="right"/>
              <w:ind w:right="7339"/>
              <w:spacing w:after="0"/>
              <w:rPr>
                <w:sz w:val="20"/>
                <w:szCs w:val="20"/>
                <w:color w:val="auto"/>
              </w:rPr>
            </w:pPr>
            <w:r>
              <w:rPr>
                <w:rFonts w:ascii="Arial" w:cs="Arial" w:eastAsia="Arial" w:hAnsi="Arial"/>
                <w:sz w:val="18"/>
                <w:szCs w:val="18"/>
                <w:color w:val="auto"/>
                <w:w w:val="90"/>
              </w:rPr>
              <w:t>Quarter Ended March 31</w:t>
            </w:r>
          </w:p>
        </w:tc>
        <w:tc>
          <w:tcPr>
            <w:tcW w:w="860" w:type="dxa"/>
            <w:vAlign w:val="bottom"/>
            <w:shd w:val="clear" w:color="auto" w:fill="BFE4FF"/>
          </w:tcPr>
          <w:p>
            <w:pPr>
              <w:jc w:val="right"/>
              <w:ind w:right="270"/>
              <w:spacing w:after="0"/>
              <w:rPr>
                <w:sz w:val="20"/>
                <w:szCs w:val="20"/>
                <w:color w:val="auto"/>
              </w:rPr>
            </w:pPr>
            <w:r>
              <w:rPr>
                <w:rFonts w:ascii="Arial" w:cs="Arial" w:eastAsia="Arial" w:hAnsi="Arial"/>
                <w:sz w:val="18"/>
                <w:szCs w:val="18"/>
                <w:color w:val="auto"/>
                <w:w w:val="93"/>
              </w:rPr>
              <w:t>36.9%</w:t>
            </w:r>
          </w:p>
        </w:tc>
        <w:tc>
          <w:tcPr>
            <w:tcW w:w="1320" w:type="dxa"/>
            <w:vAlign w:val="bottom"/>
            <w:shd w:val="clear" w:color="auto" w:fill="BFE4FF"/>
          </w:tcPr>
          <w:p>
            <w:pPr>
              <w:jc w:val="right"/>
              <w:ind w:right="59"/>
              <w:spacing w:after="0"/>
              <w:rPr>
                <w:sz w:val="20"/>
                <w:szCs w:val="20"/>
                <w:color w:val="auto"/>
              </w:rPr>
            </w:pPr>
            <w:r>
              <w:rPr>
                <w:rFonts w:ascii="Arial" w:cs="Arial" w:eastAsia="Arial" w:hAnsi="Arial"/>
                <w:sz w:val="18"/>
                <w:szCs w:val="18"/>
                <w:color w:val="auto"/>
              </w:rPr>
              <w:t>40.3%</w:t>
            </w:r>
          </w:p>
        </w:tc>
      </w:tr>
      <w:tr>
        <w:trPr>
          <w:trHeight w:val="27"/>
        </w:trPr>
        <w:tc>
          <w:tcPr>
            <w:tcW w:w="9240" w:type="dxa"/>
            <w:vAlign w:val="bottom"/>
            <w:shd w:val="clear" w:color="auto" w:fill="BFE4FF"/>
          </w:tcPr>
          <w:p>
            <w:pPr>
              <w:spacing w:after="0"/>
              <w:rPr>
                <w:sz w:val="2"/>
                <w:szCs w:val="2"/>
                <w:color w:val="auto"/>
              </w:rPr>
            </w:pPr>
          </w:p>
        </w:tc>
        <w:tc>
          <w:tcPr>
            <w:tcW w:w="860" w:type="dxa"/>
            <w:vAlign w:val="bottom"/>
            <w:shd w:val="clear" w:color="auto" w:fill="BFE4FF"/>
          </w:tcPr>
          <w:p>
            <w:pPr>
              <w:spacing w:after="0"/>
              <w:rPr>
                <w:sz w:val="2"/>
                <w:szCs w:val="2"/>
                <w:color w:val="auto"/>
              </w:rPr>
            </w:pPr>
          </w:p>
        </w:tc>
        <w:tc>
          <w:tcPr>
            <w:tcW w:w="1320" w:type="dxa"/>
            <w:vAlign w:val="bottom"/>
            <w:shd w:val="clear" w:color="auto" w:fill="BFE4FF"/>
          </w:tcPr>
          <w:p>
            <w:pPr>
              <w:spacing w:after="0"/>
              <w:rPr>
                <w:sz w:val="2"/>
                <w:szCs w:val="2"/>
                <w:color w:val="auto"/>
              </w:rPr>
            </w:pPr>
          </w:p>
        </w:tc>
      </w:tr>
    </w:tbl>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decrease in the effective tax rate in the first quarter of 2015 when compared with the same period in 2014 was attributable to expense recognized in the first quarter of 2014 related to changes in future state apportionment factors resulting from state law changes, partially offset by a benefit recognized in the first quarter of 2014 related to state audit activity.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increased in the first quarter of 2015 when compared with the same period of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cash provided by operating activities was largely attributable to the increase in trading volume as well as the receipt of the GFI Group termination fee. Net cash used in investing activities remained relatively flat in the first quarter of 2015 when compared with the same period of 2014. Cash used in financing activities was lower in the first quarter of 2015 when compared with the same period in 2014. The decrease was attributable to the issuance of $750.0</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million fixed rate notes due March 2025 in the first quarter of 2015. In the first quarter of 2014, we repaid the $750.0 million fixed rate notes due February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March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stated rate of 4.40%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341"/>
        </w:trPr>
        <w:tc>
          <w:tcPr>
            <w:tcW w:w="7420" w:type="dxa"/>
            <w:vAlign w:val="bottom"/>
          </w:tcPr>
          <w:p>
            <w:pPr>
              <w:ind w:left="40"/>
              <w:spacing w:after="0"/>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(4)</w:t>
            </w:r>
          </w:p>
        </w:tc>
        <w:tc>
          <w:tcPr>
            <w:tcW w:w="314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130" w:lineRule="exact"/>
        <w:rPr>
          <w:sz w:val="20"/>
          <w:szCs w:val="20"/>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9, 2015, we completed an offering of $750.0 million of 3.00% fixed rate notes due March 2025. In April 2015, we used the net proceeds of the offering to repurchase the $612.5 million fixed rate notes and paid a call premium of $60.5 million.</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2015, we entered into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1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March 31, 2015, guaranty funds available to collateralize the facility totaled $6.5 billion. We have the option to request an increase in the line from $7.0 billion to $10.0 billion. In addition to the 364-day facility, we also have the option to use the $2.3 billion multi-currency revolving senior credit facility to provide liquidity for our clearing houses in the unlikely event of default in certain circumstances. In addition,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1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2015,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we were in compliance with the various covenant requirements of all our debt facilities.</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March 31, 2015, the letters of credit totaled $410.0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March 31,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$1.7 billion at March 31, 2015 and $1.4 billion at December 31, 2014.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w:t>
      </w:r>
    </w:p>
    <w:p>
      <w:pPr>
        <w:ind w:right="20"/>
        <w:spacing w:after="0" w:line="255" w:lineRule="auto"/>
        <w:rPr>
          <w:sz w:val="20"/>
          <w:szCs w:val="20"/>
          <w:color w:val="auto"/>
        </w:rPr>
      </w:pPr>
      <w:r>
        <w:rPr>
          <w:rFonts w:ascii="Arial" w:cs="Arial" w:eastAsia="Arial" w:hAnsi="Arial"/>
          <w:sz w:val="18"/>
          <w:szCs w:val="18"/>
          <w:color w:val="auto"/>
        </w:rPr>
        <w:t>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0"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Net current deferred tax assets of $24.3 million and $24.4 million were included in other current assets at March 31, 2015 and December 31, 2014, respectively. Total net current deferred tax assets are primarily attributable to stock-based compensation and accrued expenses.</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long-term deferred tax liabilities were $7.3 billion at March 31, 2015 and December 31, 2014. Net deferred tax liabilities are principally the result of purchase accounting for intangible assets in our various mergers, including CBOT Holdings, Inc. and NYMEX Holdings, Inc.</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Valuation allowances of $109.7 million and $99.2 million have been provided on deferred tax assets at March 31, 2015 and December 31, 2014, respectively. At March 31, 2015 and December 31, 2014, valuation allowances were related to domestic net operating losses, foreign net operating losses as well as built in capital losses for which we do not believe that we currently meet the more-likely-than-not-threshold for recognition.</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U.S. Commodity Futures Trading Commission (CFTC) as a U.S. Derivatives Clearing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Wall Street Reform and Consumer Protection Act. As a result, CME must comply with the requirements for financial resources and liquidity resources. CME is in compliance with all DCO financial requirements.</w:t>
      </w:r>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DCM financial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will become effective in the first annual period beginning after December 15, 2016. This guidance may be adopted using one of two transition methods, which we are still evaluating along with the impact of the new standard on our consolidated financial statements.</w:t>
      </w:r>
    </w:p>
    <w:p>
      <w:pPr>
        <w:spacing w:after="0" w:line="13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April 2015, the FASB issued a standards update that changes the presentation of debt issuance costs. The update requires entities to present debt issuance costs related to a recognized debt liability as a deduction from the carrying value of the debt liability. The update, which applies retrospectively upon adoption, is effective for reporting periods beginning after December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15, 2015. Early adoption is allowed. Adoption of the update will change the presentation of debt issuance costs and the carrying value of debt in our consolidated balance sheets. Adoption of the update is considered a change in accounting policy and will be disclosed accordingly.</w:t>
      </w:r>
    </w:p>
    <w:p>
      <w:pPr>
        <w:spacing w:after="0" w:line="17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2014. Refer to Item 7A. of CME Group’s Annual Report on Form 10-K for the year ended December 31, 2014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“Legal and Regulatory Matters” in Note 5. Contingencies to the Consolidated Financial Statements for updates to CME Group’s existing legal proceedings disclosure which is incorporated herein by reference. Note 5. Contingencies includes updates to the legal proceedings disclosed in the company’s Annual Report on Form 10-K, filed with the SEC on February 26, 2015.</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26, 2015.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87.86</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February 1 to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93.92</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17,893</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96.83</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20,360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95.86</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purchased consist of an aggregate of 20,360 shares of Class A common stock surrendered in the first quarter of 2015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1010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10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4.1</w:t>
            </w:r>
          </w:p>
        </w:tc>
        <w:tc>
          <w:tcPr>
            <w:tcW w:w="10100" w:type="dxa"/>
            <w:vAlign w:val="bottom"/>
          </w:tcPr>
          <w:p>
            <w:pPr>
              <w:ind w:left="360"/>
              <w:spacing w:after="0"/>
              <w:rPr>
                <w:sz w:val="20"/>
                <w:szCs w:val="20"/>
                <w:color w:val="auto"/>
              </w:rPr>
            </w:pPr>
            <w:r>
              <w:rPr>
                <w:rFonts w:ascii="Arial" w:cs="Arial" w:eastAsia="Arial" w:hAnsi="Arial"/>
                <w:sz w:val="18"/>
                <w:szCs w:val="18"/>
                <w:color w:val="auto"/>
                <w:w w:val="91"/>
              </w:rPr>
              <w:t>Seventh Supplemental Indenture (including the form of 3.000% Notes due 2025), dated March 9, 2015, between CME Group Inc. and</w:t>
            </w:r>
          </w:p>
        </w:tc>
      </w:tr>
      <w:tr>
        <w:trPr>
          <w:trHeight w:val="216"/>
        </w:trPr>
        <w:tc>
          <w:tcPr>
            <w:tcW w:w="128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w w:val="93"/>
              </w:rPr>
              <w:t>U.S. Bank National Association (incorporated by reference to Exhibit 4.2 to CME Group's Form 8-K, filed with the SEC on March 9,</w:t>
            </w:r>
          </w:p>
        </w:tc>
      </w:tr>
      <w:tr>
        <w:trPr>
          <w:trHeight w:val="230"/>
        </w:trPr>
        <w:tc>
          <w:tcPr>
            <w:tcW w:w="1280" w:type="dxa"/>
            <w:vAlign w:val="bottom"/>
          </w:tcPr>
          <w:p>
            <w:pPr>
              <w:spacing w:after="0"/>
              <w:rPr>
                <w:sz w:val="20"/>
                <w:szCs w:val="20"/>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2015, File No. 001-31553).</w:t>
            </w:r>
          </w:p>
        </w:tc>
      </w:tr>
      <w:tr>
        <w:trPr>
          <w:trHeight w:val="445"/>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10100" w:type="dxa"/>
            <w:vAlign w:val="bottom"/>
          </w:tcPr>
          <w:p>
            <w:pPr>
              <w:ind w:left="360"/>
              <w:spacing w:after="0"/>
              <w:rPr>
                <w:sz w:val="20"/>
                <w:szCs w:val="20"/>
                <w:color w:val="auto"/>
              </w:rPr>
            </w:pPr>
            <w:r>
              <w:rPr>
                <w:rFonts w:ascii="Arial" w:cs="Arial" w:eastAsia="Arial" w:hAnsi="Arial"/>
                <w:sz w:val="18"/>
                <w:szCs w:val="18"/>
                <w:color w:val="auto"/>
                <w:w w:val="92"/>
              </w:rPr>
              <w:t>Credit Agreement, dated as of March 19, 2015, among CME Group Inc., certain financial institutions and other persons party thereto</w:t>
            </w:r>
          </w:p>
        </w:tc>
      </w:tr>
      <w:tr>
        <w:trPr>
          <w:trHeight w:val="216"/>
        </w:trPr>
        <w:tc>
          <w:tcPr>
            <w:tcW w:w="128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w w:val="91"/>
              </w:rPr>
              <w:t>as lenders, and Bank of America, N.A., as Administrative Agent (incorporated by reference to Exhibit 10.1 to CME Group's Form 8-K,</w:t>
            </w:r>
          </w:p>
        </w:tc>
      </w:tr>
      <w:tr>
        <w:trPr>
          <w:trHeight w:val="230"/>
        </w:trPr>
        <w:tc>
          <w:tcPr>
            <w:tcW w:w="1280" w:type="dxa"/>
            <w:vAlign w:val="bottom"/>
          </w:tcPr>
          <w:p>
            <w:pPr>
              <w:spacing w:after="0"/>
              <w:rPr>
                <w:sz w:val="20"/>
                <w:szCs w:val="20"/>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filed with the SEC on March 24, 2015, File No. 001-31553.</w:t>
            </w:r>
          </w:p>
        </w:tc>
      </w:tr>
      <w:tr>
        <w:trPr>
          <w:trHeight w:val="445"/>
        </w:trPr>
        <w:tc>
          <w:tcPr>
            <w:tcW w:w="1280" w:type="dxa"/>
            <w:vAlign w:val="bottom"/>
          </w:tcPr>
          <w:p>
            <w:pPr>
              <w:ind w:left="40"/>
              <w:spacing w:after="0"/>
              <w:rPr>
                <w:sz w:val="20"/>
                <w:szCs w:val="20"/>
                <w:color w:val="auto"/>
              </w:rPr>
            </w:pPr>
            <w:r>
              <w:rPr>
                <w:rFonts w:ascii="Arial" w:cs="Arial" w:eastAsia="Arial" w:hAnsi="Arial"/>
                <w:sz w:val="18"/>
                <w:szCs w:val="18"/>
                <w:color w:val="auto"/>
              </w:rPr>
              <w:t>10.2</w:t>
            </w:r>
          </w:p>
        </w:tc>
        <w:tc>
          <w:tcPr>
            <w:tcW w:w="10100" w:type="dxa"/>
            <w:vAlign w:val="bottom"/>
          </w:tcPr>
          <w:p>
            <w:pPr>
              <w:ind w:left="360"/>
              <w:spacing w:after="0"/>
              <w:rPr>
                <w:sz w:val="20"/>
                <w:szCs w:val="20"/>
                <w:color w:val="auto"/>
              </w:rPr>
            </w:pPr>
            <w:r>
              <w:rPr>
                <w:rFonts w:ascii="Arial" w:cs="Arial" w:eastAsia="Arial" w:hAnsi="Arial"/>
                <w:sz w:val="18"/>
                <w:szCs w:val="18"/>
                <w:color w:val="auto"/>
                <w:w w:val="91"/>
              </w:rPr>
              <w:t>Seventh Supplemental Indenture (including the form of 3.000% Notes due 2025), dated March 9, 2015, between CME Group Inc. and</w:t>
            </w:r>
          </w:p>
        </w:tc>
      </w:tr>
      <w:tr>
        <w:trPr>
          <w:trHeight w:val="230"/>
        </w:trPr>
        <w:tc>
          <w:tcPr>
            <w:tcW w:w="1280" w:type="dxa"/>
            <w:vAlign w:val="bottom"/>
          </w:tcPr>
          <w:p>
            <w:pPr>
              <w:spacing w:after="0"/>
              <w:rPr>
                <w:sz w:val="20"/>
                <w:szCs w:val="20"/>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U.S. Bank National Association (incorporated by reference to Exhibit 4.1 above).</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0100" w:type="dxa"/>
            <w:vAlign w:val="bottom"/>
          </w:tcPr>
          <w:p>
            <w:pPr>
              <w:ind w:left="360"/>
              <w:spacing w:after="0"/>
              <w:rPr>
                <w:sz w:val="20"/>
                <w:szCs w:val="20"/>
                <w:color w:val="auto"/>
              </w:rPr>
            </w:pPr>
            <w:r>
              <w:rPr>
                <w:rFonts w:ascii="Arial" w:cs="Arial" w:eastAsia="Arial" w:hAnsi="Arial"/>
                <w:sz w:val="18"/>
                <w:szCs w:val="18"/>
                <w:color w:val="auto"/>
              </w:rPr>
              <w:t>Section 302 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0100" w:type="dxa"/>
            <w:vAlign w:val="bottom"/>
          </w:tcPr>
          <w:p>
            <w:pPr>
              <w:ind w:left="360"/>
              <w:spacing w:after="0"/>
              <w:rPr>
                <w:sz w:val="20"/>
                <w:szCs w:val="20"/>
                <w:color w:val="auto"/>
              </w:rPr>
            </w:pPr>
            <w:r>
              <w:rPr>
                <w:rFonts w:ascii="Arial" w:cs="Arial" w:eastAsia="Arial" w:hAnsi="Arial"/>
                <w:sz w:val="18"/>
                <w:szCs w:val="18"/>
                <w:color w:val="auto"/>
              </w:rPr>
              <w:t>Section 302 Certification—John W. Pietrowicz</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0100" w:type="dxa"/>
            <w:vAlign w:val="bottom"/>
          </w:tcPr>
          <w:p>
            <w:pPr>
              <w:ind w:left="360"/>
              <w:spacing w:after="0"/>
              <w:rPr>
                <w:sz w:val="20"/>
                <w:szCs w:val="20"/>
                <w:color w:val="auto"/>
              </w:rPr>
            </w:pPr>
            <w:r>
              <w:rPr>
                <w:rFonts w:ascii="Arial" w:cs="Arial" w:eastAsia="Arial" w:hAnsi="Arial"/>
                <w:sz w:val="18"/>
                <w:szCs w:val="18"/>
                <w:color w:val="auto"/>
              </w:rPr>
              <w:t>Section 906 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1010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1010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1010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1010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1010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101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08" w:right="27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May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580"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2015 as filed with the Securities and Exchange Commission on the date hereof (the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2019-12-29T18:04:23Z</dcterms:created>
  <dcterms:modified xsi:type="dcterms:W3CDTF">2019-12-29T18:04:23Z</dcterms:modified>
</cp:coreProperties>
</file>