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8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38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230" w:right="319" w:bottom="1440" w:gutter="0" w:footer="0" w:header="0"/>
        </w:sectPr>
      </w:pPr>
    </w:p>
    <w:p>
      <w:pPr>
        <w:spacing w:after="0" w:line="12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2740" w:space="600"/>
            <w:col w:w="8000"/>
          </w:cols>
          <w:pgMar w:left="240" w:top="230"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number 000-33379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p>
      <w:pPr>
        <w:ind w:right="1800" w:firstLine="1869"/>
        <w:spacing w:after="0" w:line="32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April 22, 2009 was as follows: 66,358,330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9"/>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51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Balance Sheets at March 31, 2009 and December 31, 2008</w:t>
              </w:r>
            </w:hyperlink>
          </w:p>
        </w:tc>
        <w:tc>
          <w:tcPr>
            <w:tcW w:w="516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Income for the Quarters Ended March 31,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Shareholders’ Equity for the Quarters Ended March 31,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60" w:type="dxa"/>
            <w:vAlign w:val="bottom"/>
            <w:tcBorders>
              <w:top w:val="single" w:sz="8" w:color="0000EE"/>
            </w:tcBorders>
            <w:gridSpan w:val="15"/>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Consolidated Statements of Cash Flows for the Quarters Ended March 31, 2009 and 2008</w:t>
              </w:r>
            </w:hyperlink>
          </w:p>
        </w:tc>
        <w:tc>
          <w:tcPr>
            <w:tcW w:w="33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Notes to Unaudited Consolidated Financial Statements</w:t>
              </w:r>
            </w:hyperlink>
          </w:p>
        </w:tc>
        <w:tc>
          <w:tcPr>
            <w:tcW w:w="2440" w:type="dxa"/>
            <w:vAlign w:val="bottom"/>
            <w:tcBorders>
              <w:top w:val="single" w:sz="8" w:color="0000EE"/>
            </w:tcBorders>
            <w:gridSpan w:val="5"/>
          </w:tcPr>
          <w:p>
            <w:pPr>
              <w:spacing w:after="0"/>
              <w:rPr>
                <w:sz w:val="24"/>
                <w:szCs w:val="24"/>
                <w:color w:val="auto"/>
              </w:rPr>
            </w:pPr>
          </w:p>
        </w:tc>
        <w:tc>
          <w:tcPr>
            <w:tcW w:w="3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6">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6">
              <w:r>
                <w:rPr>
                  <w:rFonts w:ascii="Arial" w:cs="Arial" w:eastAsia="Arial" w:hAnsi="Arial"/>
                  <w:sz w:val="18"/>
                  <w:szCs w:val="18"/>
                  <w:b w:val="1"/>
                  <w:bCs w:val="1"/>
                  <w:color w:val="0000EE"/>
                  <w:w w:val="86"/>
                </w:rPr>
                <w:t>Risk Factors</w:t>
              </w:r>
            </w:hyperlink>
          </w:p>
        </w:tc>
        <w:tc>
          <w:tcPr>
            <w:tcW w:w="93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Exhibits</w:t>
              </w:r>
            </w:hyperlink>
          </w:p>
        </w:tc>
        <w:tc>
          <w:tcPr>
            <w:tcW w:w="3820" w:type="dxa"/>
            <w:vAlign w:val="bottom"/>
            <w:tcBorders>
              <w:top w:val="single" w:sz="8" w:color="0000EE"/>
            </w:tcBorders>
            <w:gridSpan w:val="7"/>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8">
              <w:r>
                <w:rPr>
                  <w:rFonts w:ascii="Arial" w:cs="Arial" w:eastAsia="Arial" w:hAnsi="Arial"/>
                  <w:sz w:val="18"/>
                  <w:szCs w:val="18"/>
                  <w:b w:val="1"/>
                  <w:bCs w:val="1"/>
                  <w:color w:val="0000EE"/>
                  <w:w w:val="94"/>
                </w:rPr>
                <w:t>SIGNATURES</w:t>
              </w:r>
            </w:hyperlink>
          </w:p>
        </w:tc>
        <w:tc>
          <w:tcPr>
            <w:tcW w:w="1000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5100" w:type="dxa"/>
            <w:vAlign w:val="bottom"/>
            <w:gridSpan w:val="11"/>
          </w:tcPr>
          <w:p>
            <w:pPr>
              <w:ind w:left="480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On August 22, 2008, NYMEX Holdings, Inc. (NYMEX Holdings) merged into CMEG NY Inc., a wholly-owned subsidiary of CME Group. Unless otherwise noted, disclosures of trading volume, revenue and other statistical information include the results of NYMEX Holdings beginning on August 23,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12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NYMEX Holdings merged into CMEG NY Inc., a wholly-owned subsidiary of CME Group, which was renamed CMEG NYMEX Holdings Inc.;</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 and its consolidated subsidiaries, collectively.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and control the costs of our acquisition of NYMEX Holdings and our ability to successfully integrate the businesses of CME Group and NYMEX Holdings, including the fact that such integration may be more difficult, time consuming or costly than expected and revenues following the transaction may be lower than expected and expected cost savings from the transaction may not be fully realized within the expected time frames or at all;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changes as a result of a combination of the Securities and Exchange Commission (SEC) and the U.S. Commodity Futures Trading Commission (CFTC), or changes relating to the recently enacted or proposed legislation relating to the current economic crisis;</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or declines in subscriptions;</w:t>
      </w:r>
    </w:p>
    <w:p>
      <w:pPr>
        <w:spacing w:after="0" w:line="50" w:lineRule="exact"/>
        <w:rPr>
          <w:rFonts w:ascii="Arial" w:cs="Arial" w:eastAsia="Arial" w:hAnsi="Arial"/>
          <w:sz w:val="18"/>
          <w:szCs w:val="18"/>
          <w:color w:val="auto"/>
        </w:rPr>
      </w:pPr>
    </w:p>
    <w:p>
      <w:pPr>
        <w:ind w:left="900" w:right="200" w:hanging="446"/>
        <w:spacing w:after="0" w:line="35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current economic conditions on the trading activity of our current and potential customers;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as well as Item 1A. of our Annual Report on Form 10-K, filed with the SEC on March 2, 2009.</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Unless otherwise indicated, references to CME Group products include references to exchange traded products on one of its regulated exchanges (CME, CBOT, NYMEX, COMEX). Products listed in these exchanges are subject to the rules and regulations of the particular exchange and the applicable rulebook should be consulted.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6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CME GROUP INC. AND SUBSIDIARIES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6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CONSOLIDATED BALANCE SHEETS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60" w:type="dxa"/>
            <w:vAlign w:val="bottom"/>
          </w:tcPr>
          <w:p>
            <w:pPr>
              <w:jc w:val="center"/>
              <w:ind w:left="1152"/>
              <w:spacing w:after="0"/>
              <w:rPr>
                <w:sz w:val="20"/>
                <w:szCs w:val="20"/>
                <w:color w:val="auto"/>
              </w:rPr>
            </w:pPr>
            <w:r>
              <w:rPr>
                <w:rFonts w:ascii="Arial" w:cs="Arial" w:eastAsia="Arial" w:hAnsi="Arial"/>
                <w:sz w:val="18"/>
                <w:szCs w:val="18"/>
                <w:color w:val="auto"/>
                <w:w w:val="87"/>
              </w:rPr>
              <w:t>(dollars in millions, expect per share data; shares 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60" w:type="dxa"/>
            <w:vAlign w:val="bottom"/>
          </w:tcPr>
          <w:p>
            <w:pPr>
              <w:jc w:val="center"/>
              <w:ind w:left="1152"/>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including pledged securities of $114.6 and $283.8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$1.4 and $1.8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19,111.5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$496.5 and $479.5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16,982.0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16,982.0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Intangible assets – other,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8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39,915.5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48,158.7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10,474.6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18,643.0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21,116.4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29,470.1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Class A common stock, $0.01 par value, 1,000,000 shares authorized, 66,300 and 66,417 shares issued and outstanding as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March 31, 2009 and December 31, 2008,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92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18,799.1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18,688.6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39,915.5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48,158.7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expect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527.8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7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(losses) on derivative investments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Securities lending interest income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and other costs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Interest and other borrowing costs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Non-Operating Income (Expense)</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66,302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66,439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expect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Stock and</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Common</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Paid-in</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3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66,417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$17,129.2</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$1,719.7</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Change in net unrealized loss on securities, net of tax of $2.8</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w w:val="99"/>
              </w:rPr>
              <w:t>Change in net unrealized loss on derivatives, net of tax of $0.9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on common stock of $1.15 per share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Class A common stock</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2009</w:t>
            </w: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66,300</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17,113.6</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1,842.5</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18,799.1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540" w:type="dxa"/>
            <w:vAlign w:val="bottom"/>
          </w:tcPr>
          <w:p>
            <w:pPr>
              <w:jc w:val="right"/>
              <w:ind w:right="1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4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(continued) </w:t>
      </w:r>
      <w:r>
        <w:rPr>
          <w:rFonts w:ascii="Arial" w:cs="Arial" w:eastAsia="Arial" w:hAnsi="Arial"/>
          <w:sz w:val="18"/>
          <w:szCs w:val="18"/>
          <w:color w:val="auto"/>
        </w:rPr>
        <w:t>(in millions, except share and per share data; shares in thousands)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3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Stock and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Paid-in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$10,689.3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$1,619.4</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Change in net unrealized gain on securities, net of tax of $0.2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5"/>
              </w:rPr>
              <w:t>Change in foreign currency translation adjustment, net of tax of $—</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dividend on common stock of $1.15 per share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in exchange for BM&amp;FBovespa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631.4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Tax benefit of stock issuance costs related to CBOT Holdings merger</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Costs in connection with prior year repurchase of Class A common stock</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54,489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11,339.0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1,840.3</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940" w:type="dxa"/>
            <w:vAlign w:val="bottom"/>
            <w:gridSpan w:val="3"/>
          </w:tcPr>
          <w:p>
            <w:pPr>
              <w:jc w:val="right"/>
              <w:ind w:right="400"/>
              <w:spacing w:after="0"/>
              <w:rPr>
                <w:sz w:val="20"/>
                <w:szCs w:val="20"/>
                <w:color w:val="auto"/>
              </w:rPr>
            </w:pPr>
            <w:r>
              <w:rPr>
                <w:rFonts w:ascii="Arial" w:cs="Arial" w:eastAsia="Arial" w:hAnsi="Arial"/>
                <w:sz w:val="18"/>
                <w:szCs w:val="18"/>
                <w:color w:val="auto"/>
              </w:rPr>
              <w:t>$ 199.1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940" w:type="dxa"/>
            <w:vAlign w:val="bottom"/>
            <w:gridSpan w:val="3"/>
          </w:tcPr>
          <w:p>
            <w:pPr>
              <w:jc w:val="right"/>
              <w:ind w:right="400"/>
              <w:spacing w:after="0"/>
              <w:rPr>
                <w:sz w:val="20"/>
                <w:szCs w:val="20"/>
                <w:color w:val="auto"/>
              </w:rPr>
            </w:pPr>
            <w:r>
              <w:rPr>
                <w:rFonts w:ascii="Arial" w:cs="Arial" w:eastAsia="Arial" w:hAnsi="Arial"/>
                <w:sz w:val="18"/>
                <w:szCs w:val="18"/>
                <w:color w:val="auto"/>
              </w:rPr>
              <w:t>8.6</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1940" w:type="dxa"/>
            <w:vAlign w:val="bottom"/>
            <w:gridSpan w:val="3"/>
          </w:tcPr>
          <w:p>
            <w:pPr>
              <w:jc w:val="right"/>
              <w:ind w:right="400"/>
              <w:spacing w:after="0"/>
              <w:rPr>
                <w:sz w:val="20"/>
                <w:szCs w:val="20"/>
                <w:color w:val="auto"/>
              </w:rPr>
            </w:pPr>
            <w:r>
              <w:rPr>
                <w:rFonts w:ascii="Arial" w:cs="Arial" w:eastAsia="Arial" w:hAnsi="Arial"/>
                <w:sz w:val="18"/>
                <w:szCs w:val="18"/>
                <w:color w:val="auto"/>
              </w:rPr>
              <w:t>33.3</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Recognition of in-process research and development acquired from Credit Market Analysis Limited</w:t>
            </w:r>
          </w:p>
        </w:tc>
        <w:tc>
          <w:tcPr>
            <w:tcW w:w="9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1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9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(45.1)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Income tax payable</w:t>
            </w:r>
          </w:p>
        </w:tc>
        <w:tc>
          <w:tcPr>
            <w:tcW w:w="1940" w:type="dxa"/>
            <w:vAlign w:val="bottom"/>
            <w:gridSpan w:val="3"/>
          </w:tcPr>
          <w:p>
            <w:pPr>
              <w:jc w:val="right"/>
              <w:ind w:right="400"/>
              <w:spacing w:after="0"/>
              <w:rPr>
                <w:sz w:val="20"/>
                <w:szCs w:val="20"/>
                <w:color w:val="auto"/>
              </w:rPr>
            </w:pPr>
            <w:r>
              <w:rPr>
                <w:rFonts w:ascii="Arial" w:cs="Arial" w:eastAsia="Arial" w:hAnsi="Arial"/>
                <w:sz w:val="18"/>
                <w:szCs w:val="18"/>
                <w:color w:val="auto"/>
              </w:rPr>
              <w:t>90.1</w:t>
            </w: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liabilities</w:t>
            </w:r>
          </w:p>
        </w:tc>
        <w:tc>
          <w:tcPr>
            <w:tcW w:w="1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9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Purchases of available-for-sale marketable securities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(104.8)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NYMEX securities lending program investments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274.4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Purchases of property, net</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(35.3)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Purchase of derivative related to BM&amp;FBovespa SA investment</w:t>
            </w:r>
          </w:p>
        </w:tc>
        <w:tc>
          <w:tcPr>
            <w:tcW w:w="9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301.0</w:t>
            </w:r>
          </w:p>
        </w:tc>
        <w:tc>
          <w:tcPr>
            <w:tcW w:w="4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(repayments) of commercial paper borrowings, net</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(858.8)</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borrowings, net of issuance costs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744.7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Net change in NYMEX securities lending program liabilities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(299.8)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Repurchase of Class A common stock, including costs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(27.0)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9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370"/>
        </w:trPr>
        <w:tc>
          <w:tcPr>
            <w:tcW w:w="8860" w:type="dxa"/>
            <w:vAlign w:val="bottom"/>
            <w:gridSpan w:val="2"/>
          </w:tcPr>
          <w:p>
            <w:pPr>
              <w:jc w:val="right"/>
              <w:ind w:right="3012"/>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297.9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Interest paid (excluding securities lending program)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860"/>
              <w:spacing w:after="0"/>
              <w:rPr>
                <w:sz w:val="20"/>
                <w:szCs w:val="20"/>
                <w:color w:val="auto"/>
              </w:rPr>
            </w:pPr>
            <w:r>
              <w:rPr>
                <w:rFonts w:ascii="Arial" w:cs="Arial" w:eastAsia="Arial" w:hAnsi="Arial"/>
                <w:sz w:val="18"/>
                <w:szCs w:val="18"/>
                <w:color w:val="auto"/>
              </w:rPr>
              <w:t>Change in net unrealized securities gains (losses)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unrealized derivatives gains (losses)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Class A common stock issued in exchange for BM&amp;FBovespa SA stock</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the former NYMEX Holdings and its subsidiaries beginning on August 23,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consolidated financial statements consist of CME Group and its subsidiaries (collectively, the company), including Chicago Mercantile Exchange Inc. (CME), Board of Trade of the City of Chicago, Inc. (CBOT), New York Mercantile Exchange, Inc. (NYMEX) and their respective subsidiaries (collectively, the exchange). In the opinion of management, the accompanying consolidated financial statements include all normal recurring adjustments considered necessary to present fairly the financial position of the company at March 31, 2009 and December 31, 2008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the CME Group’s Annual Report on Form 10-K for the year ended December 31, 2008, filed with the Securities and Exchange Commission on March 2,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2008 financial statements to conform to the presentation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August 22, 2008, CME Group completed its merger with NYMEX Holdings. The company entered into this merger primarily as a means to expand its product base, further leverage its existing operating model, extend its presence in the over-the-counter market and better position itself to compete on a global scale.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Under purchase accounting, CME Group is considered the acquirer of NYMEX Holdings. The preliminary purchase price consists of the following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outstanding common stock:</w:t>
            </w:r>
          </w:p>
        </w:tc>
        <w:tc>
          <w:tcPr>
            <w:tcW w:w="620" w:type="dxa"/>
            <w:vAlign w:val="bottom"/>
            <w:shd w:val="clear" w:color="auto" w:fill="CCEEFF"/>
          </w:tcPr>
          <w:p>
            <w:pPr>
              <w:spacing w:after="0"/>
              <w:rPr>
                <w:sz w:val="18"/>
                <w:szCs w:val="18"/>
                <w:color w:val="auto"/>
              </w:rPr>
            </w:pPr>
          </w:p>
        </w:tc>
      </w:tr>
      <w:tr>
        <w:trPr>
          <w:trHeight w:val="216"/>
        </w:trPr>
        <w:tc>
          <w:tcPr>
            <w:tcW w:w="10800" w:type="dxa"/>
            <w:vAlign w:val="bottom"/>
          </w:tcPr>
          <w:p>
            <w:pPr>
              <w:ind w:left="440"/>
              <w:spacing w:after="0"/>
              <w:rPr>
                <w:sz w:val="20"/>
                <w:szCs w:val="20"/>
                <w:color w:val="auto"/>
              </w:rPr>
            </w:pPr>
            <w:r>
              <w:rPr>
                <w:rFonts w:ascii="Arial" w:cs="Arial" w:eastAsia="Arial" w:hAnsi="Arial"/>
                <w:sz w:val="18"/>
                <w:szCs w:val="18"/>
                <w:color w:val="auto"/>
              </w:rPr>
              <w:t>In exchange for CME Group’s Class A common stock</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$5,931.2</w:t>
            </w:r>
          </w:p>
        </w:tc>
      </w:tr>
      <w:tr>
        <w:trPr>
          <w:trHeight w:val="216"/>
        </w:trPr>
        <w:tc>
          <w:tcPr>
            <w:tcW w:w="10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exchange for cash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3,412.6</w:t>
            </w:r>
          </w:p>
        </w:tc>
      </w:t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Fair value of NYMEX Holdings’ stock options and restricted stock units assumed</w:t>
            </w: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2"/>
        </w:trPr>
        <w:tc>
          <w:tcPr>
            <w:tcW w:w="10800" w:type="dxa"/>
            <w:vAlign w:val="bottom"/>
          </w:tcPr>
          <w:p>
            <w:pPr>
              <w:spacing w:after="0"/>
              <w:rPr>
                <w:sz w:val="20"/>
                <w:szCs w:val="20"/>
                <w:color w:val="auto"/>
              </w:rPr>
            </w:pPr>
            <w:r>
              <w:rPr>
                <w:rFonts w:ascii="Arial" w:cs="Arial" w:eastAsia="Arial" w:hAnsi="Arial"/>
                <w:sz w:val="18"/>
                <w:szCs w:val="18"/>
                <w:color w:val="auto"/>
              </w:rPr>
              <w:t>Total Preliminary 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9,438.6</w:t>
            </w:r>
          </w:p>
        </w:tc>
      </w:tr>
      <w:tr>
        <w:trPr>
          <w:trHeight w:val="20"/>
        </w:trPr>
        <w:tc>
          <w:tcPr>
            <w:tcW w:w="10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Acquisition of common stock. </w:t>
      </w:r>
      <w:r>
        <w:rPr>
          <w:rFonts w:ascii="Arial" w:cs="Arial" w:eastAsia="Arial" w:hAnsi="Arial"/>
          <w:sz w:val="16"/>
          <w:szCs w:val="16"/>
          <w:color w:val="auto"/>
        </w:rPr>
        <w:t>Pursuant to the merger agreement, NYMEX Holdings’ shareholders elected to receive cash, stock or a combination thereof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their shares. The aggregate consideration included a mandatory cash component equal to the product of NYMEX Holdings common stock outstanding at August 22, 2008 and $36.00 per share. Based on the election for cash and stock as subject to the mandatory cash requirement, CME Group issued 12.5 million shares of Class A common stock to NYMEX Holdings’ shareholders. The share price of $473 used to calculate the fair value of stock issued was based on the average closing price of CME Group Class A common stock for the five-day period beginning two trading days before and ending two trading days after March 17, 2008 (the merger announcement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of stock options and restricted stock units assumed. </w:t>
      </w:r>
      <w:r>
        <w:rPr>
          <w:rFonts w:ascii="Arial" w:cs="Arial" w:eastAsia="Arial" w:hAnsi="Arial"/>
          <w:sz w:val="18"/>
          <w:szCs w:val="18"/>
          <w:color w:val="auto"/>
        </w:rPr>
        <w:t>At the close of the merger, NYMEX Holdings had 1,412,000 stock options and 188,700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outstanding. Each stock option and restricted stock unit was converted using an exchange ratio of 0.2378 derived from the allocation of cash and stock consideration to the shareholders in accordance with the merger agreement.</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fair value of the stock options was determined using a share price of $342, the closing price of CME Group’s Class A common stock on August 21, 2008. The fair value of stock options was calculated using a Black-Scholes valuation model with the following assumptions: expected lives of 0.1 to 4.9 years; risk-free interest rates of 1.7% to 3.0%; expected volatility of 45%; and a dividend yield of 1.3%. The portion of the fair value of unvested stock options related to future service has been allocated to deferred stock-based compensation and is being amortized over the remaining vesting period.</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Group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Preliminary purchase price allocation. </w:t>
      </w:r>
      <w:r>
        <w:rPr>
          <w:rFonts w:ascii="Arial" w:cs="Arial" w:eastAsia="Arial" w:hAnsi="Arial"/>
          <w:sz w:val="18"/>
          <w:szCs w:val="18"/>
          <w:color w:val="auto"/>
        </w:rPr>
        <w:t>In accordance with Statement of Financial Accounting Standards (SFAS) No. 141, “Business Combinations,”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purchase price has been allocated to NYMEX Holdings’ net tangible and identifiable intangible assets based on their estimated fair values as of August 22, 2008. The allocation of the purchase price was based on certain preliminary valuations and the estimates and assumptions are subject to change. The primary areas of the purchase price allocation that are not yet finalized include restructuring liabilities and goodwill. The company expects to finalize its purchase price allocation within the next five months.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794.7</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10,664.6</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(767.8)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Membership rights payments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Long-term deferred tax liabilities, net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(3,997.5)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7,000.9</w:t>
            </w:r>
          </w:p>
        </w:tc>
        <w:tc>
          <w:tcPr>
            <w:tcW w:w="6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2,437.7</w:t>
            </w:r>
          </w:p>
        </w:tc>
        <w:tc>
          <w:tcPr>
            <w:tcW w:w="6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9,438.6</w:t>
            </w:r>
          </w:p>
        </w:tc>
        <w:tc>
          <w:tcPr>
            <w:tcW w:w="6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The intangible assets and goodwill acquired are not deductible for tax purposes except for a small portion of goodwill attributable to merger-related transaction costs.</w:t>
      </w:r>
    </w:p>
    <w:p>
      <w:pPr>
        <w:spacing w:after="0" w:line="13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are both probable and reasonably estimable. If</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Pro forma results. </w:t>
      </w:r>
      <w:r>
        <w:rPr>
          <w:rFonts w:ascii="Arial" w:cs="Arial" w:eastAsia="Arial" w:hAnsi="Arial"/>
          <w:sz w:val="18"/>
          <w:szCs w:val="18"/>
          <w:color w:val="auto"/>
        </w:rPr>
        <w:t>The following unaudited condensed pro forma consolidated income statement assumes that the NYMEX Holdings merger was completed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Quarter Ended</w:t>
            </w:r>
          </w:p>
        </w:tc>
      </w:tr>
      <w:tr>
        <w:trPr>
          <w:trHeight w:val="161"/>
        </w:trPr>
        <w:tc>
          <w:tcPr>
            <w:tcW w:w="1044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2008</w:t>
            </w:r>
          </w:p>
        </w:tc>
      </w:tr>
      <w:tr>
        <w:trPr>
          <w:trHeight w:val="210"/>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60" w:type="dxa"/>
            <w:vAlign w:val="bottom"/>
            <w:shd w:val="clear" w:color="auto" w:fill="CCEEFF"/>
          </w:tcPr>
          <w:p>
            <w:pPr>
              <w:spacing w:after="0"/>
              <w:rPr>
                <w:sz w:val="18"/>
                <w:szCs w:val="18"/>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298.6</w:t>
            </w:r>
          </w:p>
        </w:tc>
        <w:tc>
          <w:tcPr>
            <w:tcW w:w="60" w:type="dxa"/>
            <w:vAlign w:val="bottom"/>
          </w:tcPr>
          <w:p>
            <w:pPr>
              <w:spacing w:after="0"/>
              <w:rPr>
                <w:sz w:val="18"/>
                <w:szCs w:val="18"/>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318.1</w:t>
            </w:r>
          </w:p>
        </w:tc>
        <w:tc>
          <w:tcPr>
            <w:tcW w:w="60" w:type="dxa"/>
            <w:vAlign w:val="bottom"/>
          </w:tcPr>
          <w:p>
            <w:pPr>
              <w:spacing w:after="0"/>
              <w:rPr>
                <w:sz w:val="18"/>
                <w:szCs w:val="18"/>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440" w:type="dxa"/>
            <w:vAlign w:val="bottom"/>
          </w:tcPr>
          <w:p>
            <w:pPr>
              <w:ind w:left="4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r>
      <w:tr>
        <w:trPr>
          <w:trHeight w:val="216"/>
        </w:trPr>
        <w:tc>
          <w:tcPr>
            <w:tcW w:w="10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This pro forma information has been prepared for comparative purposes only and is not intended to be indicative of past or future results. The pro forma information for the periods presented includes purchase accounting effects on historical NYMEX Holdings’ operating results, amortization of purchased intangible assets, stock-based compensation expense for unvested stock options as well as the impact of NYMEX’s membership rights payments on investment income. Results include NYMEX Holdings’ merger-related transaction costs of approximately $7.8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CME maintains performance bonds and security deposit requirements for futures and options traded on or cleared through CME, CBOT, NYMEX and other exchange marketplaces, as well as for over-the-counter (OTC) products listed for clearing only. Each firm that clears futures, options and OTC products is required to deposit acceptable collateral and maintain specified performance bonds and security deposits principally in the form of cash, funds deposited in the various Interest Earning Facility programs, U.S. government and certain foreign government securities, bank letters of credit or shares of specific U.S. equity securities. Clearing firm positions executed in the CME, CBOT and NYMEX exchange marketplaces and cleared-only contracts are subject to the guarantee of CME. Each clearing firm’s positions are separately accounted for in regulated and non-regulated accounts, for which performance bond and security deposit requirements are calculated. Performance bonds and security deposits are available to meet the financial obligations of that clearing firm to CME.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offsetting liabilities may vary significantly over time.</w:t>
      </w:r>
    </w:p>
    <w:p>
      <w:pPr>
        <w:spacing w:after="0" w:line="127"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In addition, the rules and regulations of CBOT require certain minimum financial requirements for delivery of physical commodities. To satisfy these requirements, CBOT clearing firms must deposit collateral with CME in the form of cash, U.S. Treasury securities or letters of credit.</w:t>
      </w:r>
    </w:p>
    <w:p>
      <w:pPr>
        <w:spacing w:after="0" w:line="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CME accounts for its guarantee of settlement of contracts in accordance with FASB Interpretation (FIN) No.45, “Guarantor’s Accounting and Disclosure Requirements for Guarantees, Including Indirect Guarantees of Indebtedness of Others.” CME marks to market all open positions at least twice a day and requires payment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security deposit balances as well as other available resources. During the first quarter of 2009, CME transferred an average of approximately $4.0 billion a day through its clearing system for settlement from clearing firms whose positions have lost value to clearing firms whose positions have gained value. CME reduces its guarantee exposure through initial and maintenance performance bond requirements and mandatory security deposits. The company believes that the guarantee liability in accordance with FIN No. 45 is immaterial and therefore has not recorded any liability at March 31,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2009 and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0"/>
              </w:rPr>
              <w:t>March 31,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2008</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spacing w:after="0"/>
              <w:rPr>
                <w:sz w:val="14"/>
                <w:szCs w:val="14"/>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8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$2,842.5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2,723.2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$2,842.5</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2,747.5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Dow Jones licensing agreement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Open interest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Amortizable Intangible Assets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3,052.8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2,880.9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3,053.6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16,982.0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17,436.4</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17,436.4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20,317.3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20,351.4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amortizable intangible assets consist primarily of non-compete and service agreements, trade names with limited lives, and foreign currency translation adjustments on CMA’s intangible assets.</w:t>
      </w:r>
    </w:p>
    <w:p>
      <w:pPr>
        <w:ind w:left="460" w:right="3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indefinite-lived intangible assets consist of products in development, a regulatory license, and foreign currency translation adjustments on CMA’s intangible assets.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$33.3 million and $16.2 million for the quarters ended March 31, 2009 and 2008, respectively.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2009, the future estimated amortization expense related to amortizable intangible assets is expected to be: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20" w:type="dxa"/>
            <w:vAlign w:val="bottom"/>
          </w:tcPr>
          <w:p>
            <w:pPr>
              <w:spacing w:after="0"/>
              <w:rPr>
                <w:sz w:val="14"/>
                <w:szCs w:val="14"/>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2010</w:t>
            </w:r>
          </w:p>
        </w:tc>
        <w:tc>
          <w:tcPr>
            <w:tcW w:w="442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2012</w:t>
            </w:r>
          </w:p>
        </w:tc>
        <w:tc>
          <w:tcPr>
            <w:tcW w:w="442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2014</w:t>
            </w:r>
          </w:p>
        </w:tc>
        <w:tc>
          <w:tcPr>
            <w:tcW w:w="44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w:t>
            </w:r>
          </w:p>
        </w:tc>
      </w:tr>
    </w:tbl>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Dow Jones &amp; Company Inc. (Dow Jones) licensing agreement is an intangible asset that is contract based and subject to renewal. In the first quarter of 2008, the company renewed its licensing agreement with Dow Jones. The company’s policy on the treatment of costs incurred to renew the term of the recognized intangible assets includes amortizing the agreement’s cost over the term of the contract. The company did not incur costs to renew or extend the term of intangible assets during the quarter ended March 31,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quarter ended March 31, 2009 and the year end 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Balance at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Adjustment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Activity (c)</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Total Goodwill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7,519.2</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Balance at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Adjustment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Activity (c)</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2,438.9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Swapstream</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2,499.5</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activity consists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2008, the company recorded an $11.9 million impairment charge to reduce the carrying amount of Swapstream goodwill based on the result of an annual impairment test.</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experienced a decline in its stock price in the fourth quarter of 2008. However, the stock price has increased during the first quarter of 2009. The company is required to consider a market participant’s perspective when developing the assumptions used to estimate fair value for its annual impairment tests. The company conducts goodwill and intangible asset impairment testing annually. It may be possible that the estimated fair value of certain intangible assets and goodwill may be less than net book value when impairment testing is performed in the future. As a result, the company would be required to record an impairment charge at that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On February 9, 2009, CME Group completed a public debt offering of $750.0 million of 5.75% fixed rate notes due in 2014. The proceeds from the offering were used to repay commercial paper borrowings backstopped by the company’s $1.3 billion 364-day revolving bridge facility, which was terminated on February 10, 2009. The 364-day revolving bridge facility was used in part to fund the company’s merger with NYMEX Holdings in August 2008.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120" w:type="dxa"/>
            <w:vAlign w:val="bottom"/>
            <w:gridSpan w:val="4"/>
          </w:tcPr>
          <w:p>
            <w:pPr>
              <w:ind w:left="46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86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8660" w:type="dxa"/>
            <w:vAlign w:val="bottom"/>
            <w:gridSpan w:val="3"/>
          </w:tcPr>
          <w:p>
            <w:pPr>
              <w:spacing w:after="0" w:line="217" w:lineRule="exact"/>
              <w:rPr>
                <w:sz w:val="20"/>
                <w:szCs w:val="20"/>
                <w:color w:val="auto"/>
              </w:rPr>
            </w:pPr>
            <w:r>
              <w:rPr>
                <w:rFonts w:ascii="Arial" w:cs="Arial" w:eastAsia="Arial" w:hAnsi="Arial"/>
                <w:sz w:val="18"/>
                <w:szCs w:val="18"/>
                <w:color w:val="auto"/>
              </w:rPr>
              <w:t>$250 million floating rate notes due 2009, interest equal to 3-month LIBOR plus 0.20%, reset quarterly</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short-term debt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4"/>
            <w:vMerge w:val="restart"/>
          </w:tcPr>
          <w:p>
            <w:pPr>
              <w:ind w:left="46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1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$300 million floating rate notes due 2010, interest equal to 3-month LIBOR plus 0.65%, reset quarterly</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line="217" w:lineRule="exact"/>
              <w:rPr>
                <w:sz w:val="20"/>
                <w:szCs w:val="20"/>
                <w:color w:val="auto"/>
              </w:rPr>
            </w:pPr>
            <w:r>
              <w:rPr>
                <w:rFonts w:ascii="Arial" w:cs="Arial" w:eastAsia="Arial" w:hAnsi="Arial"/>
                <w:sz w:val="18"/>
                <w:szCs w:val="18"/>
                <w:color w:val="auto"/>
              </w:rPr>
              <w:t>Term loan due 2011, interest equal to 3-month LIBOR plus 1%, reset quarterly</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 million fixed rate notes due 2013, coupon rate equal to 5.40%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$750 million fixed rate notes due 2014, coupon rate equal to 5.75%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745.5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Commercial paper</w:t>
            </w:r>
            <w:r>
              <w:rPr>
                <w:rFonts w:ascii="Arial" w:cs="Arial" w:eastAsia="Arial" w:hAnsi="Arial"/>
                <w:sz w:val="22"/>
                <w:szCs w:val="22"/>
                <w:color w:val="auto"/>
                <w:vertAlign w:val="superscript"/>
              </w:rPr>
              <w:t>(4)</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4"/>
          </w:tcPr>
          <w:p>
            <w:pPr>
              <w:ind w:left="46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2,848.2</w:t>
            </w:r>
          </w:p>
        </w:tc>
        <w:tc>
          <w:tcPr>
            <w:tcW w:w="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2,966.1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October 2008, the company entered into an interest-rate swap agreement that modified the variable interest obligation associated with these notes so that the interest payable on the notes effectively became fixed at a rate of 3.12% beginning with the interest accrued after November 6, 2008.</w:t>
      </w:r>
    </w:p>
    <w:p>
      <w:pPr>
        <w:ind w:left="460" w:right="1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460" w:right="2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December 31, 2008, this was the portion of commercial paper backed by the three-year senior credit facility and the 364-day revolving bridge facility. Commercial paper backed by the revolving bridge facility was repaid in February 2009 with the net proceeds from the 5.75% fixed rate notes due 2014 issued on February 9, 2009. At March 31, 2009, this was the portion of commercial paper backed by the three-year senior credit facility.</w:t>
      </w:r>
    </w:p>
    <w:p>
      <w:pPr>
        <w:spacing w:after="0" w:line="10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Commercial paper notes with an aggregate par value of $3,340.6 million and maturities ranging from 1 to 69 days were issued during the quarter ended March 31, 2009. The weighted average discount rate for commercial paper outstanding at March 31, 2009 and December 31, 2008 was 0.89% and 2.61%, respectively. During the first quarter of 2009 and 2008, the weighted average balance of commercial paper outstanding was $1.0 billion and $204.3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are as follows as of March 31, 2009:</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760" w:type="dxa"/>
            <w:vAlign w:val="bottom"/>
          </w:tcPr>
          <w:p>
            <w:pPr>
              <w:spacing w:after="0"/>
              <w:rPr>
                <w:sz w:val="14"/>
                <w:szCs w:val="14"/>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2011</w:t>
            </w:r>
          </w:p>
        </w:tc>
        <w:tc>
          <w:tcPr>
            <w:tcW w:w="4760" w:type="dxa"/>
            <w:vAlign w:val="bottom"/>
          </w:tcPr>
          <w:p>
            <w:pPr>
              <w:jc w:val="right"/>
              <w:spacing w:after="0"/>
              <w:rPr>
                <w:sz w:val="20"/>
                <w:szCs w:val="20"/>
                <w:color w:val="auto"/>
              </w:rPr>
            </w:pPr>
            <w:r>
              <w:rPr>
                <w:rFonts w:ascii="Arial" w:cs="Arial" w:eastAsia="Arial" w:hAnsi="Arial"/>
                <w:sz w:val="18"/>
                <w:szCs w:val="18"/>
                <w:color w:val="auto"/>
              </w:rPr>
              <w:t>1,055.5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2013</w:t>
            </w:r>
          </w:p>
        </w:tc>
        <w:tc>
          <w:tcPr>
            <w:tcW w:w="47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bl>
    <w:p>
      <w:pPr>
        <w:spacing w:after="0" w:line="154" w:lineRule="exact"/>
        <w:rPr>
          <w:sz w:val="20"/>
          <w:szCs w:val="20"/>
          <w:color w:val="auto"/>
        </w:rPr>
      </w:pPr>
    </w:p>
    <w:p>
      <w:pPr>
        <w:ind w:left="5620" w:right="2060" w:hanging="5617"/>
        <w:spacing w:after="0" w:line="440" w:lineRule="auto"/>
        <w:rPr>
          <w:sz w:val="20"/>
          <w:szCs w:val="20"/>
          <w:color w:val="auto"/>
        </w:rPr>
      </w:pPr>
      <w:r>
        <w:rPr>
          <w:rFonts w:ascii="Arial" w:cs="Arial" w:eastAsia="Arial" w:hAnsi="Arial"/>
          <w:sz w:val="18"/>
          <w:szCs w:val="18"/>
          <w:color w:val="auto"/>
        </w:rPr>
        <w:t>Commercial paper is considered to mature in 2011 because it is backed by the three-year senior credit facility, which expires in 2011. 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CBOT</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August 2007, subsequent to its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 Total estimated restructuring costs of $30.3 million consist primarily of severance and transitional payments and contract termination penalties. Payments for restructuring costs related to the merger with CBOT Holdings were substantially complete by July 2008. Total restructuring expense for CBOT was $0.2 million and $1.8 million in the first quarter of 2009 and 2008,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NYMEX</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2008, subsequent to its merger with NYMEX Holdings, the company approved and initiated plans to restructure its operations in order to eliminate redundant costs and improve operational efficiencies. Restructuring efforts include reductions in employee positions and consolidation of trading and other technologies.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Total estimated restructuring costs of $38.0 million consist primarily of severance and transitional payments. Payments for restructuring costs related to the merger with NYMEX Holdings are expected to be substantially complete by August 2009. Costs of $28.9 million were recognized as a liability in the preliminary allocation of NYMEX Holdings’ purchase price, and accordingly, have resulted in an increase to goodwill. In addition to costs recognized in purchase accounting, costs of $9.1 million have been or are expected to be recognized as restructuring expense over the service period required from transitional employees. During the first quarter of 2009, the company recorded restructuring expense of $3.0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Planned</w:t>
            </w:r>
          </w:p>
        </w:tc>
        <w:tc>
          <w:tcPr>
            <w:tcW w:w="38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Interest on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Liability at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8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Deferred</w:t>
            </w: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Accrued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1"/>
              </w:rPr>
              <w:t>Cash</w:t>
            </w:r>
          </w:p>
        </w:tc>
        <w:tc>
          <w:tcPr>
            <w:tcW w:w="2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w:t>
            </w:r>
          </w:p>
        </w:tc>
        <w:tc>
          <w:tcPr>
            <w:tcW w:w="3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to Date</w:t>
            </w: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 - CBOT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Severance and related costs - NYMEX</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terminations - CBOT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Restructuring</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38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64.8</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 and Guarantees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There are two purported class action complaints pending against the former NYMEX Holdings, the former NYMEX Holdings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CME Group in the Delaware Court of Chancery related to the merger between CME Group and NYMEX Holdings.</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shareholders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September 26, 2008, the member plaintiff, jointly with the shareholder plaintiffs, filed a motion for declaratory judgment and requested an expedited hearing on their motions. On October 2, 2008, the Court denied the plaintiffs’ request for expedition and granted CME Group’s request to stay discovery in both actions. On March 17, 2009, the court heard all outstanding motions (the company’s motion for summary judgment and motion to dismiss and the plaintiffs’ motion for partial summary judgment). The company is currently awaiting the court’s decision. Based on its investigation to date and advice from counsel, the company believes this suit is without merit and intends to defend itself vigorously against these charges.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Inc. (CBOE). The lawsuit seeks to enforce and protect the exercise right privileges (ERP). The lawsuit alleges that these ERPs allow CBOT’s full members who hold them to become full members of CBOE and to participate on an equal basis with other members of CBOE in CBOE’s announced plans to demutualize. On June 2, 2008, the parties reached a settlement in principle. Pursuant to the terms of the settlement, holders of ERPs could submit a claim to participate in the settlement as a Class A or Class B settlement participant up until October 14, 2008. Participating Class A members will share in an equity pool equal to 18 percent of the total common stock issued by CBOE in its demutualization and will share in a cash pool of up to $300.0 million, subject to a cap of $600,000 per individual. Participating Class B members would be paid $250,000 per ERP. In December 2008, the judge heard objections to the proposed settlement. The company is currently awaiting the court’s ruling on the approval of the settlement. In connection with the CBOT Holdings merger, the company provided holders of ERPs the option of tendering their ERP to the company for $250,000 payable following the closing of the merger or to participate in the CBOE lawsuit with a guaranteed payment of up to $250,000 from the company if the lawsuit results in a recovery of less than that amount. The maximum possible aggregate payment under the company’s guarantee, assuming that all outstanding ERPs are paid $250,000 by the company, is $293.0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that has been extended through October 2009. CME can</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collateral in the form of U.S. Treasury securities or irrevocable letters of credit. At March 31, 2009, CME was contingently liable to SGX on irrevocable letters of credit totaling $23.0 million and had pledged securities with a fair value of $114.6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Payments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converted CBOT options and converted NYMEX options, was $9.2 million for the quarter ended March 31, 2009, and $6.9 million for the quarter ended March 31, 2008. The total income tax benefit recognized in the consolidated statements of income for stock-based payment arrangements was $3.7 million and $2.7 million for the quarters ended March 31, 2009 and 2008, respectively.</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first quarter of 2009, the company granted employees stock options totaling 9,885 shares under the CME Group Omnibus Stock Plan. The options have a ten-year term with an exercise price of $195 per share, the closing market price on the date of grant. The fair value of these options totaled $0.8 million, measured at the grant date using the Black-Scholes valuation model, which is recognized as compensation expense on an accelerated basis over the vesting period. The Black-Scholes fair value of the option grant was calculated using the following assumptions: dividend yield of 2.4%; expected volatility of 48.8%; risk-free interest rate of 2.4% and expected life of 6.5 years. The grant date weighted average fair value of options granted during the quarter was $78 per share.</w:t>
      </w:r>
    </w:p>
    <w:p>
      <w:pPr>
        <w:spacing w:after="0" w:line="11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In the first quarter of 2009, 3,608 shares of previously issued and vested restricted stock awards were released to former NYMEX Holdings non-executive directors. Under the terms of the merger agreement with NYMEX Holdings, these shares were subject to a six-month holding period. Release of the shares was not contingent upon any service conditions. As a result, the $1.2 million fair value of these grants is included in NYMEX Holding’s preliminary purchase price.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SFAS No. 157, “Fair Value Measurements” provides guidance for using fair value to measure assets and liabilities by defining fair value and establishing a framework for measuring fair value. The standard creates a three-level hierarchy that establishes classification of fair value measurements for disclosure purposes.</w:t>
      </w: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general, the company uses quoted prices in active markets for identical assets to determine the fair value of marketable securities, securities lending collateral and equity investments. Level 1 assets include U.S. Treasury securities, exchange-traded mutual funds, repurchase agreements and publicly traded equity securities. If quoted prices are not available to determine fair value, the company uses other inputs that are observable either directly or indirectly. Assets included in Level 2 consist primarily of U.S. Government agency securities, corporate bonds,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assets and require management’s judgment.</w:t>
      </w:r>
    </w:p>
    <w:p>
      <w:pPr>
        <w:spacing w:after="0" w:line="10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determined the fair value of its interest rate swap contracts, considered Level 2 assets, using standard valuation models with market-based observable inputs including forward and spot exchange rates and interest rate curves.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March 31, 2009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Level 1</w:t>
            </w:r>
          </w:p>
        </w:tc>
        <w:tc>
          <w:tcPr>
            <w:tcW w:w="20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40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Municipal bonds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agency securities</w:t>
            </w:r>
          </w:p>
        </w:tc>
        <w:tc>
          <w:tcPr>
            <w:tcW w:w="4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Total</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Corporate bonds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Repurchase agreements</w:t>
            </w:r>
          </w:p>
        </w:tc>
        <w:tc>
          <w:tcPr>
            <w:tcW w:w="4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Equity investments</w:t>
            </w:r>
          </w:p>
        </w:tc>
        <w:tc>
          <w:tcPr>
            <w:tcW w:w="4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Liabilities at Fair Value:</w:t>
            </w:r>
          </w:p>
        </w:tc>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at Fair Value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40" w:type="dxa"/>
            <w:vAlign w:val="bottom"/>
            <w:vMerge w:val="restart"/>
          </w:tcPr>
          <w:p>
            <w:pPr>
              <w:jc w:val="right"/>
              <w:ind w:right="277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first quarter of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Guarantee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Lending</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Privileges</w:t>
            </w:r>
          </w:p>
        </w:tc>
        <w:tc>
          <w:tcPr>
            <w:tcW w:w="0" w:type="dxa"/>
            <w:vAlign w:val="bottom"/>
          </w:tcPr>
          <w:p>
            <w:pPr>
              <w:spacing w:after="0"/>
              <w:rPr>
                <w:sz w:val="1"/>
                <w:szCs w:val="1"/>
                <w:color w:val="auto"/>
              </w:rPr>
            </w:pPr>
          </w:p>
        </w:tc>
      </w:tr>
      <w:tr>
        <w:trPr>
          <w:trHeight w:val="161"/>
        </w:trPr>
        <w:tc>
          <w:tcPr>
            <w:tcW w:w="91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3"/>
              </w:rPr>
              <w:t>Assets</w:t>
            </w:r>
          </w:p>
        </w:tc>
        <w:tc>
          <w:tcPr>
            <w:tcW w:w="6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Liability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Realized and unrealized gains (losses):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non-operating income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Included in other comprehensive income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assets (liabilities) at March 31, 2009</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86"/>
              </w:rPr>
              <w:t>(1.2)</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Total unrealized gains (losses) related to financial assets and liabilities in the consolidated balance sheet at March 31,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2009, CME Group did not record impairment on any assets or liabilities that are recorded at fair value on a nonrecurring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shares of all classes of common stock outstanding for each reporting period. Diluted earnings per common share reflects the increase in shares using the treasury stock method to reflect the impact of an equivalent number of shares of common stock if stock options were exercised and restricted stock awards were converted into common stock. Outstanding stock options of approximately 734,000 and 134,000 were anti-dilutive for the quarters ended March 31, 2009 and 2008, respectively. Restricted stock awards of approximately 5,000 were anti-dilutive for the quarter ended March 31, 2009. There were no anti-dilutive restricted stock awards for the quarter ended March 31, 2008. These options and awards were not included in the diluted earnings per common share calculations.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FASB Staff Position (FSP) No. EITF 03-6-1, “Determining Whether Instruments Granted in Share-Based Payment Transactions Are Participating Securities,” is effective for fiscal years beginning after December 31, 2008. The company determined that the impact of using the two-class method prescribed by FSP No. EITF 03-6-1 is immaterial.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Quarter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4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w w:val="99"/>
              </w:rPr>
              <w:t>Weighted Average Number of Common Shares (in thousands):</w:t>
            </w: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66,439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Basic</w:t>
            </w:r>
          </w:p>
        </w:tc>
        <w:tc>
          <w:tcPr>
            <w:tcW w:w="4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640" w:type="dxa"/>
            <w:vAlign w:val="bottom"/>
          </w:tcPr>
          <w:p>
            <w:pPr>
              <w:jc w:val="right"/>
              <w:ind w:right="37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CME Group’s Annual Report on Form 10-K for the year ended December 31, 2008.</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 March 23, 2008, CME Group acquired Credit Market Analysis Limited and its wholly-owned subsidiaries (collectively, CMA). On August 22, 2008, NYMEX Holdings, Inc. (NYMEX Holdings) merged with CME Group. The following Management’s Discussion and Analysis of Financial Condition and Results of Operations includes the financial results of CMA beginning on March 24, 2008, and the financial results of the former NYMEX Holdings beginning August 23, 2008.</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comparability of our operating results for the first quarter of 2009 to the same period in 2008 is significantly impacted by our merger with NYMEX Holdings. In the discussion and analysis that follows, we have quantified the incremental revenue and expense resulting from these transactions wherever such amounts were material and identifiable. While identified amounts may provide indications of general trends, the analysis cannot completely address the effects attributable to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0"/>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306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225.2</w:t>
            </w:r>
          </w:p>
        </w:tc>
        <w:tc>
          <w:tcPr>
            <w:tcW w:w="4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199.1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283.5</w:t>
            </w:r>
          </w:p>
        </w:tc>
        <w:tc>
          <w:tcPr>
            <w:tcW w:w="4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2"/>
        </w:trPr>
        <w:tc>
          <w:tcPr>
            <w:tcW w:w="5560" w:type="dxa"/>
            <w:vAlign w:val="bottom"/>
            <w:gridSpan w:val="3"/>
          </w:tcPr>
          <w:p>
            <w:pPr>
              <w:spacing w:after="0"/>
              <w:rPr>
                <w:sz w:val="20"/>
                <w:szCs w:val="20"/>
                <w:color w:val="auto"/>
              </w:rPr>
            </w:pPr>
            <w:r>
              <w:rPr>
                <w:rFonts w:ascii="Arial" w:cs="Arial" w:eastAsia="Arial" w:hAnsi="Arial"/>
                <w:sz w:val="18"/>
                <w:szCs w:val="18"/>
                <w:color w:val="auto"/>
              </w:rPr>
              <w:t>Cash flows from operations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376.9</w:t>
            </w:r>
          </w:p>
        </w:tc>
        <w:tc>
          <w:tcPr>
            <w:tcW w:w="4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operating revenues was attributable primarily to revenue contributed by NYMEX products and services, rental income and revenue generated by GFX Corporation (GFX). These increases were partially offset by a decline in overall CME and CBOT trading volume and processing services revenues due to the merger with NYMEX Holdings.</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most significant increases in operating expenses occurred in amortization of purchased intangibles, compensation and benefits costs as well as licensing and other fee agreements due primarily to the merger with NYMEX Holdings.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in non-operating income (expense) was primarily attributable to an increase in interest expense and other borrowing costs resulting from debt issuances in August 2008 and February 2009.</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effective tax rate was lower in 2008 due primarily to the favorable impact of an Illinois tax law change in the first quarter of 2008. An increase in our state and local tax rates as the result of our merger with NYMEX Holdings in August 2008 contributed to a rise in our effective tax rate in 2009.</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decline in diluted earnings per share reflects the impact of common stock issuances made in conjunction with the NYMEX Holdings merger.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trading volumes contributed to a decrease in cash flows from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194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7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56.8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647.1</w:t>
            </w: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625.1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Clearing and Transaction Fees</w:t>
      </w:r>
      <w:r>
        <w:rPr>
          <w:rFonts w:ascii="Arial" w:cs="Arial" w:eastAsia="Arial" w:hAnsi="Arial"/>
          <w:sz w:val="18"/>
          <w:szCs w:val="18"/>
          <w:color w:val="auto"/>
        </w:rPr>
        <w:t>. The increase in revenues was primarily attributable to the incremental trading volume generated by NYMEX products and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services as well as an increase in the average rate per contract during the first quarter of 2009 when compared with the same period in 2008. This increase was offset by a decline in overall trading volume for CME and CBOT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Volume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average daily trading volume. For comparative purposes, CME, CBOT and NYMEX products have been presented separately.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amounts exclude TRAKRS and Swapstream products.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4200" w:type="dxa"/>
            <w:vAlign w:val="bottom"/>
          </w:tcPr>
          <w:p>
            <w:pPr>
              <w:spacing w:after="0"/>
              <w:rPr>
                <w:sz w:val="14"/>
                <w:szCs w:val="14"/>
                <w:color w:val="auto"/>
              </w:rPr>
            </w:pPr>
          </w:p>
        </w:tc>
        <w:tc>
          <w:tcPr>
            <w:tcW w:w="2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520" w:type="dxa"/>
            <w:vAlign w:val="bottom"/>
            <w:gridSpan w:val="3"/>
            <w:vMerge w:val="continue"/>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Products and Services Average Daily Volume:</w:t>
            </w:r>
          </w:p>
        </w:tc>
        <w:tc>
          <w:tcPr>
            <w:tcW w:w="4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3,780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3,325</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3,613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3"/>
        </w:trPr>
        <w:tc>
          <w:tcPr>
            <w:tcW w:w="452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4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3"/>
        </w:trPr>
        <w:tc>
          <w:tcPr>
            <w:tcW w:w="452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4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848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4520" w:type="dxa"/>
            <w:vAlign w:val="bottom"/>
            <w:gridSpan w:val="3"/>
          </w:tcPr>
          <w:p>
            <w:pPr>
              <w:spacing w:after="0"/>
              <w:rPr>
                <w:sz w:val="20"/>
                <w:szCs w:val="20"/>
                <w:color w:val="auto"/>
              </w:rPr>
            </w:pPr>
            <w:r>
              <w:rPr>
                <w:rFonts w:ascii="Arial" w:cs="Arial" w:eastAsia="Arial" w:hAnsi="Arial"/>
                <w:sz w:val="18"/>
                <w:szCs w:val="18"/>
                <w:color w:val="auto"/>
              </w:rPr>
              <w:t>CME ClearPort</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0" w:type="dxa"/>
            <w:vAlign w:val="bottom"/>
          </w:tcPr>
          <w:p>
            <w:pPr>
              <w:jc w:val="right"/>
              <w:ind w:right="2832"/>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3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CME</w:t>
            </w:r>
          </w:p>
        </w:tc>
        <w:tc>
          <w:tcPr>
            <w:tcW w:w="3080" w:type="dxa"/>
            <w:vAlign w:val="bottom"/>
          </w:tcPr>
          <w:p>
            <w:pPr>
              <w:jc w:val="right"/>
              <w:ind w:right="172"/>
              <w:spacing w:after="0"/>
              <w:rPr>
                <w:sz w:val="20"/>
                <w:szCs w:val="20"/>
                <w:color w:val="auto"/>
              </w:rPr>
            </w:pPr>
            <w:r>
              <w:rPr>
                <w:rFonts w:ascii="Arial" w:cs="Arial" w:eastAsia="Arial" w:hAnsi="Arial"/>
                <w:sz w:val="18"/>
                <w:szCs w:val="18"/>
                <w:color w:val="auto"/>
              </w:rPr>
              <w:t>6,101</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8,825</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CBOT</w:t>
            </w:r>
          </w:p>
        </w:tc>
        <w:tc>
          <w:tcPr>
            <w:tcW w:w="3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2,471</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NYMEX</w:t>
            </w:r>
          </w:p>
        </w:tc>
        <w:tc>
          <w:tcPr>
            <w:tcW w:w="3080" w:type="dxa"/>
            <w:vAlign w:val="bottom"/>
          </w:tcPr>
          <w:p>
            <w:pPr>
              <w:jc w:val="right"/>
              <w:ind w:right="172"/>
              <w:spacing w:after="0"/>
              <w:rPr>
                <w:sz w:val="20"/>
                <w:szCs w:val="20"/>
                <w:color w:val="auto"/>
              </w:rPr>
            </w:pPr>
            <w:r>
              <w:rPr>
                <w:rFonts w:ascii="Arial" w:cs="Arial" w:eastAsia="Arial" w:hAnsi="Arial"/>
                <w:sz w:val="18"/>
                <w:szCs w:val="18"/>
                <w:color w:val="auto"/>
              </w:rPr>
              <w:t>1,187</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CME ClearPort</w:t>
            </w:r>
          </w:p>
        </w:tc>
        <w:tc>
          <w:tcPr>
            <w:tcW w:w="3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629</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323"/>
        </w:trPr>
        <w:tc>
          <w:tcPr>
            <w:tcW w:w="7080" w:type="dxa"/>
            <w:vAlign w:val="bottom"/>
          </w:tcPr>
          <w:p>
            <w:pPr>
              <w:spacing w:after="0"/>
              <w:rPr>
                <w:sz w:val="20"/>
                <w:szCs w:val="20"/>
                <w:color w:val="auto"/>
              </w:rPr>
            </w:pPr>
            <w:r>
              <w:rPr>
                <w:rFonts w:ascii="Arial" w:cs="Arial" w:eastAsia="Arial" w:hAnsi="Arial"/>
                <w:sz w:val="18"/>
                <w:szCs w:val="18"/>
                <w:color w:val="auto"/>
              </w:rPr>
              <w:t>Electronic Volume:</w:t>
            </w: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CME</w:t>
            </w:r>
          </w:p>
        </w:tc>
        <w:tc>
          <w:tcPr>
            <w:tcW w:w="3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5,269</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7,235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CBOT</w:t>
            </w:r>
          </w:p>
        </w:tc>
        <w:tc>
          <w:tcPr>
            <w:tcW w:w="3080" w:type="dxa"/>
            <w:vAlign w:val="bottom"/>
          </w:tcPr>
          <w:p>
            <w:pPr>
              <w:jc w:val="right"/>
              <w:ind w:right="172"/>
              <w:spacing w:after="0"/>
              <w:rPr>
                <w:sz w:val="20"/>
                <w:szCs w:val="20"/>
                <w:color w:val="auto"/>
              </w:rPr>
            </w:pPr>
            <w:r>
              <w:rPr>
                <w:rFonts w:ascii="Arial" w:cs="Arial" w:eastAsia="Arial" w:hAnsi="Arial"/>
                <w:sz w:val="18"/>
                <w:szCs w:val="18"/>
                <w:color w:val="auto"/>
              </w:rPr>
              <w:t>1,986</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3,862</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NYMEX</w:t>
            </w:r>
          </w:p>
        </w:tc>
        <w:tc>
          <w:tcPr>
            <w:tcW w:w="3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968</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Electronic Volume as a Percentage of Total Average Daily Volume</w:t>
            </w:r>
          </w:p>
        </w:tc>
        <w:tc>
          <w:tcPr>
            <w:tcW w:w="30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not meaningful</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overall decrease in volume in the first quarter of 2009 was primarily attributable to a decline in interest rate volume. The decrease in volume was partially offset by the addition of NYMEX product lines. In the following discussion on volume, NYMEX volume information for the prior period is provided for comparative purposes only and does not correspond to revenue recognized by CME Group prior to the merger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In the first quarter of 2009, the global credit crisis and the Federal Reserve Bank’s zero interest rate policy for short term interest rates were the primary contributors to the overall decrease in interest rate volume. We believe the credit crisis has led to increased risk aversion, distorted historical relationships within the interest rate markets and reduced debt issuance. As long as these conditions are present and in the absence of offsetting events and circumstances, we expect to continue to see lower interest rate trading volume in 2009 when compared with 2008.</w:t>
      </w:r>
    </w:p>
    <w:p>
      <w:pPr>
        <w:spacing w:after="0" w:line="32"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Eurodollar futures contracts volume decreased by 50% to an average of 1.6 million contracts per day in the first quarter of 2009 when compared with the same period in 2008. Average daily volume for Eurodollar options, which are primarily traded through open outcry, decreased by 54% to 0.6 million contracts per day in the first quarter of 2009 when compared with the same period in 2008. We believe the decrease in volume was primarily attributable to the extreme volatility and decoupling of related markets, which have reduced certain customers’ ability to assume and maintain positions. We believe the increase in market volatility was generated from uncertainty regarding interest rate expectations as a result of the recession.</w:t>
      </w:r>
    </w:p>
    <w:p>
      <w:pPr>
        <w:spacing w:after="0" w:line="35"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The 10-Year U.S. Treasury note futures and options decreased by 52% to an average of 0.8 million contracts per day in the first quarter of 2009 compared with the same period in 2008. Average daily volume for the 5-Year U.S. Treasury note futures and options decreased by 63% to 0.4 million contracts per day in the first quarter of 2009 compared with the same period in 2008. In addition, the 30-Year U.S. Treasury note futures and options decreased by 52% to an average of 0.3 million contracts per day. Average daily volume for the 2-Year U.S. Treasury note futures and options decreased by 66% to 0.1 million contracts per day. The decline in overall U.S. Treasury note futures and options volume is believed to be due largely to the credit crisis, which has resulted in reduced corporate debt issuances, reduced mortgage issuances and refinances, a slowdown in U.S. Treasury cash market trading and the Federal Reserve Bank’s plan to purchase U.S. Treasury securities.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The decline in trading volume for equity products during the first quarter of 2009 was due primarily to the termination of our license to list Russell-based contracts in September 2008. Trading volume for the Russell-based contracts averaged 322,000 contracts per day for the first quarter of 2008.</w:t>
      </w:r>
    </w:p>
    <w:p>
      <w:pPr>
        <w:spacing w:after="0" w:line="4"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Average daily volume for our E-mini equity products decreased by 7% to 3.2 million when compared with the same period in 2008, which was primarily driven by the termination of our license to list Russell-based contracts. Included in this overall decrease in E-mini equity product volume were E-mini NASDAQ 100 contracts, which declined 28% to an average of 0.3 million per day. The decline in overall E-mini product volume was partially offset by an increase in E-mini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S&amp;P futures and options, which rose 8% to an average of 2.8 million contracts per day. We believe that the shift in volumes from the E-mini NASDAQ contracts to the E-mini S&amp;P contracts is attributable to a shift by market participants to more liquid markets during periods of high market volatility caused by the recession. Average volatility, as measured by the CBOE Volatility Index, increased to 45% during the first quarter of 2009 compared with 26% in the same period in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We believe trading volume for foreign exchange products declined in the first quarter of 2009, when compared with the same period in 2008, due largely to extreme market volatility, convergence of global interest rates and increased risk aversion by market participants resulting from the recession. The average daily volume for the Japanese yen products decreased 41% to 90,000 contracts per day in the first quarter of 2009. In the first quarter of 2009, the average daily volume of electronically-traded foreign exchange products accounted for 96% of total foreign exchange average daily volume compared with 94% in the same period of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The overall trading volume for commodities increased in the first quarter of 2009 when compared with the same period in 2008 due primarily to the addition of exchange-traded NYMEX products to our existing product lines. NYMEX products consist mainly of energy futures and options as well as futures and options on precious and base metals.</w:t>
      </w:r>
    </w:p>
    <w:p>
      <w:pPr>
        <w:spacing w:after="0" w:line="59"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During the first quarter of 2009, volume for standard corn products decreased by 24% to an average of 237,000 contracts per day. Average daily volume of standard soybean products declined by 24% to 167,000 contracts in the first quarter of 2009 when compared with the same period in 2008. We believe the decline in overall commodities volume was due primarily to the decreased investment in commodities as an asset class resulting from the recession.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CME ClearPort Services</w:t>
      </w:r>
    </w:p>
    <w:p>
      <w:pPr>
        <w:spacing w:after="0" w:line="90" w:lineRule="exact"/>
        <w:rPr>
          <w:sz w:val="20"/>
          <w:szCs w:val="20"/>
          <w:color w:val="auto"/>
        </w:rPr>
      </w:pPr>
    </w:p>
    <w:p>
      <w:pPr>
        <w:ind w:left="460" w:right="320"/>
        <w:spacing w:after="0" w:line="255" w:lineRule="auto"/>
        <w:rPr>
          <w:sz w:val="20"/>
          <w:szCs w:val="20"/>
          <w:color w:val="auto"/>
        </w:rPr>
      </w:pPr>
      <w:r>
        <w:rPr>
          <w:rFonts w:ascii="Arial" w:cs="Arial" w:eastAsia="Arial" w:hAnsi="Arial"/>
          <w:sz w:val="18"/>
          <w:szCs w:val="18"/>
          <w:color w:val="auto"/>
        </w:rPr>
        <w:t>Average daily volume for over-the-counter contracts cleared through CME ClearPort (formerly NYMEX ClearPort prior to the merger in August 2008) increased by 33% to 0.6 million contracts in the first quarter of 2009 when compared with the first quarter of 2008. Contracts cleared through CME ClearPort include primarily natural gas, crude oil and other energy-related contracts. The revenue contributed by CME ClearPort clearing services was $67.0 million in the first quarter of 2009. Approximately 91% of CME ClearPort revenue in the first quarter of 2009 was attributable to natural gas, petroleum and crude oil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the first quarter of 2009, the increase in the average rate per contract when compared with the same period of 2008 contributed to an increase in revenues. All amounts in the following table exclude TRAKRS and Swapstream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Quarter Ended March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volume </w:t>
            </w: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 xml:space="preserve">Clearing and transaction fees </w:t>
            </w:r>
            <w:r>
              <w:rPr>
                <w:rFonts w:ascii="Arial" w:cs="Arial" w:eastAsia="Arial" w:hAnsi="Arial"/>
                <w:sz w:val="18"/>
                <w:szCs w:val="18"/>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527.7</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524.9</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increase in the overall rate per contract was primarily attributable to the addition of NYMEX products and CME ClearPort services to our existing offerings. For the first quarter of 2009, average rates per contract for NYMEX products and CME ClearPort services were $1.476 and $1.745, respectively. In addition, the overall rate per contract increased due to a lower portion of CME interest rate products as a percentage of total volume compared with CME equity products, which have a higher rate per contract. As a percentage of total volume, equity products trading volume increased by 13% in the first quarter of 2009, while interest rate products volume decreased by 16% when compared with the same period in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increase in the average rate per contract during the first quarter of 2009 was partially offset by a decrease in the average rate per contract for the E-mini S&amp;P futures and options because incremental volume exceeded the CME Globex fee cap.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Volume/Rate Analysis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Average rate per contract is impacted by our rate structure, which includes volume-based incentives; product mix; trading venue, and the percentage of trading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volume executed by customers who are members compared with non-member customers. Due to the relationship between average rate per contract and volume,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change in revenue attributable to changes in each is only an approximation. Using the total volume and average rate per contract data provided in the 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we estimate that clearing and transactions fees revenues increased by $169.5 million due to the increase in average rate per contract and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$166.7 million due to the decline in total volume, resulting in a net increase in revenues in the first quarter of 2009 when compared with the same period in 2008.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and cleared on behalf of their customers. As of March 31, 2009, we had approximately 130 clearing firms. Two firms represented 13% and 11% of our clearing and transaction fees revenue for the first quarter of 2009. Should a clearing firm discontinue operations, we believe the customer portion of the firm’s trading activity would likely transfer to another clearing firm of the exchange. Therefore, we do not believe a concentration would expose us to significant risk from the loss of revenues earned from a particular firm.</w:t>
      </w:r>
    </w:p>
    <w:p>
      <w:pPr>
        <w:spacing w:after="0" w:line="1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i w:val="1"/>
          <w:iCs w:val="1"/>
          <w:u w:val="single" w:color="auto"/>
          <w:color w:val="auto"/>
        </w:rPr>
        <w:t>Quotation Data Fees</w:t>
      </w:r>
      <w:r>
        <w:rPr>
          <w:rFonts w:ascii="Arial" w:cs="Arial" w:eastAsia="Arial" w:hAnsi="Arial"/>
          <w:sz w:val="18"/>
          <w:szCs w:val="18"/>
          <w:color w:val="auto"/>
        </w:rPr>
        <w:t>. The increase in revenues in the first quarter of 2009 when compared with the same period of 2008 was largely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revenue of $24.8 million generated from NYMEX services.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(dollars in millions except monthly fee per device)</w:t>
            </w:r>
          </w:p>
        </w:tc>
        <w:tc>
          <w:tcPr>
            <w:tcW w:w="120" w:type="dxa"/>
            <w:vAlign w:val="bottom"/>
          </w:tcPr>
          <w:p>
            <w:pPr>
              <w:spacing w:after="0"/>
              <w:rPr>
                <w:sz w:val="14"/>
                <w:szCs w:val="14"/>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Quarter Ended 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1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89"/>
              </w:rPr>
              <w:t>435,000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301,000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Basic device monthly fee per device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02"/>
              <w:spacing w:after="0"/>
              <w:rPr>
                <w:sz w:val="20"/>
                <w:szCs w:val="20"/>
                <w:color w:val="auto"/>
              </w:rPr>
            </w:pPr>
            <w:r>
              <w:rPr>
                <w:rFonts w:ascii="Arial" w:cs="Arial" w:eastAsia="Arial" w:hAnsi="Arial"/>
                <w:sz w:val="18"/>
                <w:szCs w:val="18"/>
                <w:color w:val="auto"/>
              </w:rPr>
              <w:t>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Estimated increase in revenue due to an increase in screen counts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Data feed surcharges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CME, CBOT and NYMEX services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CMA services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two largest resellers of our market data generated approximately 56% of our quotation data fees in the first quarter of 2009. However, we consider exposure to significant risk of revenue loss to be minimal despite this concentration.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the two largest quote vendors report usage and remit payment for exchange market data fees directly to us.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Processing Services</w:t>
      </w:r>
      <w:r>
        <w:rPr>
          <w:rFonts w:ascii="Arial" w:cs="Arial" w:eastAsia="Arial" w:hAnsi="Arial"/>
          <w:sz w:val="18"/>
          <w:szCs w:val="18"/>
          <w:color w:val="auto"/>
        </w:rPr>
        <w:t>. The decline in revenues in the first quarter of 2009 when compared with 2008 was primarily attributable to the termination of our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agreement with NYMEX Holdings as a result of the merger in August 2008. Our trade matching agreement with NYMEX Holdings generated revenues of $17.0 million in the first quarter of 2008.</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u w:val="single" w:color="auto"/>
          <w:color w:val="auto"/>
        </w:rPr>
        <w:t>Access and Communication Fees</w:t>
      </w:r>
      <w:r>
        <w:rPr>
          <w:rFonts w:ascii="Arial" w:cs="Arial" w:eastAsia="Arial" w:hAnsi="Arial"/>
          <w:sz w:val="16"/>
          <w:szCs w:val="16"/>
          <w:color w:val="auto"/>
        </w:rPr>
        <w:t>. The increase in revenues was due primarily to the ongoing upgrade of customer bandwidth connections and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of our co-location program. The increase in revenues was partially offset by a decline in trading floor-related fees resulting from the consolidation of our Chicago trading floors in mid-2008. The merger with NYMEX Holdings did not result in any material incremental revenues during the first quarter of 2009.</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color w:val="auto"/>
        </w:rPr>
        <w:t>. The growth in revenues in the first quarter of 2009 when compared with the same period in 2008 was largely attributable to the rental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associated revenues generated from building operations acquired in our merger with NYMEX Holdings. NYMEX Holdings’ operations contributed incremental revenues of $3.0 million in the first quarter of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addition, trading revenue generated by GFX increased by $3.0 million in the first quarter of 2009 due to an increase in trading activity.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194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7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color w:val="auto"/>
        </w:rPr>
        <w:t>. The overall increase in compensation and benefits expense in the first quarter of 2009, when compared with the same period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primarily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deferred compensation plan</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Bonus</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90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headcount increased by about 340 employees, or 17%, in the first quarter of 2009 compared with the same period in 2008. The increase was due primarily to the addition of approximately 400 employees in our merger with NYMEX Holdings in August 2008, partially offset by the impact of our restructuring initiatives. As of March 31, 2009 and 2008, we had approximately 2,280 and 1,990 employees, respectively.</w:t>
      </w:r>
    </w:p>
    <w:p>
      <w:pPr>
        <w:spacing w:after="0" w:line="25"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increased in the first quarter of 2009 due mainly to the expense related to the June 2008 grant and the conversion of stock options previously granted to NYMEX Holdings’ employees.</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first quarter of 2009, the increase in expense was also attributable to an increase in our non-qualified deferred compensation plan liability, the impact of which does not affect net income because of an equal and offsetting change in investment income.</w:t>
      </w:r>
    </w:p>
    <w:p>
      <w:pPr>
        <w:spacing w:after="0" w:line="4" w:lineRule="exact"/>
        <w:rPr>
          <w:rFonts w:ascii="Arial" w:cs="Arial" w:eastAsia="Arial" w:hAnsi="Arial"/>
          <w:sz w:val="16"/>
          <w:szCs w:val="16"/>
          <w:color w:val="auto"/>
        </w:rPr>
      </w:pPr>
    </w:p>
    <w:p>
      <w:pPr>
        <w:ind w:left="900" w:right="4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in expense were partially offset by a reduction in bonus expense. Bonus expense decreased due primarily to a decline in performance relative to our 2009 cash earnings target versus our 2008 performance relative to our 2008 cash earnings target.</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u w:val="single" w:color="auto"/>
          <w:color w:val="auto"/>
        </w:rPr>
        <w:t>Communications</w:t>
      </w:r>
      <w:r>
        <w:rPr>
          <w:rFonts w:ascii="Arial" w:cs="Arial" w:eastAsia="Arial" w:hAnsi="Arial"/>
          <w:sz w:val="18"/>
          <w:szCs w:val="18"/>
          <w:color w:val="auto"/>
        </w:rPr>
        <w:t>. The decrease in expense in the first quarter of 2009 was due primarily to the elimination of costs incurred to support our CBOT metals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on e-CBOT. The metals trading products sale was completed in the third quarter of 2008. In addition, expense decreased as a result of the consolidation of trading systems and floor operations for CME and CBOT and improved network efficiencies. Decreases were partially offset by $1.4 million of expense generated from NYMEX trading operations during the first quarter of 2009.</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u w:val="single" w:color="auto"/>
          <w:color w:val="auto"/>
        </w:rPr>
        <w:t>Technology Support Services</w:t>
      </w:r>
      <w:r>
        <w:rPr>
          <w:rFonts w:ascii="Arial" w:cs="Arial" w:eastAsia="Arial" w:hAnsi="Arial"/>
          <w:sz w:val="18"/>
          <w:szCs w:val="18"/>
          <w:color w:val="auto"/>
        </w:rPr>
        <w:t>. Expense decreased in the first quarter of 2009 compared with the same period in 2008 due to the termination of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agreements for the e-CBOT electronic trading platform. The agreements were terminated in July 2008. The decrease was partially offset by incremental expense of $1.5 million generated by NYMEX operations in the first quarter of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u w:val="single" w:color="auto"/>
          <w:color w:val="auto"/>
        </w:rPr>
        <w:t>Professional Fees and Outside Services</w:t>
      </w:r>
      <w:r>
        <w:rPr>
          <w:rFonts w:ascii="Arial" w:cs="Arial" w:eastAsia="Arial" w:hAnsi="Arial"/>
          <w:sz w:val="15"/>
          <w:szCs w:val="15"/>
          <w:color w:val="auto"/>
        </w:rPr>
        <w:t>. The increase in expense is related primarily to expenses incurred to support various strategic initiatives. In addition, legal</w:t>
      </w:r>
      <w:r>
        <w:rPr>
          <w:rFonts w:ascii="Arial" w:cs="Arial" w:eastAsia="Arial" w:hAnsi="Arial"/>
          <w:sz w:val="15"/>
          <w:szCs w:val="15"/>
          <w:i w:val="1"/>
          <w:iCs w:val="1"/>
          <w:color w:val="auto"/>
        </w:rPr>
        <w:t xml:space="preserve"> </w:t>
      </w:r>
      <w:r>
        <w:rPr>
          <w:rFonts w:ascii="Arial" w:cs="Arial" w:eastAsia="Arial" w:hAnsi="Arial"/>
          <w:sz w:val="15"/>
          <w:szCs w:val="15"/>
          <w:color w:val="auto"/>
        </w:rPr>
        <w:t>fees and consulting services as well as temporary staffing and other outside services associated with our merger integration efforts contributed to the increase.</w:t>
      </w:r>
    </w:p>
    <w:p>
      <w:pPr>
        <w:spacing w:after="0" w:line="6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u w:val="single" w:color="auto"/>
          <w:color w:val="auto"/>
        </w:rPr>
        <w:t>Amortization of Purchased Intangibles</w:t>
      </w:r>
      <w:r>
        <w:rPr>
          <w:rFonts w:ascii="Arial" w:cs="Arial" w:eastAsia="Arial" w:hAnsi="Arial"/>
          <w:sz w:val="18"/>
          <w:szCs w:val="18"/>
          <w:color w:val="auto"/>
        </w:rPr>
        <w:t>. The increase in expense in the first quarter of 2009 compared with the same period in 2008 was due largely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intangible assets acquired in our merger with NYMEX Holdings, which was completed in August 2008.</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u w:val="single" w:color="auto"/>
          <w:color w:val="auto"/>
        </w:rPr>
        <w:t>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decreased in the first quarter of 2009 when compared with the same period in 2008 as a result of systems integration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floor consolidation in the first half of 2008. The decrease was partially offset by depreciation of assets acquired in our merger with NYMEX Holdings.</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2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35.1</w:t>
            </w: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33.4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2460" w:type="dxa"/>
            <w:vAlign w:val="bottom"/>
            <w:gridSpan w:val="3"/>
          </w:tcPr>
          <w:p>
            <w:pPr>
              <w:jc w:val="right"/>
              <w:ind w:right="280"/>
              <w:spacing w:after="0"/>
              <w:rPr>
                <w:sz w:val="20"/>
                <w:szCs w:val="20"/>
                <w:color w:val="auto"/>
              </w:rPr>
            </w:pPr>
            <w:r>
              <w:rPr>
                <w:rFonts w:ascii="Arial" w:cs="Arial" w:eastAsia="Arial" w:hAnsi="Arial"/>
                <w:sz w:val="18"/>
                <w:szCs w:val="18"/>
                <w:color w:val="auto"/>
              </w:rPr>
              <w:t>92%</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u w:val="single" w:color="auto"/>
          <w:color w:val="auto"/>
        </w:rPr>
        <w:t>Occupancy and Building Operations</w:t>
      </w:r>
      <w:r>
        <w:rPr>
          <w:rFonts w:ascii="Arial" w:cs="Arial" w:eastAsia="Arial" w:hAnsi="Arial"/>
          <w:sz w:val="16"/>
          <w:szCs w:val="16"/>
          <w:color w:val="auto"/>
        </w:rPr>
        <w:t>. The increase in expense in the first quarter of 2009 compared with the same period in 2008 was primarily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real estate acquired in our merger with NYMEX Holdings. The acquired property resulted in an increase in utilities, maintenance, property taxes and insurance expenses, partially offset by a decrease in expenses due to a reduction in temporary space at our Chicago headquarters.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color w:val="auto"/>
        </w:rPr>
        <w:t>. The increase in expense is attributable primarily to royalty fees and broker rebates on NYMEX products which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$11.4 million in the first quarter of 2009.</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u w:val="single" w:color="auto"/>
          <w:color w:val="auto"/>
        </w:rPr>
        <w:t>Restructuring</w:t>
      </w:r>
      <w:r>
        <w:rPr>
          <w:rFonts w:ascii="Arial" w:cs="Arial" w:eastAsia="Arial" w:hAnsi="Arial"/>
          <w:sz w:val="16"/>
          <w:szCs w:val="16"/>
          <w:color w:val="auto"/>
        </w:rPr>
        <w:t>. The increase in expense was attributable primarily to the NYMEX restructuring program, which we initiated in August 2008. We will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$3.7 million of additional expense under this program, which is expected to be substantially complete by August 2009.</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u w:val="single" w:color="auto"/>
          <w:color w:val="auto"/>
        </w:rPr>
        <w:t>Other Expense</w:t>
      </w:r>
      <w:r>
        <w:rPr>
          <w:rFonts w:ascii="Arial" w:cs="Arial" w:eastAsia="Arial" w:hAnsi="Arial"/>
          <w:sz w:val="16"/>
          <w:szCs w:val="16"/>
          <w:color w:val="auto"/>
        </w:rPr>
        <w:t>. The decrease in expenses in the first quarter when compared with the same period in 2008 consists of a $3.7 million write-off related to in-process</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acquired in the CMA purchase in 2008 and a $2.7 million provision for litigation matters recognized in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900" w:type="dxa"/>
            <w:vAlign w:val="bottom"/>
            <w:gridSpan w:val="8"/>
          </w:tcPr>
          <w:p>
            <w:pPr>
              <w:ind w:left="2580"/>
              <w:spacing w:after="0"/>
              <w:rPr>
                <w:sz w:val="20"/>
                <w:szCs w:val="20"/>
                <w:color w:val="auto"/>
              </w:rPr>
            </w:pPr>
            <w:r>
              <w:rPr>
                <w:rFonts w:ascii="Arial" w:cs="Arial" w:eastAsia="Arial" w:hAnsi="Arial"/>
                <w:sz w:val="14"/>
                <w:szCs w:val="14"/>
                <w:b w:val="1"/>
                <w:bCs w:val="1"/>
                <w:color w:val="auto"/>
              </w:rPr>
              <w:t>Quarter Ended March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860" w:type="dxa"/>
            <w:vAlign w:val="bottom"/>
            <w:gridSpan w:val="3"/>
            <w:vMerge w:val="continue"/>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Securities lending interest and other costs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Guarantee of exercise rights privileges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u w:val="single" w:color="auto"/>
          <w:color w:val="auto"/>
        </w:rPr>
        <w:t>Investment Income</w:t>
      </w:r>
      <w:r>
        <w:rPr>
          <w:rFonts w:ascii="Arial" w:cs="Arial" w:eastAsia="Arial" w:hAnsi="Arial"/>
          <w:sz w:val="16"/>
          <w:szCs w:val="16"/>
          <w:color w:val="auto"/>
        </w:rPr>
        <w:t>. During the first quarter of 2009, investment income decreased due largely to decreases in market interest rates resulting from rate reductions</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Federal Open Market Committee throughout 2008. The decrease was partially offset by an increase in invested portion of clearing firms’ cash from performance bonds and security deposits in the first quarter of 2009 compared with the same period in 2008.</w:t>
      </w:r>
    </w:p>
    <w:p>
      <w:pPr>
        <w:spacing w:after="0" w:line="10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Annualized average rates of return and average investment balances indicated in the table below include short-term investments classified as cash and cash equivalents, marketable securities and the portion of clearing firms’ cash performance bonds and security deposits that we chose to invest.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Quarter Ended 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8340" w:type="dxa"/>
            <w:vAlign w:val="bottom"/>
            <w:gridSpan w:val="3"/>
            <w:vMerge w:val="continue"/>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640" w:type="dxa"/>
            <w:vAlign w:val="bottom"/>
          </w:tcPr>
          <w:p>
            <w:pPr>
              <w:jc w:val="right"/>
              <w:spacing w:after="0"/>
              <w:rPr>
                <w:sz w:val="20"/>
                <w:szCs w:val="20"/>
                <w:color w:val="auto"/>
              </w:rPr>
            </w:pPr>
            <w:r>
              <w:rPr>
                <w:rFonts w:ascii="Arial" w:cs="Arial" w:eastAsia="Arial" w:hAnsi="Arial"/>
                <w:sz w:val="18"/>
                <w:szCs w:val="18"/>
                <w:color w:val="auto"/>
                <w:w w:val="82"/>
              </w:rPr>
              <w:t>$ 3,290.8</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$ 1,604.7</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1,686.1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rate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Change in income due to balance</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analysis presented in the table above does not include income (loss) on insurance contracts or gains (losses) on marketable securities related to our non-qualified deferred compensation plans. Realized losses on marketable securities related to the deferred compensation plans were $1.1 million and $1.8 million for the first quarter of 2009 and 2008, respectively. We exclude the impact of the marketable securities related to our non-qualified deferred compensation plan from this analysis because gains and losses from these securities are offset by an equal amount of compensation and benefits expense. Dividend income of $0.4 million received from our investment in BM&amp;FBovespaSA (BM&amp;F) stock in the first quarter of 2009 is also excluded from the table above.</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u w:val="single" w:color="auto"/>
          <w:color w:val="auto"/>
        </w:rPr>
        <w:t>Gains (Losses) on Derivative Investments</w:t>
      </w:r>
      <w:r>
        <w:rPr>
          <w:rFonts w:ascii="Arial" w:cs="Arial" w:eastAsia="Arial" w:hAnsi="Arial"/>
          <w:sz w:val="18"/>
          <w:szCs w:val="18"/>
          <w:color w:val="auto"/>
        </w:rPr>
        <w:t>. In the first quarter of 2008, the net loss on derivative contracts was due primarily to the unrealized loss on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purchased to hedge our risk of changes in the fair value of BM&amp;F stock resulting from foreign currency exchange rate fluctuations between the U.S. dollar and the Brazilian real. The put option was entered into in February 2008 with Lehman Brothers Special Financing Inc., and was terminated in September 2008 by us when Lehman Brothers Holdings Inc. filed for bankruptcy.</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Securities Lending Income and Expense</w:t>
      </w:r>
      <w:r>
        <w:rPr>
          <w:rFonts w:ascii="Arial" w:cs="Arial" w:eastAsia="Arial" w:hAnsi="Arial"/>
          <w:sz w:val="18"/>
          <w:szCs w:val="18"/>
          <w:color w:val="auto"/>
        </w:rPr>
        <w:t>. CME’s securities lending program remained suspended during the first quarter of 2009 due to high volatility in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extreme demand for U.S. Treasury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64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 (in billions)</w:t>
            </w:r>
          </w:p>
        </w:tc>
        <w:tc>
          <w:tcPr>
            <w:tcW w:w="322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(2.4)</w:t>
            </w:r>
          </w:p>
        </w:tc>
        <w:tc>
          <w:tcPr>
            <w:tcW w:w="0" w:type="dxa"/>
            <w:vAlign w:val="bottom"/>
          </w:tcPr>
          <w:p>
            <w:pPr>
              <w:spacing w:after="0"/>
              <w:rPr>
                <w:sz w:val="1"/>
                <w:szCs w:val="1"/>
                <w:color w:val="auto"/>
              </w:rPr>
            </w:pPr>
          </w:p>
        </w:tc>
      </w:tr>
      <w:tr>
        <w:trPr>
          <w:trHeight w:val="322"/>
        </w:trPr>
        <w:tc>
          <w:tcPr>
            <w:tcW w:w="5920" w:type="dxa"/>
            <w:vAlign w:val="bottom"/>
          </w:tcPr>
          <w:p>
            <w:pPr>
              <w:spacing w:after="0"/>
              <w:rPr>
                <w:sz w:val="20"/>
                <w:szCs w:val="20"/>
                <w:color w:val="auto"/>
              </w:rPr>
            </w:pPr>
            <w:r>
              <w:rPr>
                <w:rFonts w:ascii="Arial" w:cs="Arial" w:eastAsia="Arial" w:hAnsi="Arial"/>
                <w:sz w:val="18"/>
                <w:szCs w:val="18"/>
                <w:color w:val="auto"/>
              </w:rPr>
              <w:t>Annualized average rate earned</w:t>
            </w:r>
          </w:p>
        </w:tc>
        <w:tc>
          <w:tcPr>
            <w:tcW w:w="2240" w:type="dxa"/>
            <w:vAlign w:val="bottom"/>
          </w:tcPr>
          <w:p>
            <w:pPr>
              <w:spacing w:after="0"/>
              <w:rPr>
                <w:sz w:val="24"/>
                <w:szCs w:val="24"/>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22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2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0.73%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analysis above does not include activity for the NYMEX securities lending program, which had assets totaling $155.4 million at March 31, 2009. During the first quarter of 2009, securities lending interest income for this program was $2.4 million and securities lending interest expense and bank fees totaled $0.4 million. We intend to wind down this program during 2009 as our investments mature.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Interest and Other Borrowing Costs</w:t>
      </w:r>
      <w:r>
        <w:rPr>
          <w:rFonts w:ascii="Arial" w:cs="Arial" w:eastAsia="Arial" w:hAnsi="Arial"/>
          <w:sz w:val="18"/>
          <w:szCs w:val="18"/>
          <w:color w:val="auto"/>
        </w:rPr>
        <w:t>. In the first quarter of 2009, interest and other borrowing costs increased due largely to higher average debt levels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debt issued in August 2008 and February 2009. These borrowings consisted of commercial paper and short- and long-term notes. During the first quarter of 2008, borrowings outstanding consisted of commercial paper.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Quarter Ended March 31,</w:t>
            </w:r>
          </w:p>
        </w:tc>
        <w:tc>
          <w:tcPr>
            <w:tcW w:w="6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borrowings outstanding (in millions)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$ 3,178.4</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  204.3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$2,974.1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4840" w:type="dxa"/>
            <w:vAlign w:val="bottom"/>
            <w:gridSpan w:val="3"/>
          </w:tcPr>
          <w:p>
            <w:pPr>
              <w:jc w:val="right"/>
              <w:ind w:right="320"/>
              <w:spacing w:after="0"/>
              <w:rPr>
                <w:sz w:val="20"/>
                <w:szCs w:val="20"/>
                <w:color w:val="auto"/>
              </w:rPr>
            </w:pPr>
            <w:r>
              <w:rPr>
                <w:rFonts w:ascii="Arial" w:cs="Arial" w:eastAsia="Arial" w:hAnsi="Arial"/>
                <w:sz w:val="18"/>
                <w:szCs w:val="18"/>
                <w:color w:val="auto"/>
              </w:rPr>
              <w:t>3.76%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63"/>
        </w:trPr>
        <w:tc>
          <w:tcPr>
            <w:tcW w:w="4760" w:type="dxa"/>
            <w:vAlign w:val="bottom"/>
          </w:tcPr>
          <w:p>
            <w:pPr>
              <w:spacing w:after="0"/>
              <w:rPr>
                <w:sz w:val="24"/>
                <w:szCs w:val="24"/>
                <w:color w:val="auto"/>
              </w:rPr>
            </w:pPr>
          </w:p>
        </w:tc>
        <w:tc>
          <w:tcPr>
            <w:tcW w:w="3640" w:type="dxa"/>
            <w:vAlign w:val="bottom"/>
          </w:tcPr>
          <w:p>
            <w:pPr>
              <w:jc w:val="right"/>
              <w:ind w:right="2512"/>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cost of borrowing includes interest, commitment fees, accretion of discounts on debt and debt issuance costs. In February 2009, we terminated our revolving bridge facility. Total debt issuance costs for the bridge facility during the first quarter of 2009 were $7.6 million, including $4.6 million of accelerated costs resulting from the facility’s termination.</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u w:val="single" w:color="auto"/>
          <w:color w:val="auto"/>
        </w:rPr>
        <w:t>Guarantee of Exercise Right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our merger with CBOT Holdings, holders that did not elect to sell their ERPs to us are entitled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guaranteed payment of up to $250,000 upon resolution of the lawsuit between CBOT and CBOE. In December 2008, a settlement hearing for the ERP litigation was held. However, a final ruling has not been made. Our liability under the guarantee, which is recorded at fair value in other liabilities in our consolidated balance sheets, was estimated at $1.2 million as of March 31, 2009 and December 31, 2008. Our reassessment of estimated fair value during the first quarter of 2009 did not result in a change in the recorded amount of the guarantee liability. We will continue to reassess and, if necessary, adjust the fair value of the guarantee liability until the lawsuit is resolved.</w:t>
      </w:r>
    </w:p>
    <w:p>
      <w:pPr>
        <w:spacing w:after="0" w:line="14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i w:val="1"/>
          <w:iCs w:val="1"/>
          <w:u w:val="single" w:color="auto"/>
          <w:color w:val="auto"/>
        </w:rPr>
        <w:t>Equity in Losses of Unconsolidated Subsidiaries</w:t>
      </w:r>
      <w:r>
        <w:rPr>
          <w:rFonts w:ascii="Arial" w:cs="Arial" w:eastAsia="Arial" w:hAnsi="Arial"/>
          <w:sz w:val="16"/>
          <w:szCs w:val="16"/>
          <w:color w:val="auto"/>
        </w:rPr>
        <w:t>. The decrease in losses in the first quarter of 2009 when compared with the same period in 2008 was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termination of our investment in FXMS, our joint venture with Reuters, in the third quarter of 2008. The decrease in losses from FXMS was partially offset by losses from our investment in DME Holdings Limited, an investment acquired in our merger with NYMEX Holdings.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Non-Operating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is attributable to transfer and other transaction fees related to our investment in BM&amp;F in the first quarter of 2008.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effective tax rate increased to 43.2% for the first quarter of 2009 from 30.4% in the same period of 2008. The increase was due primarily to an Illinois tax law change enacted in the first quarter of 2008 that resulted in a $38.6 million decrease in our tax expense and our net deferred tax liability in the first quarter of 2008. In addition, in the first quarter of 2009, it was determined that $6.3 million of federal tax positions were determined to not meet the required more-likely-than-not standard. As a result, a liability was established under FIN No. 48. The increase in the effective tax rate was also due to an increase in our ongoing state and local tax rates as a result of our merger with NYMEX Holdings in August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color w:val="auto"/>
        </w:rPr>
        <w:t>. Net cash provided by operating activities was $254.7 million for the first quarter of 2009 compared with $376.9 million for the same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period in 2008. For the first quarter, net cash provided by operating activities was $55.6 million higher than net income. This increase consisted primarily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$90.1 million increase in income taxes payable, $33.3 million of amortization of purchased intangibles and $31.0 million of depreciation and amortization,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$53.3 million decrease in other current liabilities and a $45.1 million increase in accounts receivable. The increase in income tax payable is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expense exceeding the income tax payments during the first quarter. The decrease in other current liabilities is due primarily to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bonus expense as well as accrued restructuring related to our merger with NYMEX Holdings. Accounts receivable in any period result primarily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clearing and transaction fees billed in the last month of the reporting period.</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investing activities was $301.0 million in the first quarter of 2009 compared with cash used in investing activities of $100.6 million in the first quarter of 2008. The increase in cash was due primarily to a $274.4 million decrease in the NYMEX securities lending program investments and the $68.8 million acquisition of CMA, net of cash received, in the prior year.</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Cash used in financing activities was $514.4 million in the first quarter of 2009 compared with $55.2 million for the same period in 2008. The increase in cash used was due primarily to an increase in commercial paper maturities, net of proceeds of $860.1 million and a $299.8 million decrease in NYMEX securities lending liabilities, partially offset by proceeds from debt issuances, net of costs, of $744.7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color w:val="auto"/>
        </w:rPr>
        <w:t>. We maintain public debt of $2.1 billion, including $250.0 million of floating rate notes due in 2009, $300.0 million of floating rate notes due in</w:t>
      </w:r>
      <w:r>
        <w:rPr>
          <w:rFonts w:ascii="Arial" w:cs="Arial" w:eastAsia="Arial" w:hAnsi="Arial"/>
          <w:sz w:val="16"/>
          <w:szCs w:val="16"/>
          <w:i w:val="1"/>
          <w:iCs w:val="1"/>
          <w:color w:val="auto"/>
        </w:rPr>
        <w:t xml:space="preserve"> </w:t>
      </w:r>
      <w:r>
        <w:rPr>
          <w:rFonts w:ascii="Arial" w:cs="Arial" w:eastAsia="Arial" w:hAnsi="Arial"/>
          <w:sz w:val="16"/>
          <w:szCs w:val="16"/>
          <w:color w:val="auto"/>
        </w:rPr>
        <w:t>2010, $750.0 million 5.40% fixed rate notes due in 2013 and $750.0 million of 5.75% fixed rate notes due in 2014. The floating rate notes due in 2009 and 2010 accrue interest at the London Interbank Offered Rate (LIBOR) plus 0.20% and LIBOR plus 0.65%, respectively. We entered into interest-rate swap agreements that effectively fixed the rate at 3.12% and 3.92% for floating rate notes due in 2009 and 2010, respectively. The proceeds from the debt issuance were used to finance the merger with NYMEX Holdings and to repay any outstanding commercial paper borrowings that were backstopped by the 364-day revolving bridge facility as well as for general corporate purposes. We terminated the bridge facility on February 10, 2009.</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also maintain a $1.4 billion senior credit facility with various financial institutions, which includes a term loan of $420.5 million and a revolving credit facility of $995.5 million. We may, at our option, as long as we are not in default under the senior credit facility, increase the facility from time to time by an aggregate amount of up to $1.1 billion to a total of $2.5 billion of revolving loans with only the consent of the agent and the lenders providing the additional funds. Proceeds from the senior credit facility were used to pay fees and expenses and finance the merger with NYMEX Holdings, to pay fees and expenses in connection with the refinancing of existing debt of NYMEX Holdings, to finance dividends and stock repurchases, as well as to support issuances of commercial paper. The revolving credit facility expires on August 21,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2009, we have excess borrowing capacity for general corporate purposes of approximately $310.1 million.</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maintain a 364-day revolving line of credit with a consortium of banks to be used in certain situations by our clearing house. The line of credit provides for borrowings of up to $600.0 million. This line of credit is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At March 31, 2009, security deposit collateral available was $2.3 billion. We have the option to request an increase in the line from $600.0 million to $1.0 billion with the participating banks’ approval. The revolving credit facility expires on October 9, 2009.</w:t>
      </w:r>
    </w:p>
    <w:p>
      <w:pPr>
        <w:spacing w:after="0" w:line="144"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As of March 31, 2009, we maintained an AA long-term credit rating and an A1+ short-term credit rating with Standard &amp; Poor’s. We maintained an Aa3 long-term credit rating and a P1 short-term credit rating with Moody’s Investor Service (Moody’s). The outlook for our ratings is considered stable by Standard &amp; Poor’s and Moody’s. 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 In addition, our senior credit facility and revolving line of credit also require that we maintain a specified minimum net worth. As of March 31, 2009, we are in compliance with the various covenant requirements of all our debt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indentures governing our floating and fixed rate notes, our 364-day credit facility for $600.0 million and our revolving credit and term loan agreement for</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$1.4 billion due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93"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For example, under our revolving credit and term loan agreement, we are required to remain in compliance with a consolidated net worth test, defined as our consolidated shareholders’ equity as of June 30, 2008 on a pro forma basis to give effect to the NYMEX Holdings merger and to give effect to the share repurchases made and special dividends paid, but only up to the amount of such repurchases and dividends publicly announced and made or paid within 18 months after August 22, 2008 (and in no event greater than $1.5 billion in the aggregate for such repurchases and dividends), multiplied by 0.65.</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364-day credit facility contains a requirement that CME remain in compliance with a consolidated tangible net worth test, defined as consolidated shareholders’ equity less intangible assets (as defined in the agreement), of not less than $96.0 million. In the event CME elects to increase the facility, the minimum consolidated tangible net worth test will increase ratably up to $120.0 million. 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CME Group and its subsidiaries are also required to comply with restrictions contained in the General Corporation Laws of its state of incorporation which could also limit its (or their) ability to declare and pay dividends. The decision to pay dividends is also subject to the discretion of each entity’s board of directors.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March 31, 2009, the letters of credit totaled $23.0 million. In addition, we had pledged securities with a fair value of $114.6 million at March 31, 2009.</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 The letter of credit would be utilized in the event that GFX defaults in meeting performance bond requirements to its clearing firm.</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$339.2 million at March 31, 2009 and $297.9 million at December 31, 2008.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In June 2008, we approved a repurchase of up to $1.1 billion of CME Group Class A common stock over a period of 18 months. Effective January 2009, we have temporarily suspended this program to devote our excess cash flows to debt reduction.</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Net current deferred tax assets of $33.9 million and $95.5 million are included in other current assets at March 31, 2009 and December 31,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primarily unrealized losses and accrued expenses.</w:t>
      </w:r>
    </w:p>
    <w:p>
      <w:pPr>
        <w:spacing w:after="0" w:line="1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long-term deferred tax liabilities were $7.7 billion at March 31, 2009 and December 31, 2008. Total net deferred tax liabilities include deferred tax liabilities of $7.8 billion at March 31, 2009 and December 31, 2008 related to purchase accounting for intangible assets in our mergers with CBOT Holdings and NYMEX Holdings.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 long-term deferred tax asset included within our domestic long-term deferred tax liability of $144.9 million for an unrealized capital loss incurred in Brazil related to our investment in BM&amp;F. As of March 31, 2009, we do not currently meet the more-likely-than-not threshold that would allow us to fully realize the value of the unrealized capital loss. As a result, a partial valuation allowance of $24.7 million was previously provided for the amount of the unrealized capital loss that exceeds potential capital gains that could be used to offset the capital loss in future periods. We also have a long-term deferred tax asset related to Brazilian taxes of $127.1 million for a net operating loss and an unrealized capital loss incurred in Brazil related to our investment in BM&amp;F. A full valuation allowance of $127.1 million was previously provided because we do not believe that we currently meet the more-likely-than-not threshold that would allow us to realize the value of the net operating loss or the unrealized capital loss in Brazil in the future.</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long-term deferred tax assets also include a $15.8 million deferred tax asset for net operating losses related to Swapstream. Since Swapstream has not yet developed a pattern of operating income, our assessment at March 31, 2009 is that we do not currently meet the more-likely-than-not threshold that would allow us to realize the value of foreign net operating losses in the future. As a result, the $15.8 million deferred tax asset arising from these net operating losses was fully reserved as the losses were incurred.</w:t>
      </w:r>
    </w:p>
    <w:p>
      <w:pPr>
        <w:spacing w:after="0" w:line="143"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i w:val="1"/>
          <w:iCs w:val="1"/>
          <w:u w:val="single" w:color="auto"/>
          <w:color w:val="auto"/>
        </w:rPr>
        <w:t>Fair Value Measurements</w:t>
      </w:r>
      <w:r>
        <w:rPr>
          <w:rFonts w:ascii="Arial" w:cs="Arial" w:eastAsia="Arial" w:hAnsi="Arial"/>
          <w:sz w:val="15"/>
          <w:szCs w:val="15"/>
          <w:color w:val="auto"/>
        </w:rPr>
        <w:t>. In order to determine the fair value of financial assets and liabilities, we use the three-level framework established by SFAS No. 157,</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 Measurements.” In general, we use quoted prices in active markets for identical assets to determine fair values of marketable securities, securities lending collateral and equity investments. Level 1 assets include U.S. Treasury securities, exchange-traded mutual funds, repurchase agreements and publicly-traded equity securities. If quoted prices are not available to determine fair value, we use other inputs that are observable either directly or indirectly. Assets included in Level 2 consist primarily of U.S. Government agency securities,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0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We determine the fair value of the interest rate swap contracts, considered Level 2 assets, using standard valuation models that are based on market-based observable inputs including forward and spot exchange rates and interest rate curves.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March 31, 2009 are classified in their entirety based on the lowest level of input that is significant to the asset or liability’s fair value measurement.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Level 1</w:t>
            </w:r>
          </w:p>
        </w:tc>
        <w:tc>
          <w:tcPr>
            <w:tcW w:w="20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collateral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Liabilities at Fair Value: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first quarter of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Guarantee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Lending</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Privileges</w:t>
            </w:r>
          </w:p>
        </w:tc>
        <w:tc>
          <w:tcPr>
            <w:tcW w:w="0" w:type="dxa"/>
            <w:vAlign w:val="bottom"/>
          </w:tcPr>
          <w:p>
            <w:pPr>
              <w:spacing w:after="0"/>
              <w:rPr>
                <w:sz w:val="1"/>
                <w:szCs w:val="1"/>
                <w:color w:val="auto"/>
              </w:rPr>
            </w:pPr>
          </w:p>
        </w:tc>
      </w:tr>
      <w:tr>
        <w:trPr>
          <w:trHeight w:val="161"/>
        </w:trPr>
        <w:tc>
          <w:tcPr>
            <w:tcW w:w="91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3"/>
              </w:rPr>
              <w:t>Assets</w:t>
            </w:r>
          </w:p>
        </w:tc>
        <w:tc>
          <w:tcPr>
            <w:tcW w:w="6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Liability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Realized and unrealized gains (losses):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non-operating income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Included in other comprehensive income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assets (liabilities) at March 31, 2009</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86"/>
              </w:rPr>
              <w:t>(1.2)</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Total unrealized gains (losses) related to financial assets and liabilities in the consolidated balance sheet at March 31,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2009</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2009, we did not record impairment on any assets or liabilities that are recorded at fair value on a nonrecurring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2009, FASB issued FASB Staff Position (FSP) No. FAS 107-1 and APB 28-1, “Interim Disclosures about Fair Value of Financial Instruments.” FSP No. 107-1 requires publicly-traded companies to include disclosures about the fair value of its financial instruments whenever it issues summarized financial information for interim reporting periods. This standard is effective for interim reporting periods ending after June 15, 2009, with early adoption permitted for periods ending after March 15, 2009. To the extent they are material, we will include required disclosures beginning with the quarterly report for the period ended June 30,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 following discussion addresses only material changes in our market risk exposure since December 31, 2008. This discussion should be read in conjunction with Item 7A. of CME Group’s Annual Report on Form 10-K for the year ended December 31,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securities whose sale is restricted for greater than 12 months are carried at cost, net of impairment charges, until the restriction is within 12 months of expiration at which time they are recorded at fair value.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Fair values are based on quoted market prices or management’s estimates of fair value as of the balance sheet dates.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equity investments at March 31, 2009. Equity investments are included in other assets in our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Original</w:t>
            </w:r>
          </w:p>
        </w:tc>
        <w:tc>
          <w:tcPr>
            <w:tcW w:w="32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Gain (Loss),</w:t>
            </w:r>
          </w:p>
        </w:tc>
        <w:tc>
          <w:tcPr>
            <w:tcW w:w="0" w:type="dxa"/>
            <w:vAlign w:val="bottom"/>
          </w:tcPr>
          <w:p>
            <w:pPr>
              <w:spacing w:after="0"/>
              <w:rPr>
                <w:sz w:val="1"/>
                <w:szCs w:val="1"/>
                <w:color w:val="auto"/>
              </w:rPr>
            </w:pPr>
          </w:p>
        </w:tc>
      </w:tr>
      <w:tr>
        <w:trPr>
          <w:trHeight w:val="161"/>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$ 262.9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$27.1</w:t>
            </w:r>
            <w:r>
              <w:rPr>
                <w:rFonts w:ascii="Arial" w:cs="Arial" w:eastAsia="Arial" w:hAnsi="Arial"/>
                <w:sz w:val="11"/>
                <w:szCs w:val="11"/>
                <w:color w:val="auto"/>
                <w:w w:val="90"/>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TSX Group Inc. </w:t>
            </w:r>
            <w:r>
              <w:rPr>
                <w:rFonts w:ascii="Arial" w:cs="Arial" w:eastAsia="Arial" w:hAnsi="Arial"/>
                <w:sz w:val="22"/>
                <w:szCs w:val="22"/>
                <w:color w:val="auto"/>
                <w:vertAlign w:val="superscript"/>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IMAREX ASA </w:t>
            </w:r>
            <w:r>
              <w:rPr>
                <w:rFonts w:ascii="Arial" w:cs="Arial" w:eastAsia="Arial" w:hAnsi="Arial"/>
                <w:sz w:val="22"/>
                <w:szCs w:val="22"/>
                <w:color w:val="auto"/>
                <w:vertAlign w:val="superscript"/>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February 2008, we exchanged 1.2 million shares of CME Group Class A common stock for 101.1 million shares in BM&amp;F. The company may not sell its shares in BM&amp;F for four years after the purchase date. As a result, BM&amp;F stock is reported in other assets at original cost less impairment loss until within 12 months of the restriction lapsing, after which time the stock will be accounted for as an available-for-sale security. The unrealized gain related to BM&amp;F stock is currently not recorded.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was acquired in August 2008 as part of our merger with NYMEX Holdings.</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do not currently hedge against equity price risk. All equity securities are assessed for other-than-temporary impairment on a quarterly basis. An assessment of whether a security is other-than-temporarily impaired takes into consideration the magnitude and duration of the unrealized loss. As of March 31, 2009, we determined that unrealized losses on our equity investments were not an indication of other-than-temporary impairment.</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also exposed to foreign currency exchange rate risk related to these investments. Any foreign currency exchange rate risk related to these investments is reflected in the unrealized gain (loss) presented in the table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60" w:firstLine="8"/>
        <w:spacing w:after="0" w:line="298"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40" w:firstLine="8"/>
        <w:spacing w:after="0" w:line="298"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During the first quarter of 2009, the company continued with its integration of the NYMEX Holdings business into the business of CME Group, including the integration of the internal controls and procedures of the former NYMEX Holdings and its subsidiaries into CME Group’s internal controls over financial reporting. There were no other changes in the company’s internal control over financial reporting during the period covered by this quarterly report that have materially affected, or are reasonably likely to materially affect, internal control over financial reporting, other than the integration efforts relating to the merger with NYMEX Holdings.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Legal Proceedings as described in our Annual Report on Form 10-K, filed with the SEC on March 2, 2009.</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as described in our Annual Report on Form 10-K, filed with the SEC on March 2, 2009.</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(d)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 Total Number of</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Class A</w:t>
            </w:r>
          </w:p>
        </w:tc>
        <w:tc>
          <w:tcPr>
            <w:tcW w:w="7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Trading</w:t>
            </w:r>
          </w:p>
        </w:tc>
        <w:tc>
          <w:tcPr>
            <w:tcW w:w="7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 Programs(1)</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6"/>
              </w:rPr>
              <w:t>Shares Purchased</w:t>
            </w:r>
          </w:p>
        </w:tc>
        <w:tc>
          <w:tcPr>
            <w:tcW w:w="720" w:type="dxa"/>
            <w:vAlign w:val="bottom"/>
          </w:tcPr>
          <w:p>
            <w:pPr>
              <w:spacing w:after="0"/>
              <w:rPr>
                <w:sz w:val="14"/>
                <w:szCs w:val="14"/>
                <w:color w:val="auto"/>
              </w:rPr>
            </w:pPr>
          </w:p>
        </w:tc>
        <w:tc>
          <w:tcPr>
            <w:tcW w:w="17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3"/>
              </w:rPr>
              <w:t>Paid Per Share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to January 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138,779</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194.52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February 1 to February 28</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to March 31</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138,779</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194.52</w:t>
            </w:r>
          </w:p>
        </w:tc>
        <w:tc>
          <w:tcPr>
            <w:tcW w:w="1180" w:type="dxa"/>
            <w:vAlign w:val="bottom"/>
          </w:tcPr>
          <w:p>
            <w:pPr>
              <w:jc w:val="right"/>
              <w:spacing w:after="0"/>
              <w:rPr>
                <w:sz w:val="20"/>
                <w:szCs w:val="20"/>
                <w:color w:val="auto"/>
              </w:rPr>
            </w:pPr>
            <w:r>
              <w:rPr>
                <w:rFonts w:ascii="Arial" w:cs="Arial" w:eastAsia="Arial" w:hAnsi="Arial"/>
                <w:sz w:val="18"/>
                <w:szCs w:val="18"/>
                <w:color w:val="auto"/>
              </w:rPr>
              <w:t>138,779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terms of the share buyback program announced on June 23, 2008, the company is authorized to purchase Class A common stock with a value of up to $1.1 billion, subject to market conditions. The buyback program will take place over a period of up to 18 months. The authorization of the board of directors permits the repurchase of shares through the open market, an accelerated program, a tender offer or privately negotiated transactions. The share buyback authorization remains in place, however, during the first quarter of 2009 the company suspended purchasing shares in the near-term and is focused on paying down debt.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700" w:right="60" w:hanging="688"/>
        <w:spacing w:after="0" w:line="259"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6, dated as of March 2, 2009, to that certain License Agreement dated September 20, 2005, as amended by and between Standard &amp; Poor’s Financial Services LLC, as assignee and successor in interest to Standard &amp; Poor’s Standard &amp; Poor’s, a division of The McGraw-Hill Companies, and Chicago Mercantile Exchange Inc.</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Section 302 Certification—James E. Parisi</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b w:val="1"/>
                <w:bCs w:val="1"/>
                <w:color w:val="auto"/>
              </w:rPr>
              <w:t>CME Group Inc.</w:t>
            </w:r>
          </w:p>
        </w:tc>
      </w:tr>
      <w:tr>
        <w:trPr>
          <w:trHeight w:val="222"/>
        </w:trPr>
        <w:tc>
          <w:tcPr>
            <w:tcW w:w="3440" w:type="dxa"/>
            <w:vAlign w:val="bottom"/>
          </w:tcPr>
          <w:p>
            <w:pPr>
              <w:spacing w:after="0"/>
              <w:rPr>
                <w:sz w:val="19"/>
                <w:szCs w:val="19"/>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r>
      <w:tr>
        <w:trPr>
          <w:trHeight w:val="448"/>
        </w:trPr>
        <w:tc>
          <w:tcPr>
            <w:tcW w:w="3440" w:type="dxa"/>
            <w:vAlign w:val="bottom"/>
          </w:tcPr>
          <w:p>
            <w:pPr>
              <w:spacing w:after="0"/>
              <w:rPr>
                <w:sz w:val="20"/>
                <w:szCs w:val="20"/>
                <w:color w:val="auto"/>
              </w:rPr>
            </w:pPr>
            <w:r>
              <w:rPr>
                <w:rFonts w:ascii="Arial" w:cs="Arial" w:eastAsia="Arial" w:hAnsi="Arial"/>
                <w:sz w:val="18"/>
                <w:szCs w:val="18"/>
                <w:color w:val="auto"/>
              </w:rPr>
              <w:t>Dated: May 8, 2009</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344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3440" w:type="dxa"/>
            <w:vAlign w:val="bottom"/>
          </w:tcPr>
          <w:p>
            <w:pPr>
              <w:spacing w:after="0"/>
              <w:rPr>
                <w:sz w:val="19"/>
                <w:szCs w:val="19"/>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44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37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6</w:t>
      </w:r>
    </w:p>
    <w:p>
      <w:pPr>
        <w:spacing w:after="0" w:line="16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This License Agreement Amendment No. 6 (the “Amendment No. 6”) executed and delivered as of March 2, 2009 amends the License Agreement dated September 20, 2005, as later amended (the “Agreement”) by and between Standard &amp; Poor’s Financial Services LLC (“S&amp;P”), as assignee and successor in interest to Standard &amp; Poor’s Standard &amp; Poor’s, a division of The McGraw-Hill Companies, and Chicago Mercantile Exchange Inc. (“</w:t>
      </w:r>
      <w:r>
        <w:rPr>
          <w:rFonts w:ascii="Arial" w:cs="Arial" w:eastAsia="Arial" w:hAnsi="Arial"/>
          <w:sz w:val="16"/>
          <w:szCs w:val="16"/>
          <w:u w:val="single" w:color="auto"/>
          <w:color w:val="auto"/>
        </w:rPr>
        <w:t>CME</w:t>
      </w:r>
      <w:r>
        <w:rPr>
          <w:rFonts w:ascii="Arial" w:cs="Arial" w:eastAsia="Arial" w:hAnsi="Arial"/>
          <w:sz w:val="16"/>
          <w:szCs w:val="16"/>
          <w:color w:val="auto"/>
        </w:rPr>
        <w:t>”).</w:t>
      </w: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S&amp;P and CME are parties to the Agreement, and now mutually desire to amend certain terms of the same.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NOW, THEREFORE, in consideration of the premises and the covenants and conditions contained herein, the sufficiency of which is hereby acknowledged, the parties, intending to be legally bound, hereby agree as follows. All capitalized terms used but not defined in this Amendment No. 6 shall have the meaning assigned to such terms in the Agreement.</w:t>
      </w:r>
    </w:p>
    <w:p>
      <w:pPr>
        <w:spacing w:after="0" w:line="14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 of the Agreement shall be amended by adding the following:</w:t>
      </w:r>
    </w:p>
    <w:p>
      <w:pPr>
        <w:spacing w:after="0" w:line="90" w:lineRule="exact"/>
        <w:rPr>
          <w:rFonts w:ascii="Arial" w:cs="Arial" w:eastAsia="Arial" w:hAnsi="Arial"/>
          <w:sz w:val="18"/>
          <w:szCs w:val="18"/>
          <w:color w:val="auto"/>
        </w:rPr>
      </w:pPr>
    </w:p>
    <w:p>
      <w:pPr>
        <w:ind w:left="800" w:hanging="336"/>
        <w:spacing w:after="0"/>
        <w:tabs>
          <w:tab w:leader="none" w:pos="8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“Cleared OTC Swap” shall mean a swap contract that is bilaterally negotiated and cleared by a clearing organization such as CME’s Clearinghouse.</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2(a) of the Agreement shall be amended by adding the following language to the end of the existing Section 2(a):</w:t>
      </w:r>
    </w:p>
    <w:p>
      <w:pPr>
        <w:spacing w:after="0" w:line="90"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In addition, S&amp;P hereby further grants to CME worldwide licenses: (1) to use the S&amp;P-GSCI Excess Return Index in connection with clearing, marketing, and promoting Cleared OTC Swaps; and (2) to use and refer to the S&amp;P-GSCI Excess Return Index mark in connection with clearing, marketing, and promoting Indexed Contracts and with making such disclosures about such Cleared OTC Swap as CME deems necessary or desirable under any applicable federal or state laws, rules or regulations or under this Agreement in order to indicate the source of the S&amp;P Stock Indices.</w:t>
      </w:r>
    </w:p>
    <w:p>
      <w:pPr>
        <w:sectPr>
          <w:pgSz w:w="11900" w:h="16838" w:orient="portrait"/>
          <w:cols w:equalWidth="0" w:num="1">
            <w:col w:w="11420"/>
          </w:cols>
          <w:pgMar w:left="240" w:top="125" w:right="239" w:bottom="1440" w:gutter="0" w:footer="0" w:header="0"/>
        </w:sectPr>
      </w:pPr>
    </w:p>
    <w:bookmarkStart w:id="39" w:name="page40"/>
    <w:bookmarkEnd w:id="3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5 of the Agreement shall be amended by adding the following language after Section 5(k):</w:t>
      </w:r>
    </w:p>
    <w:p>
      <w:pPr>
        <w:spacing w:after="0" w:line="90" w:lineRule="exact"/>
        <w:rPr>
          <w:rFonts w:ascii="Arial" w:cs="Arial" w:eastAsia="Arial" w:hAnsi="Arial"/>
          <w:sz w:val="18"/>
          <w:szCs w:val="18"/>
          <w:color w:val="auto"/>
        </w:rPr>
      </w:pPr>
    </w:p>
    <w:p>
      <w:pPr>
        <w:ind w:left="460" w:firstLine="443"/>
        <w:spacing w:after="0" w:line="288" w:lineRule="auto"/>
        <w:tabs>
          <w:tab w:leader="none" w:pos="1108"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Cleared OTC Swap License Fee</w:t>
      </w:r>
      <w:r>
        <w:rPr>
          <w:rFonts w:ascii="Arial" w:cs="Arial" w:eastAsia="Arial" w:hAnsi="Arial"/>
          <w:sz w:val="16"/>
          <w:szCs w:val="16"/>
          <w:color w:val="auto"/>
        </w:rPr>
        <w:t>. In addition to all other fees and royalties payable by CME in this Agreement, CME shall pay S&amp;P an annual OTC payment each year for the right to clear, market and promote the Cleared OTC Swaps based on the S&amp;P-GSCI Excess Return Index. The first such payment is due sixty (60) days after execution of this Amendment No. 6. Subsequent payments shall be due on the anniversaries of this Amendment No. 6 during the Term. The payments shall be $***** in the first year, $***** in the second year and $***** the third year. Either party, in its sole discretion, may propose an adjustment of the annual payment for the Cleared OTC Swaps based on the S&amp;P-GSCI Excess Return Index by providing written notice of such at least 180 days prior to the third anniversary of this Amendment No. 6. Such adjusted payment shall apply to the remainder of the Term. The parties agree to negotiate in good faith any proposed adjustment. If the parties do not agree on the adjustment prior to 30 days before the third anniversary, this Agreement shall terminate on the third anniversary solely with respect to the Cleared OTC Swaps based on the S&amp;P-GSCI Excess Return Index. If no such written notice is received, the payment shall remain at $***** per year for the remainder of the Term.</w:t>
      </w:r>
    </w:p>
    <w:p>
      <w:pPr>
        <w:spacing w:after="0" w:line="119" w:lineRule="exact"/>
        <w:rPr>
          <w:rFonts w:ascii="Arial" w:cs="Arial" w:eastAsia="Arial" w:hAnsi="Arial"/>
          <w:sz w:val="16"/>
          <w:szCs w:val="16"/>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10 of the Agreement shall be amended by adding the following language after Section 10(g):</w:t>
      </w:r>
    </w:p>
    <w:p>
      <w:pPr>
        <w:spacing w:after="0" w:line="90" w:lineRule="exact"/>
        <w:rPr>
          <w:rFonts w:ascii="Arial" w:cs="Arial" w:eastAsia="Arial" w:hAnsi="Arial"/>
          <w:sz w:val="18"/>
          <w:szCs w:val="18"/>
          <w:color w:val="auto"/>
        </w:rPr>
      </w:pPr>
    </w:p>
    <w:p>
      <w:pPr>
        <w:ind w:left="460" w:right="20" w:firstLine="443"/>
        <w:spacing w:after="0" w:line="291"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Cleared OTC Swap Report</w:t>
      </w:r>
      <w:r>
        <w:rPr>
          <w:rFonts w:ascii="Arial" w:cs="Arial" w:eastAsia="Arial" w:hAnsi="Arial"/>
          <w:sz w:val="16"/>
          <w:szCs w:val="16"/>
          <w:color w:val="auto"/>
        </w:rPr>
        <w:t>. CME shall provide to S&amp;P a quarterly report within thirty (30) days of the end of each calendar quarter. The format and contents of such report shall be in CME’s sole discretion but it shall at a minimum include the number of Cleared OTC Swaps based on the S&amp;P-GSCI Excess Return Index licensed hereunder and cleared by CME during the quarter. Further, CME shall provide S&amp;P an annual report within thirty (30) days of the end of each calendar year that includes the identities of all parties to transactions in Cleared OTC Swaps based on the S&amp;P-GSCI Excess Return Index. S&amp;P shall treat such reports as confidential information and shall use the annual report sole for the purpose of determining such parties’ licensed rights to participate in the Cleared OTC Swaps market at CME.</w:t>
      </w:r>
    </w:p>
    <w:p>
      <w:pPr>
        <w:spacing w:after="0" w:line="120" w:lineRule="exact"/>
        <w:rPr>
          <w:rFonts w:ascii="Arial" w:cs="Arial" w:eastAsia="Arial" w:hAnsi="Arial"/>
          <w:sz w:val="16"/>
          <w:szCs w:val="16"/>
          <w:color w:val="auto"/>
        </w:rPr>
      </w:pPr>
    </w:p>
    <w:p>
      <w:pPr>
        <w:ind w:right="60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any conflict, ambiguity or inconsistency between the terms and conditions of this Amendment No. 6 and the terms and conditions of the Agreement, the terms and conditions of this Amendment No. 6 shall govern and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Except as modified hereby, all of the terms and conditions of the Agreement shall remain in full force and effect.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0" w:name="page41"/>
    <w:bookmarkEnd w:id="4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No. 6 to be executed as of the date specified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w w:val="99"/>
              </w:rPr>
              <w:t>STANDARD &amp; POOR’S FINANCIAL SERVICES LLC, assignee and</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CHICAGO MERCANTILE EXCHANGE INC.</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w w:val="92"/>
              </w:rPr>
              <w:t>successor in interest to Standard &amp; Poor’s, a division of The McGraw-Hill</w:t>
            </w:r>
          </w:p>
        </w:tc>
        <w:tc>
          <w:tcPr>
            <w:tcW w:w="102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Companies, Inc.</w:t>
            </w:r>
          </w:p>
        </w:tc>
        <w:tc>
          <w:tcPr>
            <w:tcW w:w="10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J. Matturi Jr.</w:t>
            </w:r>
          </w:p>
        </w:tc>
        <w:tc>
          <w:tcPr>
            <w:tcW w:w="1020" w:type="dxa"/>
            <w:vAlign w:val="bottom"/>
          </w:tcPr>
          <w:p>
            <w:pPr>
              <w:ind w:left="4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Redding</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Alexander J. Matturri Jr.</w:t>
            </w:r>
          </w:p>
        </w:tc>
        <w:tc>
          <w:tcPr>
            <w:tcW w:w="1020" w:type="dxa"/>
            <w:vAlign w:val="bottom"/>
          </w:tcPr>
          <w:p>
            <w:pPr>
              <w:ind w:left="4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Rick Redding</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Managing Director</w:t>
            </w:r>
          </w:p>
        </w:tc>
        <w:tc>
          <w:tcPr>
            <w:tcW w:w="1020" w:type="dxa"/>
            <w:vAlign w:val="bottom"/>
          </w:tcPr>
          <w:p>
            <w:pPr>
              <w:ind w:left="4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 Products and Services Development</w:t>
            </w:r>
          </w:p>
        </w:tc>
      </w:tr>
      <w:tr>
        <w:trPr>
          <w:trHeight w:val="365"/>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2009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Craig S. Donohue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378"/>
        </w:trPr>
        <w:tc>
          <w:tcPr>
            <w:tcW w:w="4580" w:type="dxa"/>
            <w:vAlign w:val="bottom"/>
            <w:gridSpan w:val="2"/>
          </w:tcPr>
          <w:p>
            <w:pPr>
              <w:spacing w:after="0"/>
              <w:rPr>
                <w:sz w:val="20"/>
                <w:szCs w:val="20"/>
                <w:color w:val="auto"/>
              </w:rPr>
            </w:pPr>
            <w:r>
              <w:rPr>
                <w:rFonts w:ascii="Arial" w:cs="Arial" w:eastAsia="Arial" w:hAnsi="Arial"/>
                <w:sz w:val="18"/>
                <w:szCs w:val="18"/>
                <w:color w:val="auto"/>
              </w:rPr>
              <w:t>Date: May 8, 2009</w:t>
            </w:r>
          </w:p>
        </w:tc>
      </w:tr>
      <w:tr>
        <w:trPr>
          <w:trHeight w:val="50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E. Parisi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James E. Parisi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8, 2009</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3"/>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lvl w:ilvl="1">
      <w:lvlJc w:val="left"/>
      <w:lvlText w:val="(%2)"/>
      <w:numFmt w:val="lowerLetter"/>
      <w:start w:val="37"/>
    </w:lvl>
  </w:abstractNum>
  <w:abstractNum w:abstractNumId="20">
    <w:nsid w:val="189A769B"/>
    <w:multiLevelType w:val="hybridMultilevel"/>
    <w:lvl w:ilvl="0">
      <w:lvlJc w:val="left"/>
      <w:lvlText w:val="%1."/>
      <w:numFmt w:val="decimal"/>
      <w:start w:val="3"/>
    </w:lvl>
    <w:lvl w:ilvl="1">
      <w:lvlJc w:val="left"/>
      <w:lvlText w:val="(%2)"/>
      <w:numFmt w:val="lowerLetter"/>
      <w:start w:val="12"/>
    </w:lvl>
  </w:abstractNum>
  <w:abstractNum w:abstractNumId="21">
    <w:nsid w:val="54E49EB4"/>
    <w:multiLevelType w:val="hybridMultilevel"/>
    <w:lvl w:ilvl="0">
      <w:lvlJc w:val="left"/>
      <w:lvlText w:val="%1"/>
      <w:numFmt w:val="decimal"/>
      <w:start w:val="1"/>
    </w:lvl>
    <w:lvl w:ilvl="1">
      <w:lvlJc w:val="left"/>
      <w:lvlText w:val="(%2)"/>
      <w:numFmt w:val="lowerLetter"/>
      <w:start w:val="8"/>
    </w:lvl>
  </w:abstractNum>
  <w:abstractNum w:abstractNumId="22">
    <w:nsid w:val="71F32454"/>
    <w:multiLevelType w:val="hybridMultilevel"/>
    <w:lvl w:ilvl="0">
      <w:lvlJc w:val="left"/>
      <w:lvlText w:val="%1."/>
      <w:numFmt w:val="decimal"/>
      <w:start w:val="5"/>
    </w:lvl>
    <w:lvl w:ilvl="1">
      <w:lvlJc w:val="left"/>
      <w:lvlText w:val="%2"/>
      <w:numFmt w:val="lowerLetter"/>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5"/>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2019-12-10T20:51:44Z</dcterms:created>
  <dcterms:modified xsi:type="dcterms:W3CDTF">2019-12-10T20:51:44Z</dcterms:modified>
</cp:coreProperties>
</file>