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0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March 31, 2014</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April 16, 2014 was as follows: 335,790,986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520"/>
        </w:trPr>
        <w:tc>
          <w:tcPr>
            <w:tcW w:w="446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 FINANCIAL INFORMATION</w:t>
              </w:r>
            </w:hyperlink>
          </w:p>
        </w:tc>
        <w:tc>
          <w:tcPr>
            <w:tcW w:w="636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20"/>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Statements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March 31, 2014 and December 31, 20</w:t>
              </w:r>
            </w:hyperlink>
            <w:r>
              <w:rPr>
                <w:rFonts w:ascii="Arial" w:cs="Arial" w:eastAsia="Arial" w:hAnsi="Arial"/>
                <w:sz w:val="16"/>
                <w:szCs w:val="16"/>
                <w:color w:val="0000FF"/>
              </w:rPr>
              <w:t>13</w:t>
            </w:r>
          </w:p>
        </w:tc>
        <w:tc>
          <w:tcPr>
            <w:tcW w:w="56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Consolidated Statements of Income for the Quarters Ended </w:t>
              </w:r>
            </w:hyperlink>
            <w:r>
              <w:rPr>
                <w:rFonts w:ascii="Arial" w:cs="Arial" w:eastAsia="Arial" w:hAnsi="Arial"/>
                <w:sz w:val="16"/>
                <w:szCs w:val="16"/>
                <w:color w:val="0000FF"/>
              </w:rPr>
              <w:t>March</w:t>
            </w:r>
            <w:r>
              <w:rPr>
                <w:rFonts w:ascii="Arial" w:cs="Arial" w:eastAsia="Arial" w:hAnsi="Arial"/>
                <w:sz w:val="16"/>
                <w:szCs w:val="16"/>
                <w:color w:val="0000EE"/>
              </w:rPr>
              <w:t xml:space="preserve"> </w:t>
            </w:r>
            <w:r>
              <w:rPr>
                <w:rFonts w:ascii="Arial" w:cs="Arial" w:eastAsia="Arial" w:hAnsi="Arial"/>
                <w:sz w:val="16"/>
                <w:szCs w:val="16"/>
                <w:color w:val="0000FF"/>
              </w:rPr>
              <w:t>31, 2014 and 2013</w:t>
            </w:r>
          </w:p>
        </w:tc>
        <w:tc>
          <w:tcPr>
            <w:tcW w:w="56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EE"/>
            </w:tcBorders>
            <w:gridSpan w:val="19"/>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Comprehensive Income for the Quarters Ended March 31, 2014 and 2013</w:t>
              </w:r>
            </w:hyperlink>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FF"/>
            </w:tcBorders>
            <w:gridSpan w:val="16"/>
          </w:tcPr>
          <w:p>
            <w:pPr>
              <w:spacing w:after="0"/>
              <w:rPr>
                <w:rFonts w:ascii="Arial" w:cs="Arial" w:eastAsia="Arial" w:hAnsi="Arial"/>
                <w:sz w:val="16"/>
                <w:szCs w:val="16"/>
                <w:color w:val="0000FF"/>
                <w:w w:val="91"/>
              </w:rPr>
            </w:pPr>
            <w:hyperlink w:anchor="page7">
              <w:r>
                <w:rPr>
                  <w:rFonts w:ascii="Arial" w:cs="Arial" w:eastAsia="Arial" w:hAnsi="Arial"/>
                  <w:sz w:val="16"/>
                  <w:szCs w:val="16"/>
                  <w:color w:val="0000FF"/>
                  <w:w w:val="91"/>
                </w:rPr>
                <w:t xml:space="preserve">Consolidated Statements of Equity for the Quarters Ended March 31, 2014 and </w:t>
              </w:r>
            </w:hyperlink>
            <w:r>
              <w:rPr>
                <w:rFonts w:ascii="Arial" w:cs="Arial" w:eastAsia="Arial" w:hAnsi="Arial"/>
                <w:sz w:val="16"/>
                <w:szCs w:val="16"/>
                <w:color w:val="0000FF"/>
                <w:w w:val="91"/>
              </w:rPr>
              <w:t>2013</w:t>
            </w:r>
          </w:p>
        </w:tc>
        <w:tc>
          <w:tcPr>
            <w:tcW w:w="436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 xml:space="preserve">Consolidated Statements of Cash Flows for the Quarters Ended </w:t>
              </w:r>
            </w:hyperlink>
            <w:r>
              <w:rPr>
                <w:rFonts w:ascii="Arial" w:cs="Arial" w:eastAsia="Arial" w:hAnsi="Arial"/>
                <w:sz w:val="16"/>
                <w:szCs w:val="16"/>
                <w:color w:val="0000FF"/>
              </w:rPr>
              <w:t>March</w:t>
            </w:r>
            <w:r>
              <w:rPr>
                <w:rFonts w:ascii="Arial" w:cs="Arial" w:eastAsia="Arial" w:hAnsi="Arial"/>
                <w:sz w:val="16"/>
                <w:szCs w:val="16"/>
                <w:color w:val="0000EE"/>
              </w:rPr>
              <w:t xml:space="preserve"> </w:t>
            </w:r>
            <w:r>
              <w:rPr>
                <w:rFonts w:ascii="Arial" w:cs="Arial" w:eastAsia="Arial" w:hAnsi="Arial"/>
                <w:sz w:val="16"/>
                <w:szCs w:val="16"/>
                <w:color w:val="0000FF"/>
              </w:rPr>
              <w:t>31, 2014 and 2013</w:t>
            </w:r>
          </w:p>
        </w:tc>
        <w:tc>
          <w:tcPr>
            <w:tcW w:w="560" w:type="dxa"/>
            <w:vAlign w:val="bottom"/>
            <w:gridSpan w:val="3"/>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10</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100" w:type="dxa"/>
            <w:vAlign w:val="bottom"/>
            <w:gridSpan w:val="12"/>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Consolidated Financial Statements</w:t>
              </w:r>
            </w:hyperlink>
          </w:p>
        </w:tc>
        <w:tc>
          <w:tcPr>
            <w:tcW w:w="1700" w:type="dxa"/>
            <w:vAlign w:val="bottom"/>
            <w:gridSpan w:val="5"/>
          </w:tcPr>
          <w:p>
            <w:pPr>
              <w:spacing w:after="0"/>
              <w:rPr>
                <w:sz w:val="24"/>
                <w:szCs w:val="24"/>
                <w:color w:val="auto"/>
              </w:rPr>
            </w:pPr>
          </w:p>
        </w:tc>
        <w:tc>
          <w:tcPr>
            <w:tcW w:w="4100" w:type="dxa"/>
            <w:vAlign w:val="bottom"/>
            <w:gridSpan w:val="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20"/>
          </w:tcPr>
          <w:p>
            <w:pPr>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Management’s Discussion and Analysis of Financial Condition and Results of Operations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gridSpan w:val="13"/>
          </w:tcPr>
          <w:p>
            <w:pPr>
              <w:spacing w:after="0"/>
              <w:rPr>
                <w:rFonts w:ascii="Arial" w:cs="Arial" w:eastAsia="Arial" w:hAnsi="Arial"/>
                <w:sz w:val="16"/>
                <w:szCs w:val="16"/>
                <w:b w:val="1"/>
                <w:bCs w:val="1"/>
                <w:color w:val="0000EE"/>
                <w:w w:val="92"/>
              </w:rPr>
            </w:pPr>
            <w:hyperlink w:anchor="page26">
              <w:r>
                <w:rPr>
                  <w:rFonts w:ascii="Arial" w:cs="Arial" w:eastAsia="Arial" w:hAnsi="Arial"/>
                  <w:sz w:val="16"/>
                  <w:szCs w:val="16"/>
                  <w:b w:val="1"/>
                  <w:bCs w:val="1"/>
                  <w:color w:val="0000EE"/>
                  <w:w w:val="92"/>
                </w:rPr>
                <w:t>Quantitative and Qualitative Disclosures About Market Risk</w:t>
              </w:r>
            </w:hyperlink>
          </w:p>
        </w:tc>
        <w:tc>
          <w:tcPr>
            <w:tcW w:w="1940" w:type="dxa"/>
            <w:vAlign w:val="bottom"/>
            <w:gridSpan w:val="5"/>
          </w:tcPr>
          <w:p>
            <w:pPr>
              <w:spacing w:after="0"/>
              <w:rPr>
                <w:sz w:val="24"/>
                <w:szCs w:val="24"/>
                <w:color w:val="auto"/>
              </w:rPr>
            </w:pPr>
          </w:p>
        </w:tc>
        <w:tc>
          <w:tcPr>
            <w:tcW w:w="3760" w:type="dxa"/>
            <w:vAlign w:val="bottom"/>
            <w:gridSpan w:val="2"/>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7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gridSpan w:val="8"/>
          </w:tcPr>
          <w:p>
            <w:pPr>
              <w:spacing w:after="0"/>
              <w:rPr>
                <w:rFonts w:ascii="Arial" w:cs="Arial" w:eastAsia="Arial" w:hAnsi="Arial"/>
                <w:sz w:val="16"/>
                <w:szCs w:val="16"/>
                <w:b w:val="1"/>
                <w:bCs w:val="1"/>
                <w:color w:val="0000EE"/>
                <w:w w:val="88"/>
              </w:rPr>
            </w:pPr>
            <w:hyperlink w:anchor="page26">
              <w:r>
                <w:rPr>
                  <w:rFonts w:ascii="Arial" w:cs="Arial" w:eastAsia="Arial" w:hAnsi="Arial"/>
                  <w:sz w:val="16"/>
                  <w:szCs w:val="16"/>
                  <w:b w:val="1"/>
                  <w:bCs w:val="1"/>
                  <w:color w:val="0000EE"/>
                  <w:w w:val="88"/>
                </w:rPr>
                <w:t>Controls and Procedures</w:t>
              </w:r>
            </w:hyperlink>
          </w:p>
        </w:tc>
        <w:tc>
          <w:tcPr>
            <w:tcW w:w="2480" w:type="dxa"/>
            <w:vAlign w:val="bottom"/>
            <w:gridSpan w:val="5"/>
          </w:tcPr>
          <w:p>
            <w:pPr>
              <w:spacing w:after="0"/>
              <w:rPr>
                <w:sz w:val="24"/>
                <w:szCs w:val="24"/>
                <w:color w:val="auto"/>
              </w:rPr>
            </w:pPr>
          </w:p>
        </w:tc>
        <w:tc>
          <w:tcPr>
            <w:tcW w:w="5700" w:type="dxa"/>
            <w:vAlign w:val="bottom"/>
            <w:gridSpan w:val="7"/>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560" w:type="dxa"/>
            <w:vAlign w:val="bottom"/>
            <w:gridSpan w:val="8"/>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7"/>
        </w:trPr>
        <w:tc>
          <w:tcPr>
            <w:tcW w:w="9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80" w:type="dxa"/>
            <w:vAlign w:val="bottom"/>
            <w:gridSpan w:val="3"/>
            <w:shd w:val="clear" w:color="auto" w:fill="0000EE"/>
          </w:tcPr>
          <w:p>
            <w:pPr>
              <w:spacing w:after="0"/>
              <w:rPr>
                <w:sz w:val="2"/>
                <w:szCs w:val="2"/>
                <w:color w:val="auto"/>
              </w:rPr>
            </w:pPr>
          </w:p>
        </w:tc>
        <w:tc>
          <w:tcPr>
            <w:tcW w:w="2460" w:type="dxa"/>
            <w:vAlign w:val="bottom"/>
            <w:gridSpan w:val="5"/>
          </w:tcPr>
          <w:p>
            <w:pPr>
              <w:spacing w:after="0"/>
              <w:rPr>
                <w:sz w:val="2"/>
                <w:szCs w:val="2"/>
                <w:color w:val="auto"/>
              </w:rPr>
            </w:pPr>
          </w:p>
        </w:tc>
        <w:tc>
          <w:tcPr>
            <w:tcW w:w="5800" w:type="dxa"/>
            <w:vAlign w:val="bottom"/>
            <w:gridSpan w:val="8"/>
          </w:tcPr>
          <w:p>
            <w:pPr>
              <w:spacing w:after="0"/>
              <w:rPr>
                <w:sz w:val="2"/>
                <w:szCs w:val="2"/>
                <w:color w:val="auto"/>
              </w:rPr>
            </w:pPr>
          </w:p>
        </w:tc>
        <w:tc>
          <w:tcPr>
            <w:tcW w:w="44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gridSpan w:val="4"/>
          </w:tcPr>
          <w:p>
            <w:pPr>
              <w:spacing w:after="0"/>
              <w:rPr>
                <w:rFonts w:ascii="Arial" w:cs="Arial" w:eastAsia="Arial" w:hAnsi="Arial"/>
                <w:sz w:val="16"/>
                <w:szCs w:val="16"/>
                <w:b w:val="1"/>
                <w:bCs w:val="1"/>
                <w:color w:val="0000EE"/>
                <w:w w:val="87"/>
              </w:rPr>
            </w:pPr>
            <w:hyperlink w:anchor="page27">
              <w:r>
                <w:rPr>
                  <w:rFonts w:ascii="Arial" w:cs="Arial" w:eastAsia="Arial" w:hAnsi="Arial"/>
                  <w:sz w:val="16"/>
                  <w:szCs w:val="16"/>
                  <w:b w:val="1"/>
                  <w:bCs w:val="1"/>
                  <w:color w:val="0000EE"/>
                  <w:w w:val="87"/>
                </w:rPr>
                <w:t>Legal Proceedings</w:t>
              </w:r>
            </w:hyperlink>
          </w:p>
        </w:tc>
        <w:tc>
          <w:tcPr>
            <w:tcW w:w="380" w:type="dxa"/>
            <w:vAlign w:val="bottom"/>
            <w:gridSpan w:val="3"/>
          </w:tcPr>
          <w:p>
            <w:pPr>
              <w:spacing w:after="0"/>
              <w:rPr>
                <w:sz w:val="24"/>
                <w:szCs w:val="24"/>
                <w:color w:val="auto"/>
              </w:rPr>
            </w:pPr>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gridSpan w:val="3"/>
          </w:tcPr>
          <w:p>
            <w:pPr>
              <w:spacing w:after="0"/>
              <w:rPr>
                <w:rFonts w:ascii="Arial" w:cs="Arial" w:eastAsia="Arial" w:hAnsi="Arial"/>
                <w:sz w:val="16"/>
                <w:szCs w:val="16"/>
                <w:b w:val="1"/>
                <w:bCs w:val="1"/>
                <w:color w:val="0000EE"/>
                <w:w w:val="89"/>
              </w:rPr>
            </w:pPr>
            <w:hyperlink w:anchor="page27">
              <w:r>
                <w:rPr>
                  <w:rFonts w:ascii="Arial" w:cs="Arial" w:eastAsia="Arial" w:hAnsi="Arial"/>
                  <w:sz w:val="16"/>
                  <w:szCs w:val="16"/>
                  <w:b w:val="1"/>
                  <w:bCs w:val="1"/>
                  <w:color w:val="0000EE"/>
                  <w:w w:val="89"/>
                </w:rPr>
                <w:t>Risk Factors</w:t>
              </w:r>
            </w:hyperlink>
          </w:p>
        </w:tc>
        <w:tc>
          <w:tcPr>
            <w:tcW w:w="380" w:type="dxa"/>
            <w:vAlign w:val="bottom"/>
          </w:tcPr>
          <w:p>
            <w:pPr>
              <w:spacing w:after="0"/>
              <w:rPr>
                <w:sz w:val="24"/>
                <w:szCs w:val="24"/>
                <w:color w:val="auto"/>
              </w:rPr>
            </w:pPr>
          </w:p>
        </w:tc>
        <w:tc>
          <w:tcPr>
            <w:tcW w:w="8640" w:type="dxa"/>
            <w:vAlign w:val="bottom"/>
            <w:gridSpan w:val="16"/>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20"/>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Unregistered Sales of Equity Securities and Use of Proceeds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gridSpan w:val="12"/>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Mine Safety Disclosures</w:t>
              </w:r>
            </w:hyperlink>
          </w:p>
        </w:tc>
        <w:tc>
          <w:tcPr>
            <w:tcW w:w="5800" w:type="dxa"/>
            <w:vAlign w:val="bottom"/>
            <w:gridSpan w:val="8"/>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8260" w:type="dxa"/>
            <w:vAlign w:val="bottom"/>
            <w:gridSpan w:val="1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gridSpan w:val="7"/>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Exhibits</w:t>
              </w:r>
            </w:hyperlink>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780" w:type="dxa"/>
            <w:vAlign w:val="bottom"/>
            <w:gridSpan w:val="19"/>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r>
      <w:tr>
        <w:trPr>
          <w:trHeight w:val="27"/>
        </w:trPr>
        <w:tc>
          <w:tcPr>
            <w:tcW w:w="9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Unless otherwise indicated, references to CME Group Inc. (CME Group)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credit default swaps and CME Clearing Europe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2014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$1.2 and $1.2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$37.0 and $40.0 in restricted cash)</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23,309.7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$694.4 and $678.4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2,741.2</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$74.9 and $74.0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53,167.1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36.2</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1,169.8</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22,029.7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23,311.0</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7,276.1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7,249.7</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31,857.0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33,117.3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Preferred stock, $0.01 par value, 10,000 shares authorized as of March 31, 2014 and December 31, 2013;</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none issued or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334,007 and 333,852 shares issued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March 31, 2014 and December 31, 2013, respectively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Class B common stock, $0.01 par value, 3 shares authorized, issued and outstanding as of March 31,</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2014 and December 31, 2013</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17,521.1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17,504.9</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53,167.1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Quarter Ended</w:t>
            </w:r>
          </w:p>
        </w:tc>
      </w:tr>
      <w:tr>
        <w:trPr>
          <w:trHeight w:val="276"/>
        </w:trPr>
        <w:tc>
          <w:tcPr>
            <w:tcW w:w="9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9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593.2</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718.6</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129.4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42.3</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405.5</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150.2</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9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0.71</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331,953</w:t>
            </w: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335,644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333,372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net actuarial (gains) losses and prior service costs included in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of effective portion of net (gain) loss on cash flow hedges included in 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stock of $0.47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w w:val="98"/>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March 31,</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334,007</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17,524.4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3,603.9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21,304.6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21,310.1</w:t>
            </w: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$0.45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1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March 31,</w:t>
            </w: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332,163</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17,240.8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4,079.0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21,549.8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21,555.8</w:t>
            </w: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237.4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1,053.7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1,843.4</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97"/>
        </w:trPr>
        <w:tc>
          <w:tcPr>
            <w:tcW w:w="8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66.9</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their respective subsidiaries (collectively, the exchange). The consolidated statements also include CME Clearing Europe Limited (CMECE).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2014 and December 31, 2013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2013, filed with the Securities and Exchange Commission (SEC) on February 28,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Performance Bonds and Guaranty Fund Contributions. </w:t>
      </w:r>
      <w:r>
        <w:rPr>
          <w:rFonts w:ascii="Arial" w:cs="Arial" w:eastAsia="Arial" w:hAnsi="Arial"/>
          <w:sz w:val="16"/>
          <w:szCs w:val="16"/>
          <w:color w:val="auto"/>
        </w:rPr>
        <w:t>At March 31, 2014, performance bonds and guaranty fund contributions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included performance bond and guaranty fund contributions received in the form of cash that were reinvested by CME in U.S. Treasury securities with maturity dates of 30 days or less. Any interest earned on these U.S. Treasury investments accrues to CME and is included in the consolidated statements of income. Because CME has control of the cash collateral reinvested in U.S. Treasury securities and the benefits and risks of ownership accrue to CME, these performance bonds and guaranty fund contributions are reflected in the consolidated balance sheets. The amortized cost and fair value of the U.S. Treasury securities were both $2.9 billion as of March 31, 2014. The U.S. Treasury securities matured on April 3, 2014. The U.S. Treasury securities are considered a level 1 asset under the classification hierarchy for fair value measurements because the securities are valued using a quoted price in an active market.</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 Clearing Europe Limited (CMECE) mark-to-market open positions for all products at least once a day</w:t>
      </w:r>
      <w:r>
        <w:rPr>
          <w:rFonts w:ascii="Arial" w:cs="Arial" w:eastAsia="Arial" w:hAnsi="Arial"/>
          <w:sz w:val="16"/>
          <w:szCs w:val="16"/>
          <w:i w:val="1"/>
          <w:iCs w:val="1"/>
          <w:color w:val="auto"/>
        </w:rPr>
        <w:t xml:space="preserve"> </w:t>
      </w:r>
      <w:r>
        <w:rPr>
          <w:rFonts w:ascii="Arial" w:cs="Arial" w:eastAsia="Arial" w:hAnsi="Arial"/>
          <w:sz w:val="16"/>
          <w:szCs w:val="16"/>
          <w:color w:val="auto"/>
        </w:rPr>
        <w:t>(twice a day for futures and options contracts). Based on values derived from the mark-to-market process, CME and CMECE require payment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 over-the-counter credit default swap and interest rate swap contracts, the maximum exposure related to CME's guarantee would be one full day of changes in fair value of all open positions, before considering CME's ability to access defaulting clearing firms' collateral. During the first quarter of 2014, the clearing houses transferred an average of approximately $2.8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March 31, 2014.</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2014 and December 31, 2013:</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2,251.8</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2,875.0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2,266.1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2,716.1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$25.2 million and $25.9 million for the quarters ended March 31, 2014 and 2013, respectively.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the future estimated amortization expense related to amortizable intangible assets is expected to be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2014</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2015</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100.6</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2017</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96.4</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1,706.9</w:t>
            </w:r>
          </w:p>
        </w:tc>
      </w:tr>
      <w:tr>
        <w:trPr>
          <w:trHeight w:val="567"/>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March 31, 2014 and December 31,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March 31, 2014 and December 31, 2013:</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rates notes due September 2043, stated rate of 5.30% </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2,107.4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CME Group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March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612.5</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8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fair value of the fixed rate notes due 2018, which is considered a level 3 liability under the classification hierarchy for fair value measurements, was derived using a standard valuation model with market-based observable inputs including U.S. Treasury yields and interest rate spreads. The fair values of the fixed rate notes due 2022 and 2043 were estimated using quoted market prices and are considered level 2 liabilities. For further information on the three-level classification hierarchy of fair value measurements, see note 8. At March 31, 2014, the fair values of the fixed rate notes by maturity date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 stated rate of 4.40%</w:t>
            </w:r>
          </w:p>
        </w:tc>
        <w:tc>
          <w:tcPr>
            <w:tcW w:w="2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742.1</w:t>
            </w:r>
          </w:p>
        </w:tc>
      </w:tr>
      <w:tr>
        <w:trPr>
          <w:trHeight w:val="27"/>
        </w:trPr>
        <w:tc>
          <w:tcPr>
            <w:tcW w:w="7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842.2</w:t>
            </w:r>
          </w:p>
        </w:tc>
      </w:tr>
      <w:tr>
        <w:trPr>
          <w:trHeight w:val="27"/>
        </w:trPr>
        <w:tc>
          <w:tcPr>
            <w:tcW w:w="77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 resulting in the rejection of all TRG’s claims completing the reexamination process. In January 2014, TRG appealed the decision of the USPTO. Based on its investigation to date and advice from legal counsel, the company believes this suit is without merit and intends to defend itself vigorously against these charges.</w:t>
      </w:r>
    </w:p>
    <w:p>
      <w:pPr>
        <w:spacing w:after="0" w:line="1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re-examinations by the USPTO in the Fifth Market and Garber matters, including any appeals thereof, to result in a determination of the validity of the patents at issue which we expect will have an impact on the merits of the matters. Given the uncertainty of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On November 6, 2013, CME announced that it has reached an agreement in principle to resolve the class action litigation. In an agreement between the trustee and CME, CME will be allowed to assert a $29.0 million claim against MF Global based on expenses incurred by CME as a result of MF Global’s bankruptcy. In a separate agreement between CME and the customer representatives, CME has agreed to deliver $14.5 million, one-half of the distribution that it will receive from the trustee, to the customer representatives for distribution to MF Global’s former customers. In connection with the settlements between the company and the trustee and the customers, the company’s $550.0 million financial guarantee to the bankruptcy trustee to cover any shortfall in the bankruptcy will be extinguished. The company believes that the likelihood of payment to the trustee is very remote. As a result, the guarantee liability is estimated to be immaterial at March 31, 2014.</w:t>
      </w:r>
    </w:p>
    <w:p>
      <w:pPr>
        <w:spacing w:after="0" w:line="11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February 2013, the CFTC filed suit against NYMEX and two former employees alleging disclosure of confidential customer information in violation of the Commodity Exchange Act. Based on the initial review of the complaint, the company believes that it has strong factual and legal defenses to the claim.</w:t>
      </w:r>
    </w:p>
    <w:p>
      <w:pPr>
        <w:spacing w:after="0" w:line="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2014 and December 31, 2013, the company had accrued $4.3 million and $11.3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standby letters of credit. At March 31, 2014, CME was contingently liable to SGX on letters of credit totaling $460.0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March 31, 2014.</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April 2012, the company established the Family Farmer and Rancher Protection Fund (the Fund). The Fund</w:t>
      </w:r>
      <w:r>
        <w:rPr>
          <w:rFonts w:ascii="Arial" w:cs="Arial" w:eastAsia="Arial" w:hAnsi="Arial"/>
          <w:sz w:val="18"/>
          <w:szCs w:val="18"/>
          <w:i w:val="1"/>
          <w:iCs w:val="1"/>
          <w:color w:val="auto"/>
        </w:rPr>
        <w:t xml:space="preserve"> </w:t>
      </w:r>
      <w:r>
        <w:rPr>
          <w:rFonts w:ascii="Arial" w:cs="Arial" w:eastAsia="Arial" w:hAnsi="Arial"/>
          <w:sz w:val="18"/>
          <w:szCs w:val="18"/>
          <w:color w:val="auto"/>
        </w:rPr>
        <w:t>is 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payment amount of $100.0 million. Since its establishment, the Fund has made payments of approximately $2.0 million, which leaves $98.0 million available for future claims. If payments to participants were to exceed the amount remaining in the fund at the time of insolvency,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March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5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2013</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 1 assets generally include U.S. Treasury securities and investments in publicly traded stocks and mutual funds with quoted market prices. In general, the company uses quoted prices in active markets for identical assets to determine the fair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value of marketable securities and equity investments. If quoted prices are not available to determine fair value, the company uses other inputs that are directly observable.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of either 75% or 100%. Significant increases or decreases in any of those inputs in isolation would result in a significantly different fair value.</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March 31, 2014 were classified in their entirety based on the lowest level of input that was significant to each asset or liability's fair value measurement. The following presents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March 31, 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597.1</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19.2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There were no transfers of assets or liabilities between level 1 and level 2 during the first quarter of 2014. The following is a reconciliation of liabilities valued at fair value on a recurring basis using significant unobservable inputs (level 3) during the first quarter of 2014. There were no assets valued at fair value on a recurring basis using significant unobservable inputs (level 3) during the first quarter of 2014.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2013</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March 31, 2014</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assets or liabilities valued at fair value on a nonrecurring basis using significant unobservable inputs (level 3) during the first quarter of 2014.</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200" w:lineRule="exact"/>
        <w:rPr>
          <w:sz w:val="20"/>
          <w:szCs w:val="20"/>
          <w:color w:val="auto"/>
        </w:rPr>
      </w:pPr>
    </w:p>
    <w:p>
      <w:pPr>
        <w:spacing w:after="0" w:line="233"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81915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14"/>
        </w:trPr>
        <w:tc>
          <w:tcPr>
            <w:tcW w:w="90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awards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7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333,905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331,953</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333,372</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2013.</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and Commodity Exchange, Inc. (COMEX), collectively, unless otherwise noted. CME Group also includes CME Clearing Europe Limited. CME also serves as a swap execution facility, which is a regulated platform for swap trading, and serves as a swap data repository, which provides public data on swap transactions and stores confidential swap data for regulatory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2013</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777.4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322.9</w:t>
            </w:r>
          </w:p>
        </w:tc>
        <w:tc>
          <w:tcPr>
            <w:tcW w:w="50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313.1</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(8.1)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(55)</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266.8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235.8</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13</w:t>
            </w:r>
          </w:p>
        </w:tc>
      </w:tr>
      <w:tr>
        <w:trPr>
          <w:trHeight w:val="27"/>
        </w:trPr>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0.79</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0.71</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383.0</w:t>
            </w:r>
          </w:p>
        </w:tc>
        <w:tc>
          <w:tcPr>
            <w:tcW w:w="50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396.0</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43"/>
        </w:trPr>
        <w:tc>
          <w:tcPr>
            <w:tcW w:w="756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94" w:lineRule="exact"/>
        <w:rPr>
          <w:sz w:val="20"/>
          <w:szCs w:val="20"/>
          <w:color w:val="auto"/>
        </w:rPr>
      </w:pPr>
    </w:p>
    <w:p>
      <w:pPr>
        <w:ind w:left="660" w:right="8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first quarter of 2014 when compared with the same period in 2013, the increase in revenues was attributable to higher contract volume in exchange-traded and over-the-counter products and an increase in market data fees related to an increase in fees for basic real-time market data service. The increase was also due to a fee increase related to clearing and transaction fees, partially offset by a decrease in rate per contract due to a shift in the relative mix of product volume.</w:t>
      </w:r>
    </w:p>
    <w:p>
      <w:pPr>
        <w:spacing w:after="0" w:line="186" w:lineRule="exact"/>
        <w:rPr>
          <w:rFonts w:ascii="Arial" w:cs="Arial" w:eastAsia="Arial" w:hAnsi="Arial"/>
          <w:sz w:val="18"/>
          <w:szCs w:val="18"/>
          <w:color w:val="auto"/>
        </w:rPr>
      </w:pPr>
    </w:p>
    <w:p>
      <w:pPr>
        <w:ind w:left="660" w:right="20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expenses increased slightly in the first quarter of 2014 when compared with the same period in 2013 due to an increase in licensing fees related to higher volume and an increase in expense related to the development and continued enhancement of our product offerings and our electronic platforms, partially offset by a change in net losses (gains) on foreign currency fluctuations. In the first quarter of 2014, we recognized a net gain on foreign currency fluctuations and in the first quarter of 2013, we recognized a net loss on foreign currency fluctuations.</w:t>
      </w:r>
    </w:p>
    <w:p>
      <w:pPr>
        <w:spacing w:after="0" w:line="154" w:lineRule="exact"/>
        <w:rPr>
          <w:rFonts w:ascii="Arial" w:cs="Arial" w:eastAsia="Arial" w:hAnsi="Arial"/>
          <w:sz w:val="16"/>
          <w:szCs w:val="16"/>
          <w:color w:val="auto"/>
        </w:rPr>
      </w:pPr>
    </w:p>
    <w:p>
      <w:pPr>
        <w:ind w:left="660" w:right="14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decrease in non-operating income (expense) in the first quarter of 2014 when compared with the same period in 2013 was due to an increase in income generated from S&amp;P/Dow Jones Indices LLC (S&amp;P/DJI) as well as a decrease in interest expense due to the repayment of the 5.75% fixed rate notes due February 2014, the repayment of the 5.4% fixed rate notes due August 2013 and the issuance of the 5.3% fixed rate notes due September 2043 that were effectively fixed at a rate of 4.73% through an interest rate swap agreement.</w:t>
      </w:r>
    </w:p>
    <w:p>
      <w:pPr>
        <w:spacing w:after="0" w:line="171" w:lineRule="exact"/>
        <w:rPr>
          <w:rFonts w:ascii="Arial" w:cs="Arial" w:eastAsia="Arial" w:hAnsi="Arial"/>
          <w:sz w:val="17"/>
          <w:szCs w:val="17"/>
          <w:color w:val="auto"/>
        </w:rPr>
      </w:pPr>
    </w:p>
    <w:p>
      <w:pPr>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the effective tax rate in the first quarter of 2014 when compared with the same period in 2013 was attributable to changes in future state apportionment factors resulting from state law changes, partially offset by a decrease resulting from state audit activity in the first quarter of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80.9</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23.0</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(33)</w:t>
            </w:r>
          </w:p>
        </w:tc>
      </w:tr>
      <w:tr>
        <w:trPr>
          <w:trHeight w:val="27"/>
        </w:trPr>
        <w:tc>
          <w:tcPr>
            <w:tcW w:w="7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718.6</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as well as cleared-only contracts. Volume is measured in round turns, which is considered a completed transaction that involves a purchase and an offsetting sale of a contract. Average rate per contract is determined by dividing total clearing and transaction fees by total contract volume. Volume and average rate per contract disclosures exclude our CME interest rate swap, CME credit default swap and CME Clearing Europe contracts.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833.2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750.5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639.3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590.0</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8</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0.767</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0.786</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7"/>
        </w:trPr>
        <w:tc>
          <w:tcPr>
            <w:tcW w:w="7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the first quarter of 2014 when compared with the same period in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change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Decrease due to change in average rate per contract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7"/>
        </w:trPr>
        <w:tc>
          <w:tcPr>
            <w:tcW w:w="10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the change in each is only an approximation.</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Clearing and transaction fees as presented in the consolidated statements of income include revenues for our cleared-only CME interest rate swap and CME credit default swap contracts. In the first quarter of 2014 when compared with the same period in 2013, clearing and transaction fees generated from these contracts increased by $9.7 million. The increase in revenue was largely attributable to an increase in CME interest rate swap contract volume resulting from the over-the-counter clearing mandate required to be implemented starting in mid-2013 by the Dodd-Frank Wall Street Reform and Consumer Protection Act.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5,656</w:t>
            </w:r>
          </w:p>
        </w:tc>
        <w:tc>
          <w:tcPr>
            <w:tcW w:w="13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1,010</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(19)</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Energy</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1,730</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37"/>
        </w:trPr>
        <w:tc>
          <w:tcPr>
            <w:tcW w:w="76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13,659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12,509</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11,703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10,932</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7</w:t>
            </w:r>
          </w:p>
        </w:tc>
      </w:tr>
      <w:tr>
        <w:trPr>
          <w:trHeight w:val="27"/>
        </w:trPr>
        <w:tc>
          <w:tcPr>
            <w:tcW w:w="7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w:t>
            </w:r>
          </w:p>
        </w:tc>
        <w:tc>
          <w:tcPr>
            <w:tcW w:w="13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70"/>
        </w:trPr>
        <w:tc>
          <w:tcPr>
            <w:tcW w:w="76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691</w:t>
            </w:r>
          </w:p>
        </w:tc>
        <w:tc>
          <w:tcPr>
            <w:tcW w:w="136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13</w:t>
            </w:r>
          </w:p>
        </w:tc>
      </w:tr>
      <w:tr>
        <w:trPr>
          <w:trHeight w:val="237"/>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12,509</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7"/>
        </w:trPr>
        <w:tc>
          <w:tcPr>
            <w:tcW w:w="76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20"/>
        <w:spacing w:after="0" w:line="402" w:lineRule="auto"/>
        <w:rPr>
          <w:sz w:val="20"/>
          <w:szCs w:val="20"/>
          <w:color w:val="auto"/>
        </w:rPr>
      </w:pPr>
      <w:r>
        <w:rPr>
          <w:rFonts w:ascii="Arial" w:cs="Arial" w:eastAsia="Arial" w:hAnsi="Arial"/>
          <w:sz w:val="18"/>
          <w:szCs w:val="18"/>
          <w:color w:val="auto"/>
        </w:rPr>
        <w:t xml:space="preserve">(1) Privately negotiated venue average daily volume includes both traditional block trades as well as what was historically categorized as CME ClearPort. </w:t>
      </w:r>
      <w:r>
        <w:rPr>
          <w:rFonts w:ascii="Arial" w:cs="Arial" w:eastAsia="Arial" w:hAnsi="Arial"/>
          <w:sz w:val="18"/>
          <w:szCs w:val="18"/>
          <w:i w:val="1"/>
          <w:iCs w:val="1"/>
          <w:color w:val="auto"/>
        </w:rPr>
        <w:t>Interest Rate Products</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1,432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1,097</w:t>
            </w:r>
          </w:p>
        </w:tc>
        <w:tc>
          <w:tcPr>
            <w:tcW w:w="13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1,045</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822</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106</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10-Year</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1,714</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1,693</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6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873</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r>
      <w:tr>
        <w:trPr>
          <w:trHeight w:val="243"/>
        </w:trPr>
        <w:tc>
          <w:tcPr>
            <w:tcW w:w="768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60" w:type="dxa"/>
            <w:vAlign w:val="bottom"/>
          </w:tcPr>
          <w:p>
            <w:pPr>
              <w:jc w:val="right"/>
              <w:ind w:right="555"/>
              <w:spacing w:after="0"/>
              <w:rPr>
                <w:sz w:val="20"/>
                <w:szCs w:val="20"/>
                <w:color w:val="auto"/>
              </w:rPr>
            </w:pPr>
            <w:r>
              <w:rPr>
                <w:rFonts w:ascii="Arial" w:cs="Arial" w:eastAsia="Arial" w:hAnsi="Arial"/>
                <w:sz w:val="18"/>
                <w:szCs w:val="18"/>
                <w:color w:val="auto"/>
              </w:rPr>
              <w:t>398</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(22)</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6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255</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7"/>
        </w:trPr>
        <w:tc>
          <w:tcPr>
            <w:tcW w:w="76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Overall interest rate volume increased in the first quarter of 2014 when compared with the same period in 2013 largely due to an increase in Eurodollar futures and options contract volume resulting from a change in market expectations regarding interest rates caused by improved domestic macroeconomic data regarding unemployment. Short-term Eurodollar contract volume in the first quarter of 2013 was negatively impacted by the Federal Reserve's ongoing zero interest rate policy.</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U.S. Treasury futures and options volume remained flat overall in the first quarter of 2014 when compared with the same period in 2013. An increase in volume for short-term U.S. Treasury contracts due to a change in market expectations regarding an increase in interest rates in the first quarter of 2014 was offset by higher U.S. Treasury contract volume in the first quarter of 2013 resulting from the Federal Reserve's intention to revisit their quantitative easing strategy and outline a quantitative easing exit strategy in early 2013.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16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2013</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6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rPr>
              <w:t>2,251</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2,115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60" w:type="dxa"/>
            <w:vAlign w:val="bottom"/>
          </w:tcPr>
          <w:p>
            <w:pPr>
              <w:jc w:val="right"/>
              <w:ind w:right="561"/>
              <w:spacing w:after="0"/>
              <w:rPr>
                <w:sz w:val="20"/>
                <w:szCs w:val="20"/>
                <w:color w:val="auto"/>
              </w:rPr>
            </w:pPr>
            <w:r>
              <w:rPr>
                <w:rFonts w:ascii="Arial" w:cs="Arial" w:eastAsia="Arial" w:hAnsi="Arial"/>
                <w:sz w:val="18"/>
                <w:szCs w:val="18"/>
                <w:color w:val="auto"/>
              </w:rPr>
              <w:t>315</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231</w:t>
            </w: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Overall equity contract volume increased in the first quarter of 2014 when compared with the same period in 2013 due to periods of higher volatility, as measured by the CBOE Volatility Index and CBOE Nasdaq-100 Volatility Index, in early 2014. We believe the higher volatility was caused by geopolitical events and changes in market expectations regarding macroeconomic data. We experienced higher E-mini S&amp;P 500 contract volume in the first quarter of 2013 due to short periods of high volatility related to the Eurozone crisis in early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235</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60" w:type="dxa"/>
            <w:vAlign w:val="bottom"/>
          </w:tcPr>
          <w:p>
            <w:pPr>
              <w:jc w:val="right"/>
              <w:ind w:right="537"/>
              <w:spacing w:after="0"/>
              <w:rPr>
                <w:sz w:val="20"/>
                <w:szCs w:val="20"/>
                <w:color w:val="auto"/>
              </w:rPr>
            </w:pPr>
            <w:r>
              <w:rPr>
                <w:rFonts w:ascii="Arial" w:cs="Arial" w:eastAsia="Arial" w:hAnsi="Arial"/>
                <w:sz w:val="18"/>
                <w:szCs w:val="18"/>
                <w:color w:val="auto"/>
              </w:rPr>
              <w:t>167</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6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120</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60" w:type="dxa"/>
            <w:vAlign w:val="bottom"/>
          </w:tcPr>
          <w:p>
            <w:pPr>
              <w:jc w:val="right"/>
              <w:ind w:right="537"/>
              <w:spacing w:after="0"/>
              <w:rPr>
                <w:sz w:val="20"/>
                <w:szCs w:val="20"/>
                <w:color w:val="auto"/>
              </w:rPr>
            </w:pPr>
            <w:r>
              <w:rPr>
                <w:rFonts w:ascii="Arial" w:cs="Arial" w:eastAsia="Arial" w:hAnsi="Arial"/>
                <w:sz w:val="18"/>
                <w:szCs w:val="18"/>
                <w:color w:val="auto"/>
              </w:rPr>
              <w:t>98</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6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3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overall decrease in foreign exchange contract volume in the first quarter of 2014 when compared with the same period in 2013 was attributable to a decrease in exchange rate volatility within European countries as well as Japan. Subdued expectations regarding interest rate changes across European countries and Japan led to the decrease in exchange rate volatility throughout these regions. Additionally, allegations regarding possible collusion by certain foreign exchange market participants in other marketplaces had a negative impact on overall global foreign exchange product trading during the first quarter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389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254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4</w:t>
            </w:r>
          </w:p>
        </w:tc>
      </w:tr>
      <w:tr>
        <w:trPr>
          <w:trHeight w:val="27"/>
        </w:trPr>
        <w:tc>
          <w:tcPr>
            <w:tcW w:w="76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60" w:type="dxa"/>
            <w:vAlign w:val="bottom"/>
            <w:tcBorders>
              <w:bottom w:val="single" w:sz="8" w:color="CCEEFF"/>
            </w:tcBorders>
            <w:shd w:val="clear" w:color="auto" w:fill="CCEEFF"/>
          </w:tcPr>
          <w:p>
            <w:pPr>
              <w:jc w:val="right"/>
              <w:ind w:right="558"/>
              <w:spacing w:after="0"/>
              <w:rPr>
                <w:sz w:val="20"/>
                <w:szCs w:val="20"/>
                <w:color w:val="auto"/>
              </w:rPr>
            </w:pPr>
            <w:r>
              <w:rPr>
                <w:rFonts w:ascii="Arial" w:cs="Arial" w:eastAsia="Arial" w:hAnsi="Arial"/>
                <w:sz w:val="18"/>
                <w:szCs w:val="18"/>
                <w:color w:val="auto"/>
              </w:rPr>
              <w:t>166</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104</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r>
    </w:tbl>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overall increase in agricultural commodity contract volume in the first quarter of 2014 when compared with the same period in 2013 was due to volatility caused by an increase in grain supplies from 2013 to 2014 as well as higher price volatility in corn and wheat products due to political instability in the Black Sea region in the first quarter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725</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60" w:type="dxa"/>
            <w:vAlign w:val="bottom"/>
          </w:tcPr>
          <w:p>
            <w:pPr>
              <w:jc w:val="right"/>
              <w:ind w:right="539"/>
              <w:spacing w:after="0"/>
              <w:rPr>
                <w:sz w:val="20"/>
                <w:szCs w:val="20"/>
                <w:color w:val="auto"/>
              </w:rPr>
            </w:pPr>
            <w:r>
              <w:rPr>
                <w:rFonts w:ascii="Arial" w:cs="Arial" w:eastAsia="Arial" w:hAnsi="Arial"/>
                <w:sz w:val="18"/>
                <w:szCs w:val="18"/>
                <w:color w:val="auto"/>
              </w:rPr>
              <w:t>606</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597</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294</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Overall energy contract volume remained relatively flat in the first quarter of 2014 when compared with the same period of 2013. The decline in refined products contract volume in the first quarter of 2014 when compared with the same period of 2013 was due to a decrease in demand in the underlying physical market. Crude oil product volume also decreased due to low price volatility in the first quarter of 2014 compared with the same period in 2013. The decreases in refined product volume and crude oil product volume was partially offset by an increase in natural gas contract volume in the first quarter of 2014 when compared with the same period in 2013, which was attributable to volatility caused by weather-related events.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6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209</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Silver</w:t>
            </w:r>
          </w:p>
        </w:tc>
        <w:tc>
          <w:tcPr>
            <w:tcW w:w="1660" w:type="dxa"/>
            <w:vAlign w:val="bottom"/>
          </w:tcPr>
          <w:p>
            <w:pPr>
              <w:jc w:val="right"/>
              <w:ind w:right="539"/>
              <w:spacing w:after="0"/>
              <w:rPr>
                <w:sz w:val="20"/>
                <w:szCs w:val="20"/>
                <w:color w:val="auto"/>
              </w:rPr>
            </w:pPr>
            <w:r>
              <w:rPr>
                <w:rFonts w:ascii="Arial" w:cs="Arial" w:eastAsia="Arial" w:hAnsi="Arial"/>
                <w:sz w:val="18"/>
                <w:szCs w:val="18"/>
                <w:color w:val="auto"/>
              </w:rPr>
              <w:t>64</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380" w:type="dxa"/>
            <w:vAlign w:val="bottom"/>
          </w:tcPr>
          <w:p>
            <w:pPr>
              <w:jc w:val="right"/>
              <w:ind w:right="154"/>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66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61</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1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Overall metal product volume decreased in the first quarter of 2014 when compared with the same period of 2013 due to a decrease in gold contract volumes resulting from a decrease in price volatility. Volatility was higher in the first quarter of 2013 because of uncertainty surrounding the Federal Reserve's intention to withdraw from quantitative easing in early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average rate per contract decreased in the first quarter of 2014 when compared with the same period in 2013 due to a shift in the relative mix of product volume. In the first quarter of 2014, interest rate product volume, when measured as a percentage of total volume, increased by 4%, while foreign exchange product volume decreased by 2% and energy product volume decreased by 1% when compared with the same period in 2013. Interest rate contracts have a lower average rate per contract compared with foreign exchange and energy products. In addition, the decrease in average rate per contract in the first quarter of 2014 when compared with 2013 resulted from an increase in incentives and discounts on our energy contracts as well as an an increase in tier discounts on Eurodollar products. The overall decrease in average rate per contract was partially offset by an increase due to transaction fee pricing changes that we implemented at the beginning of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11% of our clearing and transaction fees revenue in the first quarter of 2014.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increase in market data and information services revenue in the first quarter of 2014 when compared with the same period in 2013 was attributable to an increase in fees for basic real-time market data service to $85 per month in 2014 from $70 per month in 2013. The increase was partially offset by a decline in market data subscriber counts resulting from continued cost-cutting initiatives at customer firms as well as utilization of a legacy incentive program.</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44% of our market data and information services revenue in the first quarter of 2014.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the first quarter of 2014 when compared with the same period in 2013, the decrease in other revenue was attributable to $8.7 million in fees recognized upon delivery of services under our technology agreement with BM&amp;FBOVESPA S.A. in the first quarter of 2013. Also, in the fourth quarter of 2013, we sold the NYMEX building, which resulted in a decrease in rental income in the first quarter of 2014 when compared with the same period in 2013. The decrease in other revenues was partially offset by an increase in revenue generated from GFX Corporation due to an increase in trading volume.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2013</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35</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37</w:t>
            </w:r>
          </w:p>
        </w:tc>
      </w:tr>
      <w:tr>
        <w:trPr>
          <w:trHeight w:val="27"/>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w:t>
            </w:r>
          </w:p>
        </w:tc>
      </w:tr>
      <w:tr>
        <w:trPr>
          <w:trHeight w:val="257"/>
        </w:trPr>
        <w:tc>
          <w:tcPr>
            <w:tcW w:w="768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313.1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Operating expenses increased by $9.8 million in the first quarter of 2014 when compared with the same period in 2013. The following table shows the estimated impact of key factors resulting in the change in operating expenses:</w:t>
      </w:r>
    </w:p>
    <w:p>
      <w:pPr>
        <w:spacing w:after="0" w:line="21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13335</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Business enhancements and platform development</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obligation</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Litigation accruals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(gains) on foreign currency fluctuation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increased in the first quarter of 2014 when compared with the same period in 2013 due to an increase in licensing and other fee agreement expense resulting from higher volumes for interest rate swap products and certain equity contracts as well as higher fee rates on certain products.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expense also increased due to higher professional fees and depreciation and amortization expense associated with the development and continued enhancement of our product offerings and our electronic platforms.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 increase in average headcount due to efforts to expand our product offerings and geographic reach as well as to meet additional regulatory requirements also contributed to an increase in compensation and benefits expense.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fair value assessment of a contingent consideration obligation arising from an acquisition in 2010 resulted in an increase in expense in the first quarter of 2014 when compared with the same period in 2013.</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Bonus expense increased due to an overall increase in average headcount and an increase in annual base salaries in the first quarter of 2014 when compared with the same period in 2013.</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increase in overall operating expenses in the first quarter of 2014 when compared with the same period in 2013 was partially offset by a reduction in a litigation accrual due to a favorable court ruling and a denial for a rehearing in the first quarter of 2014.</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Additionally, the increase in overall operating expenses was partially offset by a change in net losses (gains) on foreign currency fluctuations. In the first quarter of 2014, we recognized a net gain on foreign currency fluctuations due to a favorable change in exchange rates on foreign cash balances. In the first quarter of 2013, we recognized a net loss on foreign currency fluctuations due to an unfavorable change in exchange rates on foreign cash balances. Gains and losses on foreign currency fluctuation result when subsidiaries with a U.S. dollar functional currency hold cash as well as certain other assets and</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liabilities denominated in foreign currencies. We expect the foreign currency gain/loss to continue to fluctuate as long as this is the case.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Pr>
          <w:p>
            <w:pPr>
              <w:spacing w:after="0"/>
              <w:rPr>
                <w:sz w:val="14"/>
                <w:szCs w:val="14"/>
                <w:color w:val="auto"/>
              </w:rPr>
            </w:pPr>
          </w:p>
        </w:tc>
      </w:tr>
      <w:tr>
        <w:trPr>
          <w:trHeight w:val="192"/>
        </w:trPr>
        <w:tc>
          <w:tcPr>
            <w:tcW w:w="8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(14)</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2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(55)</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key impacts in the overall decrease in interest expense and other borrowing costs in the first quarter of 2014 when compared with the same period in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7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 millions)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2,487.5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2,862.5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(375.0)</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4.54</w:t>
            </w: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4.98</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(0.44)</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w:t>
      </w:r>
    </w:p>
    <w:p>
      <w:pPr>
        <w:spacing w:after="0" w:line="170" w:lineRule="exact"/>
        <w:rPr>
          <w:sz w:val="20"/>
          <w:szCs w:val="20"/>
          <w:color w:val="auto"/>
        </w:rPr>
      </w:pPr>
    </w:p>
    <w:p>
      <w:pPr>
        <w:ind w:left="60" w:right="40"/>
        <w:spacing w:after="0" w:line="257" w:lineRule="auto"/>
        <w:rPr>
          <w:sz w:val="20"/>
          <w:szCs w:val="20"/>
          <w:color w:val="auto"/>
        </w:rPr>
      </w:pPr>
      <w:r>
        <w:rPr>
          <w:rFonts w:ascii="Arial" w:cs="Arial" w:eastAsia="Arial" w:hAnsi="Arial"/>
          <w:sz w:val="18"/>
          <w:szCs w:val="18"/>
          <w:color w:val="auto"/>
        </w:rPr>
        <w:t>In the first quarter of 2014, we repaid the 5.75% fixed rate notes due February 2014. In the third quarter of 2013, we repaid $750.0 million of 5.4% fixed rate notes due August 2013 and issued $750.0 million of 5.3% fixed rate notes due September 2043. We entered into an interest rate swap agreement that resulted in an effective interest rate of 4.73% on the 5.3% fixed rate notes due September 2043. These factors contributed to a decrease in weighted average borrowings outstanding, weighted average effective yield and average cost of borrowings in the first quarter of 2014 when compared with the same period in 2013.</w:t>
      </w:r>
    </w:p>
    <w:p>
      <w:pPr>
        <w:spacing w:after="0" w:line="16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and other borrowing costs also include commitment fees on our line of credit agreements. Commitment fees increased in the first quarter of 2014 when compared with the same period in 2013 due to higher fees associated with a $2.0 billion increase in our line of credit upon renewal in the fourth quarter of 2013.</w:t>
      </w:r>
    </w:p>
    <w:p>
      <w:pPr>
        <w:spacing w:after="0" w:line="154"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An increase in income generated from our S&amp;P/DJI business venture contributed to an increase in equity in net gains (losses) of unconsolidated subsidiaries in first quarter of 2014 when compared with the same period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r>
      <w:tr>
        <w:trPr>
          <w:trHeight w:val="243"/>
        </w:trPr>
        <w:tc>
          <w:tcPr>
            <w:tcW w:w="7840" w:type="dxa"/>
            <w:vAlign w:val="bottom"/>
            <w:shd w:val="clear" w:color="auto" w:fill="CCEEFF"/>
          </w:tcPr>
          <w:p>
            <w:pPr>
              <w:jc w:val="right"/>
              <w:ind w:right="5939"/>
              <w:spacing w:after="0"/>
              <w:rPr>
                <w:sz w:val="20"/>
                <w:szCs w:val="20"/>
                <w:color w:val="auto"/>
              </w:rPr>
            </w:pPr>
            <w:r>
              <w:rPr>
                <w:rFonts w:ascii="Arial" w:cs="Arial" w:eastAsia="Arial" w:hAnsi="Arial"/>
                <w:sz w:val="18"/>
                <w:szCs w:val="18"/>
                <w:color w:val="auto"/>
                <w:w w:val="90"/>
              </w:rPr>
              <w:t>Quarter Ended March 31</w:t>
            </w:r>
          </w:p>
        </w:tc>
        <w:tc>
          <w:tcPr>
            <w:tcW w:w="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0"/>
              </w:rPr>
              <w:t>40.3%</w:t>
            </w:r>
          </w:p>
        </w:tc>
        <w:tc>
          <w:tcPr>
            <w:tcW w:w="14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38.8%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8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increase in the effective tax rate in the first quarter of 2014 when compared with the same period in 2013 was attributable to changes in future state apportionment factors resulting from state law changes, partially offset by a decrease resulting from state audit activity in the first quarter of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u w:val="single" w:color="auto"/>
          <w:color w:val="auto"/>
        </w:rPr>
        <w:t>Sources and Uses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provided by operating activities in the first quarter of 2014 was relatively consistent with net cash provided by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in the first quarter of 2013. Net cash used in investing activities increased in the first quarter of 2014 when compared with the same period of 2013 due to an increase in purchases of property and equipment due to ongoing efforts to consolidate some of our data centers. This increase in cash used was partially offset by proceeds from the sale of building property in the first quarter of 2014. Cash used in financing activities was higher in the first quarter of 2014 when compared with the same period in 2013. The increase in cash used was attributable to higher cash dividends in the first quarter of 2014 when compared with the same period in 2013. The annual variable dividend from 2013 operations was paid in the first quarter of 2014. The annual variable dividend from 2012 operations was paid in the fourth quarter of 2012 due to</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uncertainty surrounding dividend income tax treatment beginning in 2013. The increase in cash used was also due to the repayment of the fixed rate notes due February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March 31, 2014:</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Par Value</w:t>
            </w:r>
          </w:p>
        </w:tc>
      </w:tr>
      <w:tr>
        <w:trPr>
          <w:trHeight w:val="270"/>
        </w:trPr>
        <w:tc>
          <w:tcPr>
            <w:tcW w:w="7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90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senior credit facility, we have the option to increase the facility up to $2.5 billion with the consent of the agent and lenders providing the additional funds. This senior credit facility matures in January 2016. The senior credit facility is voluntarily prepayable from time to time without premium or penalty. Under the credit facility, we are required to remain in compliance with a consolidated net worth test, which is defined as our consolidated shareholders' equity as of September 30, 2012, giving effect to share repurchases made and special dividends paid during the term of the agreements (and in no event greater than $2.0 billion in aggregate), multiplied by 0.65. We currently do not have any borrowings outstanding under the credit facility.</w:t>
      </w:r>
    </w:p>
    <w:p>
      <w:pPr>
        <w:spacing w:after="0" w:line="1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maintain a 364-day multi-currency line of credit with a consortium of domestic and international banks to be used in certain situations by our CME clearing house. The line of credit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U.S. Treasury securities or money market mutual funds as well as the performance bond assets of a defaulting firm can be used to collateralize the facility. At March 31, 2014, guaranty funds available to collateralize the facility totaled $5.6 billion. We have the option to request an increase in the line from $7.0 billion to $10.0 billion. In addition to the 364-day multi-currency line of credit, we also have the option to use the $1.8 billion multi-currency revolving senior credit facility to provide liquidity for our clearing houses in the unlikely event of default in certain circumstances.</w:t>
      </w:r>
    </w:p>
    <w:p>
      <w:pPr>
        <w:spacing w:after="0" w:line="14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$800.0 million.</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indentures governing our fixed rate notes, our $1.8 billion multi-currency revolving senior credit facility and our 364-day multi-currency line of credit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2014, we have excess borrowing capacity for general corporate purposes of approximately $1.8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were in compliance with the various covenant requirements of all our debt facilities.</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March 31, 2014, the letters of credit totaled $460.0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March 31,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$1.1 billion at March 31, 2014 and $2.5 billion at December 31, 2013.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ind w:right="20"/>
        <w:spacing w:after="0" w:line="255" w:lineRule="auto"/>
        <w:rPr>
          <w:sz w:val="20"/>
          <w:szCs w:val="20"/>
          <w:color w:val="auto"/>
        </w:rPr>
      </w:pPr>
      <w:r>
        <w:rPr>
          <w:rFonts w:ascii="Arial" w:cs="Arial" w:eastAsia="Arial" w:hAnsi="Arial"/>
          <w:sz w:val="18"/>
          <w:szCs w:val="18"/>
          <w:color w:val="auto"/>
        </w:rPr>
        <w:t>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0"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Net current deferred tax assets of $52.5 million and $52.3 million were included in other current assets at March 31, 2014 and December 31, 2013, respectively. Total net current deferred tax assets are attributable to unrealized losses, stock-based compensation and accrued expenses.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long-term deferred tax liabilities were $7.3 billion and $7.2 billion at March 31, 2014 and December 31, 2013, respectively. Net deferred tax liabilities are principally the result of purchase accounting for intangible assets in our various mergers, including CBOT Holdings and NYMEX Holdings.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Valuation allowances of $37.5 million and $47.5 million have been provided at March 31, 2014 and December 31, 2013, respectively. At March 31, 2014 and December 31, 2013, valuation allowances were related to domestic net operating losses, foreign net operating losses as well as built in capital losses for which we do not believe that we currently meet the more-likely-than-not-threshold for recognition.</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Commodity Futures Trading Commission (CFTC) as a U.S. Derivatives Clearing Organization (DCO).</w:t>
      </w:r>
      <w:r>
        <w:rPr>
          <w:rFonts w:ascii="Arial" w:cs="Arial" w:eastAsia="Arial" w:hAnsi="Arial"/>
          <w:sz w:val="16"/>
          <w:szCs w:val="16"/>
          <w:i w:val="1"/>
          <w:iCs w:val="1"/>
          <w:color w:val="auto"/>
        </w:rPr>
        <w:t xml:space="preserve"> </w:t>
      </w:r>
      <w:r>
        <w:rPr>
          <w:rFonts w:ascii="Arial" w:cs="Arial" w:eastAsia="Arial" w:hAnsi="Arial"/>
          <w:sz w:val="16"/>
          <w:szCs w:val="16"/>
          <w:color w:val="auto"/>
        </w:rPr>
        <w:t>DCOs are required to maintain capital as defined by the CFTC in an amount at least equal to one year of projected operating expenses as well as cash, liquid securities, or a line of credit at least equal to six months of projected operating expenses. CME is in compliance with the DCO financial requirements.</w:t>
      </w:r>
    </w:p>
    <w:p>
      <w:pPr>
        <w:spacing w:after="0" w:line="1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pacing w:after="0" w:line="20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2013. Refer to Item 7A. of CME Group’s Annual Report on Form 10-K for the year ended December 31, 2013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79"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60" w:firstLine="8"/>
        <w:spacing w:after="0" w:line="302"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ind w:right="100"/>
        <w:spacing w:after="0" w:line="277" w:lineRule="auto"/>
        <w:rPr>
          <w:sz w:val="20"/>
          <w:szCs w:val="20"/>
          <w:color w:val="auto"/>
        </w:rPr>
      </w:pPr>
      <w:r>
        <w:rPr>
          <w:rFonts w:ascii="Arial" w:cs="Arial" w:eastAsia="Arial" w:hAnsi="Arial"/>
          <w:sz w:val="18"/>
          <w:szCs w:val="18"/>
          <w:color w:val="auto"/>
        </w:rPr>
        <w:t>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5. Contingencies to the Consolidated Financial Statements for updates to CME Group’s existing legal proceedings disclosure which is incorporated herein by reference. Note 5. Contingencies includes updates to the legal proceedings disclosed in the company’s Annual Report on Form 10-K, filed with the SEC on February 28, 2014.</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2014.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28</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27,403</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75.36</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27,403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75.36</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purchased consist of an aggregate of 27,403 shares of Class A common stock surrendered in the first quarter of 2014 to satisfy employees’ tax obligations upon the vesting of restricted stock.</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92" w:right="2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1004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0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769"/>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10040" w:type="dxa"/>
            <w:vAlign w:val="bottom"/>
          </w:tcPr>
          <w:p>
            <w:pPr>
              <w:ind w:left="360"/>
              <w:spacing w:after="0"/>
              <w:rPr>
                <w:sz w:val="20"/>
                <w:szCs w:val="20"/>
                <w:color w:val="auto"/>
              </w:rPr>
            </w:pPr>
            <w:r>
              <w:rPr>
                <w:rFonts w:ascii="Arial" w:cs="Arial" w:eastAsia="Arial" w:hAnsi="Arial"/>
                <w:sz w:val="18"/>
                <w:szCs w:val="18"/>
                <w:color w:val="auto"/>
                <w:w w:val="90"/>
              </w:rPr>
              <w:t>Amended Agreement, effective as of February 5, 2014, between CME Group Inc. and Terrence A. Duffy (incorporated by reference to</w:t>
            </w:r>
          </w:p>
        </w:tc>
      </w:tr>
      <w:tr>
        <w:trPr>
          <w:trHeight w:val="230"/>
        </w:trPr>
        <w:tc>
          <w:tcPr>
            <w:tcW w:w="128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Exhibit 10.1 to CME Group Inc.'s Form 8-K, filed with the SEC on February 11, 2014, File No. 001-31553).</w:t>
            </w:r>
          </w:p>
        </w:tc>
      </w:tr>
      <w:tr>
        <w:trPr>
          <w:trHeight w:val="418"/>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10040" w:type="dxa"/>
            <w:vAlign w:val="bottom"/>
          </w:tcPr>
          <w:p>
            <w:pPr>
              <w:ind w:left="360"/>
              <w:spacing w:after="0"/>
              <w:rPr>
                <w:sz w:val="20"/>
                <w:szCs w:val="20"/>
                <w:color w:val="auto"/>
              </w:rPr>
            </w:pPr>
            <w:r>
              <w:rPr>
                <w:rFonts w:ascii="Arial" w:cs="Arial" w:eastAsia="Arial" w:hAnsi="Arial"/>
                <w:sz w:val="18"/>
                <w:szCs w:val="18"/>
                <w:color w:val="auto"/>
                <w:w w:val="91"/>
              </w:rPr>
              <w:t>Amended Agreement, effective as of February 5, 2014, between CME Group Inc. and Phupinder S. Gill (incorporated by reference to</w:t>
            </w:r>
          </w:p>
        </w:tc>
      </w:tr>
      <w:tr>
        <w:trPr>
          <w:trHeight w:val="230"/>
        </w:trPr>
        <w:tc>
          <w:tcPr>
            <w:tcW w:w="1280" w:type="dxa"/>
            <w:vAlign w:val="bottom"/>
          </w:tcPr>
          <w:p>
            <w:pPr>
              <w:spacing w:after="0"/>
              <w:rPr>
                <w:sz w:val="20"/>
                <w:szCs w:val="20"/>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Exhibit 10.2 to CME Group Inc.'s Form 8-K, filed with the SEC on February 11, 2014, File No. 001-31553).</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302 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302 Certification—James E. Parisi</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0040" w:type="dxa"/>
            <w:vAlign w:val="bottom"/>
          </w:tcPr>
          <w:p>
            <w:pPr>
              <w:ind w:left="360"/>
              <w:spacing w:after="0"/>
              <w:rPr>
                <w:sz w:val="20"/>
                <w:szCs w:val="20"/>
                <w:color w:val="auto"/>
              </w:rPr>
            </w:pPr>
            <w:r>
              <w:rPr>
                <w:rFonts w:ascii="Arial" w:cs="Arial" w:eastAsia="Arial" w:hAnsi="Arial"/>
                <w:sz w:val="18"/>
                <w:szCs w:val="18"/>
                <w:color w:val="auto"/>
              </w:rPr>
              <w:t>Section 906 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1004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320"/>
          </w:cols>
          <w:pgMar w:left="24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20"/>
          </w:cols>
          <w:pgMar w:left="240" w:top="108"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May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25"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2014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2019-12-07T02:11:37Z</dcterms:created>
  <dcterms:modified xsi:type="dcterms:W3CDTF">2019-12-07T02:11:37Z</dcterms:modified>
</cp:coreProperties>
</file>