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0960d8k.htm"/>
      <w:bookmarkStart w:id="1" w:name="ksd830960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3,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CME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001-31553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36-4459170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7010" w:type="dxa"/>
        <w:jc w:val="left"/>
        <w:tblInd w:w="0" w:type="dxa"/>
        <w:tblLayout w:type="fixed"/>
        <w:tblCellMar>
          <w:top w:w="0" w:type="dxa"/>
          <w:left w:w="0" w:type="dxa"/>
          <w:bottom w:w="0" w:type="dxa"/>
          <w:right w:w="0" w:type="dxa"/>
        </w:tblCellMar>
      </w:tblPr>
      <w:tblGrid>
        <w:gridCol w:w="4070"/>
        <w:gridCol w:w="60"/>
        <w:gridCol w:w="860"/>
        <w:gridCol w:w="60"/>
        <w:gridCol w:w="695"/>
        <w:gridCol w:w="12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 South Wacker Drive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b/>
              </w:rPr>
            </w:pPr>
            <w:r>
              <w:rPr>
                <w:b/>
              </w:rPr>
              <w:t>Chicago</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b/>
              </w:rPr>
            </w:pPr>
            <w:r>
              <w:rPr>
                <w:b/>
              </w:rPr>
              <w:t>Illinois</w:t>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60606</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(312) 930-1000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355" w:type="dxa"/>
        <w:jc w:val="left"/>
        <w:tblInd w:w="0" w:type="dxa"/>
        <w:tblLayout w:type="fixed"/>
        <w:tblCellMar>
          <w:top w:w="0" w:type="dxa"/>
          <w:left w:w="0" w:type="dxa"/>
          <w:bottom w:w="0" w:type="dxa"/>
          <w:right w:w="0" w:type="dxa"/>
        </w:tblCellMar>
      </w:tblPr>
      <w:tblGrid>
        <w:gridCol w:w="2330"/>
        <w:gridCol w:w="60"/>
        <w:gridCol w:w="1160"/>
        <w:gridCol w:w="60"/>
        <w:gridCol w:w="1745"/>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30" w:type="dxa"/>
            <w:tcBorders/>
            <w:vAlign w:val="center"/>
          </w:tcPr>
          <w:p>
            <w:pPr>
              <w:pStyle w:val="TableContents"/>
              <w:bidi w:val="0"/>
              <w:spacing w:before="0" w:after="283"/>
              <w:jc w:val="center"/>
              <w:rPr/>
            </w:pPr>
            <w:r>
              <w:rPr/>
              <w:t>Class A Common Stock</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CME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3, 2025, CME Group Inc. (the “Company”) entered into an Underwriting Agreement (the “Underwriting Agreement”) between the Company and Barclays Capital Inc., J.P. Morgan Securities LLC and Wells Fargo Securities, LLC, as representatives of the underwriters named therein (together, the “Underwriters”), in connection with the issuance and sale of $750,000,000 aggregate principal amount of the Company’s 4.400% Notes due 2030 in an underwritten public offering. The Underwriting Agreement includes customary representations, warranties and covenants by the Company. It also provides for customary indemnification by each of the Company and the Underwriters against certain liabilities and customary contribution provisions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full text of the Underwriting Agreement, which is filed as Exhibit 1.1 hereto and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30960dex11.htm">
              <w:r>
                <w:rPr>
                  <w:rStyle w:val="InternetLink"/>
                </w:rPr>
                <w:t xml:space="preserve">Underwriting Agreement, dated March 3, 2025, between CME Group Inc. and Barclays Capital Inc., J.P. Morgan Securities LLC and Wells Fargo Securities, LLC, as representatives of the several underwriters named therein.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665"/>
        <w:gridCol w:w="60"/>
        <w:gridCol w:w="455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sz w:val="4"/>
                <w:szCs w:val="4"/>
              </w:rPr>
            </w:pPr>
            <w:r>
              <w:rPr>
                <w:sz w:val="4"/>
                <w:szCs w:val="4"/>
              </w:rPr>
            </w:r>
          </w:p>
        </w:tc>
      </w:tr>
      <w:tr>
        <w:trPr/>
        <w:tc>
          <w:tcPr>
            <w:tcW w:w="5275" w:type="dxa"/>
            <w:gridSpan w:val="3"/>
            <w:tcBorders/>
            <w:vAlign w:val="center"/>
          </w:tcPr>
          <w:p>
            <w:pPr>
              <w:pStyle w:val="TableContents"/>
              <w:bidi w:val="0"/>
              <w:spacing w:before="0" w:after="283"/>
              <w:jc w:val="left"/>
              <w:rPr>
                <w:b/>
              </w:rPr>
            </w:pPr>
            <w:r>
              <w:rPr>
                <w:b/>
              </w:rPr>
              <w:t>CME Group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61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Lynne Fitzpatrick</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Lynne Fitzpatrick</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xml:space="preserve">Senior Managing Director, President and Chief </w:t>
              <w:br/>
              <w:t>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4, 2025 </w:t>
      </w:r>
    </w:p>
    <w:p>
      <w:pPr>
        <w:pStyle w:val="TextBody"/>
        <w:bidi w:val="0"/>
        <w:spacing w:before="0" w:after="0"/>
        <w:jc w:val="right"/>
        <w:rPr>
          <w:rFonts w:ascii="Times New Roman" w:hAnsi="Times New Roman"/>
          <w:b/>
          <w:sz w:val="20"/>
        </w:rPr>
      </w:pPr>
      <w:bookmarkStart w:id="2" w:name="d830960dex11.htm"/>
      <w:bookmarkStart w:id="3" w:name="ksd830960dex11"/>
      <w:bookmarkEnd w:id="2"/>
      <w:bookmarkEnd w:id="3"/>
      <w:r>
        <w:rPr>
          <w:rFonts w:ascii="Times New Roman" w:hAnsi="Times New Roman"/>
          <w:b/>
          <w:sz w:val="20"/>
        </w:rPr>
        <w:t xml:space="preserve">Exhibit 1.1 </w:t>
      </w:r>
      <w:r>
        <w:br w:type="page"/>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CME GROUP INC. </w:t>
      </w:r>
    </w:p>
    <w:p>
      <w:pPr>
        <w:pStyle w:val="TextBody"/>
        <w:bidi w:val="0"/>
        <w:spacing w:before="240" w:after="0"/>
        <w:jc w:val="center"/>
        <w:rPr>
          <w:rFonts w:ascii="Times New Roman" w:hAnsi="Times New Roman"/>
          <w:sz w:val="20"/>
        </w:rPr>
      </w:pPr>
      <w:r>
        <w:rPr>
          <w:rFonts w:ascii="Times New Roman" w:hAnsi="Times New Roman"/>
          <w:sz w:val="20"/>
        </w:rPr>
        <w:t xml:space="preserve">$750,000,000 4.400% Notes due 2030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March 3,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March 3, 2025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Barclays Capital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745 Seventh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383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550 South Tryon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CME Group Inc., a Delaware corporation (the </w:t>
      </w:r>
      <w:r>
        <w:rPr>
          <w:rFonts w:ascii="Times New Roman" w:hAnsi="Times New Roman"/>
          <w:b/>
          <w:sz w:val="20"/>
        </w:rPr>
        <w:t>Company</w:t>
      </w:r>
      <w:r>
        <w:rPr>
          <w:rFonts w:ascii="Times New Roman" w:hAnsi="Times New Roman"/>
          <w:sz w:val="20"/>
        </w:rPr>
        <w:t xml:space="preserve">), proposes to sell to the several Underwriters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xml:space="preserve">, which term shall also include any underwriters substituted as hereinafter provided in </w:t>
      </w:r>
      <w:r>
        <w:rPr>
          <w:rFonts w:ascii="Times New Roman" w:hAnsi="Times New Roman"/>
          <w:sz w:val="20"/>
          <w:u w:val="single"/>
        </w:rPr>
        <w:t>Section 10</w:t>
      </w:r>
      <w:r>
        <w:rPr>
          <w:rFonts w:ascii="Times New Roman" w:hAnsi="Times New Roman"/>
          <w:sz w:val="20"/>
        </w:rPr>
        <w:t xml:space="preserve"> hereof), acting severally and not jointly, the respective amounts set forth in such </w:t>
      </w:r>
      <w:r>
        <w:rPr>
          <w:rFonts w:ascii="Times New Roman" w:hAnsi="Times New Roman"/>
          <w:sz w:val="20"/>
          <w:u w:val="single"/>
        </w:rPr>
        <w:t>Schedule I</w:t>
      </w:r>
      <w:r>
        <w:rPr>
          <w:rFonts w:ascii="Times New Roman" w:hAnsi="Times New Roman"/>
          <w:sz w:val="20"/>
        </w:rPr>
        <w:t xml:space="preserve"> of $750,000,000 aggregate principal amount of the Companys 4.400% Notes due 2030 (the </w:t>
      </w:r>
      <w:r>
        <w:rPr>
          <w:rFonts w:ascii="Times New Roman" w:hAnsi="Times New Roman"/>
          <w:b/>
          <w:sz w:val="20"/>
        </w:rPr>
        <w:t>Notes</w:t>
      </w:r>
      <w:r>
        <w:rPr>
          <w:rFonts w:ascii="Times New Roman" w:hAnsi="Times New Roman"/>
          <w:sz w:val="20"/>
        </w:rPr>
        <w:t>). Barclays Capital Inc., J.P. Morgan Securities LLC and Wells Fargo Securities, LLC shall act as representatives (the </w:t>
      </w:r>
      <w:r>
        <w:rPr>
          <w:rFonts w:ascii="Times New Roman" w:hAnsi="Times New Roman"/>
          <w:b/>
          <w:sz w:val="20"/>
        </w:rPr>
        <w:t>Representatives</w:t>
      </w:r>
      <w:r>
        <w:rPr>
          <w:rFonts w:ascii="Times New Roman" w:hAnsi="Times New Roman"/>
          <w:sz w:val="20"/>
        </w:rPr>
        <w:t xml:space="preserve">) of the several Underwriters. </w:t>
      </w:r>
    </w:p>
    <w:p>
      <w:pPr>
        <w:pStyle w:val="TextBody"/>
        <w:bidi w:val="0"/>
        <w:spacing w:before="240" w:after="0"/>
        <w:jc w:val="left"/>
        <w:rPr>
          <w:rFonts w:ascii="Times New Roman" w:hAnsi="Times New Roman"/>
          <w:sz w:val="20"/>
        </w:rPr>
      </w:pPr>
      <w:r>
        <w:rPr>
          <w:rFonts w:ascii="Times New Roman" w:hAnsi="Times New Roman"/>
          <w:sz w:val="20"/>
        </w:rPr>
        <w:t>The Notes will be issued pursuant to an indenture, dated as of August 12, 2008 (the </w:t>
      </w:r>
      <w:r>
        <w:rPr>
          <w:rFonts w:ascii="Times New Roman" w:hAnsi="Times New Roman"/>
          <w:b/>
          <w:sz w:val="20"/>
        </w:rPr>
        <w:t>Base Indenture</w:t>
      </w:r>
      <w:r>
        <w:rPr>
          <w:rFonts w:ascii="Times New Roman" w:hAnsi="Times New Roman"/>
          <w:sz w:val="20"/>
        </w:rPr>
        <w:t>), between the Company and U.S. Bank National Association, as trustee (the </w:t>
      </w:r>
      <w:r>
        <w:rPr>
          <w:rFonts w:ascii="Times New Roman" w:hAnsi="Times New Roman"/>
          <w:b/>
          <w:sz w:val="20"/>
        </w:rPr>
        <w:t>Trustee</w:t>
      </w:r>
      <w:r>
        <w:rPr>
          <w:rFonts w:ascii="Times New Roman" w:hAnsi="Times New Roman"/>
          <w:sz w:val="20"/>
        </w:rPr>
        <w:t>). Certain terms of the Notes will be established pursuant to a supplemental indenture to the Base Indenture (together with the Base Indenture, the </w:t>
      </w:r>
      <w:r>
        <w:rPr>
          <w:rFonts w:ascii="Times New Roman" w:hAnsi="Times New Roman"/>
          <w:b/>
          <w:sz w:val="20"/>
        </w:rPr>
        <w:t>Indenture</w:t>
      </w:r>
      <w:r>
        <w:rPr>
          <w:rFonts w:ascii="Times New Roman" w:hAnsi="Times New Roman"/>
          <w:sz w:val="20"/>
        </w:rPr>
        <w:t>). The Notes will be issued in book-entry form in the name of Cede &amp; Co., as nominee of The Depository Trust Company (the </w:t>
      </w:r>
      <w:r>
        <w:rPr>
          <w:rFonts w:ascii="Times New Roman" w:hAnsi="Times New Roman"/>
          <w:b/>
          <w:sz w:val="20"/>
        </w:rPr>
        <w:t>Depositary</w:t>
      </w:r>
      <w:r>
        <w:rPr>
          <w:rFonts w:ascii="Times New Roman" w:hAnsi="Times New Roman"/>
          <w:sz w:val="20"/>
        </w:rPr>
        <w:t xml:space="preserve">), pursuant to a Letter of Representations, to be dated on or before the Closing Date (as defined in </w:t>
      </w:r>
      <w:r>
        <w:rPr>
          <w:rFonts w:ascii="Times New Roman" w:hAnsi="Times New Roman"/>
          <w:sz w:val="20"/>
          <w:u w:val="single"/>
        </w:rPr>
        <w:t>Section 4</w:t>
      </w:r>
      <w:r>
        <w:rPr>
          <w:rFonts w:ascii="Times New Roman" w:hAnsi="Times New Roman"/>
          <w:sz w:val="20"/>
        </w:rPr>
        <w:t xml:space="preserve"> below), between the Company and the Depositary. </w:t>
      </w:r>
    </w:p>
    <w:p>
      <w:pPr>
        <w:pStyle w:val="TextBody"/>
        <w:bidi w:val="0"/>
        <w:spacing w:before="24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333-285481), which contains a base prospectus (the </w:t>
      </w:r>
      <w:r>
        <w:rPr>
          <w:rFonts w:ascii="Times New Roman" w:hAnsi="Times New Roman"/>
          <w:b/>
          <w:sz w:val="20"/>
        </w:rPr>
        <w:t>Base Prospectus</w:t>
      </w:r>
      <w:r>
        <w:rPr>
          <w:rFonts w:ascii="Times New Roman" w:hAnsi="Times New Roman"/>
          <w:sz w:val="20"/>
        </w:rPr>
        <w:t>), to be used in connection with the public offering and sale of debt securities, including the Notes, and other securities of the Company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xml:space="preserve">), and the offering thereof from time to time in accordance with Rule 415 under the Securities Act. Such registration statement, including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exhibits and schedules thereto, in the form in which it became effective under the Securities Act, including any required information deemed to be a part thereof at the time of effectiveness pursuant to Rule 430B under the Securities Act, is called the </w:t>
      </w:r>
      <w:r>
        <w:rPr>
          <w:rFonts w:ascii="Times New Roman" w:hAnsi="Times New Roman"/>
          <w:b/>
          <w:sz w:val="20"/>
        </w:rPr>
        <w:t>Registration</w:t>
      </w:r>
      <w:r>
        <w:rPr>
          <w:rFonts w:ascii="Times New Roman" w:hAnsi="Times New Roman"/>
          <w:sz w:val="20"/>
        </w:rPr>
        <w:t xml:space="preserve"> </w:t>
      </w:r>
      <w:r>
        <w:rPr>
          <w:rFonts w:ascii="Times New Roman" w:hAnsi="Times New Roman"/>
          <w:b/>
          <w:sz w:val="20"/>
        </w:rPr>
        <w:t>Statement</w:t>
      </w:r>
      <w:r>
        <w:rPr>
          <w:rFonts w:ascii="Times New Roman" w:hAnsi="Times New Roman"/>
          <w:sz w:val="20"/>
        </w:rPr>
        <w:t>. The term </w:t>
      </w:r>
      <w:r>
        <w:rPr>
          <w:rFonts w:ascii="Times New Roman" w:hAnsi="Times New Roman"/>
          <w:b/>
          <w:sz w:val="20"/>
        </w:rPr>
        <w:t>Prospectus</w:t>
      </w:r>
      <w:r>
        <w:rPr>
          <w:rFonts w:ascii="Times New Roman" w:hAnsi="Times New Roman"/>
          <w:sz w:val="20"/>
        </w:rPr>
        <w:t> shall mean the final prospectus supplement relating to the Notes, together with the Base Prospectus, that is first filed pursuant to Rule 424(b) after the date and time that this Agreement is executed (the </w:t>
      </w:r>
      <w:r>
        <w:rPr>
          <w:rFonts w:ascii="Times New Roman" w:hAnsi="Times New Roman"/>
          <w:b/>
          <w:sz w:val="20"/>
        </w:rPr>
        <w:t>Execution Time</w:t>
      </w:r>
      <w:r>
        <w:rPr>
          <w:rFonts w:ascii="Times New Roman" w:hAnsi="Times New Roman"/>
          <w:sz w:val="20"/>
        </w:rPr>
        <w:t>) by the parties hereto. The term </w:t>
      </w:r>
      <w:r>
        <w:rPr>
          <w:rFonts w:ascii="Times New Roman" w:hAnsi="Times New Roman"/>
          <w:b/>
          <w:sz w:val="20"/>
        </w:rPr>
        <w:t>Preliminary Prospectus</w:t>
      </w:r>
      <w:r>
        <w:rPr>
          <w:rFonts w:ascii="Times New Roman" w:hAnsi="Times New Roman"/>
          <w:sz w:val="20"/>
        </w:rPr>
        <w:t> shall mean any preliminary prospectus supplement relating to the Notes, together with the Base Prospectus, that is first filed with the Commission pursuant to Rule 424(b). Any reference herein to the Registration Statement, the Preliminary Prospectus or the Prospectus shall be deemed to refer to and include the documents that are or are deemed to be incorporated by reference therein pursuant to Item 12 of Form S-3 under the Securities Act prior to 4:05 p.m., New York City time, on March 3, 2025 (the </w:t>
      </w:r>
      <w:r>
        <w:rPr>
          <w:rFonts w:ascii="Times New Roman" w:hAnsi="Times New Roman"/>
          <w:b/>
          <w:sz w:val="20"/>
        </w:rPr>
        <w:t>Initial Sale Time</w:t>
      </w:r>
      <w:r>
        <w:rPr>
          <w:rFonts w:ascii="Times New Roman" w:hAnsi="Times New Roman"/>
          <w:sz w:val="20"/>
        </w:rPr>
        <w:t>). All references in this Agreement to the Registration Statement, the Preliminary Prospectus,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financial statements and schedules and other information which is contained, included or stated (or other references of like import) in the Registration Statement, the Preliminary Prospectus or the Prospectus shall be deemed to mean and include all such financial statements and schedules and other information which is or is deemed to be incorporated by reference in the Registration Statement, the Preliminary Prospectus or the Prospectus, as the case may be, prior to the Initial Sale Time; and all references in this Agreement to amendments or supplements to the Registration Statement, the Preliminary Prospectus or the Prospectus shall be deemed to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xml:space="preserve">), which is or is deemed to be incorporated by reference in the Registration Statement, the Preliminary Prospectus or the Prospectus, as the case may be, after the Initial Sale Time.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 of the Company</w:t>
      </w:r>
      <w:r>
        <w:rPr>
          <w:rFonts w:ascii="Times New Roman" w:hAnsi="Times New Roman"/>
          <w:sz w:val="20"/>
        </w:rPr>
        <w:t>. The Company represents and warrants to and agrees with each of the Underwriters as of the date hereof, as of the Initial Sale Time and as of the Closing Date (in each case, a </w:t>
      </w:r>
      <w:r>
        <w:rPr>
          <w:rFonts w:ascii="Times New Roman" w:hAnsi="Times New Roman"/>
          <w:b/>
          <w:sz w:val="20"/>
        </w:rPr>
        <w:t>Representation Date</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meets the requirements for use of Form S-3 under the Securities Act. The Registration Statement has become effective; no stop order suspending the effectiveness of the Registration Statement is in effect, and no proceedings for such purpose are pending before or, to the knowledge of the Company, threatened by the Commission. </w:t>
      </w:r>
    </w:p>
    <w:p>
      <w:pPr>
        <w:pStyle w:val="TextBody"/>
        <w:bidi w:val="0"/>
        <w:spacing w:before="240" w:after="0"/>
        <w:jc w:val="left"/>
        <w:rPr>
          <w:rFonts w:ascii="Times New Roman" w:hAnsi="Times New Roman"/>
          <w:sz w:val="20"/>
        </w:rPr>
      </w:pPr>
      <w:r>
        <w:rPr>
          <w:rFonts w:ascii="Times New Roman" w:hAnsi="Times New Roman"/>
          <w:sz w:val="20"/>
        </w:rPr>
        <w:t>As of the respective times the Registration Statement and any post-effective amendments thereto (including the filing with the Commission of the Companys Annual Report on Form 10-K for the year ended December 31, 2024 (the </w:t>
      </w:r>
      <w:r>
        <w:rPr>
          <w:rFonts w:ascii="Times New Roman" w:hAnsi="Times New Roman"/>
          <w:b/>
          <w:sz w:val="20"/>
        </w:rPr>
        <w:t>Annual Report on Form 10-K</w:t>
      </w:r>
      <w:r>
        <w:rPr>
          <w:rFonts w:ascii="Times New Roman" w:hAnsi="Times New Roman"/>
          <w:sz w:val="20"/>
        </w:rPr>
        <w:t>)) became effective and as of each Representation Date, the Registration Statement and any amendments thereto (i) complied and will comply in all material respects with the requirements of the Securities Act and the Trust Indenture Act of 1939, as amended, and the rules and regulations promulgated thereunder (collectively, the </w:t>
      </w:r>
      <w:r>
        <w:rPr>
          <w:rFonts w:ascii="Times New Roman" w:hAnsi="Times New Roman"/>
          <w:b/>
          <w:sz w:val="20"/>
        </w:rPr>
        <w:t>Trust Indenture Act</w:t>
      </w:r>
      <w:r>
        <w:rPr>
          <w:rFonts w:ascii="Times New Roman" w:hAnsi="Times New Roman"/>
          <w:sz w:val="20"/>
        </w:rPr>
        <w:t xml:space="preserve">), and (ii) did not and will not contain any untrue statement of a material fact or omit to state a material fact required to be stated therein or necessary to make the statements therein not misleading. As of the date of the Prospectus and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Date, neither the Prospectus nor any amendments or supplements thereto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in writing by any of the Underwriters through the Representatives expressly for use therein, it being understood and agreed that the only such information furnished by any Underwriter through the Representatives consists of the information described as such in </w:t>
      </w:r>
      <w:r>
        <w:rPr>
          <w:rFonts w:ascii="Times New Roman" w:hAnsi="Times New Roman"/>
          <w:sz w:val="20"/>
          <w:u w:val="single"/>
        </w:rPr>
        <w:t>Section 8(b)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Each Preliminary Prospectus and the Prospectus, as of the time each was filed with the SEC, complied in all material respects with the Securities Act, and the Preliminary Prospectus and the Prospectus delivered to the Underwriters for use in connection with the offering of the Notes will, as of the time of such delivery, be identical to any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(b) The term </w:t>
      </w:r>
      <w:r>
        <w:rPr>
          <w:rFonts w:ascii="Times New Roman" w:hAnsi="Times New Roman"/>
          <w:b/>
          <w:sz w:val="20"/>
        </w:rPr>
        <w:t>Disclosure Package</w:t>
      </w:r>
      <w:r>
        <w:rPr>
          <w:rFonts w:ascii="Times New Roman" w:hAnsi="Times New Roman"/>
          <w:sz w:val="20"/>
        </w:rPr>
        <w:t> shall mean (i) the Preliminary Prospectus, dated March 3, 2025, (ii) the issuer free writing prospectuses as defined in Rule 433 of the Securities Act (each, an </w:t>
      </w:r>
      <w:r>
        <w:rPr>
          <w:rFonts w:ascii="Times New Roman" w:hAnsi="Times New Roman"/>
          <w:b/>
          <w:sz w:val="20"/>
        </w:rPr>
        <w:t>Issuer Free Writing Prospectus</w:t>
      </w:r>
      <w:r>
        <w:rPr>
          <w:rFonts w:ascii="Times New Roman" w:hAnsi="Times New Roman"/>
          <w:sz w:val="20"/>
        </w:rPr>
        <w:t xml:space="preserve">), if any, identified in </w:t>
      </w:r>
      <w:r>
        <w:rPr>
          <w:rFonts w:ascii="Times New Roman" w:hAnsi="Times New Roman"/>
          <w:sz w:val="20"/>
          <w:u w:val="single"/>
        </w:rPr>
        <w:t>Schedule II</w:t>
      </w:r>
      <w:r>
        <w:rPr>
          <w:rFonts w:ascii="Times New Roman" w:hAnsi="Times New Roman"/>
          <w:sz w:val="20"/>
        </w:rPr>
        <w:t xml:space="preserve"> hereto and (iii) any other free writing prospectus that the parties hereto shall hereafter expressly agree in writing to treat as part of the Disclosure Package. As of the Initial Sale Time, the Disclosure Package did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 it being understood and agreed that the only such information furnished by any Underwriter through the Representatives consists of the information described as such in </w:t>
      </w:r>
      <w:r>
        <w:rPr>
          <w:rFonts w:ascii="Times New Roman" w:hAnsi="Times New Roman"/>
          <w:sz w:val="20"/>
          <w:u w:val="single"/>
        </w:rPr>
        <w:t>Section 8(b)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(c) The documents incorporated or deemed to be incorporated by reference in the Registration Statement, the Preliminary Prospectus and the Prospectus (i) as of the time they were or hereafter are filed with the Commission, complied or will comply in all material respects with the requirements of the Exchange Act and (ii) when read together with the other information in the Disclosure Package, as of the Initial Sale Time, and when read together with the other information in the Prospectus, as of the date of the Prospectus and as of the Closing Date, did not or will not include an untrue statement of a material fact or omit to state a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(d) (i) As of the time of filing the Registration Statement, (ii) as of the time of the most recent amendment thereto for the purposes of complying with Section 10(a)(3) of the Securities Act (whether such amendment was by post-effective amendment, incorporated report filed pursuant to Section 13 or 15(d) of the Exchange Act or form of prospectus), (iii) as of the time the Company or any person acting on its behalf (within the meaning, for this clause only, of Rule 163(c) of the Securities Act) made any offer relating to the Notes in reliance on the exemption of Rule 163 of the Securities Act and (iv) as of the Execution Time, the Company was and is a well-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known seasoned issuer as defined in Rule 405 of the Securities Act. The Registration Statement is an automatic shelf registration statement, as defined in Rule 405 of the Securities Act, that automatically became effective not more than three years prior to the Execution Time; the Company has not received from the Commission any notice pursuant to Rule 401(g)(2) of the Securities Act objecting to use of the automatic shelf registration statement form and the Company has not otherwise ceased to be eligible to use the automatic shelf registration form. </w:t>
      </w:r>
    </w:p>
    <w:p>
      <w:pPr>
        <w:pStyle w:val="TextBody"/>
        <w:bidi w:val="0"/>
        <w:spacing w:before="240" w:after="0"/>
        <w:jc w:val="left"/>
        <w:rPr>
          <w:rFonts w:ascii="Times New Roman" w:hAnsi="Times New Roman"/>
          <w:sz w:val="20"/>
        </w:rPr>
      </w:pPr>
      <w:r>
        <w:rPr>
          <w:rFonts w:ascii="Times New Roman" w:hAnsi="Times New Roman"/>
          <w:sz w:val="20"/>
        </w:rPr>
        <w:t xml:space="preserve">(e) (i) As of the time of filing the Registration Statement and (ii) as of the Execution Time (with such date being used as the determination date for purposes of this clause (ii)), the Company was not and is not an Ineligible Issuer (as defined in Rule 405 of the Securities Act), without taking account of any determination by the Commission pursuant to Rule 405 of the Securities Act that it is not necessary that the Company be considered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(f) Each Issuer Free Writing Prospectus, as of its issue date and at all subsequent times through the completion of the offering of Notes under this Agreement or until any earlier date that the Company notified or notifies the Representatives as described in the next sentence, did not, does not and will not include any information that conflicted, conflicts or will conflict with the information contained, or incorporated by reference, in the Registration Statement, the Preliminary Prospectus or the Prospectus. If at any time following issuance of an Issuer Free Writing Prospectus there occurs an event or development as a result of which such Issuer Free Writing Prospectus would conflict with the information contained, or incorporated by reference, in the Registration Statement, the Preliminary Prospectus or the Prospectus, the Company will promptly notify the Representatives and will promptly amend or supplement, at its own expense, such Issuer Free Writing Prospectus to eliminate or correct such conflict. The foregoing two sentences do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any Underwriter through the Representatives consists of the information described as such in </w:t>
      </w:r>
      <w:r>
        <w:rPr>
          <w:rFonts w:ascii="Times New Roman" w:hAnsi="Times New Roman"/>
          <w:sz w:val="20"/>
          <w:u w:val="single"/>
        </w:rPr>
        <w:t>Section 8(b)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not distributed and will not distribute, prior to the later of the Closing Date and the completion of the Underwriters distribution of the Notes, any offering material in connection with the offering and sale of the Notes other than the Registration Statement, the Preliminary Prospectus, the Prospectus, any Issuer Free Writing Prospectus reviewed and consented to by the Representatives and included in </w:t>
      </w:r>
      <w:r>
        <w:rPr>
          <w:rFonts w:ascii="Times New Roman" w:hAnsi="Times New Roman"/>
          <w:sz w:val="20"/>
          <w:u w:val="single"/>
        </w:rPr>
        <w:t>Schedule II</w:t>
      </w:r>
      <w:r>
        <w:rPr>
          <w:rFonts w:ascii="Times New Roman" w:hAnsi="Times New Roman"/>
          <w:sz w:val="20"/>
        </w:rPr>
        <w:t xml:space="preserve"> hereto or any electronic road show or other written communications reviewed and consented to by the Representatives and listed on </w:t>
      </w:r>
      <w:r>
        <w:rPr>
          <w:rFonts w:ascii="Times New Roman" w:hAnsi="Times New Roman"/>
          <w:sz w:val="20"/>
          <w:u w:val="single"/>
        </w:rPr>
        <w:t>Schedule III</w:t>
      </w:r>
      <w:r>
        <w:rPr>
          <w:rFonts w:ascii="Times New Roman" w:hAnsi="Times New Roman"/>
          <w:sz w:val="20"/>
        </w:rPr>
        <w:t xml:space="preserve"> hereto (each, a </w:t>
      </w:r>
      <w:r>
        <w:rPr>
          <w:rFonts w:ascii="Times New Roman" w:hAnsi="Times New Roman"/>
          <w:b/>
          <w:sz w:val="20"/>
        </w:rPr>
        <w:t>Company Additional Written Communication</w:t>
      </w:r>
      <w:r>
        <w:rPr>
          <w:rFonts w:ascii="Times New Roman" w:hAnsi="Times New Roman"/>
          <w:sz w:val="20"/>
        </w:rPr>
        <w:t xml:space="preserve">). Each such Company Additional Written Communication, when taken together with the Disclosure Package, did not, and at the Closing Date will not, contain any untrue statement of a material fact or omit to state a material fact necessary in order to make the statements therein, in the light of the circumstances under which they were made, not misleading. The preceding sentence does not apply to statements in or omissions from the Company Additional Written Communication based upon and in conformity with written information furnished to the Company by any Underwriter through the Representatives specifically for use therein, it being understood and agreed that the only such information furnished by any Underwriter through the Representatives consists of the information described as such in </w:t>
      </w:r>
      <w:r>
        <w:rPr>
          <w:rFonts w:ascii="Times New Roman" w:hAnsi="Times New Roman"/>
          <w:sz w:val="20"/>
          <w:u w:val="single"/>
        </w:rPr>
        <w:t>Section 8(b)</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The Company has been duly incorporated, is validly existing as a corporation in good standing under the laws of the State of Delaware, has the corporate power and authority to own its property and to conduct its business as described in the Disclosure Package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have a material adverse effect on the Company and its subsidiaries, taken as a whole (a </w:t>
      </w:r>
      <w:r>
        <w:rPr>
          <w:rFonts w:ascii="Times New Roman" w:hAnsi="Times New Roman"/>
          <w:b/>
          <w:sz w:val="20"/>
        </w:rPr>
        <w:t>Material Adverse Effect</w:t>
      </w:r>
      <w:r>
        <w:rPr>
          <w:rFonts w:ascii="Times New Roman" w:hAnsi="Times New Roman"/>
          <w:sz w:val="20"/>
        </w:rPr>
        <w:t xml:space="preserve">); all of the issued shares of capital stock of the Company have been duly authorized and validly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(i) Each significant subsidiary of the Company (as such term is defined in Rule 1-02 of Regulation S-X) (each, a </w:t>
      </w:r>
      <w:r>
        <w:rPr>
          <w:rFonts w:ascii="Times New Roman" w:hAnsi="Times New Roman"/>
          <w:b/>
          <w:sz w:val="20"/>
        </w:rPr>
        <w:t>Subsidiary</w:t>
      </w:r>
      <w:r>
        <w:rPr>
          <w:rFonts w:ascii="Times New Roman" w:hAnsi="Times New Roman"/>
          <w:sz w:val="20"/>
        </w:rPr>
        <w:t> and together, the </w:t>
      </w:r>
      <w:r>
        <w:rPr>
          <w:rFonts w:ascii="Times New Roman" w:hAnsi="Times New Roman"/>
          <w:b/>
          <w:sz w:val="20"/>
        </w:rPr>
        <w:t>Subsidiaries</w:t>
      </w:r>
      <w:r>
        <w:rPr>
          <w:rFonts w:ascii="Times New Roman" w:hAnsi="Times New Roman"/>
          <w:sz w:val="20"/>
        </w:rPr>
        <w:t xml:space="preserve">) has been duly incorporated, is validly existing as a corporation in good standing under the laws of the jurisdiction of its incorporation to the extent such concept is applicable in such jurisdiction, has the corporate power and authority to own its property and to conduct its business as described in the Disclosure Package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have a Material Adverse Effect; all of the issued shares of capital stock of each Subsidiary have been duly authorized and validly issued, are fully paid and non-assessable and are directly owned by the Company or a subsidiary of the Company, free and clear of any security interest, mortgage, pledge, lien encumbrance or claim. The Companys sole significant subsidiaries are Board of Trade of the City of Chicago, Inc., Chicago Mercantile Exchange Inc., CMEG NYMEX Holdings Inc. and New York Mercantile Exchange, Inc. </w:t>
      </w:r>
    </w:p>
    <w:p>
      <w:pPr>
        <w:pStyle w:val="TextBody"/>
        <w:bidi w:val="0"/>
        <w:spacing w:before="240" w:after="0"/>
        <w:jc w:val="left"/>
        <w:rPr>
          <w:rFonts w:ascii="Times New Roman" w:hAnsi="Times New Roman"/>
          <w:sz w:val="20"/>
        </w:rPr>
      </w:pPr>
      <w:r>
        <w:rPr>
          <w:rFonts w:ascii="Times New Roman" w:hAnsi="Times New Roman"/>
          <w:sz w:val="20"/>
        </w:rPr>
        <w:t xml:space="preserve">(j)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(k) The authorized capital stock of the Company conforms in all material respects as to legal matters to the description thereof contained in the Registration Statement,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(l) The Indenture has been duly authorized by the Company and duly qualified under the Trust Indenture Act and, when duly executed and delivered by the Company and the Trustee, will constitute a valid and binding agreement of the Company, enforceable against the Company in accordance with its terms, except as the enforcement thereof may be limited by bankruptcy, insolvency, fraudulent conveyance or transfer, reorganization, moratorium or other similar laws relating to or affecting the rights and remedies of creditors or by general equitable principles (regardless of whether such enforceability is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(m) The Notes to be purchased by the Underwriters from the Company have been duly authorized for issuance and sale pursuant to this Agreement and the Indenture and, as of the Closing Date, will have been duly executed by the Company and, when authenticated in the manner provided for in the Indenture and issued and delivered against payment of the purchase price therefor, will constitute valid and binding obligations of the Company, enforceable against the Company in accordance with their terms, except as the enforcement thereof may be limited by bankruptcy, insolvency, fraudulent conveyance or transfer, reorganization, moratorium or other similar laws relating to or affecting the rights and remedies of creditors or by general equitable principles (regardless of whether such enforceability is considered in a proceeding at law or in equity), and will be in the form contemplated by, and entitled to the benefits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Notes, upon issuance, and the Indenture, upon execution, will conform in all material respects to the descriptions thereof contained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(o) The statements in the Annual Report on Form 10-K under the caption Regulatory Matters, in each case insofar as such statements constitute a summary of certain provisions of specific agreements, statutes or regulations referred to therein, fairly present and summarize, in all material respects, such provisions referred to therein (it being understood that the Company makes no representation or warranty with respect to the status of any legislative matters). </w:t>
      </w:r>
    </w:p>
    <w:p>
      <w:pPr>
        <w:pStyle w:val="TextBody"/>
        <w:bidi w:val="0"/>
        <w:spacing w:before="240" w:after="0"/>
        <w:jc w:val="left"/>
        <w:rPr>
          <w:rFonts w:ascii="Times New Roman" w:hAnsi="Times New Roman"/>
          <w:sz w:val="20"/>
        </w:rPr>
      </w:pPr>
      <w:r>
        <w:rPr>
          <w:rFonts w:ascii="Times New Roman" w:hAnsi="Times New Roman"/>
          <w:sz w:val="20"/>
        </w:rPr>
        <w:t xml:space="preserve">(p) The execution and delivery by the Company of, and the performance by the Company of its obligations under, this Agreement and the Indenture and the issuance and sale of the Notes and compliance by the Company with the terms thereof (x) have been duly authorized by all necessary corporate action, (y) will not contravene (i) any provision of applicable law, (ii) the certificate of incorporation or by-laws of the Company or any of its Subsidiaries, (iii) any indenture, mortgage, deed of trust, credit agreement, lease or other agreement or instrument binding upon the Company or any of its Subsidiaries that is material to the Company and its Subsidiaries, taken as a whole, or (iv) any judgment, order or decree of any governmental body, agency or court having jurisdiction over the Company or any of its Subsidiaries, except for any breach or contravention described in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or </w:t>
      </w:r>
      <w:r>
        <w:rPr>
          <w:rFonts w:ascii="Times New Roman" w:hAnsi="Times New Roman"/>
          <w:sz w:val="20"/>
          <w:u w:val="single"/>
        </w:rPr>
        <w:t>(iv)</w:t>
      </w:r>
      <w:r>
        <w:rPr>
          <w:rFonts w:ascii="Times New Roman" w:hAnsi="Times New Roman"/>
          <w:sz w:val="20"/>
        </w:rPr>
        <w:t> which would not, individually or in the aggregate, have a Material Adverse Effect or will not materially and adversely affect the Companys ability to perform its obligations under this Agreement, the Indenture and the Notes or consummate the transactions contemplated hereby and thereby and (z) will not constitute a Debt Repayment Triggering Event (as defined below) under any indenture, mortgage, deed of trust, credit agreement, lease or other agreement or instrument binding upon the Company (except for such Debt Repayment Triggering Events that would not, individually or in the aggregate, result in a Material Adverse Effect or will not materially and adversely affect the ability of the Company to perform its obligations under this Agreement, the Indenture or the Notes or consummate the transactions contemplated hereby and thereby); and no consent, approval, authorization or order of, or qualification with, any governmental body or agency, including but not limited to the Commodity Futures Trading Commission, is required for the performance by the Company of its obligations under this Agreement, except such have been obtained prior to the date hereof or may be required by the securities or blue sky laws of the various states, or any applicable law, rule or regulation of any foreign jurisdiction in connection with the offer and sale of the Notes and except, in each case, as would not, individually or in the aggregate, have a Material Adverse Effect or materially and adversely affect the ability of the Company to perform its obligations under this Agreement, the Indenture or the Notes or consummate the transactions contemplated hereby and thereby. As used herein, a </w:t>
      </w:r>
      <w:r>
        <w:rPr>
          <w:rFonts w:ascii="Times New Roman" w:hAnsi="Times New Roman"/>
          <w:b/>
          <w:sz w:val="20"/>
        </w:rPr>
        <w:t>Debt Repayment Triggering Event</w:t>
      </w:r>
      <w:r>
        <w:rPr>
          <w:rFonts w:ascii="Times New Roman" w:hAnsi="Times New Roman"/>
          <w:sz w:val="20"/>
        </w:rPr>
        <w:t xml:space="preserve"> means any event or condition which gives, or with the giving of notice or lapse of time or both would give, the holder of any note, debenture or other evidence of indebtedness (or any person acting on such holders behalf) issued by the Company, the right to require the repurchase, redemption or repayment of all or a portion of such indebtedness by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 Since the respective dates as of which information is given in the Registration Statement, the Disclosure Package or the Prospectus, (A) other than (i) issuances and/or repurchases of capital stock in the ordinary course of business, (ii) issuances and/or redemptions of commercial paper from time to time in the ordinary course of business or otherwise pursuant to agreements described in the Disclosure Package and the Prospectus, or (iii) any intercompany loans, there has not occurred any change in the capital stock or long-term debt of the Company or any of its Subsidiaries, or any material adverse change, or any development reasonably likely to result in a prospective material adverse change, in the condition, financial or otherwise, or in the earnings, business or operations of the Company and its Subsidiaries, taken as a whole (a </w:t>
      </w:r>
      <w:r>
        <w:rPr>
          <w:rFonts w:ascii="Times New Roman" w:hAnsi="Times New Roman"/>
          <w:b/>
          <w:sz w:val="20"/>
        </w:rPr>
        <w:t>Material Adverse Change</w:t>
      </w:r>
      <w:r>
        <w:rPr>
          <w:rFonts w:ascii="Times New Roman" w:hAnsi="Times New Roman"/>
          <w:sz w:val="20"/>
        </w:rPr>
        <w:t xml:space="preserve">), (B) there have been no transactions entered into by the Company or any of its subsidiaries, other than those in the ordinary course of business, which are material with respect to the Company and its subsidiaries considered as one enterprise and (C) except for regular quarterly dividends on the common stock of the Company, there has been no dividend or distribution of any kind declared, paid or made by the Company on any class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(r) There are no legal or governmental proceedings pending or, to the knowledge of the Company, threatened to which the Company or any of its Subsidiaries is a party or to which any of the properties of the Company or any of its Subsidiaries is subject that are required to be disclosed in the Registration Statement, the Disclosure Package or the Prospectus that are not so disclosed. </w:t>
      </w:r>
    </w:p>
    <w:p>
      <w:pPr>
        <w:pStyle w:val="TextBody"/>
        <w:bidi w:val="0"/>
        <w:spacing w:before="240" w:after="0"/>
        <w:jc w:val="left"/>
        <w:rPr>
          <w:rFonts w:ascii="Times New Roman" w:hAnsi="Times New Roman"/>
          <w:sz w:val="20"/>
        </w:rPr>
      </w:pPr>
      <w:r>
        <w:rPr>
          <w:rFonts w:ascii="Times New Roman" w:hAnsi="Times New Roman"/>
          <w:sz w:val="20"/>
        </w:rPr>
        <w:t xml:space="preserve">(s) The Company is not and, after giving effect to the offering and sale of the Notes and the use of the proceeds therefrom as described in the Preliminary Prospectus and the Prospectus will not be, an investment company subject to registration and regulation, as such term is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(t) The Company and its Subsidiaries have good and marketable title to all real property owned by them, free and clear of all liens, encumbrances and defects or such as would not, individually or in the aggregate, have a Material Adverse Effect; and any real property and buildings held under lease by the Company and its Subsidiaries are held by them under valid, subsisting and enforceable leases or as would not, individually or in the aggregate, have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(u) The Company and its Subsidiaries own or possess, or can acquire on reasonable terms, all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except where the failure to so own or possess would not, individually or in the aggregate, result in a Material Adverse Effect, and neither the Company nor any of its Subsidiaries has received any notice of infringement of or conflict with asserted rights of others with respect to any of the foregoing which, individually or in the aggregate, if the subject of an unfavorable decision, ruling or finding,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(v) No labor dispute with the employees of the Company or any of its Subsidiaries exists or, to the knowledge of the Company, is imminent, except such disputes that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 The Company and each of its Subsidiaries has all necessary consents, licenses, authorizations, approvals, exemptions, orders, certificates and permits (collectively, the </w:t>
      </w:r>
      <w:r>
        <w:rPr>
          <w:rFonts w:ascii="Times New Roman" w:hAnsi="Times New Roman"/>
          <w:b/>
          <w:sz w:val="20"/>
        </w:rPr>
        <w:t>Consents</w:t>
      </w:r>
      <w:r>
        <w:rPr>
          <w:rFonts w:ascii="Times New Roman" w:hAnsi="Times New Roman"/>
          <w:sz w:val="20"/>
        </w:rPr>
        <w:t>) of and from, and has made all filings and declarations (collectively, the </w:t>
      </w:r>
      <w:r>
        <w:rPr>
          <w:rFonts w:ascii="Times New Roman" w:hAnsi="Times New Roman"/>
          <w:b/>
          <w:sz w:val="20"/>
        </w:rPr>
        <w:t>Filings</w:t>
      </w:r>
      <w:r>
        <w:rPr>
          <w:rFonts w:ascii="Times New Roman" w:hAnsi="Times New Roman"/>
          <w:sz w:val="20"/>
        </w:rPr>
        <w:t xml:space="preserve">) with, all federal, state, local and foreign governmental and regulatory authorities, all self-regulatory organizations and all courts and other tribunals, necessary to own, lease, license and use its properties and assets and to conduct its business in the manner described in the Disclosure Package and the Prospectus, except where the failure to have such Consents or to make such Filings would not, individually or in the aggregate, have a Material Adverse Effect; all such Consents and Filings are in full force and effect, the Company and its Subsidiaries are in compliance with such Consents and neither the Company nor any of its Subsidiaries has received any notice of any inquiry, investigation or proceeding that would reasonably be expected to result in the suspension, revocation or limitation of any such Consent or otherwise impose any limitation on the conduct of the business of the Company or any of its Subsidiaries, or any such failure to be in full force and effect, failure to be in compliance with, suspension, revocation or limitation which would not, individually or in the aggregate, have a Material Adverse Effect; the Company and its Subsidiaries are in compliance with, and conduct their businesses in conformity with, all applicable laws and regulations, except where the failure to so comply or conform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(x) Neither the Company nor any of its Subsidiaries is (i) in violation of its certificate of incorporation or by-laws or (ii) in default in any respect, and no event has occurred which, with notice or lapse of time or both, would constitute such a default, in the due performance or observance of any term, covenant or condition contained in any indenture, mortgage, deed of trust, credit agreement or other agreement or instrument to which it is a party or by which it is bound or to which any of its property or assets is subject, except for any defaults described in </w:t>
      </w:r>
      <w:r>
        <w:rPr>
          <w:rFonts w:ascii="Times New Roman" w:hAnsi="Times New Roman"/>
          <w:sz w:val="20"/>
          <w:u w:val="single"/>
        </w:rPr>
        <w:t>clause (ii)</w:t>
      </w:r>
      <w:r>
        <w:rPr>
          <w:rFonts w:ascii="Times New Roman" w:hAnsi="Times New Roman"/>
          <w:sz w:val="20"/>
        </w:rPr>
        <w:t xml:space="preserve"> which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(y) The Company and each of its Subsidiaries have filed all federal, state, local and foreign tax returns required to be filed through the date of this Agreement or has requested extensions thereof (except for cases in which the failure to file would not, individually or in the aggregate, have a Material Adverse Effect) and have paid all taxes required to be paid thereon, and, except as currently being contested in good faith and for which reserves required by generally accepted accounting principles as applied in the United States (</w:t>
      </w:r>
      <w:r>
        <w:rPr>
          <w:rFonts w:ascii="Times New Roman" w:hAnsi="Times New Roman"/>
          <w:b/>
          <w:sz w:val="20"/>
        </w:rPr>
        <w:t>GAAP</w:t>
      </w:r>
      <w:r>
        <w:rPr>
          <w:rFonts w:ascii="Times New Roman" w:hAnsi="Times New Roman"/>
          <w:sz w:val="20"/>
        </w:rPr>
        <w:t xml:space="preserve">) have been created on the financial statements of the Company, no tax deficiencies have been determined adversely to the Company or any of its Subsidiaries which would,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The Company maintains disclosure controls and procedures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The Company maintains, on a consolidated basis, an effective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(bb)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(cc) The Company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(dd) Ernst &amp; Young LLP, who have certified certain financial statements of the Company and its subsidiaries, are independent public accountants as required by the Securities Act, the Exchange Act and the rules and regulations of the Commission thereunder and are an independent registered public accounting firm with the Public Company Accounting Oversight Board. </w:t>
      </w:r>
    </w:p>
    <w:p>
      <w:pPr>
        <w:pStyle w:val="TextBody"/>
        <w:bidi w:val="0"/>
        <w:spacing w:before="240" w:after="0"/>
        <w:jc w:val="left"/>
        <w:rPr>
          <w:rFonts w:ascii="Times New Roman" w:hAnsi="Times New Roman"/>
          <w:sz w:val="20"/>
        </w:rPr>
      </w:pPr>
      <w:r>
        <w:rPr>
          <w:rFonts w:ascii="Times New Roman" w:hAnsi="Times New Roman"/>
          <w:sz w:val="20"/>
        </w:rPr>
        <w:t xml:space="preserve">(ee) The financial statements of the Company together with the related notes thereto incorporated by reference in the Registration Statement, the Preliminary Prospectus and the Prospectus present fairly, in all material respects, the consolidated financial position of the Company and its subsidiaries as of and at the dates indicated and the results of their operations and cash flows for the periods specified. Such financial statements comply in all material respects as to form with the accounting requirements of the Securities Act and have been prepared in conformity with GAAP applied on a consistent basis throughout the periods involved, except as may be expressly stated in the related notes thereto. The selected financial data and the summary financial information included in the Preliminary Prospectus and the Prospectus present fairly, in all material respects, the information shown therein and have been compiled on a basis consistent with that of the audited financial statements incorporated by reference in the Registration Statement, the Preliminary Prospectus and the Prospectus. The interactive data in eXtensbile Business Reporting Language incorporated by reference in the Registration Statement, the Disclosure Package and the Prospectus present fairly the information called for in all material respects and is prepared in all material respects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(ff) None of the Company, any of its Subsidiaries or, to the knowledge of the Company, any director, officer, agent, employee or affiliate of the Company or any of its Subsidiaries has taken any action, directly or indirectly, (i) that would result in a violation by such persons of the FCPA (as defined below),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FCPA) or any foreign political party or official thereof or any candidate for foreign political office, in contravention of the FCPA or (ii) that would result in a violation by such persons of the U.K. Bribery Act 2010 (the </w:t>
      </w:r>
      <w:r>
        <w:rPr>
          <w:rFonts w:ascii="Times New Roman" w:hAnsi="Times New Roman"/>
          <w:b/>
          <w:sz w:val="20"/>
        </w:rPr>
        <w:t>Bribery Act</w:t>
      </w:r>
      <w:r>
        <w:rPr>
          <w:rFonts w:ascii="Times New Roman" w:hAnsi="Times New Roman"/>
          <w:sz w:val="20"/>
        </w:rPr>
        <w:t xml:space="preserve">) and any other anti-corruption or anti-bribery laws and regulations applicable to the Company or any of its subsidiaries, (iii) in furtherance of an unlawful offer, payment, promise to pay or authorization of the payment of any money, or other property, gift, promise to give, or authorization of the giving of anything of value to any government official including any officer or employee of a government or government-owned or controlled entity or of a public international organization, or any person acting in an official capacity for or on behalf of any of the foregoing or any political party or official thereof or any candidate for political office or (iv) in furtherance of an offer, payment, promise to pay or authorization or approval of the payment or giving of any unlawful bribe, rebate, payoff, influence payment, kickback or other unlawful payment or benefit, and the Company, its Subsidiaries and, to the knowledge of the Company, its affiliates have conducted their businesses in compliance in all material respects with the FCPA, the Bribery Act and any other anti-corruption or anti-bribery laws and regulations applicable to the Company or any of its Subsidiaries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FCPA</w:t>
      </w:r>
      <w:r>
        <w:rPr>
          <w:rFonts w:ascii="Times New Roman" w:hAnsi="Times New Roman"/>
          <w:sz w:val="20"/>
        </w:rPr>
        <w:t xml:space="preserve"> means Foreign Corrupt Practices Act of 1977, as amended,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(gg) The operations of the Company and its Subsidiaries are and at all times have been conducted in compliance in all material respects with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The Company is not a financial institution for purposes of the Bank Secrecy Act of 1970 and accordingly is not subject to the applicable financial recordkeeping and reporting requirements of the Currency and Foreign Transactions Reporting Act of 1970, as amended. </w:t>
      </w:r>
    </w:p>
    <w:p>
      <w:pPr>
        <w:pStyle w:val="TextBody"/>
        <w:bidi w:val="0"/>
        <w:spacing w:before="240" w:after="0"/>
        <w:jc w:val="left"/>
        <w:rPr>
          <w:rFonts w:ascii="Times New Roman" w:hAnsi="Times New Roman"/>
          <w:sz w:val="20"/>
        </w:rPr>
      </w:pPr>
      <w:r>
        <w:rPr>
          <w:rFonts w:ascii="Times New Roman" w:hAnsi="Times New Roman"/>
          <w:sz w:val="20"/>
        </w:rPr>
        <w:t>(hh) Neither the Company nor any of its Subsidiaries nor, to the knowledge of the Company, any director, officer, agent, employee or affiliate of the Company or any of its Subsidiaries is an individual or entity (</w:t>
      </w:r>
      <w:r>
        <w:rPr>
          <w:rFonts w:ascii="Times New Roman" w:hAnsi="Times New Roman"/>
          <w:b/>
          <w:sz w:val="20"/>
        </w:rPr>
        <w:t>Person</w:t>
      </w:r>
      <w:r>
        <w:rPr>
          <w:rFonts w:ascii="Times New Roman" w:hAnsi="Times New Roman"/>
          <w:sz w:val="20"/>
        </w:rPr>
        <w:t>) currently the subject or target of any U.S. sanctions administered or enforced by the United States Government, including, without limitation, the Office of Foreign Assets Control of the U.S. Treasury Department (</w:t>
      </w:r>
      <w:r>
        <w:rPr>
          <w:rFonts w:ascii="Times New Roman" w:hAnsi="Times New Roman"/>
          <w:b/>
          <w:sz w:val="20"/>
        </w:rPr>
        <w:t>OFAC</w:t>
      </w:r>
      <w:r>
        <w:rPr>
          <w:rFonts w:ascii="Times New Roman" w:hAnsi="Times New Roman"/>
          <w:sz w:val="20"/>
        </w:rPr>
        <w:t>), the United Nations Security Council (</w:t>
      </w:r>
      <w:r>
        <w:rPr>
          <w:rFonts w:ascii="Times New Roman" w:hAnsi="Times New Roman"/>
          <w:b/>
          <w:sz w:val="20"/>
        </w:rPr>
        <w:t>UNSC</w:t>
      </w:r>
      <w:r>
        <w:rPr>
          <w:rFonts w:ascii="Times New Roman" w:hAnsi="Times New Roman"/>
          <w:sz w:val="20"/>
        </w:rPr>
        <w:t>), the European Union, His Majestys Treasury (</w:t>
      </w:r>
      <w:r>
        <w:rPr>
          <w:rFonts w:ascii="Times New Roman" w:hAnsi="Times New Roman"/>
          <w:b/>
          <w:sz w:val="20"/>
        </w:rPr>
        <w:t>HMT</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xml:space="preserve">), nor is the Company located, organized or resident in a country or territory that is the subject of Sanctions; and the Company will not knowingly, directly or indirectly, use the proceeds of the offering, or lend, contribute or otherwise make available such proceeds, to any subsidiary, joint venture partner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There are no contracts or documents which are required to be described in the Registration Statement, the Preliminary Prospectus, the Prospectus or the documents incorporated by reference therein or to be filed as exhibits to the Registration Statement which have not been so described or filed, as the case may be. </w:t>
      </w:r>
    </w:p>
    <w:p>
      <w:pPr>
        <w:pStyle w:val="TextBody"/>
        <w:bidi w:val="0"/>
        <w:spacing w:before="240" w:after="0"/>
        <w:jc w:val="left"/>
        <w:rPr>
          <w:rFonts w:ascii="Times New Roman" w:hAnsi="Times New Roman"/>
          <w:sz w:val="20"/>
        </w:rPr>
      </w:pPr>
      <w:r>
        <w:rPr>
          <w:rFonts w:ascii="Times New Roman" w:hAnsi="Times New Roman"/>
          <w:sz w:val="20"/>
        </w:rPr>
        <w:t>(jj) (i)(x) The Company is not aware of any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(y) the Company and its Subsidiaries have not been notified of, and have no knowledge of any event or condition that would reasonably be expected to result in, any security breach or other compromise to their IT Systems and Data except as would not, in the case of this </w:t>
      </w:r>
      <w:r>
        <w:rPr>
          <w:rFonts w:ascii="Times New Roman" w:hAnsi="Times New Roman"/>
          <w:sz w:val="20"/>
          <w:u w:val="single"/>
        </w:rPr>
        <w:t>clause (i)</w:t>
      </w:r>
      <w:r>
        <w:rPr>
          <w:rFonts w:ascii="Times New Roman" w:hAnsi="Times New Roman"/>
          <w:sz w:val="20"/>
        </w:rPr>
        <w:t xml:space="preserve">, individually or in the aggregate, have a Material Adverse Effect;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w:t>
      </w:r>
      <w:r>
        <w:rPr>
          <w:rFonts w:ascii="Times New Roman" w:hAnsi="Times New Roman"/>
          <w:sz w:val="20"/>
          <w:u w:val="single"/>
        </w:rPr>
        <w:t>clause (ii)</w:t>
      </w:r>
      <w:r>
        <w:rPr>
          <w:rFonts w:ascii="Times New Roman" w:hAnsi="Times New Roman"/>
          <w:sz w:val="20"/>
        </w:rPr>
        <w:t xml:space="preserve">, individually or in the aggregate, have a Material Adverse Effect; and (iii) the Company and its Subsidiaries have implemented commercially reasonable backup and disaster recovery technology.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Agreements to Sell and Purchase</w:t>
      </w:r>
      <w:r>
        <w:rPr>
          <w:rFonts w:ascii="Times New Roman" w:hAnsi="Times New Roman"/>
          <w:sz w:val="20"/>
        </w:rPr>
        <w:t xml:space="preserve">. The Company hereby agrees to issue and sell to the several Underwriters, and each Underwriter, upon the basis of the representations and warranties herein contained, but subject to the conditions hereinafter stated, agrees, severally and not jointly, to purchase from the Company the aggregate principal amount of Notes set forth opposite their names on </w:t>
      </w:r>
      <w:r>
        <w:rPr>
          <w:rFonts w:ascii="Times New Roman" w:hAnsi="Times New Roman"/>
          <w:sz w:val="20"/>
          <w:u w:val="single"/>
        </w:rPr>
        <w:t>Schedule I</w:t>
      </w:r>
      <w:r>
        <w:rPr>
          <w:rFonts w:ascii="Times New Roman" w:hAnsi="Times New Roman"/>
          <w:sz w:val="20"/>
        </w:rPr>
        <w:t xml:space="preserve">, plus any additional principal amount of Notes that such Underwriter may become obligated to purchase pursuant to the provisions of </w:t>
      </w:r>
      <w:r>
        <w:rPr>
          <w:rFonts w:ascii="Times New Roman" w:hAnsi="Times New Roman"/>
          <w:sz w:val="20"/>
          <w:u w:val="single"/>
        </w:rPr>
        <w:t>Section 10</w:t>
      </w:r>
      <w:r>
        <w:rPr>
          <w:rFonts w:ascii="Times New Roman" w:hAnsi="Times New Roman"/>
          <w:sz w:val="20"/>
        </w:rPr>
        <w:t xml:space="preserve"> hereof, at a purchase price of 98.973% of the principal amount of the Notes plus accrued interest, if any, from March 10, 2025 (the </w:t>
      </w:r>
      <w:r>
        <w:rPr>
          <w:rFonts w:ascii="Times New Roman" w:hAnsi="Times New Roman"/>
          <w:b/>
          <w:sz w:val="20"/>
        </w:rPr>
        <w:t>Purchase Price</w:t>
      </w:r>
      <w:r>
        <w:rPr>
          <w:rFonts w:ascii="Times New Roman" w:hAnsi="Times New Roman"/>
          <w:sz w:val="20"/>
        </w:rPr>
        <w:t xml:space="preserve">), payable on the Closing Date. The Company will not be obligated to deliver any of the Notes except upon payment for all the Notes to be purchased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Terms of Public Offering</w:t>
      </w:r>
      <w:r>
        <w:rPr>
          <w:rFonts w:ascii="Times New Roman" w:hAnsi="Times New Roman"/>
          <w:sz w:val="20"/>
        </w:rPr>
        <w:t>. The Company is advised by the Representatives that the Underwriters propose to make a public offering of their respective portions of the Notes, as described in the Disclosure Package and the Prospectus, as soon after the Execution Time as in the Representatives judgment is advisable. The Company is further advised by the Representatives that the Notes are to be offered to the public initially at 99.573% of the principal amount of the Notes (the </w:t>
      </w:r>
      <w:r>
        <w:rPr>
          <w:rFonts w:ascii="Times New Roman" w:hAnsi="Times New Roman"/>
          <w:b/>
          <w:sz w:val="20"/>
        </w:rPr>
        <w:t>Public Offering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Payment and Delivery</w:t>
      </w:r>
      <w:r>
        <w:rPr>
          <w:rFonts w:ascii="Times New Roman" w:hAnsi="Times New Roman"/>
          <w:sz w:val="20"/>
        </w:rPr>
        <w:t xml:space="preserve">. Payment for the Notes to be sold by the Company shall be made to the Company by wire transfer of immediately available funds to a bank account designated by the Company against delivery of such Notes for the respective accounts of the several Underwriters at 10:00 a.m., New York City time, on March 10, 2025 (unless postponed in accordance with the provisions of </w:t>
      </w:r>
      <w:r>
        <w:rPr>
          <w:rFonts w:ascii="Times New Roman" w:hAnsi="Times New Roman"/>
          <w:sz w:val="20"/>
          <w:u w:val="single"/>
        </w:rPr>
        <w:t>Section 10</w:t>
      </w:r>
      <w:r>
        <w:rPr>
          <w:rFonts w:ascii="Times New Roman" w:hAnsi="Times New Roman"/>
          <w:sz w:val="20"/>
        </w:rPr>
        <w:t xml:space="preserve"> hereof), or at such other time on the same or such other date, not later than March 17, 2025, as shall be designated in writing by the Representatives, at the offices of Mayer Brown LLP, 1221 Avenue of the Americas, New York, New York 10022. The time and date of such payment are hereinafter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shall be registered in such names and such denominations ($2,000 and integral multiples of $1,000 in excess thereof) as the Representatives shall request in writing not later than one full business day prior to the Closing Date. The Notes shall be delivered to the Representatives on the Closing Date for the respective accounts of the several Underwriters, unless the Representatives shall otherwise instruct, with any transfer taxes payable in connection with the transfer of the Notes to the Underwriters duly paid by the Company, against payment of the 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Conditions to the Underwriters Obligations</w:t>
      </w:r>
      <w:r>
        <w:rPr>
          <w:rFonts w:ascii="Times New Roman" w:hAnsi="Times New Roman"/>
          <w:sz w:val="20"/>
        </w:rPr>
        <w:t xml:space="preserve">. The obligations of the several Underwriters to purchase and pay for the Notes as provided herein on the Closing Date shall be subject to the accuracy of the representations and warranties on the part of the Company set forth in </w:t>
      </w:r>
      <w:r>
        <w:rPr>
          <w:rFonts w:ascii="Times New Roman" w:hAnsi="Times New Roman"/>
          <w:sz w:val="20"/>
          <w:u w:val="single"/>
        </w:rPr>
        <w:t>Section 1</w:t>
      </w:r>
      <w:r>
        <w:rPr>
          <w:rFonts w:ascii="Times New Roman" w:hAnsi="Times New Roman"/>
          <w:sz w:val="20"/>
        </w:rPr>
        <w:t xml:space="preserve"> hereof as of each Representation Date as though then made and to the timely performance by the Company of its covenants and other obligations hereunder, and to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shall be effective under the Securities Act and no stop order suspending 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of the Securities Act objecting to use of the automatic shelf registration statement form. The Preliminary Prospectus and the Prospectus shall have been filed with the Commission in accordance with Rule 424(b) (or a post-effective amendment providing such information shall have been filed and become effective in accordance with the requirements of Rule 430B). </w:t>
      </w:r>
    </w:p>
    <w:p>
      <w:pPr>
        <w:pStyle w:val="TextBody"/>
        <w:bidi w:val="0"/>
        <w:spacing w:before="240" w:after="0"/>
        <w:jc w:val="left"/>
        <w:rPr>
          <w:rFonts w:ascii="Times New Roman" w:hAnsi="Times New Roman"/>
          <w:sz w:val="20"/>
        </w:rPr>
      </w:pPr>
      <w:r>
        <w:rPr>
          <w:rFonts w:ascii="Times New Roman" w:hAnsi="Times New Roman"/>
          <w:sz w:val="20"/>
        </w:rPr>
        <w:t xml:space="preserve">(b)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there shall not have occurred any downgrading in the rating accorded to the Notes or any of the Companys other debt securities by any nationally recognized statistical rating organization, as such term is defined in Section 3(a)(62) of the Exchange Act and no such organization shall have publicly announced that it has under surveillance or review, with possible negative implications, its rating of the Notes or any of the Companys other debt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(ii) there shall not have occurred or be existing any Material Adverse Change which is not described in the Disclosure Package and the Prospectus (exclusive of any amendments or supplements thereto subsequent to the date of this Agreement) that makes it, in the Representatives judgment, impracticable to proceed with the offering, sale or delivery of the Notes on the terms and in the manner contemplated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 The Underwriters shall have received on the Closing Date a certificate, dated the Closing Date and signed by the Chairman of the Board or the Chief Executive Officer or the Chief Financial Officer or the Chief Accounting Officer of the Company, (i) to the effect set forth in </w:t>
      </w:r>
      <w:r>
        <w:rPr>
          <w:rFonts w:ascii="Times New Roman" w:hAnsi="Times New Roman"/>
          <w:sz w:val="20"/>
          <w:u w:val="single"/>
        </w:rPr>
        <w:t>Section 5(b)(i)</w:t>
      </w:r>
      <w:r>
        <w:rPr>
          <w:rFonts w:ascii="Times New Roman" w:hAnsi="Times New Roman"/>
          <w:sz w:val="20"/>
        </w:rPr>
        <w:t xml:space="preserve"> above, (ii) confirming that, to the knowledge of such officer, the representations and warranties of the Company in </w:t>
      </w:r>
      <w:r>
        <w:rPr>
          <w:rFonts w:ascii="Times New Roman" w:hAnsi="Times New Roman"/>
          <w:sz w:val="20"/>
          <w:u w:val="single"/>
        </w:rPr>
        <w:t>Sections 1(a)</w:t>
      </w:r>
      <w:r>
        <w:rPr>
          <w:rFonts w:ascii="Times New Roman" w:hAnsi="Times New Roman"/>
          <w:sz w:val="20"/>
        </w:rPr>
        <w:t xml:space="preserve"> and </w:t>
      </w:r>
      <w:r>
        <w:rPr>
          <w:rFonts w:ascii="Times New Roman" w:hAnsi="Times New Roman"/>
          <w:sz w:val="20"/>
          <w:u w:val="single"/>
        </w:rPr>
        <w:t>1(b)</w:t>
      </w:r>
      <w:r>
        <w:rPr>
          <w:rFonts w:ascii="Times New Roman" w:hAnsi="Times New Roman"/>
          <w:sz w:val="20"/>
        </w:rPr>
        <w:t xml:space="preserve"> hereof are true and correct, (iii) confirming that the other representations and warranties of the Company contained in this Agreement are true and correct as of the Closing Date, (iv) confirming that no stop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suspending the effectiveness of the Registration Statement has been received by the Company and no proceedings for that purpose have been instituted or, to the Companys knowledge, threatened, (v) confirming that the Company has not received from the Commission any notice pursuant to Rule 401(g)(2) of the Securities Act objecting to the use of the automatic shelf registration statement form and (vi) confirming that the Company has complied with all of the agreements and satisfied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Underwriters shall have received on the Closing Date an opinion of Skadden, Arps, Slate, Meagher &amp; Flom LLP, outside counsel for the Company, dated the Closing Date,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(e) The Underwriters shall have received on the Closing Date an opinion of Mayer Brown LLP, counsel for the Underwriters, dated the Closing Date, with respect to such matters as may be reasonably requested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 The Underwriters shall have received, on each of the date hereof and the Closing Date, a letter dated the date hereof or the Closing Date, as the case may be, in form and substance reasonably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or incorporated by reference into the Registration Statement, the Disclosure Package and the Prospectus; </w:t>
      </w:r>
      <w:r>
        <w:rPr>
          <w:rFonts w:ascii="Times New Roman" w:hAnsi="Times New Roman"/>
          <w:i/>
          <w:sz w:val="20"/>
        </w:rPr>
        <w:t>provided</w:t>
      </w:r>
      <w:r>
        <w:rPr>
          <w:rFonts w:ascii="Times New Roman" w:hAnsi="Times New Roman"/>
          <w:sz w:val="20"/>
        </w:rPr>
        <w:t xml:space="preserve"> that the letter delivered on the Closing Date shall use a cut-off date not earlier than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(g) Prior to the Closing Date, the Company shall have furnished to the Representatives such further certificates and documents as the Representatives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Covenants of the Company</w:t>
      </w:r>
      <w:r>
        <w:rPr>
          <w:rFonts w:ascii="Times New Roman" w:hAnsi="Times New Roman"/>
          <w:sz w:val="20"/>
        </w:rPr>
        <w:t xml:space="preserve">. In further consideration of the agreements of the Underwriters herein contained, the Company covenants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subject to </w:t>
      </w:r>
      <w:r>
        <w:rPr>
          <w:rFonts w:ascii="Times New Roman" w:hAnsi="Times New Roman"/>
          <w:sz w:val="20"/>
          <w:u w:val="single"/>
        </w:rPr>
        <w:t>Section 6(b)</w:t>
      </w:r>
      <w:r>
        <w:rPr>
          <w:rFonts w:ascii="Times New Roman" w:hAnsi="Times New Roman"/>
          <w:sz w:val="20"/>
        </w:rPr>
        <w:t xml:space="preserve">, will comply with the requirements of Rule 430B of the Securities Act, and will promptly notify the Representatives, and confirm the notice in writing, of (i) the effectiveness during the Prospectus Delivery Period (as defined below) of any post-effective amendment to the Registration Statement or the filing of any supplement or amendment to the Prospectus (other than with respect to filings made by the Company pursuant to its reporting obligations under the Exchange Act), (ii) the receipt of any comments from the Commission during the Prospectus Delivery Period, (iii) any request by the Commission for any amendment to the Registration Statement or any amendment or supplement to the Prospectus or for additional information, and (iv) the issuance by the Commission of any stop order suspending the effectiveness of the Registration Statement or of any order preventing or suspending the use of the Preliminary Prospectus or the Prospectus, or of the suspension of the qualification of the Notes for offering or sale in any jurisdiction, or of the initiation or threatening of any proceedings for any of such purposes. The Company will promptly effect the filings necessary pursuant to Rule 424 and will take such steps as it deems necessary to ascertain promptly whether the form of the Preliminary Prospectus and the Prospectus transmitted for filing under Rule 424 was received for filing by the Commission and, in the event that it was not, it will promptly file such document. The Company will use its reasonable efforts to prevent the issuance of any stop order and, if any stop order is issued, to obtain the lifting thereof at the earliest possible moment.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During such period beginning on the date of this Agreement and ending on the later of the Closing Date or such date as the Prospectus is no longer required by law to be delivered in connection with sales of the Notes by an Underwriter or dealer, including in circumstances where such requirement may be satisfied pursuant to Rule 172 of the Securities Act (the </w:t>
      </w:r>
      <w:r>
        <w:rPr>
          <w:rFonts w:ascii="Times New Roman" w:hAnsi="Times New Roman"/>
          <w:b/>
          <w:sz w:val="20"/>
        </w:rPr>
        <w:t>Prospectus Delivery Period</w:t>
      </w:r>
      <w:r>
        <w:rPr>
          <w:rFonts w:ascii="Times New Roman" w:hAnsi="Times New Roman"/>
          <w:sz w:val="20"/>
        </w:rPr>
        <w:t xml:space="preserve">), the Company will give the Representatives notice of its intention to file or prepare any amendment to the Registration Statement (including any filing under Rule 462(b) of the Securities Act), or any amendment, supplement or revision to the Disclosure Package or the Prospectus, whether pursuant to the Securities Act, the Exchange Act or otherwise (in each case, other than with respect to filings made by the Company pursuant to its reporting obligations under the Exchange Act),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will deliver to each Underwriter, without charge, as many copies of the Preliminary Prospectus as such 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The Preliminary Prospectus and the Prospectus and any amendments or supplements thereto furnished to the Underwriters will be identical to any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comply with the Securities Act and the Exchange Act so as to permit the completion of the distribution of the Notes as contemplated in this Agreement and in the Registration Statement, the Disclosure Package and the Prospectus. If at any time during the Prospectus Delivery Period, any event shall occur or condition shall exist as a result of which it is necessary, in the opinion of counsel for the Underwriters or for the Company,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as of the Initial Sale Time and as of the time it is delivered or conveyed to a purchaser, not misleading, or if it shall be necessary, in the opinion of either such counsel, at any such time to amend the Registration Statement or amend or supplement the Disclosure Package or the Prospectus in order to comply with the requirements of any law, the Company will (1) notify the Representatives of any such event, development or condition and (2) promptly prepare and file with the Commission, subject to </w:t>
      </w:r>
      <w:r>
        <w:rPr>
          <w:rFonts w:ascii="Times New Roman" w:hAnsi="Times New Roman"/>
          <w:sz w:val="20"/>
          <w:u w:val="single"/>
        </w:rPr>
        <w:t>Section 6(b)</w:t>
      </w:r>
      <w:r>
        <w:rPr>
          <w:rFonts w:ascii="Times New Roman" w:hAnsi="Times New Roman"/>
          <w:sz w:val="20"/>
        </w:rPr>
        <w:t xml:space="preserve"> hereof, such amendment or supplement as may be necessary to correct such statement or omission or to make the Registration Statement, the Disclosure Package or the Prospectus comply with such law, and the Company will furnish to the Underwriters, without charge, such number of copies of such amendment or supplement as the Underwriters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cooperate with the Representatives and counsel for the Underwriters to qualify or register the Notes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Notes. The Company shall not be required to qualify to transact business or to take any action that would subject it to general service of process in any such jurisdiction where it is not presently qualified or where it would be subject to taxation as a foreign business. The Company will advise the Representatives promptly after the Company becomes aware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apply the net proceeds from the sale of the Notes sold by it in the manner described under the caption Use of Proceeds in the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will cooperate with the Underwriters and use its reasonable efforts to permit the Notes to be eligible for clearance and settlement through the facilities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(h) During the Prospectus Delivery Period, the Company shall file with the Commission all reports and documents required to be filed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During the period commencing on the date hereof and ending on the Closing Date, the Company will not, without the prior written consent of the Representatives sell, offer, contract or otherwise dispose of or transfer any debt securities of the Company similar to the Notes (other than as contemplated by this Agreement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will prepare a final term sheet containing only a description of the Notes and any other information agreed to by the Representatives, in a form approved by the Representatives and attached as </w:t>
      </w:r>
      <w:r>
        <w:rPr>
          <w:rFonts w:ascii="Times New Roman" w:hAnsi="Times New Roman"/>
          <w:sz w:val="20"/>
          <w:u w:val="single"/>
        </w:rPr>
        <w:t>Schedule IV</w:t>
      </w:r>
      <w:r>
        <w:rPr>
          <w:rFonts w:ascii="Times New Roman" w:hAnsi="Times New Roman"/>
          <w:sz w:val="20"/>
        </w:rPr>
        <w:t xml:space="preserve"> hereto, and will file such term sheet pursuant to Rule 433(d) under the Securities Act within the time required by such rule (such term sheet, the </w:t>
      </w:r>
      <w:r>
        <w:rPr>
          <w:rFonts w:ascii="Times New Roman" w:hAnsi="Times New Roman"/>
          <w:b/>
          <w:sz w:val="20"/>
        </w:rPr>
        <w:t>Final Term Sheet</w:t>
      </w:r>
      <w:r>
        <w:rPr>
          <w:rFonts w:ascii="Times New Roman" w:hAnsi="Times New Roman"/>
          <w:sz w:val="20"/>
        </w:rPr>
        <w:t xml:space="preserve">). The Final Term Sheet is an Issuer Free Writing Prospectus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represents that it has not made, and agrees that, unless it obtains the prior consent of the Representatives, and each Underwriter represents and agrees that, unless it obtains the prior consent of the Company and the Representatives, it will not make, any offer relating to the Notes that would constitute an Issuer Free Writing Prospectus or that would otherwise constitute a free writing prospectus (as defined in Rule 405 of the Securities Act) required to be filed by the Company with the Commission or retained by the Company under Rule 433 of the Securities Act; </w:t>
      </w:r>
      <w:r>
        <w:rPr>
          <w:rFonts w:ascii="Times New Roman" w:hAnsi="Times New Roman"/>
          <w:i/>
          <w:sz w:val="20"/>
        </w:rPr>
        <w:t>provided</w:t>
      </w:r>
      <w:r>
        <w:rPr>
          <w:rFonts w:ascii="Times New Roman" w:hAnsi="Times New Roman"/>
          <w:sz w:val="20"/>
        </w:rPr>
        <w:t xml:space="preserve"> that the prior consent of the Company and Representatives shall be deemed to have been given in respect of any Issuer Free Writing Prospectus included in </w:t>
      </w:r>
      <w:r>
        <w:rPr>
          <w:rFonts w:ascii="Times New Roman" w:hAnsi="Times New Roman"/>
          <w:sz w:val="20"/>
          <w:u w:val="single"/>
        </w:rPr>
        <w:t>Schedule II</w:t>
      </w:r>
      <w:r>
        <w:rPr>
          <w:rFonts w:ascii="Times New Roman" w:hAnsi="Times New Roman"/>
          <w:sz w:val="20"/>
        </w:rPr>
        <w:t xml:space="preserve"> or </w:t>
      </w:r>
      <w:r>
        <w:rPr>
          <w:rFonts w:ascii="Times New Roman" w:hAnsi="Times New Roman"/>
          <w:sz w:val="20"/>
          <w:u w:val="single"/>
        </w:rPr>
        <w:t>Schedule III</w:t>
      </w:r>
      <w:r>
        <w:rPr>
          <w:rFonts w:ascii="Times New Roman" w:hAnsi="Times New Roman"/>
          <w:sz w:val="20"/>
        </w:rPr>
        <w:t xml:space="preserve"> to this Agreement. Any such free writing prospectus consented to or deemed to be consented to by the Company and Representatives is hereinafter referred to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Permitted Free Writing Prospectus</w:t>
      </w:r>
      <w:r>
        <w:rPr>
          <w:rFonts w:ascii="Times New Roman" w:hAnsi="Times New Roman"/>
          <w:sz w:val="20"/>
        </w:rPr>
        <w:t xml:space="preserve">. The Company agrees that (i) it has treated and will treat, as the case may be, each Permitted Free Writing Prospectus as an Issuer Free Writing Prospectus, and (ii) has complied and will comply, as the case may be, with the requirements of Rules 164 and 433 of the Securities Act applicable to any Permitted Free Writing Prospectus, including in respect of timely filing with the Commission, where required, legending and record keeping. The Company consents to the use by any Underwriter of a free writing prospectus that (a) is not an issuer free writing prospectus as defined in Rule 433, and (b) contains only (i) information describing the preliminary terms of the Notes or their offering, (ii) information permitted by Rule 134 under the Securities Act, (iii) information that describes the final terms of the Notes or their offering and that is included in the Final Term Sheet of the Company contemplated in </w:t>
      </w:r>
      <w:r>
        <w:rPr>
          <w:rFonts w:ascii="Times New Roman" w:hAnsi="Times New Roman"/>
          <w:sz w:val="20"/>
          <w:u w:val="single"/>
        </w:rPr>
        <w:t>Section 6(j)</w:t>
      </w:r>
      <w:r>
        <w:rPr>
          <w:rFonts w:ascii="Times New Roman" w:hAnsi="Times New Roman"/>
          <w:sz w:val="20"/>
        </w:rPr>
        <w:t xml:space="preserve"> or (iv) information describing comparable bond prices in any Bloomberg L.P. or other electronic communication. </w:t>
      </w:r>
    </w:p>
    <w:p>
      <w:pPr>
        <w:pStyle w:val="TextBody"/>
        <w:bidi w:val="0"/>
        <w:spacing w:before="240" w:after="0"/>
        <w:jc w:val="left"/>
        <w:rPr>
          <w:rFonts w:ascii="Times New Roman" w:hAnsi="Times New Roman"/>
          <w:sz w:val="20"/>
        </w:rPr>
      </w:pPr>
      <w:r>
        <w:rPr>
          <w:rFonts w:ascii="Times New Roman" w:hAnsi="Times New Roman"/>
          <w:sz w:val="20"/>
        </w:rPr>
        <w:t xml:space="preserve">(l) If at any time during the Prospectus Delivery Period,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Notes, in a form satisfactory to the Representatives, (iii) use its reasonable efforts to cause such registration statement of post-effective amendment to be declared effective and (iv) promptly notify the Representatives of such effectiveness. The Company will take all other action reasonably necessary or appropriate to permit the public offering and sale of the Notes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(m) The Company agrees to pay the required Commission filing fees relating to the Notes within the time required by and in accordance with Rule 456(b)(1) and 457(r)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 The Company will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Expenses</w:t>
      </w:r>
      <w:r>
        <w:rPr>
          <w:rFonts w:ascii="Times New Roman" w:hAnsi="Times New Roman"/>
          <w:sz w:val="20"/>
        </w:rPr>
        <w:t xml:space="preserve">.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Notes under the Securities Act and all other fees or expenses in connection with the preparation and filing of the Registration Statement, each Issuer Free Writing Prospectus, the Preliminary Prospectus, the Prospectus and amendments and supplements to any of the foregoing, including all printing costs associated therewith,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mailing and delivering of copies thereof to the Underwriters and dealers, in the quantities hereinabove specified; (ii) all costs and expenses related to the issuance and delivery of the Notes to the Underwriters, including any necessary issue, transfer or other stamp taxes payable thereon; (iii) the cost of printing or producing any Blue Sky or Legal Investment memorandum requested by the Representatives in connection with the offer and sale of the Notes under state securities laws and all expenses in connection with the qualification of the Notes for offer and sale under state securities laws as provided in </w:t>
      </w:r>
      <w:r>
        <w:rPr>
          <w:rFonts w:ascii="Times New Roman" w:hAnsi="Times New Roman"/>
          <w:sz w:val="20"/>
          <w:u w:val="single"/>
        </w:rPr>
        <w:t xml:space="preserve">Section 6(e) </w:t>
      </w:r>
      <w:r>
        <w:rPr>
          <w:rFonts w:ascii="Times New Roman" w:hAnsi="Times New Roman"/>
          <w:sz w:val="20"/>
        </w:rPr>
        <w:t xml:space="preserve">hereof, including filing fees and the reasonable fees and disbursements of counsel for the Underwriters (not to exceed $10,000 in the aggregate) in connection with such qualification and in connection with the Blue Sky or Legal Investment memorandum; (iv) the cost of printing certificates representing the Notes; (v) the costs and charges of any transfer agent, registrar or depositary; (vi) the costs and expenses of the Company relating to investor presentations on any road show undertaken in connection with the marketing of the offering of the Notes, including, without limitation,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(vii) the document production charges and expenses associated with printing this Agreement; (viii) all expenses of the Company in connection with any offer and sale of the Notes outside of the United States; (ix) the fees and expenses of the Trustee, including the reasonable fees and disbursements of counsel for the Trustee in connection with the Indenture and the Notes, (x) any fees payable in connection with the rating of the Notes with the ratings agencies, (xi) all fees and expenses (including reasonable fees and expenses of counsel) of the Company in connection with approval of the Notes by the Depositary for book-entry transfer and (xii) all other costs and expenses incident to the performance of the obligations of the Company hereunder for which provision is not otherwise made in this Section. It is understood, however, that except as provided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the Underwriters will pay all of their costs and expenses, including fees and disbursements of their counsel, issue, transfer or other stamp taxes payable on resale of any of the Notes by them and any advertising expenses connected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Indemnity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by such indemnified party in connection with defending or investigating any such action or claim) arising out of or caused by any untrue statement or alleged untrue statement of a material fact contained in (x) the Registration Statement or any amendment thereof or arising out of or caused by any omission or alleged omission to state therein a material fact required to be stated therein or necessary to make the statements therein not misleading, except, insofar as such losses, claims, damages or liabilities arise out of or are caused by any such untrue statement or omission or alleged untrue statement or omission based upon information relating to any Underwriter furnished to the Company in writing by such Underwriter through the Representatives expressly for use therein or (y) any Company Additional Written Communication, any Issuer Free Writing Prospectus, the Preliminary Prospectus or the Prospectus (as amended or supplemented if the Company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furnished any amendments or supplements thereto) or arising out of or caused by any omission or alleged omission to state therein a material fact required to be stated therein or necessary to make the statements therein, in the light of the circumstances under which they were made, not misleading, except, insofar as such losses, claims, damages or liabilities arise out of or are caused by any such untrue statement or omission or alleged untrue statement or omission based upon information relating to any Underwriter furnished to the Company in writing by such Underwriter through the Representatives expressly for use therein. The indemnity agreement set forth in this </w:t>
      </w:r>
      <w:r>
        <w:rPr>
          <w:rFonts w:ascii="Times New Roman" w:hAnsi="Times New Roman"/>
          <w:sz w:val="20"/>
          <w:u w:val="single"/>
        </w:rPr>
        <w:t>Section 8(a)</w:t>
      </w:r>
      <w:r>
        <w:rPr>
          <w:rFonts w:ascii="Times New Roman" w:hAnsi="Times New Roman"/>
          <w:sz w:val="20"/>
        </w:rPr>
        <w:t xml:space="preserve">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Each Underwriter agrees, severally and not jointly, to indemnify and hold harmless the Company, the directors and officers of the Company who signed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by such indemnified party in connection with defending or investigating any such action or claim) arising out of or caused by any untrue statement or alleged untrue statement of a material fact contained in (x) the Registration Statement or any amendment thereof or arising out of or caused by any omission or alleged omission to state therein a material fact required to be stated therein or necessary to make the statements therein not misleading, but only with reference to information relating to such Underwriter furnished to the Company in writing by such Underwriter through the Representatives expressly for use in the therein or (y) any Issuer Free Writing Prospectus, the Preliminary Prospectus or the Prospectus (as amended or supplemented if the Company shall have furnished any amendments or supplements thereto), or arising out of or caused by any omission or alleged omission to state therein a material fact required to be stated therein or necessary to make the statements therein, in the light of the circumstances under which they were made, not misleading, but only with reference to information relating to such Underwriter furnished to the Company in writing by such Underwriter through the Representatives expressly for use therein; it being understood and agreed that the only such information furnished to the Company by any Underwriter through the Representatives expressly for use in the Registration Statement, any Issuer Free Writing Prospectus, the Preliminary Prospectus, the Prospectus or any amendments or supplements thereto consists of the statements set forth in the fifth, tenth and eleventh paragraphs of text under the caption Underwriting in the Preliminary Prospectus and the Prospectus and the third sentence of the ninth paragraph of text under the caption Underwriting in the Preliminary Prospectus and the Prospectus. The indemnity agreement set forth in this </w:t>
      </w:r>
      <w:r>
        <w:rPr>
          <w:rFonts w:ascii="Times New Roman" w:hAnsi="Times New Roman"/>
          <w:sz w:val="20"/>
          <w:u w:val="single"/>
        </w:rPr>
        <w:t>Section 8(b)</w:t>
      </w:r>
      <w:r>
        <w:rPr>
          <w:rFonts w:ascii="Times New Roman" w:hAnsi="Times New Roman"/>
          <w:sz w:val="20"/>
        </w:rPr>
        <w:t xml:space="preserve">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In case any proceeding (including any governmental investigation) shall be instituted involving any person in respect of which indemnity may be sought pursuant to </w:t>
      </w:r>
      <w:r>
        <w:rPr>
          <w:rFonts w:ascii="Times New Roman" w:hAnsi="Times New Roman"/>
          <w:sz w:val="20"/>
          <w:u w:val="single"/>
        </w:rPr>
        <w:t>Section 8(a)</w:t>
      </w:r>
      <w:r>
        <w:rPr>
          <w:rFonts w:ascii="Times New Roman" w:hAnsi="Times New Roman"/>
          <w:sz w:val="20"/>
        </w:rPr>
        <w:t xml:space="preserve"> or </w:t>
      </w:r>
      <w:r>
        <w:rPr>
          <w:rFonts w:ascii="Times New Roman" w:hAnsi="Times New Roman"/>
          <w:sz w:val="20"/>
          <w:u w:val="single"/>
        </w:rPr>
        <w:t>8(b)</w:t>
      </w:r>
      <w:r>
        <w:rPr>
          <w:rFonts w:ascii="Times New Roman" w:hAnsi="Times New Roman"/>
          <w:sz w:val="20"/>
        </w:rPr>
        <w:t>, such person (the </w:t>
      </w:r>
      <w:r>
        <w:rPr>
          <w:rFonts w:ascii="Times New Roman" w:hAnsi="Times New Roman"/>
          <w:b/>
          <w:sz w:val="20"/>
        </w:rPr>
        <w:t>indemnified party</w:t>
      </w:r>
      <w:r>
        <w:rPr>
          <w:rFonts w:ascii="Times New Roman" w:hAnsi="Times New Roman"/>
          <w:sz w:val="20"/>
        </w:rPr>
        <w:t>) shall promptly notify the person against whom such indemnity may be sought (the </w:t>
      </w:r>
      <w:r>
        <w:rPr>
          <w:rFonts w:ascii="Times New Roman" w:hAnsi="Times New Roman"/>
          <w:b/>
          <w:sz w:val="20"/>
        </w:rPr>
        <w:t>indemnifying party</w:t>
      </w:r>
      <w:r>
        <w:rPr>
          <w:rFonts w:ascii="Times New Roman" w:hAnsi="Times New Roman"/>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and documented fees and disbursements of such counsel related to such proceeding. In any such proceeding, any indemnified party shall have the right to retain its own counsel, but the fees and expenses of such counsel shall be at the expense of such indemnified party unless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reasonable and documented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reasonable and documented fees and expenses of more than one separate firm (in addition to any local counsel) for the Company, its directors, its officers who signed the Registration Statement and each person, if any, who controls the Company within the meaning of either such Section, and that all such fees and expenses shall be reimbursed as they are incurred (subject to receipt of a documented request for reimbursement).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such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the indemnification provided for in </w:t>
      </w:r>
      <w:r>
        <w:rPr>
          <w:rFonts w:ascii="Times New Roman" w:hAnsi="Times New Roman"/>
          <w:sz w:val="20"/>
          <w:u w:val="single"/>
        </w:rPr>
        <w:t>Section 8(a)</w:t>
      </w:r>
      <w:r>
        <w:rPr>
          <w:rFonts w:ascii="Times New Roman" w:hAnsi="Times New Roman"/>
          <w:sz w:val="20"/>
        </w:rPr>
        <w:t xml:space="preserve"> or </w:t>
      </w:r>
      <w:r>
        <w:rPr>
          <w:rFonts w:ascii="Times New Roman" w:hAnsi="Times New Roman"/>
          <w:sz w:val="20"/>
          <w:u w:val="single"/>
        </w:rPr>
        <w:t>8(b)</w:t>
      </w:r>
      <w:r>
        <w:rPr>
          <w:rFonts w:ascii="Times New Roman" w:hAnsi="Times New Roman"/>
          <w:sz w:val="20"/>
        </w:rPr>
        <w:t xml:space="preserve">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Notes or (ii) if the allocation provided by </w:t>
      </w:r>
      <w:r>
        <w:rPr>
          <w:rFonts w:ascii="Times New Roman" w:hAnsi="Times New Roman"/>
          <w:sz w:val="20"/>
          <w:u w:val="single"/>
        </w:rPr>
        <w:t xml:space="preserve">clause 8(d)(i) </w:t>
      </w:r>
      <w:r>
        <w:rPr>
          <w:rFonts w:ascii="Times New Roman" w:hAnsi="Times New Roman"/>
          <w:sz w:val="20"/>
        </w:rPr>
        <w:t xml:space="preserve">above is not permitted by applicable law, in such proportion as is appropriate to reflect not only the relative benefits referred to in </w:t>
      </w:r>
      <w:r>
        <w:rPr>
          <w:rFonts w:ascii="Times New Roman" w:hAnsi="Times New Roman"/>
          <w:sz w:val="20"/>
          <w:u w:val="single"/>
        </w:rPr>
        <w:t>clause 8(d)(i)</w:t>
      </w:r>
      <w:r>
        <w:rPr>
          <w:rFonts w:ascii="Times New Roman" w:hAnsi="Times New Roman"/>
          <w:sz w:val="20"/>
        </w:rPr>
        <w:t xml:space="preserve">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Notes shall be deemed to be in the same respective proportions as the net proceeds from the offering of the Notes (before deducting expenses) received by the Company and the total underwriting discounts and commissions received by the Underwriters, in each case as set forth on the cover of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bear to the aggregate Public Offering Price of the Notes.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w:t>
      </w:r>
      <w:r>
        <w:rPr>
          <w:rFonts w:ascii="Times New Roman" w:hAnsi="Times New Roman"/>
          <w:sz w:val="20"/>
          <w:u w:val="single"/>
        </w:rPr>
        <w:t xml:space="preserve">Section 8 </w:t>
      </w:r>
      <w:r>
        <w:rPr>
          <w:rFonts w:ascii="Times New Roman" w:hAnsi="Times New Roman"/>
          <w:sz w:val="20"/>
        </w:rPr>
        <w:t xml:space="preserve">are several in proportion to the respective aggregate principal amount of Notes they have purchased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and the Underwriters agree that it would not be just or equitable if contribution pursuant to this </w:t>
      </w:r>
      <w:r>
        <w:rPr>
          <w:rFonts w:ascii="Times New Roman" w:hAnsi="Times New Roman"/>
          <w:sz w:val="20"/>
          <w:u w:val="single"/>
        </w:rPr>
        <w:t>Section 8</w:t>
      </w:r>
      <w:r>
        <w:rPr>
          <w:rFonts w:ascii="Times New Roman" w:hAnsi="Times New Roman"/>
          <w:sz w:val="20"/>
        </w:rPr>
        <w:t xml:space="preserve">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w:t>
      </w:r>
      <w:r>
        <w:rPr>
          <w:rFonts w:ascii="Times New Roman" w:hAnsi="Times New Roman"/>
          <w:sz w:val="20"/>
          <w:u w:val="single"/>
        </w:rPr>
        <w:t>Section 8(d)</w:t>
      </w:r>
      <w:r>
        <w:rPr>
          <w:rFonts w:ascii="Times New Roman" w:hAnsi="Times New Roman"/>
          <w:sz w:val="20"/>
        </w:rPr>
        <w:t xml:space="preserve">.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 w:hAnsi="Times New Roman"/>
          <w:sz w:val="20"/>
          <w:u w:val="single"/>
        </w:rPr>
        <w:t>Section 8</w:t>
      </w:r>
      <w:r>
        <w:rPr>
          <w:rFonts w:ascii="Times New Roman" w:hAnsi="Times New Roman"/>
          <w:sz w:val="20"/>
        </w:rPr>
        <w:t xml:space="preserve">, no Underwriter shall be required to contribute any amount in excess of the amount by which the underwriting commissions received by such Underwriter in connection with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w:t>
      </w:r>
      <w:r>
        <w:rPr>
          <w:rFonts w:ascii="Times New Roman" w:hAnsi="Times New Roman"/>
          <w:sz w:val="20"/>
          <w:u w:val="single"/>
        </w:rPr>
        <w:t>Section 8</w:t>
      </w:r>
      <w:r>
        <w:rPr>
          <w:rFonts w:ascii="Times New Roman" w:hAnsi="Times New Roman"/>
          <w:sz w:val="20"/>
        </w:rPr>
        <w:t xml:space="preserve"> are not exclusive and shall not limit any rights or remedies which may otherwise be available to any indemnified party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(f) The indemnity and contribution provisions contained in this </w:t>
      </w:r>
      <w:r>
        <w:rPr>
          <w:rFonts w:ascii="Times New Roman" w:hAnsi="Times New Roman"/>
          <w:sz w:val="20"/>
          <w:u w:val="single"/>
        </w:rPr>
        <w:t>Section 8</w:t>
      </w:r>
      <w:r>
        <w:rPr>
          <w:rFonts w:ascii="Times New Roman" w:hAnsi="Times New Roman"/>
          <w:sz w:val="20"/>
        </w:rPr>
        <w:t xml:space="preserve">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the Company, its officers or directors or any person controlling the Company and (iii) acceptance of and payment for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Termination</w:t>
      </w:r>
      <w:r>
        <w:rPr>
          <w:rFonts w:ascii="Times New Roman" w:hAnsi="Times New Roman"/>
          <w:sz w:val="20"/>
        </w:rPr>
        <w:t xml:space="preserve">. The Underwriters may terminate this Agreement by notice given by the Representatives to the Company, if after the execution and delivery of this Agreement and on or prior to the Closing Date (i) trading generally shall have been suspended or materially limited on, or by, as the case may be, any of the New York Stock Exchange or the Nasdaq National Market, (ii) trading of any securities of the Company shall have been suspended on any exchange or in any over-the-counter market, (iii) a material disruption in securities settlement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w:t>
      </w:r>
      <w:r>
        <w:rPr>
          <w:rFonts w:ascii="Times New Roman" w:hAnsi="Times New Roman"/>
          <w:sz w:val="20"/>
          <w:u w:val="single"/>
        </w:rPr>
        <w:t>clause (v)</w:t>
      </w:r>
      <w:r>
        <w:rPr>
          <w:rFonts w:ascii="Times New Roman" w:hAnsi="Times New Roman"/>
          <w:sz w:val="20"/>
        </w:rPr>
        <w:t xml:space="preserve">, makes it, in the Representatives judgment, impracticable or inadvisable to proceed with the offer, sale or delivery of the Notes on the terms and in the manner contemplated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Notes that it has or they have agreed to purchase hereunder on such date, and the aggregate principal amount of Notes which such defaulting Underwriter or Underwriters agreed but failed or refused to purchase is not more than one-tenth of the aggregate principal amount of the Notes to be purchased on such date, the other Underwriters shall be obligated severally in the proportions that the aggregate principal amount of Notes set forth opposite their respective names in </w:t>
      </w:r>
      <w:r>
        <w:rPr>
          <w:rFonts w:ascii="Times New Roman" w:hAnsi="Times New Roman"/>
          <w:sz w:val="20"/>
          <w:u w:val="single"/>
        </w:rPr>
        <w:t>Schedule I</w:t>
      </w:r>
      <w:r>
        <w:rPr>
          <w:rFonts w:ascii="Times New Roman" w:hAnsi="Times New Roman"/>
          <w:sz w:val="20"/>
        </w:rPr>
        <w:t xml:space="preserve"> bears to the aggregate principal amount of Notes set forth opposite the names of all such non-defaulting Underwriters, or in such other proportions as the Representatives may specify, to purchase the Notes which such defaulting Underwriter or Underwriters agreed but failed or refused to purchase on such date; </w:t>
      </w:r>
      <w:r>
        <w:rPr>
          <w:rFonts w:ascii="Times New Roman" w:hAnsi="Times New Roman"/>
          <w:i/>
          <w:sz w:val="20"/>
        </w:rPr>
        <w:t>provided</w:t>
      </w:r>
      <w:r>
        <w:rPr>
          <w:rFonts w:ascii="Times New Roman" w:hAnsi="Times New Roman"/>
          <w:sz w:val="20"/>
        </w:rPr>
        <w:t xml:space="preserve"> that in no event shall the aggregate principal amount of Notes that any Underwriter has agreed to purchase pursuant to this Agreement be increased pursuant to this </w:t>
      </w:r>
      <w:r>
        <w:rPr>
          <w:rFonts w:ascii="Times New Roman" w:hAnsi="Times New Roman"/>
          <w:sz w:val="20"/>
          <w:u w:val="single"/>
        </w:rPr>
        <w:t>Section 10</w:t>
      </w:r>
      <w:r>
        <w:rPr>
          <w:rFonts w:ascii="Times New Roman" w:hAnsi="Times New Roman"/>
          <w:sz w:val="20"/>
        </w:rPr>
        <w:t xml:space="preserve"> by an amount in excess of one-ninth of such aggregate principal amount of Notes without the written consent of such Underwriter. If, on the Closing Date, any Underwriter or Underwriters shall fail or refuse to purchase Notes and the aggregate principal amount of Notes with respect to which such default occurs is more than one-tenth of the aggregate principal amount of Notes to be purchased, and arrangements satisfactory to the Representatives and the Company for the purchase of such Notes are not made within 36 hours after such default, this Agreement shall terminate without liability on the part of any non-defaulting Underwriter or the Company, except that the provisions of </w:t>
      </w:r>
      <w:r>
        <w:rPr>
          <w:rFonts w:ascii="Times New Roman" w:hAnsi="Times New Roman"/>
          <w:sz w:val="20"/>
          <w:u w:val="single"/>
        </w:rPr>
        <w:t>Sections 7</w:t>
      </w:r>
      <w:r>
        <w:rPr>
          <w:rFonts w:ascii="Times New Roman" w:hAnsi="Times New Roman"/>
          <w:sz w:val="20"/>
        </w:rPr>
        <w:t xml:space="preserve"> (</w:t>
      </w:r>
      <w:r>
        <w:rPr>
          <w:rFonts w:ascii="Times New Roman" w:hAnsi="Times New Roman"/>
          <w:i/>
          <w:sz w:val="20"/>
        </w:rPr>
        <w:t>Expenses</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 xml:space="preserve"> (</w:t>
      </w:r>
      <w:r>
        <w:rPr>
          <w:rFonts w:ascii="Times New Roman" w:hAnsi="Times New Roman"/>
          <w:i/>
          <w:sz w:val="20"/>
        </w:rPr>
        <w:t>Indemnity and Contribution</w:t>
      </w:r>
      <w:r>
        <w:rPr>
          <w:rFonts w:ascii="Times New Roman" w:hAnsi="Times New Roman"/>
          <w:sz w:val="20"/>
        </w:rPr>
        <w:t xml:space="preserve">), </w:t>
      </w:r>
      <w:r>
        <w:rPr>
          <w:rFonts w:ascii="Times New Roman" w:hAnsi="Times New Roman"/>
          <w:sz w:val="20"/>
          <w:u w:val="single"/>
        </w:rPr>
        <w:t>11</w:t>
      </w:r>
      <w:r>
        <w:rPr>
          <w:rFonts w:ascii="Times New Roman" w:hAnsi="Times New Roman"/>
          <w:sz w:val="20"/>
        </w:rPr>
        <w:t xml:space="preserve"> (</w:t>
      </w:r>
      <w:r>
        <w:rPr>
          <w:rFonts w:ascii="Times New Roman" w:hAnsi="Times New Roman"/>
          <w:i/>
          <w:sz w:val="20"/>
        </w:rPr>
        <w:t>Reimbursement of Underwriters Expenses</w:t>
      </w:r>
      <w:r>
        <w:rPr>
          <w:rFonts w:ascii="Times New Roman" w:hAnsi="Times New Roman"/>
          <w:sz w:val="20"/>
        </w:rPr>
        <w:t xml:space="preserve">) and </w:t>
      </w:r>
      <w:r>
        <w:rPr>
          <w:rFonts w:ascii="Times New Roman" w:hAnsi="Times New Roman"/>
          <w:sz w:val="20"/>
          <w:u w:val="single"/>
        </w:rPr>
        <w:t>17</w:t>
      </w:r>
      <w:r>
        <w:rPr>
          <w:rFonts w:ascii="Times New Roman" w:hAnsi="Times New Roman"/>
          <w:sz w:val="20"/>
        </w:rPr>
        <w:t xml:space="preserve"> (</w:t>
      </w:r>
      <w:r>
        <w:rPr>
          <w:rFonts w:ascii="Times New Roman" w:hAnsi="Times New Roman"/>
          <w:i/>
          <w:sz w:val="20"/>
        </w:rPr>
        <w:t>Governing Law Provisions</w:t>
      </w:r>
      <w:r>
        <w:rPr>
          <w:rFonts w:ascii="Times New Roman" w:hAnsi="Times New Roman"/>
          <w:sz w:val="20"/>
        </w:rPr>
        <w:t xml:space="preserve">) shall at all times be effective and shall survive such termination. In any such case either the Representatives or the Company shall have the right to postpone the Closing Date, but in no event for longer than seven days, in order that the required changes, if any, in the Registration Statement, any Issuer Free Writing Prospectus, the Preliminary Prospectus and the Prospectus or in any other documents or arrangements may be effected. Any action taken under this paragraph shall not relieve any defaulting Underwriter from liability in respect of any default of such Underwriter under this Agreement. As used in this Agreement, the term Underwriters shall be deemed to include any person substituted for a defaulting Underwriter under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Reimbursement of Underwriters Expenses</w:t>
      </w:r>
      <w:r>
        <w:rPr>
          <w:rFonts w:ascii="Times New Roman" w:hAnsi="Times New Roman"/>
          <w:sz w:val="20"/>
        </w:rPr>
        <w:t xml:space="preserve">. 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upon demand,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 Fiduciary Duty</w:t>
      </w:r>
      <w:r>
        <w:rPr>
          <w:rFonts w:ascii="Times New Roman" w:hAnsi="Times New Roman"/>
          <w:sz w:val="20"/>
        </w:rPr>
        <w:t xml:space="preserve">. The Company acknowledges and agrees that: (i) the purchase and sale of the Notes pursuant to this Agreement, including the determination of the Public Offering Price and any related discounts and commissions, is an arms length commercial transaction between the Company, on the one hand, and the several Underwriters, on the other hand, and the Company is capable of evaluating, and understands and accepts the terms, risks and conditions of the transactions contemplated by this Agreement, (ii) in connection with each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hereby and the process leading to such transaction each Underwriter is and has been acting solely as a principal and is not the advisor, agent or fiduciary of the Company, any of its affiliates or any person or entity, (iii) no Underwriter has assumed or will assume an advisory, agency or fiduciary responsibility in favor of the Company with respect to any of the transactions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that the several Underwriters have no obligation to disclose any of such interests by virtue of any advisory, agency or fiduciary relationship, and (v)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Entire Agreement</w:t>
      </w:r>
      <w:r>
        <w:rPr>
          <w:rFonts w:ascii="Times New Roman" w:hAnsi="Times New Roman"/>
          <w:sz w:val="20"/>
        </w:rPr>
        <w:t xml:space="preserve">. This Agreement supersedes all prior agreements and understandings (whether written or oral) between the Company and the several Underwriters with respect to the subject matter hereof. The Company hereby waives and releases, to the fullest extent permitted by law, any claims that the Company may have against the several Underwriters with respect to any breach or alleged breach of agency or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the Representatives at Barclays Capital Inc., 745 Seventh Avenue, New York, New York 10019, Facsimile: (646) 834-8133; Attention: Syndicate Registration; J.P. Morgan Securities LLC, 383 Madison Avenue, New York, New York 10179, Attention: Investment Grade Syndicate Desk, Facsimile: (212) 834-6081; and Wells Fargo Securities, Inc., 550 South Tryon Street, 5th Floor, Charlotte, North Carolina 28202, Attention: Transaction Management, (email: tmgcapitalmarkets@wellsfargo.com); and notices to the Company shall be directed to it at 20 South Wacker Drive, Chicago, Illinois, (email: legalnotices@cmegroup.com); 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 xml:space="preserve">Successors. </w:t>
      </w:r>
      <w:r>
        <w:rPr>
          <w:rFonts w:ascii="Times New Roman" w:hAnsi="Times New Roman"/>
          <w:sz w:val="20"/>
        </w:rPr>
        <w:t xml:space="preserve">This Agreement will inure to the benefit of and be binding upon the parties hereto, including any substitute Underwriters pursuant to </w:t>
      </w:r>
      <w:r>
        <w:rPr>
          <w:rFonts w:ascii="Times New Roman" w:hAnsi="Times New Roman"/>
          <w:sz w:val="20"/>
          <w:u w:val="single"/>
        </w:rPr>
        <w:t>Section 10</w:t>
      </w:r>
      <w:r>
        <w:rPr>
          <w:rFonts w:ascii="Times New Roman" w:hAnsi="Times New Roman"/>
          <w:sz w:val="20"/>
        </w:rPr>
        <w:t xml:space="preserve"> hereof, and to the benefit of the directors, officers, employees, agents and controlling persons referred to in </w:t>
      </w:r>
      <w:r>
        <w:rPr>
          <w:rFonts w:ascii="Times New Roman" w:hAnsi="Times New Roman"/>
          <w:sz w:val="20"/>
          <w:u w:val="single"/>
        </w:rPr>
        <w:t>Section 8</w:t>
      </w:r>
      <w:r>
        <w:rPr>
          <w:rFonts w:ascii="Times New Roman" w:hAnsi="Times New Roman"/>
          <w:sz w:val="20"/>
        </w:rPr>
        <w:t xml:space="preserve">, and in each case their respective successors, and no other person will have any right or obligation hereunder. The term successors shall not include any purchaser of the Notes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 xml:space="preserve">Partial Unenforceability. </w:t>
      </w:r>
      <w:r>
        <w:rPr>
          <w:rFonts w:ascii="Times New Roman" w:hAnsi="Times New Roman"/>
          <w:sz w:val="20"/>
        </w:rPr>
        <w:t xml:space="preserve">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i/>
          <w:sz w:val="20"/>
        </w:rPr>
        <w:t xml:space="preserve">Governing Law Provisions. </w:t>
      </w:r>
      <w:r>
        <w:rPr>
          <w:rFonts w:ascii="Times New Roman" w:hAnsi="Times New Roman"/>
          <w:sz w:val="20"/>
        </w:rPr>
        <w:t xml:space="preserve">THIS AGREEMENT SHALL BE GOVERNED BY, AND CONSTRUED AND INTERPRETED IN ACCORDANCE WITH, THE INTERNAL LAWS OF THE STATE OF NEW YORK APPLICABLE TO AGREEMENTS MADE AND TO BE PERFORMED IN THAT STATE. </w:t>
      </w:r>
    </w:p>
    <w:p>
      <w:pPr>
        <w:pStyle w:val="TextBody"/>
        <w:bidi w:val="0"/>
        <w:spacing w:before="240" w:after="0"/>
        <w:jc w:val="left"/>
        <w:rPr>
          <w:rFonts w:ascii="Times New Roman" w:hAnsi="Times New Roman"/>
          <w:sz w:val="20"/>
        </w:rPr>
      </w:pPr>
      <w:r>
        <w:rPr>
          <w:rFonts w:ascii="Times New Roman" w:hAnsi="Times New Roman"/>
          <w:sz w:val="20"/>
        </w:rPr>
        <w:t>Any legal suit, action or proceeding arising out of or based upon this Agreement or the transactions contemplated hereby may be instituted in the federal courts of the United States of America located in the City and County of New York, Borough of Manhattan, or the courts of the State of New York in each case located in the City and County of New York, Borough of Manhattan (collectively, the </w:t>
      </w:r>
      <w:r>
        <w:rPr>
          <w:rFonts w:ascii="Times New Roman" w:hAnsi="Times New Roman"/>
          <w:b/>
          <w:sz w:val="20"/>
        </w:rPr>
        <w:t>Specified Courts</w:t>
      </w:r>
      <w:r>
        <w:rPr>
          <w:rFonts w:ascii="Times New Roman" w:hAnsi="Times New Roman"/>
          <w:sz w:val="20"/>
        </w:rPr>
        <w:t xml:space="preserve">),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18</w:t>
      </w:r>
      <w:r>
        <w:rPr>
          <w:rFonts w:ascii="Times New Roman" w:hAnsi="Times New Roman"/>
          <w:sz w:val="20"/>
        </w:rPr>
        <w:t>,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i/>
          <w:sz w:val="20"/>
        </w:rPr>
        <w:t>General Provisions</w:t>
      </w:r>
      <w:r>
        <w:rPr>
          <w:rFonts w:ascii="Times New Roman" w:hAnsi="Times New Roman"/>
          <w:sz w:val="20"/>
        </w:rPr>
        <w:t xml:space="preserve">.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without limitation, the indemnification and contribution provisions of </w:t>
      </w:r>
      <w:r>
        <w:rPr>
          <w:rFonts w:ascii="Times New Roman" w:hAnsi="Times New Roman"/>
          <w:sz w:val="20"/>
          <w:u w:val="single"/>
        </w:rPr>
        <w:t>Section 8</w:t>
      </w:r>
      <w:r>
        <w:rPr>
          <w:rFonts w:ascii="Times New Roman" w:hAnsi="Times New Roman"/>
          <w:sz w:val="20"/>
        </w:rPr>
        <w:t xml:space="preserve">, and is fully informed regarding said provisions. Each of the parties hereto further acknowledges that the provisions of </w:t>
      </w:r>
      <w:r>
        <w:rPr>
          <w:rFonts w:ascii="Times New Roman" w:hAnsi="Times New Roman"/>
          <w:sz w:val="20"/>
          <w:u w:val="single"/>
        </w:rPr>
        <w:t>Section 8</w:t>
      </w:r>
      <w:r>
        <w:rPr>
          <w:rFonts w:ascii="Times New Roman" w:hAnsi="Times New Roman"/>
          <w:sz w:val="20"/>
        </w:rPr>
        <w:t xml:space="preserve"> hereto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signatures appear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1"/>
        <w:gridCol w:w="60"/>
        <w:gridCol w:w="3371"/>
      </w:tblGrid>
      <w:tr>
        <w:trPr/>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CME GROUP INC.</w:t>
            </w:r>
          </w:p>
        </w:tc>
      </w:tr>
      <w:tr>
        <w:trPr>
          <w:trHeight w:val="24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1" w:type="dxa"/>
            <w:tcBorders>
              <w:bottom w:val="single" w:sz="2" w:space="0" w:color="000000"/>
            </w:tcBorders>
            <w:tcMar>
              <w:bottom w:w="28" w:type="dxa"/>
            </w:tcMar>
          </w:tcPr>
          <w:p>
            <w:pPr>
              <w:pStyle w:val="TableContents"/>
              <w:bidi w:val="0"/>
              <w:spacing w:before="0" w:after="283"/>
              <w:jc w:val="left"/>
              <w:rPr/>
            </w:pPr>
            <w:r>
              <w:rPr/>
              <w:t>/s/ Lynne Fitzpatrick</w:t>
            </w:r>
          </w:p>
        </w:tc>
      </w:tr>
      <w:tr>
        <w:trPr/>
        <w:tc>
          <w:tcPr>
            <w:tcW w:w="65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Lynne Fitzpatrick</w:t>
            </w:r>
          </w:p>
        </w:tc>
      </w:tr>
      <w:tr>
        <w:trPr/>
        <w:tc>
          <w:tcPr>
            <w:tcW w:w="65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Senior Managing Director, President and Chief Financial Officer</w:t>
            </w:r>
          </w:p>
        </w:tc>
      </w:tr>
      <w:tr>
        <w:trPr>
          <w:trHeight w:val="240" w:hRule="atLeast"/>
        </w:trPr>
        <w:tc>
          <w:tcPr>
            <w:tcW w:w="651" w:type="dxa"/>
            <w:tcBorders/>
            <w:vAlign w:val="center"/>
          </w:tcPr>
          <w:p>
            <w:pPr>
              <w:pStyle w:val="TableContents"/>
              <w:bidi w:val="0"/>
              <w:spacing w:before="0" w:after="283"/>
              <w:jc w:val="left"/>
              <w:rPr>
                <w:sz w:val="4"/>
                <w:szCs w:val="4"/>
              </w:rPr>
            </w:pPr>
            <w:r>
              <w:rPr>
                <w:sz w:val="4"/>
                <w:szCs w:val="4"/>
              </w:rPr>
            </w:r>
          </w:p>
        </w:tc>
        <w:tc>
          <w:tcPr>
            <w:tcW w:w="343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1" w:type="dxa"/>
            <w:tcBorders>
              <w:bottom w:val="single" w:sz="2" w:space="0" w:color="000000"/>
            </w:tcBorders>
            <w:tcMar>
              <w:bottom w:w="28" w:type="dxa"/>
            </w:tcMar>
          </w:tcPr>
          <w:p>
            <w:pPr>
              <w:pStyle w:val="TableContents"/>
              <w:bidi w:val="0"/>
              <w:spacing w:before="0" w:after="283"/>
              <w:jc w:val="left"/>
              <w:rPr/>
            </w:pPr>
            <w:r>
              <w:rPr/>
              <w:t>/s/ Bryan McBlaine</w:t>
            </w:r>
          </w:p>
        </w:tc>
      </w:tr>
      <w:tr>
        <w:trPr/>
        <w:tc>
          <w:tcPr>
            <w:tcW w:w="65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Bryan McBlaine</w:t>
            </w:r>
          </w:p>
        </w:tc>
      </w:tr>
      <w:tr>
        <w:trPr/>
        <w:tc>
          <w:tcPr>
            <w:tcW w:w="65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1" w:type="dxa"/>
            <w:tcBorders/>
            <w:vAlign w:val="bottom"/>
          </w:tcPr>
          <w:p>
            <w:pPr>
              <w:pStyle w:val="TableContents"/>
              <w:bidi w:val="0"/>
              <w:spacing w:before="0" w:after="283"/>
              <w:jc w:val="left"/>
              <w:rPr/>
            </w:pPr>
            <w:r>
              <w:rPr/>
              <w:t>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9"/>
        <w:gridCol w:w="60"/>
        <w:gridCol w:w="3323"/>
      </w:tblGrid>
      <w:tr>
        <w:trPr/>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BARCLAYS CAPITAL INC.</w:t>
            </w:r>
          </w:p>
          <w:p>
            <w:pPr>
              <w:pStyle w:val="TableContents"/>
              <w:bidi w:val="0"/>
              <w:spacing w:before="0" w:after="0"/>
              <w:jc w:val="left"/>
              <w:rPr>
                <w:rFonts w:ascii="Times New Roman" w:hAnsi="Times New Roman"/>
                <w:b/>
                <w:sz w:val="20"/>
              </w:rPr>
            </w:pPr>
            <w:r>
              <w:rPr>
                <w:rFonts w:ascii="Times New Roman" w:hAnsi="Times New Roman"/>
                <w:b/>
                <w:sz w:val="20"/>
              </w:rPr>
              <w:t>J.P. MORGAN SECURITIES LLC</w:t>
            </w:r>
          </w:p>
          <w:p>
            <w:pPr>
              <w:pStyle w:val="TableContents"/>
              <w:bidi w:val="0"/>
              <w:spacing w:before="0" w:after="20"/>
              <w:jc w:val="left"/>
              <w:rPr>
                <w:rFonts w:ascii="Times New Roman" w:hAnsi="Times New Roman"/>
                <w:b/>
                <w:sz w:val="20"/>
              </w:rPr>
            </w:pPr>
            <w:r>
              <w:rPr>
                <w:rFonts w:ascii="Times New Roman" w:hAnsi="Times New Roman"/>
                <w:b/>
                <w:sz w:val="20"/>
              </w:rPr>
              <w:t>WELLS FARGO SECURITIES,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Acting severally on behalf of themselves and the several Underwriters named in </w:t>
            </w:r>
            <w:r>
              <w:rPr>
                <w:u w:val="single"/>
              </w:rPr>
              <w:t>Schedule I</w:t>
            </w:r>
            <w:r>
              <w:rPr/>
              <w:t xml:space="preserve"> hereto.</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Barclays Capital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/s/ Matt Gannon</w:t>
            </w:r>
          </w:p>
        </w:tc>
      </w:tr>
      <w:tr>
        <w:trPr/>
        <w:tc>
          <w:tcPr>
            <w:tcW w:w="69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Matt Gannon</w:t>
            </w:r>
          </w:p>
        </w:tc>
      </w:tr>
      <w:tr>
        <w:trPr/>
        <w:tc>
          <w:tcPr>
            <w:tcW w:w="69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Managing Director</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J.P. Morgan Securities LLC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/s/ Stephen L. Sheiner</w:t>
            </w:r>
          </w:p>
        </w:tc>
      </w:tr>
      <w:tr>
        <w:trPr/>
        <w:tc>
          <w:tcPr>
            <w:tcW w:w="69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Stephen L. Sheiner</w:t>
            </w:r>
          </w:p>
        </w:tc>
      </w:tr>
      <w:tr>
        <w:trPr/>
        <w:tc>
          <w:tcPr>
            <w:tcW w:w="69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Executive Director</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Wells Fargo Securities, LLC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/s/ Carolyn Hurley</w:t>
            </w:r>
          </w:p>
        </w:tc>
      </w:tr>
      <w:tr>
        <w:trPr/>
        <w:tc>
          <w:tcPr>
            <w:tcW w:w="69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Carolyn Hurley</w:t>
            </w:r>
          </w:p>
        </w:tc>
      </w:tr>
      <w:tr>
        <w:trPr/>
        <w:tc>
          <w:tcPr>
            <w:tcW w:w="69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8"/>
        <w:gridCol w:w="532"/>
        <w:gridCol w:w="238"/>
        <w:gridCol w:w="2195"/>
        <w:gridCol w:w="62"/>
      </w:tblGrid>
      <w:tr>
        <w:trPr/>
        <w:tc>
          <w:tcPr>
            <w:tcW w:w="7178"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178" w:type="dxa"/>
            <w:tcBorders/>
            <w:vAlign w:val="bottom"/>
          </w:tcPr>
          <w:p>
            <w:pPr>
              <w:pStyle w:val="TableContents"/>
              <w:bidi w:val="0"/>
              <w:spacing w:before="0" w:after="283"/>
              <w:jc w:val="left"/>
              <w:rPr>
                <w:b/>
              </w:rPr>
            </w:pPr>
            <w:r>
              <w:rPr>
                <w:b/>
              </w:rPr>
              <w:t>Underwriter</w:t>
            </w:r>
          </w:p>
        </w:tc>
        <w:tc>
          <w:tcPr>
            <w:tcW w:w="532" w:type="dxa"/>
            <w:tcBorders/>
            <w:vAlign w:val="bottom"/>
          </w:tcPr>
          <w:p>
            <w:pPr>
              <w:pStyle w:val="TableContents"/>
              <w:bidi w:val="0"/>
              <w:spacing w:before="0" w:after="283"/>
              <w:jc w:val="left"/>
              <w:rPr/>
            </w:pPr>
            <w:r>
              <w:rPr/>
              <w:t>  </w:t>
            </w:r>
          </w:p>
        </w:tc>
        <w:tc>
          <w:tcPr>
            <w:tcW w:w="2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of Notes To Be</w:t>
              <w:br/>
              <w:t>Purchased</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2195" w:type="dxa"/>
            <w:tcBorders/>
            <w:shd w:fill="CCEEFF" w:val="clear"/>
            <w:vAlign w:val="bottom"/>
          </w:tcPr>
          <w:p>
            <w:pPr>
              <w:pStyle w:val="TableContents"/>
              <w:bidi w:val="0"/>
              <w:spacing w:before="0" w:after="283"/>
              <w:jc w:val="right"/>
              <w:rPr/>
            </w:pPr>
            <w:r>
              <w:rPr/>
              <w:t> </w:t>
            </w:r>
            <w:r>
              <w:rPr/>
              <w:t>125,000,000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125,000,000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125,000,000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43,000,000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43,000,000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43,000,000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Lloyds Securities Inc.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43,000,000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43,000,000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43,000,000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43,000,000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22,000,000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18,000,000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18,000,000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4,000,000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4,000,000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Huntington Securities, Inc.</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195" w:type="dxa"/>
            <w:tcBorders/>
            <w:vAlign w:val="bottom"/>
          </w:tcPr>
          <w:p>
            <w:pPr>
              <w:pStyle w:val="TableContents"/>
              <w:bidi w:val="0"/>
              <w:spacing w:before="0" w:after="283"/>
              <w:jc w:val="right"/>
              <w:rPr/>
            </w:pPr>
            <w:r>
              <w:rPr/>
              <w:t>4,000,000</w:t>
            </w:r>
          </w:p>
        </w:tc>
        <w:tc>
          <w:tcPr>
            <w:tcW w:w="62" w:type="dxa"/>
            <w:tcBorders/>
            <w:vAlign w:val="bottom"/>
          </w:tcPr>
          <w:p>
            <w:pPr>
              <w:pStyle w:val="TableContents"/>
              <w:bidi w:val="0"/>
              <w:spacing w:before="0" w:after="283"/>
              <w:jc w:val="left"/>
              <w:rPr/>
            </w:pPr>
            <w:r>
              <w:rPr/>
              <w:t> </w:t>
            </w:r>
          </w:p>
        </w:tc>
      </w:tr>
      <w:tr>
        <w:trPr/>
        <w:tc>
          <w:tcPr>
            <w:tcW w:w="7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53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195" w:type="dxa"/>
            <w:tcBorders/>
            <w:shd w:fill="CCEEFF" w:val="clear"/>
            <w:vAlign w:val="bottom"/>
          </w:tcPr>
          <w:p>
            <w:pPr>
              <w:pStyle w:val="TableContents"/>
              <w:bidi w:val="0"/>
              <w:spacing w:before="0" w:after="283"/>
              <w:jc w:val="right"/>
              <w:rPr/>
            </w:pPr>
            <w:r>
              <w:rPr/>
              <w:t>4,000,000</w:t>
            </w:r>
          </w:p>
        </w:tc>
        <w:tc>
          <w:tcPr>
            <w:tcW w:w="62" w:type="dxa"/>
            <w:tcBorders/>
            <w:shd w:fill="CCEEFF" w:val="clear"/>
            <w:vAlign w:val="bottom"/>
          </w:tcPr>
          <w:p>
            <w:pPr>
              <w:pStyle w:val="TableContents"/>
              <w:bidi w:val="0"/>
              <w:spacing w:before="0" w:after="283"/>
              <w:jc w:val="left"/>
              <w:rPr/>
            </w:pPr>
            <w:r>
              <w:rPr/>
              <w:t> </w:t>
            </w:r>
          </w:p>
        </w:tc>
      </w:tr>
      <w:tr>
        <w:trPr/>
        <w:tc>
          <w:tcPr>
            <w:tcW w:w="717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219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17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2195" w:type="dxa"/>
            <w:tcBorders/>
            <w:vAlign w:val="bottom"/>
          </w:tcPr>
          <w:p>
            <w:pPr>
              <w:pStyle w:val="TableContents"/>
              <w:bidi w:val="0"/>
              <w:spacing w:before="0" w:after="283"/>
              <w:jc w:val="right"/>
              <w:rPr/>
            </w:pPr>
            <w:r>
              <w:rPr/>
              <w:t>750,000,000</w:t>
            </w:r>
          </w:p>
        </w:tc>
        <w:tc>
          <w:tcPr>
            <w:tcW w:w="62" w:type="dxa"/>
            <w:tcBorders/>
            <w:vAlign w:val="bottom"/>
          </w:tcPr>
          <w:p>
            <w:pPr>
              <w:pStyle w:val="TableContents"/>
              <w:bidi w:val="0"/>
              <w:spacing w:before="0" w:after="283"/>
              <w:jc w:val="left"/>
              <w:rPr/>
            </w:pPr>
            <w:r>
              <w:rPr/>
              <w:t> </w:t>
            </w:r>
          </w:p>
        </w:tc>
      </w:tr>
      <w:tr>
        <w:trPr/>
        <w:tc>
          <w:tcPr>
            <w:tcW w:w="7178"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21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120" w:after="0"/>
        <w:jc w:val="center"/>
        <w:rPr>
          <w:rFonts w:ascii="Times New Roman" w:hAnsi="Times New Roman"/>
          <w:b/>
          <w:sz w:val="20"/>
        </w:rPr>
      </w:pPr>
      <w:r>
        <w:rPr>
          <w:rFonts w:ascii="Times New Roman" w:hAnsi="Times New Roman"/>
          <w:b/>
          <w:sz w:val="20"/>
        </w:rPr>
        <w:t xml:space="preserve">Issuer 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Final Term Sheet, dated March 3,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120" w:after="0"/>
        <w:jc w:val="center"/>
        <w:rPr>
          <w:rFonts w:ascii="Times New Roman" w:hAnsi="Times New Roman"/>
          <w:b/>
          <w:sz w:val="20"/>
        </w:rPr>
      </w:pPr>
      <w:r>
        <w:rPr>
          <w:rFonts w:ascii="Times New Roman" w:hAnsi="Times New Roman"/>
          <w:b/>
          <w:sz w:val="20"/>
        </w:rPr>
        <w:t xml:space="preserve">Company Additional Written Communication </w:t>
      </w:r>
    </w:p>
    <w:p>
      <w:pPr>
        <w:pStyle w:val="TextBody"/>
        <w:bidi w:val="0"/>
        <w:spacing w:before="240" w:after="0"/>
        <w:jc w:val="left"/>
        <w:rPr>
          <w:rFonts w:ascii="Times New Roman" w:hAnsi="Times New Roman"/>
          <w:sz w:val="20"/>
        </w:rPr>
      </w:pPr>
      <w:r>
        <w:rPr>
          <w:rFonts w:ascii="Times New Roman" w:hAnsi="Times New Roman"/>
          <w:sz w:val="20"/>
        </w:rPr>
        <w:t xml:space="preserve">Electronic (Netroadshow) road show of the Company relating to the offering of the Notes, dated March 3,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IV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Final Term Sheet </w:t>
      </w:r>
    </w:p>
    <w:p>
      <w:pPr>
        <w:pStyle w:val="TextBody"/>
        <w:bidi w:val="0"/>
        <w:spacing w:before="240" w:after="0"/>
        <w:jc w:val="right"/>
        <w:rPr>
          <w:rFonts w:ascii="Times New Roman" w:hAnsi="Times New Roman"/>
          <w:sz w:val="20"/>
        </w:rPr>
      </w:pPr>
      <w:r>
        <w:rPr>
          <w:rFonts w:ascii="Times New Roman" w:hAnsi="Times New Roman"/>
          <w:sz w:val="20"/>
        </w:rPr>
        <w:t xml:space="preserve">Free Writing Prospectus </w:t>
      </w:r>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333-285481 </w:t>
      </w:r>
    </w:p>
    <w:p>
      <w:pPr>
        <w:pStyle w:val="TextBody"/>
        <w:bidi w:val="0"/>
        <w:spacing w:before="240" w:after="0"/>
        <w:jc w:val="left"/>
        <w:rPr>
          <w:rFonts w:ascii="Times New Roman" w:hAnsi="Times New Roman"/>
          <w:b/>
          <w:sz w:val="20"/>
        </w:rPr>
      </w:pPr>
      <w:r>
        <w:rPr>
          <w:rFonts w:ascii="Times New Roman" w:hAnsi="Times New Roman"/>
          <w:b/>
          <w:sz w:val="20"/>
        </w:rPr>
        <w:t xml:space="preserve">Term Sheet </w:t>
      </w:r>
    </w:p>
    <w:p>
      <w:pPr>
        <w:pStyle w:val="TextBody"/>
        <w:bidi w:val="0"/>
        <w:spacing w:before="0" w:after="0"/>
        <w:jc w:val="left"/>
        <w:rPr>
          <w:rFonts w:ascii="Times New Roman" w:hAnsi="Times New Roman"/>
          <w:sz w:val="20"/>
        </w:rPr>
      </w:pPr>
      <w:r>
        <w:rPr>
          <w:rFonts w:ascii="Times New Roman" w:hAnsi="Times New Roman"/>
          <w:sz w:val="20"/>
        </w:rPr>
        <w:t xml:space="preserve">(To preliminary prospectus supplement, dated March 3, 2025, </w:t>
      </w:r>
    </w:p>
    <w:p>
      <w:pPr>
        <w:pStyle w:val="TextBody"/>
        <w:bidi w:val="0"/>
        <w:spacing w:before="0" w:after="0"/>
        <w:jc w:val="left"/>
        <w:rPr>
          <w:rFonts w:ascii="Times New Roman" w:hAnsi="Times New Roman"/>
          <w:sz w:val="20"/>
        </w:rPr>
      </w:pPr>
      <w:r>
        <w:rPr>
          <w:rFonts w:ascii="Times New Roman" w:hAnsi="Times New Roman"/>
          <w:sz w:val="20"/>
        </w:rPr>
        <w:t xml:space="preserve">and prospectus, dated March 3,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329180" cy="4165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29180" cy="4165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$750,000,000 </w:t>
      </w:r>
    </w:p>
    <w:p>
      <w:pPr>
        <w:pStyle w:val="TextBody"/>
        <w:bidi w:val="0"/>
        <w:spacing w:before="120" w:after="0"/>
        <w:jc w:val="center"/>
        <w:rPr>
          <w:rFonts w:ascii="Times New Roman" w:hAnsi="Times New Roman"/>
          <w:sz w:val="20"/>
        </w:rPr>
      </w:pPr>
      <w:r>
        <w:rPr>
          <w:rFonts w:ascii="Times New Roman" w:hAnsi="Times New Roman"/>
          <w:sz w:val="20"/>
        </w:rPr>
        <w:t xml:space="preserve">4.400% Notes due 2030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4"/>
        <w:gridCol w:w="123"/>
        <w:gridCol w:w="7118"/>
      </w:tblGrid>
      <w:tr>
        <w:trPr/>
        <w:tc>
          <w:tcPr>
            <w:tcW w:w="296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18" w:type="dxa"/>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Issuer:</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CME Group Inc.</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Security Type:</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SEC Registered Senior Unsecured Notes</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Trade Date:</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March 3, 2025</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Settlement Date**:</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March 10, 2025 (T+5)</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Principal Amount:</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$750,000,000</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Maturity Date:</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March 15, 2030</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Interest Rate Per Annum:</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4.400%</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Interest Payment Dates:</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Semiannually, on March 15 and September 15 of each year</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First Interest Payment Date:</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September 15, 2025 (long first coupon)</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Optional Redemption:</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Make-whole redemption at any time prior to February 15, 2030 (one month prior to the maturity date of the notes) at a discount rate equal to the Treasury Rate (as defined in the preliminary prospectus supplement) plus 10 bps. Redemption at par at any time commencing on February 15, 2030.</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Public Offering Price:</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99.573% of the principal amount</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Proceeds to CME Group Inc. (before estimated expenses, after underwriting discount):</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$742,297,500</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Treasury Benchmark:</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UST 4.00% due February 28, 2030</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Treasury Benchmark Price and Yield:</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100-00+ / 3.996%</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Re-offer Spread vs. Treasury Benchmark:</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50 bps</w:t>
            </w:r>
          </w:p>
        </w:tc>
      </w:tr>
      <w:tr>
        <w:trPr>
          <w:trHeight w:val="120" w:hRule="atLeast"/>
        </w:trPr>
        <w:tc>
          <w:tcPr>
            <w:tcW w:w="2964" w:type="dxa"/>
            <w:tcBorders/>
            <w:vAlign w:val="center"/>
          </w:tcPr>
          <w:p>
            <w:pPr>
              <w:pStyle w:val="TableContents"/>
              <w:bidi w:val="0"/>
              <w:spacing w:before="0" w:after="283"/>
              <w:jc w:val="left"/>
              <w:rPr>
                <w:sz w:val="4"/>
                <w:szCs w:val="4"/>
              </w:rPr>
            </w:pPr>
            <w:r>
              <w:rPr>
                <w:sz w:val="4"/>
                <w:szCs w:val="4"/>
              </w:rPr>
            </w:r>
          </w:p>
        </w:tc>
        <w:tc>
          <w:tcPr>
            <w:tcW w:w="7241" w:type="dxa"/>
            <w:gridSpan w:val="2"/>
            <w:tcBorders/>
            <w:vAlign w:val="center"/>
          </w:tcPr>
          <w:p>
            <w:pPr>
              <w:pStyle w:val="TableContents"/>
              <w:bidi w:val="0"/>
              <w:spacing w:before="0" w:after="283"/>
              <w:jc w:val="left"/>
              <w:rPr>
                <w:sz w:val="4"/>
                <w:szCs w:val="4"/>
              </w:rPr>
            </w:pPr>
            <w:r>
              <w:rPr>
                <w:sz w:val="4"/>
                <w:szCs w:val="4"/>
              </w:rPr>
            </w:r>
          </w:p>
        </w:tc>
      </w:tr>
      <w:tr>
        <w:trPr/>
        <w:tc>
          <w:tcPr>
            <w:tcW w:w="2964" w:type="dxa"/>
            <w:tcBorders/>
          </w:tcPr>
          <w:p>
            <w:pPr>
              <w:pStyle w:val="TableContents"/>
              <w:bidi w:val="0"/>
              <w:spacing w:before="0" w:after="283"/>
              <w:jc w:val="left"/>
              <w:rPr/>
            </w:pPr>
            <w:r>
              <w:rPr/>
              <w:t>Yield to Maturity:</w:t>
            </w:r>
          </w:p>
        </w:tc>
        <w:tc>
          <w:tcPr>
            <w:tcW w:w="123"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4.496%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5"/>
        <w:gridCol w:w="121"/>
        <w:gridCol w:w="7139"/>
      </w:tblGrid>
      <w:tr>
        <w:trPr/>
        <w:tc>
          <w:tcPr>
            <w:tcW w:w="29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39" w:type="dxa"/>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Mandatory Offer to Repurchase Notes:</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In the event of a Change of Control Triggering Event (as defined in the preliminary prospectus supplement) at 101% of the principal amount, plus accrued and unpaid interest.</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Day Count:</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30/360</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Payment Business Days:</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New York</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Payment Convention:</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Following, Unadjusted</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Minimum Denomination / Multiples:</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$2,000 / $1,000</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CUSIP / ISIN:</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12572Q AL9/ US12572QAL95</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Ratings (Moodys/ S&amp;P / Fitch)*:</w:t>
            </w:r>
          </w:p>
        </w:tc>
        <w:tc>
          <w:tcPr>
            <w:tcW w:w="121" w:type="dxa"/>
            <w:tcBorders/>
            <w:vAlign w:val="bottom"/>
          </w:tcPr>
          <w:p>
            <w:pPr>
              <w:pStyle w:val="TableContents"/>
              <w:bidi w:val="0"/>
              <w:spacing w:before="0" w:after="283"/>
              <w:jc w:val="left"/>
              <w:rPr/>
            </w:pPr>
            <w:r>
              <w:rPr/>
              <w:t>  </w:t>
            </w:r>
          </w:p>
        </w:tc>
        <w:tc>
          <w:tcPr>
            <w:tcW w:w="7139" w:type="dxa"/>
            <w:tcBorders/>
          </w:tcPr>
          <w:p>
            <w:pPr>
              <w:pStyle w:val="TableContents"/>
              <w:bidi w:val="0"/>
              <w:spacing w:before="0" w:after="283"/>
              <w:jc w:val="left"/>
              <w:rPr/>
            </w:pPr>
            <w:r>
              <w:rPr/>
              <w:t>[INTENTIONALLY OMITTED]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Joint Book-Running 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BMO Capital Markets Corp.</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BofA Securities,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Citigroup Global Markets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Lloyds Securities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Loop Capital Markets LLC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MUFG Securities Americas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TD Securities (USA)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Academy Securities,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BNP Paribas Securities Corp.</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Deutsche Bank Securities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Goldman Sachs &amp; Co. LLC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Huntington Securities, Inc.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Siebert Williams Shank &amp; Co., LLC</w:t>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U.S. Bancorp Investments,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March 10, 2025, which is the fifth business day following the date hereof (such settlement cycle being referred to as T+5). Under Rule 15c6-1 under the Securities Exchange Act of 1934, as amended, trades in the secondary market are generally required to settle in one business day, unless the parties to any such trade expressly agree otherwise. Accordingly, purchasers who wish to trade such Notes more than one business day prior to the scheduled settlement date will be required, by virtue of the fact that the Notes initially will settle in T+5, to specify an alternative settlement arrangement at the time of any such trade to prevent failed settlement. Purchasers of such Notes who wish to trade Notes prior to the date of delivery should consult their advisors.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Issuer has filed a registration statement (File No. 333-285481)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SECs website at </w:t>
      </w:r>
      <w:r>
        <w:rPr>
          <w:rFonts w:ascii="Times New Roman" w:hAnsi="Times New Roman"/>
          <w:b/>
          <w:sz w:val="20"/>
          <w:u w:val="single"/>
        </w:rPr>
        <w:t>www.sec.gov</w:t>
      </w:r>
      <w:r>
        <w:rPr>
          <w:rFonts w:ascii="Times New Roman" w:hAnsi="Times New Roman"/>
          <w:b/>
          <w:sz w:val="20"/>
        </w:rPr>
        <w:t xml:space="preserve">. Alternatively, the Issuer or any underwriter participating in this offering can arrange to send you the prospectus supplement and accompanying prospectus if you request it by calling Barclays Capital Inc. toll free at 1-888-603-5847, by calling J.P. Morgan Securities LLC collect at 1-212-834-4533, or by calling Wells Fargo Securities, Inc. toll free at 1-800-645-3751.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16012</Words>
  <Characters>83453</Characters>
  <CharactersWithSpaces>99244</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