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4"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38" w:lineRule="exact"/>
        <w:rPr>
          <w:sz w:val="24"/>
          <w:szCs w:val="24"/>
          <w:color w:val="auto"/>
        </w:rPr>
      </w:pPr>
    </w:p>
    <w:p>
      <w:pPr>
        <w:ind w:left="3920"/>
        <w:spacing w:after="0"/>
        <w:rPr>
          <w:sz w:val="20"/>
          <w:szCs w:val="20"/>
          <w:color w:val="auto"/>
        </w:rPr>
      </w:pPr>
      <w:r>
        <w:rPr>
          <w:rFonts w:ascii="Arial" w:cs="Arial" w:eastAsia="Arial" w:hAnsi="Arial"/>
          <w:sz w:val="13"/>
          <w:szCs w:val="13"/>
          <w:color w:val="auto"/>
        </w:rPr>
        <w:t>_________________________________________________________</w:t>
      </w:r>
    </w:p>
    <w:p>
      <w:pPr>
        <w:spacing w:after="0" w:line="35"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FORM 10-Q</w:t>
      </w:r>
    </w:p>
    <w:p>
      <w:pPr>
        <w:spacing w:after="0" w:line="76" w:lineRule="exact"/>
        <w:rPr>
          <w:sz w:val="24"/>
          <w:szCs w:val="24"/>
          <w:color w:val="auto"/>
        </w:rPr>
      </w:pPr>
    </w:p>
    <w:p>
      <w:pPr>
        <w:ind w:left="3920"/>
        <w:spacing w:after="0"/>
        <w:rPr>
          <w:sz w:val="20"/>
          <w:szCs w:val="20"/>
          <w:color w:val="auto"/>
        </w:rPr>
      </w:pPr>
      <w:r>
        <w:rPr>
          <w:rFonts w:ascii="Arial" w:cs="Arial" w:eastAsia="Arial" w:hAnsi="Arial"/>
          <w:sz w:val="13"/>
          <w:szCs w:val="13"/>
          <w:color w:val="auto"/>
        </w:rPr>
        <w:t>_________________________________________________________</w:t>
      </w:r>
    </w:p>
    <w:p>
      <w:pPr>
        <w:spacing w:after="0" w:line="7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67"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21"/>
          <w:szCs w:val="21"/>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229" w:lineRule="exact"/>
        <w:rPr>
          <w:rFonts w:ascii="MS PGothic" w:cs="MS PGothic" w:eastAsia="MS PGothic" w:hAnsi="MS PGothic"/>
          <w:sz w:val="21"/>
          <w:szCs w:val="21"/>
          <w:color w:val="auto"/>
        </w:rPr>
      </w:pPr>
    </w:p>
    <w:p>
      <w:pPr>
        <w:ind w:left="3980"/>
        <w:spacing w:after="0"/>
        <w:rPr>
          <w:rFonts w:ascii="MS PGothic" w:cs="MS PGothic" w:eastAsia="MS PGothic" w:hAnsi="MS PGothic"/>
          <w:sz w:val="21"/>
          <w:szCs w:val="21"/>
          <w:color w:val="auto"/>
        </w:rPr>
      </w:pPr>
      <w:r>
        <w:rPr>
          <w:rFonts w:ascii="Arial" w:cs="Arial" w:eastAsia="Arial" w:hAnsi="Arial"/>
          <w:sz w:val="18"/>
          <w:szCs w:val="18"/>
          <w:b w:val="1"/>
          <w:bCs w:val="1"/>
          <w:color w:val="auto"/>
        </w:rPr>
        <w:t>For the quarterly period ended June 30, 2014</w:t>
      </w:r>
    </w:p>
    <w:p>
      <w:pPr>
        <w:spacing w:after="0" w:line="198" w:lineRule="exact"/>
        <w:rPr>
          <w:rFonts w:ascii="MS PGothic" w:cs="MS PGothic" w:eastAsia="MS PGothic" w:hAnsi="MS PGothic"/>
          <w:sz w:val="21"/>
          <w:szCs w:val="21"/>
          <w:color w:val="auto"/>
        </w:rPr>
      </w:pPr>
    </w:p>
    <w:p>
      <w:pPr>
        <w:ind w:left="5580" w:hanging="106"/>
        <w:spacing w:after="0"/>
        <w:tabs>
          <w:tab w:leader="none" w:pos="5580" w:val="left"/>
        </w:tabs>
        <w:numPr>
          <w:ilvl w:val="1"/>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OR -</w:t>
      </w:r>
    </w:p>
    <w:p>
      <w:pPr>
        <w:spacing w:after="0" w:line="180"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21"/>
          <w:szCs w:val="21"/>
          <w:color w:val="auto"/>
        </w:rPr>
      </w:pPr>
      <w:r>
        <w:rPr>
          <w:rFonts w:ascii="Arial" w:cs="Arial" w:eastAsia="Arial" w:hAnsi="Arial"/>
          <w:sz w:val="19"/>
          <w:szCs w:val="19"/>
          <w:b w:val="1"/>
          <w:bCs w:val="1"/>
          <w:color w:val="auto"/>
        </w:rPr>
        <w:t>TRANSITION REPORT PURSUANT TO SECTION 13 OR 15(d) OF THE SECURITIES EXCHANGE ACT OF 1934</w:t>
      </w:r>
    </w:p>
    <w:p>
      <w:pPr>
        <w:sectPr>
          <w:pgSz w:w="11900" w:h="16838" w:orient="portrait"/>
          <w:cols w:equalWidth="0" w:num="1">
            <w:col w:w="11340"/>
          </w:cols>
          <w:pgMar w:left="240" w:top="233" w:right="319" w:bottom="1440" w:gutter="0" w:footer="0" w:header="0"/>
        </w:sectPr>
      </w:pPr>
    </w:p>
    <w:p>
      <w:pPr>
        <w:spacing w:after="0" w:line="121" w:lineRule="exact"/>
        <w:rPr>
          <w:sz w:val="24"/>
          <w:szCs w:val="24"/>
          <w:color w:val="auto"/>
        </w:rPr>
      </w:pPr>
    </w:p>
    <w:p>
      <w:pPr>
        <w:ind w:left="376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0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140" w:lineRule="exact"/>
        <w:rPr>
          <w:sz w:val="24"/>
          <w:szCs w:val="24"/>
          <w:color w:val="auto"/>
        </w:rPr>
      </w:pPr>
    </w:p>
    <w:p>
      <w:pPr>
        <w:sectPr>
          <w:pgSz w:w="11900" w:h="16838" w:orient="portrait"/>
          <w:cols w:equalWidth="0" w:num="2">
            <w:col w:w="6080" w:space="720"/>
            <w:col w:w="4540"/>
          </w:cols>
          <w:pgMar w:left="240" w:top="233" w:right="319" w:bottom="1440" w:gutter="0" w:footer="0" w:header="0"/>
          <w:type w:val="continuous"/>
        </w:sectPr>
      </w:pPr>
    </w:p>
    <w:p>
      <w:pPr>
        <w:jc w:val="center"/>
        <w:ind w:right="-99"/>
        <w:spacing w:after="0"/>
        <w:rPr>
          <w:sz w:val="20"/>
          <w:szCs w:val="20"/>
          <w:color w:val="auto"/>
        </w:rPr>
      </w:pPr>
      <w:r>
        <w:rPr>
          <w:rFonts w:ascii="Arial" w:cs="Arial" w:eastAsia="Arial" w:hAnsi="Arial"/>
          <w:sz w:val="16"/>
          <w:szCs w:val="16"/>
          <w:b w:val="1"/>
          <w:bCs w:val="1"/>
          <w:color w:val="auto"/>
        </w:rPr>
        <w:t>Commission file number 001-31553</w:t>
      </w:r>
    </w:p>
    <w:p>
      <w:pPr>
        <w:sectPr>
          <w:pgSz w:w="11900" w:h="16838" w:orient="portrait"/>
          <w:cols w:equalWidth="0" w:num="1">
            <w:col w:w="11340"/>
          </w:cols>
          <w:pgMar w:left="240" w:top="233" w:right="319" w:bottom="1440" w:gutter="0" w:footer="0" w:header="0"/>
          <w:type w:val="continuous"/>
        </w:sectPr>
      </w:pPr>
    </w:p>
    <w:p>
      <w:pPr>
        <w:spacing w:after="0" w:line="124" w:lineRule="exact"/>
        <w:rPr>
          <w:sz w:val="24"/>
          <w:szCs w:val="24"/>
          <w:color w:val="auto"/>
        </w:rPr>
      </w:pPr>
    </w:p>
    <w:p>
      <w:pPr>
        <w:jc w:val="center"/>
        <w:ind w:right="-79"/>
        <w:spacing w:after="0"/>
        <w:rPr>
          <w:sz w:val="20"/>
          <w:szCs w:val="20"/>
          <w:color w:val="auto"/>
        </w:rPr>
      </w:pPr>
      <w:r>
        <w:rPr>
          <w:rFonts w:ascii="Arial" w:cs="Arial" w:eastAsia="Arial" w:hAnsi="Arial"/>
          <w:sz w:val="40"/>
          <w:szCs w:val="40"/>
          <w:b w:val="1"/>
          <w:bCs w:val="1"/>
          <w:color w:val="auto"/>
        </w:rPr>
        <w:t>CME GROUP INC.</w:t>
      </w:r>
    </w:p>
    <w:p>
      <w:pPr>
        <w:spacing w:after="0" w:line="13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25" w:lineRule="exact"/>
        <w:rPr>
          <w:sz w:val="24"/>
          <w:szCs w:val="24"/>
          <w:color w:val="auto"/>
        </w:rPr>
      </w:pPr>
    </w:p>
    <w:tbl>
      <w:tblPr>
        <w:tblLayout w:type="fixed"/>
        <w:tblInd w:w="1240" w:type="dxa"/>
        <w:tblCellMar>
          <w:top w:w="0" w:type="dxa"/>
          <w:left w:w="0" w:type="dxa"/>
          <w:bottom w:w="0" w:type="dxa"/>
          <w:right w:w="0" w:type="dxa"/>
        </w:tblCellMar>
      </w:tblPr>
      <w:tr>
        <w:trPr>
          <w:trHeight w:val="234"/>
        </w:trPr>
        <w:tc>
          <w:tcPr>
            <w:tcW w:w="6520" w:type="dxa"/>
            <w:vAlign w:val="bottom"/>
          </w:tcPr>
          <w:p>
            <w:pPr>
              <w:jc w:val="center"/>
              <w:ind w:right="3299"/>
              <w:spacing w:after="0"/>
              <w:rPr>
                <w:sz w:val="20"/>
                <w:szCs w:val="20"/>
                <w:color w:val="auto"/>
              </w:rPr>
            </w:pPr>
            <w:r>
              <w:rPr>
                <w:rFonts w:ascii="Arial" w:cs="Arial" w:eastAsia="Arial" w:hAnsi="Arial"/>
                <w:sz w:val="18"/>
                <w:szCs w:val="18"/>
                <w:b w:val="1"/>
                <w:bCs w:val="1"/>
                <w:color w:val="auto"/>
                <w:w w:val="93"/>
              </w:rPr>
              <w:t>Delaware</w:t>
            </w:r>
          </w:p>
        </w:tc>
        <w:tc>
          <w:tcPr>
            <w:tcW w:w="1540" w:type="dxa"/>
            <w:vAlign w:val="bottom"/>
          </w:tcPr>
          <w:p>
            <w:pPr>
              <w:jc w:val="right"/>
              <w:ind w:right="41"/>
              <w:spacing w:after="0"/>
              <w:rPr>
                <w:sz w:val="20"/>
                <w:szCs w:val="20"/>
                <w:color w:val="auto"/>
              </w:rPr>
            </w:pPr>
            <w:r>
              <w:rPr>
                <w:rFonts w:ascii="Arial" w:cs="Arial" w:eastAsia="Arial" w:hAnsi="Arial"/>
                <w:sz w:val="18"/>
                <w:szCs w:val="18"/>
                <w:b w:val="1"/>
                <w:bCs w:val="1"/>
                <w:color w:val="auto"/>
              </w:rPr>
              <w:t>36-4459170</w:t>
            </w:r>
          </w:p>
        </w:tc>
      </w:tr>
      <w:tr>
        <w:trPr>
          <w:trHeight w:val="180"/>
        </w:trPr>
        <w:tc>
          <w:tcPr>
            <w:tcW w:w="6520" w:type="dxa"/>
            <w:vAlign w:val="bottom"/>
          </w:tcPr>
          <w:p>
            <w:pPr>
              <w:jc w:val="center"/>
              <w:ind w:right="3299"/>
              <w:spacing w:after="0"/>
              <w:rPr>
                <w:sz w:val="20"/>
                <w:szCs w:val="20"/>
                <w:color w:val="auto"/>
              </w:rPr>
            </w:pPr>
            <w:r>
              <w:rPr>
                <w:rFonts w:ascii="Arial" w:cs="Arial" w:eastAsia="Arial" w:hAnsi="Arial"/>
                <w:sz w:val="14"/>
                <w:szCs w:val="14"/>
                <w:b w:val="1"/>
                <w:bCs w:val="1"/>
                <w:color w:val="auto"/>
                <w:w w:val="92"/>
              </w:rPr>
              <w:t>(State or other jurisdiction of</w:t>
            </w:r>
          </w:p>
        </w:tc>
        <w:tc>
          <w:tcPr>
            <w:tcW w:w="1540" w:type="dxa"/>
            <w:vAlign w:val="bottom"/>
          </w:tcPr>
          <w:p>
            <w:pPr>
              <w:jc w:val="center"/>
              <w:ind w:left="34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520" w:type="dxa"/>
            <w:vAlign w:val="bottom"/>
          </w:tcPr>
          <w:p>
            <w:pPr>
              <w:jc w:val="center"/>
              <w:ind w:right="3299"/>
              <w:spacing w:after="0"/>
              <w:rPr>
                <w:sz w:val="20"/>
                <w:szCs w:val="20"/>
                <w:color w:val="auto"/>
              </w:rPr>
            </w:pPr>
            <w:r>
              <w:rPr>
                <w:rFonts w:ascii="Arial" w:cs="Arial" w:eastAsia="Arial" w:hAnsi="Arial"/>
                <w:sz w:val="14"/>
                <w:szCs w:val="14"/>
                <w:b w:val="1"/>
                <w:bCs w:val="1"/>
                <w:color w:val="auto"/>
                <w:w w:val="93"/>
              </w:rPr>
              <w:t>incorporation or organization)</w:t>
            </w:r>
          </w:p>
        </w:tc>
        <w:tc>
          <w:tcPr>
            <w:tcW w:w="1540" w:type="dxa"/>
            <w:vAlign w:val="bottom"/>
          </w:tcPr>
          <w:p>
            <w:pPr>
              <w:jc w:val="center"/>
              <w:ind w:left="341"/>
              <w:spacing w:after="0"/>
              <w:rPr>
                <w:sz w:val="20"/>
                <w:szCs w:val="20"/>
                <w:color w:val="auto"/>
              </w:rPr>
            </w:pPr>
            <w:r>
              <w:rPr>
                <w:rFonts w:ascii="Arial" w:cs="Arial" w:eastAsia="Arial" w:hAnsi="Arial"/>
                <w:sz w:val="14"/>
                <w:szCs w:val="14"/>
                <w:b w:val="1"/>
                <w:bCs w:val="1"/>
                <w:color w:val="auto"/>
                <w:w w:val="94"/>
              </w:rPr>
              <w:t>Identification No.)</w:t>
            </w:r>
          </w:p>
        </w:tc>
      </w:tr>
      <w:tr>
        <w:trPr>
          <w:trHeight w:val="471"/>
        </w:trPr>
        <w:tc>
          <w:tcPr>
            <w:tcW w:w="6520" w:type="dxa"/>
            <w:vAlign w:val="bottom"/>
          </w:tcPr>
          <w:p>
            <w:pPr>
              <w:jc w:val="center"/>
              <w:ind w:right="3299"/>
              <w:spacing w:after="0"/>
              <w:rPr>
                <w:sz w:val="20"/>
                <w:szCs w:val="20"/>
                <w:color w:val="auto"/>
              </w:rPr>
            </w:pPr>
            <w:r>
              <w:rPr>
                <w:rFonts w:ascii="Arial" w:cs="Arial" w:eastAsia="Arial" w:hAnsi="Arial"/>
                <w:sz w:val="18"/>
                <w:szCs w:val="18"/>
                <w:b w:val="1"/>
                <w:bCs w:val="1"/>
                <w:color w:val="auto"/>
                <w:w w:val="91"/>
              </w:rPr>
              <w:t>20 South Wacker Drive, Chicago, Illinois</w:t>
            </w:r>
          </w:p>
        </w:tc>
        <w:tc>
          <w:tcPr>
            <w:tcW w:w="1540" w:type="dxa"/>
            <w:vAlign w:val="bottom"/>
          </w:tcPr>
          <w:p>
            <w:pPr>
              <w:jc w:val="right"/>
              <w:ind w:right="261"/>
              <w:spacing w:after="0"/>
              <w:rPr>
                <w:sz w:val="20"/>
                <w:szCs w:val="20"/>
                <w:color w:val="auto"/>
              </w:rPr>
            </w:pPr>
            <w:r>
              <w:rPr>
                <w:rFonts w:ascii="Arial" w:cs="Arial" w:eastAsia="Arial" w:hAnsi="Arial"/>
                <w:sz w:val="18"/>
                <w:szCs w:val="18"/>
                <w:b w:val="1"/>
                <w:bCs w:val="1"/>
                <w:color w:val="auto"/>
              </w:rPr>
              <w:t>60606</w:t>
            </w:r>
          </w:p>
        </w:tc>
      </w:tr>
      <w:tr>
        <w:trPr>
          <w:trHeight w:val="218"/>
        </w:trPr>
        <w:tc>
          <w:tcPr>
            <w:tcW w:w="6520" w:type="dxa"/>
            <w:vAlign w:val="bottom"/>
          </w:tcPr>
          <w:p>
            <w:pPr>
              <w:jc w:val="center"/>
              <w:ind w:right="329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540" w:type="dxa"/>
            <w:vAlign w:val="bottom"/>
          </w:tcPr>
          <w:p>
            <w:pPr>
              <w:jc w:val="center"/>
              <w:ind w:left="341"/>
              <w:spacing w:after="0"/>
              <w:rPr>
                <w:sz w:val="20"/>
                <w:szCs w:val="20"/>
                <w:color w:val="auto"/>
              </w:rPr>
            </w:pPr>
            <w:r>
              <w:rPr>
                <w:rFonts w:ascii="Arial" w:cs="Arial" w:eastAsia="Arial" w:hAnsi="Arial"/>
                <w:sz w:val="14"/>
                <w:szCs w:val="14"/>
                <w:b w:val="1"/>
                <w:bCs w:val="1"/>
                <w:color w:val="auto"/>
                <w:w w:val="98"/>
              </w:rPr>
              <w:t>(Zip Code)</w:t>
            </w:r>
          </w:p>
        </w:tc>
      </w:tr>
      <w:tr>
        <w:trPr>
          <w:trHeight w:val="282"/>
        </w:trPr>
        <w:tc>
          <w:tcPr>
            <w:tcW w:w="6520" w:type="dxa"/>
            <w:vAlign w:val="bottom"/>
          </w:tcPr>
          <w:p>
            <w:pPr>
              <w:jc w:val="center"/>
              <w:ind w:left="2359"/>
              <w:spacing w:after="0"/>
              <w:rPr>
                <w:sz w:val="20"/>
                <w:szCs w:val="20"/>
                <w:color w:val="auto"/>
              </w:rPr>
            </w:pPr>
            <w:r>
              <w:rPr>
                <w:rFonts w:ascii="Arial" w:cs="Arial" w:eastAsia="Arial" w:hAnsi="Arial"/>
                <w:sz w:val="18"/>
                <w:szCs w:val="18"/>
                <w:b w:val="1"/>
                <w:bCs w:val="1"/>
                <w:color w:val="auto"/>
                <w:w w:val="90"/>
              </w:rPr>
              <w:t>(312) 930-1000</w:t>
            </w:r>
          </w:p>
        </w:tc>
        <w:tc>
          <w:tcPr>
            <w:tcW w:w="1540" w:type="dxa"/>
            <w:vAlign w:val="bottom"/>
          </w:tcPr>
          <w:p>
            <w:pPr>
              <w:spacing w:after="0"/>
              <w:rPr>
                <w:sz w:val="24"/>
                <w:szCs w:val="24"/>
                <w:color w:val="auto"/>
              </w:rPr>
            </w:pPr>
          </w:p>
        </w:tc>
      </w:tr>
      <w:tr>
        <w:trPr>
          <w:trHeight w:val="272"/>
        </w:trPr>
        <w:tc>
          <w:tcPr>
            <w:tcW w:w="6520" w:type="dxa"/>
            <w:vAlign w:val="bottom"/>
          </w:tcPr>
          <w:p>
            <w:pPr>
              <w:jc w:val="center"/>
              <w:ind w:left="2339"/>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540" w:type="dxa"/>
            <w:vAlign w:val="bottom"/>
          </w:tcPr>
          <w:p>
            <w:pPr>
              <w:spacing w:after="0"/>
              <w:rPr>
                <w:sz w:val="23"/>
                <w:szCs w:val="23"/>
                <w:color w:val="auto"/>
              </w:rPr>
            </w:pPr>
          </w:p>
        </w:tc>
      </w:tr>
      <w:tr>
        <w:trPr>
          <w:trHeight w:val="323"/>
        </w:trPr>
        <w:tc>
          <w:tcPr>
            <w:tcW w:w="6520" w:type="dxa"/>
            <w:vAlign w:val="bottom"/>
          </w:tcPr>
          <w:p>
            <w:pPr>
              <w:jc w:val="center"/>
              <w:ind w:left="2359"/>
              <w:spacing w:after="0"/>
              <w:rPr>
                <w:sz w:val="20"/>
                <w:szCs w:val="20"/>
                <w:color w:val="auto"/>
              </w:rPr>
            </w:pPr>
            <w:r>
              <w:rPr>
                <w:rFonts w:ascii="Arial" w:cs="Arial" w:eastAsia="Arial" w:hAnsi="Arial"/>
                <w:sz w:val="18"/>
                <w:szCs w:val="18"/>
                <w:b w:val="1"/>
                <w:bCs w:val="1"/>
                <w:color w:val="auto"/>
                <w:w w:val="92"/>
              </w:rPr>
              <w:t>Not Applicable</w:t>
            </w:r>
          </w:p>
        </w:tc>
        <w:tc>
          <w:tcPr>
            <w:tcW w:w="1540" w:type="dxa"/>
            <w:vAlign w:val="bottom"/>
          </w:tcPr>
          <w:p>
            <w:pPr>
              <w:spacing w:after="0"/>
              <w:rPr>
                <w:sz w:val="24"/>
                <w:szCs w:val="24"/>
                <w:color w:val="auto"/>
              </w:rPr>
            </w:pPr>
          </w:p>
        </w:tc>
      </w:tr>
    </w:tbl>
    <w:p>
      <w:pPr>
        <w:spacing w:after="0" w:line="126"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145" w:lineRule="exact"/>
        <w:rPr>
          <w:sz w:val="24"/>
          <w:szCs w:val="24"/>
          <w:color w:val="auto"/>
        </w:rPr>
      </w:pPr>
    </w:p>
    <w:p>
      <w:pPr>
        <w:ind w:right="60" w:firstLine="324"/>
        <w:spacing w:after="0" w:line="287"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207" w:lineRule="exact"/>
        <w:tabs>
          <w:tab w:leader="none" w:pos="2960" w:val="left"/>
          <w:tab w:leader="none" w:pos="3660" w:val="left"/>
        </w:tabs>
        <w:rPr>
          <w:sz w:val="20"/>
          <w:szCs w:val="20"/>
          <w:color w:val="auto"/>
        </w:rPr>
      </w:pPr>
      <w:r>
        <w:rPr>
          <w:rFonts w:ascii="Arial" w:cs="Arial" w:eastAsia="Arial" w:hAnsi="Arial"/>
          <w:sz w:val="18"/>
          <w:szCs w:val="18"/>
          <w:color w:val="auto"/>
        </w:rPr>
        <w:t>requirements for the past 90 days.</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08" w:lineRule="exact"/>
        <w:rPr>
          <w:sz w:val="24"/>
          <w:szCs w:val="24"/>
          <w:color w:val="auto"/>
        </w:rPr>
      </w:pPr>
    </w:p>
    <w:p>
      <w:pPr>
        <w:jc w:val="center"/>
        <w:ind w:right="180"/>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w:t>
      </w:r>
    </w:p>
    <w:p>
      <w:pPr>
        <w:spacing w:after="0" w:line="1" w:lineRule="exact"/>
        <w:rPr>
          <w:sz w:val="24"/>
          <w:szCs w:val="24"/>
          <w:color w:val="auto"/>
        </w:rPr>
      </w:pPr>
    </w:p>
    <w:p>
      <w:pPr>
        <w:spacing w:after="0" w:line="207" w:lineRule="exact"/>
        <w:tabs>
          <w:tab w:leader="none" w:pos="7260" w:val="left"/>
          <w:tab w:leader="none" w:pos="7960" w:val="left"/>
        </w:tabs>
        <w:rPr>
          <w:sz w:val="20"/>
          <w:szCs w:val="20"/>
          <w:color w:val="auto"/>
        </w:rPr>
      </w:pPr>
      <w:r>
        <w:rPr>
          <w:rFonts w:ascii="Arial" w:cs="Arial" w:eastAsia="Arial" w:hAnsi="Arial"/>
          <w:sz w:val="18"/>
          <w:szCs w:val="18"/>
          <w:color w:val="auto"/>
        </w:rPr>
        <w:t>period that the registrant was required to submit and post such files).</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08" w:lineRule="exact"/>
        <w:rPr>
          <w:sz w:val="24"/>
          <w:szCs w:val="24"/>
          <w:color w:val="auto"/>
        </w:rPr>
      </w:pPr>
    </w:p>
    <w:p>
      <w:pPr>
        <w:ind w:firstLine="324"/>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40"/>
          </w:cols>
          <w:pgMar w:left="240" w:top="233" w:right="319" w:bottom="1440" w:gutter="0" w:footer="0" w:header="0"/>
          <w:type w:val="continuous"/>
        </w:sectPr>
      </w:pPr>
    </w:p>
    <w:p>
      <w:pPr>
        <w:spacing w:after="0" w:line="219" w:lineRule="exact"/>
        <w:rPr>
          <w:sz w:val="24"/>
          <w:szCs w:val="24"/>
          <w:color w:val="auto"/>
        </w:rPr>
      </w:pPr>
    </w:p>
    <w:p>
      <w:pPr>
        <w:ind w:left="1120"/>
        <w:spacing w:after="0"/>
        <w:rPr>
          <w:sz w:val="20"/>
          <w:szCs w:val="20"/>
          <w:color w:val="auto"/>
        </w:rPr>
      </w:pPr>
      <w:r>
        <w:rPr>
          <w:rFonts w:ascii="Arial" w:cs="Arial" w:eastAsia="Arial" w:hAnsi="Arial"/>
          <w:sz w:val="15"/>
          <w:szCs w:val="15"/>
          <w:color w:val="auto"/>
        </w:rPr>
        <w:t>Large accelerated filer x</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spacing w:after="0"/>
        <w:tabs>
          <w:tab w:leader="none" w:pos="1260" w:val="left"/>
        </w:tabs>
        <w:rPr>
          <w:sz w:val="20"/>
          <w:szCs w:val="20"/>
          <w:color w:val="auto"/>
        </w:rPr>
      </w:pPr>
      <w:r>
        <w:rPr>
          <w:rFonts w:ascii="Arial" w:cs="Arial" w:eastAsia="Arial" w:hAnsi="Arial"/>
          <w:sz w:val="16"/>
          <w:szCs w:val="16"/>
          <w:color w:val="auto"/>
        </w:rPr>
        <w:t>Accelerated filer</w:t>
      </w:r>
      <w:r>
        <w:rPr>
          <w:sz w:val="20"/>
          <w:szCs w:val="20"/>
          <w:color w:val="auto"/>
        </w:rPr>
        <w:tab/>
      </w:r>
      <w:r>
        <w:rPr>
          <w:rFonts w:ascii="Arial" w:cs="Arial" w:eastAsia="Arial" w:hAnsi="Arial"/>
          <w:sz w:val="14"/>
          <w:szCs w:val="14"/>
          <w:color w:val="auto"/>
        </w:rPr>
        <w:t>o</w:t>
      </w:r>
    </w:p>
    <w:p>
      <w:pPr>
        <w:spacing w:after="0" w:line="200" w:lineRule="exact"/>
        <w:rPr>
          <w:sz w:val="24"/>
          <w:szCs w:val="24"/>
          <w:color w:val="auto"/>
        </w:rPr>
      </w:pPr>
    </w:p>
    <w:p>
      <w:pPr>
        <w:sectPr>
          <w:pgSz w:w="11900" w:h="16838" w:orient="portrait"/>
          <w:cols w:equalWidth="0" w:num="2">
            <w:col w:w="7120" w:space="720"/>
            <w:col w:w="3500"/>
          </w:cols>
          <w:pgMar w:left="240" w:top="233" w:right="319" w:bottom="1440" w:gutter="0" w:footer="0" w:header="0"/>
          <w:type w:val="continuous"/>
        </w:sectPr>
      </w:pPr>
    </w:p>
    <w:p>
      <w:pPr>
        <w:spacing w:after="0" w:line="8" w:lineRule="exact"/>
        <w:rPr>
          <w:sz w:val="24"/>
          <w:szCs w:val="24"/>
          <w:color w:val="auto"/>
        </w:rPr>
      </w:pPr>
    </w:p>
    <w:p>
      <w:pPr>
        <w:ind w:left="112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Smaller reporting company o</w:t>
      </w:r>
    </w:p>
    <w:p>
      <w:pPr>
        <w:spacing w:after="0" w:line="172" w:lineRule="exact"/>
        <w:rPr>
          <w:sz w:val="24"/>
          <w:szCs w:val="24"/>
          <w:color w:val="auto"/>
        </w:rPr>
      </w:pPr>
    </w:p>
    <w:p>
      <w:pPr>
        <w:sectPr>
          <w:pgSz w:w="11900" w:h="16838" w:orient="portrait"/>
          <w:cols w:equalWidth="0" w:num="3">
            <w:col w:w="2500" w:space="160"/>
            <w:col w:w="4460" w:space="720"/>
            <w:col w:w="3500"/>
          </w:cols>
          <w:pgMar w:left="240" w:top="233" w:right="319" w:bottom="1440" w:gutter="0" w:footer="0" w:header="0"/>
          <w:type w:val="continuous"/>
        </w:sect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84" w:lineRule="exact"/>
        <w:rPr>
          <w:sz w:val="24"/>
          <w:szCs w:val="24"/>
          <w:color w:val="auto"/>
        </w:rPr>
      </w:pPr>
    </w:p>
    <w:p>
      <w:pPr>
        <w:ind w:left="7780"/>
        <w:spacing w:after="0" w:line="207" w:lineRule="exact"/>
        <w:tabs>
          <w:tab w:leader="none" w:pos="84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312" w:lineRule="auto"/>
        <w:rPr>
          <w:sz w:val="20"/>
          <w:szCs w:val="20"/>
          <w:color w:val="auto"/>
        </w:rPr>
      </w:pPr>
      <w:r>
        <w:rPr>
          <w:rFonts w:ascii="Arial" w:cs="Arial" w:eastAsia="Arial" w:hAnsi="Arial"/>
          <w:sz w:val="16"/>
          <w:szCs w:val="16"/>
          <w:color w:val="auto"/>
        </w:rPr>
        <w:t>The number of shares outstanding of each of the registrant’s classes of common stock as of July 16, 2014 was as follows: 336,019,336 shares of Class A common stock, $0.01 par value; 625 shares of Class B common stock, Class B-1, $0.01 par value; 813 shares of Class B common stock, Class B-2, $0.01 par value; 1,287 shares of Class B common stock, Class B-3, $0.01 par value; and 413 shares of Class B common stock, Class B-4, $0.01 par value.</w:t>
      </w:r>
    </w:p>
    <w:p>
      <w:pPr>
        <w:spacing w:after="0" w:line="228"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40"/>
          </w:cols>
          <w:pgMar w:left="240" w:top="233" w:right="31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CME GROUP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9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6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Page</w:t>
            </w:r>
          </w:p>
        </w:tc>
      </w:tr>
      <w:tr>
        <w:trPr>
          <w:trHeight w:val="520"/>
        </w:trPr>
        <w:tc>
          <w:tcPr>
            <w:tcW w:w="4460" w:type="dxa"/>
            <w:vAlign w:val="bottom"/>
            <w:tcBorders>
              <w:bottom w:val="single" w:sz="8" w:color="0000EE"/>
            </w:tcBorders>
            <w:gridSpan w:val="11"/>
          </w:tcPr>
          <w:p>
            <w:pPr>
              <w:spacing w:after="0"/>
              <w:rPr>
                <w:rFonts w:ascii="Arial" w:cs="Arial" w:eastAsia="Arial" w:hAnsi="Arial"/>
                <w:sz w:val="16"/>
                <w:szCs w:val="16"/>
                <w:b w:val="1"/>
                <w:bCs w:val="1"/>
                <w:color w:val="0000EE"/>
              </w:rPr>
            </w:pPr>
            <w:hyperlink w:anchor="page2">
              <w:r>
                <w:rPr>
                  <w:rFonts w:ascii="Arial" w:cs="Arial" w:eastAsia="Arial" w:hAnsi="Arial"/>
                  <w:sz w:val="16"/>
                  <w:szCs w:val="16"/>
                  <w:b w:val="1"/>
                  <w:bCs w:val="1"/>
                  <w:color w:val="0000EE"/>
                </w:rPr>
                <w:t>PART I. FINANCIAL INFORMATION</w:t>
              </w:r>
            </w:hyperlink>
          </w:p>
        </w:tc>
        <w:tc>
          <w:tcPr>
            <w:tcW w:w="6360" w:type="dxa"/>
            <w:vAlign w:val="bottom"/>
            <w:gridSpan w:val="10"/>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2">
              <w:r>
                <w:rPr>
                  <w:rFonts w:ascii="Arial" w:cs="Arial" w:eastAsia="Arial" w:hAnsi="Arial"/>
                  <w:sz w:val="18"/>
                  <w:szCs w:val="18"/>
                  <w:color w:val="0000EE"/>
                  <w:w w:val="79"/>
                </w:rPr>
                <w:t>3</w:t>
              </w:r>
            </w:hyperlink>
          </w:p>
        </w:tc>
        <w:tc>
          <w:tcPr>
            <w:tcW w:w="20" w:type="dxa"/>
            <w:vAlign w:val="bottom"/>
          </w:tcPr>
          <w:p>
            <w:pPr>
              <w:spacing w:after="0"/>
              <w:rPr>
                <w:sz w:val="24"/>
                <w:szCs w:val="24"/>
                <w:color w:val="auto"/>
              </w:rPr>
            </w:pPr>
          </w:p>
        </w:tc>
      </w:tr>
      <w:tr>
        <w:trPr>
          <w:trHeight w:val="378"/>
        </w:trPr>
        <w:tc>
          <w:tcPr>
            <w:tcW w:w="920" w:type="dxa"/>
            <w:vAlign w:val="bottom"/>
          </w:tcPr>
          <w:p>
            <w:pPr>
              <w:spacing w:after="0"/>
              <w:rPr>
                <w:sz w:val="20"/>
                <w:szCs w:val="20"/>
                <w:color w:val="auto"/>
              </w:rPr>
            </w:pPr>
            <w:r>
              <w:rPr>
                <w:rFonts w:ascii="Arial" w:cs="Arial" w:eastAsia="Arial" w:hAnsi="Arial"/>
                <w:sz w:val="16"/>
                <w:szCs w:val="16"/>
                <w:b w:val="1"/>
                <w:bCs w:val="1"/>
                <w:color w:val="auto"/>
              </w:rPr>
              <w:t>Item 1.</w:t>
            </w:r>
          </w:p>
        </w:tc>
        <w:tc>
          <w:tcPr>
            <w:tcW w:w="9900" w:type="dxa"/>
            <w:vAlign w:val="bottom"/>
            <w:gridSpan w:val="20"/>
          </w:tcPr>
          <w:p>
            <w:pPr>
              <w:spacing w:after="0"/>
              <w:rPr>
                <w:rFonts w:ascii="Arial" w:cs="Arial" w:eastAsia="Arial" w:hAnsi="Arial"/>
                <w:sz w:val="16"/>
                <w:szCs w:val="16"/>
                <w:b w:val="1"/>
                <w:bCs w:val="1"/>
                <w:color w:val="0000EE"/>
              </w:rPr>
            </w:pPr>
            <w:hyperlink w:anchor="page4">
              <w:r>
                <w:rPr>
                  <w:rFonts w:ascii="Arial" w:cs="Arial" w:eastAsia="Arial" w:hAnsi="Arial"/>
                  <w:sz w:val="16"/>
                  <w:szCs w:val="16"/>
                  <w:b w:val="1"/>
                  <w:bCs w:val="1"/>
                  <w:color w:val="0000EE"/>
                </w:rPr>
                <w:t>Financial Statements</w:t>
              </w:r>
            </w:hyperlink>
          </w:p>
        </w:tc>
        <w:tc>
          <w:tcPr>
            <w:tcW w:w="560" w:type="dxa"/>
            <w:vAlign w:val="bottom"/>
            <w:gridSpan w:val="3"/>
          </w:tcPr>
          <w:p>
            <w:pPr>
              <w:jc w:val="right"/>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5</w:t>
              </w:r>
            </w:hyperlink>
          </w:p>
        </w:tc>
      </w:tr>
      <w:tr>
        <w:trPr>
          <w:trHeight w:val="20"/>
        </w:trPr>
        <w:tc>
          <w:tcPr>
            <w:tcW w:w="9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9900" w:type="dxa"/>
            <w:vAlign w:val="bottom"/>
            <w:gridSpan w:val="20"/>
          </w:tcPr>
          <w:p>
            <w:pPr>
              <w:spacing w:after="0"/>
              <w:rPr>
                <w:rFonts w:ascii="Arial" w:cs="Arial" w:eastAsia="Arial" w:hAnsi="Arial"/>
                <w:sz w:val="16"/>
                <w:szCs w:val="16"/>
                <w:color w:val="0000EE"/>
              </w:rPr>
            </w:pPr>
            <w:hyperlink w:anchor="page5">
              <w:r>
                <w:rPr>
                  <w:rFonts w:ascii="Arial" w:cs="Arial" w:eastAsia="Arial" w:hAnsi="Arial"/>
                  <w:sz w:val="16"/>
                  <w:szCs w:val="16"/>
                  <w:color w:val="0000EE"/>
                </w:rPr>
                <w:t>Consolidated Balance Sheets at June 30, 2014 and December 31, 20</w:t>
              </w:r>
            </w:hyperlink>
            <w:r>
              <w:rPr>
                <w:rFonts w:ascii="Arial" w:cs="Arial" w:eastAsia="Arial" w:hAnsi="Arial"/>
                <w:sz w:val="16"/>
                <w:szCs w:val="16"/>
                <w:color w:val="0000FF"/>
              </w:rPr>
              <w:t>13</w:t>
            </w:r>
          </w:p>
        </w:tc>
        <w:tc>
          <w:tcPr>
            <w:tcW w:w="560" w:type="dxa"/>
            <w:vAlign w:val="bottom"/>
            <w:gridSpan w:val="3"/>
          </w:tcPr>
          <w:p>
            <w:pPr>
              <w:jc w:val="right"/>
              <w:ind w:right="20"/>
              <w:spacing w:after="0"/>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20"/>
        </w:trPr>
        <w:tc>
          <w:tcPr>
            <w:tcW w:w="9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6480" w:type="dxa"/>
            <w:vAlign w:val="bottom"/>
            <w:tcBorders>
              <w:bottom w:val="single" w:sz="8" w:color="0000EE"/>
            </w:tcBorders>
            <w:gridSpan w:val="18"/>
          </w:tcPr>
          <w:p>
            <w:pPr>
              <w:spacing w:after="0"/>
              <w:rPr>
                <w:rFonts w:ascii="Arial" w:cs="Arial" w:eastAsia="Arial" w:hAnsi="Arial"/>
                <w:sz w:val="16"/>
                <w:szCs w:val="16"/>
                <w:color w:val="0000EE"/>
                <w:w w:val="90"/>
              </w:rPr>
            </w:pPr>
            <w:hyperlink w:anchor="page5">
              <w:r>
                <w:rPr>
                  <w:rFonts w:ascii="Arial" w:cs="Arial" w:eastAsia="Arial" w:hAnsi="Arial"/>
                  <w:sz w:val="16"/>
                  <w:szCs w:val="16"/>
                  <w:color w:val="0000EE"/>
                  <w:w w:val="90"/>
                </w:rPr>
                <w:t>Consolidated Statements of Income for the Quarters and Six Months Ended June 30, 2014 and 2013</w:t>
              </w:r>
            </w:hyperlink>
          </w:p>
        </w:tc>
        <w:tc>
          <w:tcPr>
            <w:tcW w:w="3420" w:type="dxa"/>
            <w:vAlign w:val="bottom"/>
            <w:gridSpan w:val="2"/>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6</w:t>
              </w:r>
            </w:hyperlink>
          </w:p>
        </w:tc>
        <w:tc>
          <w:tcPr>
            <w:tcW w:w="20" w:type="dxa"/>
            <w:vAlign w:val="bottom"/>
          </w:tcPr>
          <w:p>
            <w:pPr>
              <w:spacing w:after="0"/>
              <w:rPr>
                <w:sz w:val="24"/>
                <w:szCs w:val="24"/>
                <w:color w:val="auto"/>
              </w:rPr>
            </w:pPr>
          </w:p>
        </w:tc>
      </w:tr>
      <w:tr>
        <w:trPr>
          <w:trHeight w:val="372"/>
        </w:trPr>
        <w:tc>
          <w:tcPr>
            <w:tcW w:w="920" w:type="dxa"/>
            <w:vAlign w:val="bottom"/>
          </w:tcPr>
          <w:p>
            <w:pPr>
              <w:spacing w:after="0"/>
              <w:rPr>
                <w:sz w:val="24"/>
                <w:szCs w:val="24"/>
                <w:color w:val="auto"/>
              </w:rPr>
            </w:pPr>
          </w:p>
        </w:tc>
        <w:tc>
          <w:tcPr>
            <w:tcW w:w="7540" w:type="dxa"/>
            <w:vAlign w:val="bottom"/>
            <w:tcBorders>
              <w:bottom w:val="single" w:sz="8" w:color="0000EE"/>
            </w:tcBorders>
            <w:gridSpan w:val="19"/>
          </w:tcPr>
          <w:p>
            <w:pPr>
              <w:spacing w:after="0"/>
              <w:rPr>
                <w:rFonts w:ascii="Arial" w:cs="Arial" w:eastAsia="Arial" w:hAnsi="Arial"/>
                <w:sz w:val="16"/>
                <w:szCs w:val="16"/>
                <w:color w:val="0000EE"/>
                <w:w w:val="90"/>
              </w:rPr>
            </w:pPr>
            <w:hyperlink w:anchor="page6">
              <w:r>
                <w:rPr>
                  <w:rFonts w:ascii="Arial" w:cs="Arial" w:eastAsia="Arial" w:hAnsi="Arial"/>
                  <w:sz w:val="16"/>
                  <w:szCs w:val="16"/>
                  <w:color w:val="0000EE"/>
                  <w:w w:val="90"/>
                </w:rPr>
                <w:t>Consolidated Statements of Comprehensive Income for the Quarters and Six Months Ended June 30, 2014 and 2013</w:t>
              </w:r>
            </w:hyperlink>
          </w:p>
        </w:tc>
        <w:tc>
          <w:tcPr>
            <w:tcW w:w="2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7</w:t>
              </w:r>
            </w:hyperlink>
          </w:p>
        </w:tc>
        <w:tc>
          <w:tcPr>
            <w:tcW w:w="20" w:type="dxa"/>
            <w:vAlign w:val="bottom"/>
          </w:tcPr>
          <w:p>
            <w:pPr>
              <w:spacing w:after="0"/>
              <w:rPr>
                <w:sz w:val="24"/>
                <w:szCs w:val="24"/>
                <w:color w:val="auto"/>
              </w:rPr>
            </w:pPr>
          </w:p>
        </w:tc>
      </w:tr>
      <w:tr>
        <w:trPr>
          <w:trHeight w:val="372"/>
        </w:trPr>
        <w:tc>
          <w:tcPr>
            <w:tcW w:w="920" w:type="dxa"/>
            <w:vAlign w:val="bottom"/>
          </w:tcPr>
          <w:p>
            <w:pPr>
              <w:spacing w:after="0"/>
              <w:rPr>
                <w:sz w:val="24"/>
                <w:szCs w:val="24"/>
                <w:color w:val="auto"/>
              </w:rPr>
            </w:pPr>
          </w:p>
        </w:tc>
        <w:tc>
          <w:tcPr>
            <w:tcW w:w="9900" w:type="dxa"/>
            <w:vAlign w:val="bottom"/>
            <w:gridSpan w:val="20"/>
          </w:tcPr>
          <w:p>
            <w:pPr>
              <w:spacing w:after="0"/>
              <w:rPr>
                <w:rFonts w:ascii="Arial" w:cs="Arial" w:eastAsia="Arial" w:hAnsi="Arial"/>
                <w:sz w:val="16"/>
                <w:szCs w:val="16"/>
                <w:color w:val="0000EE"/>
              </w:rPr>
            </w:pPr>
            <w:hyperlink w:anchor="page7">
              <w:r>
                <w:rPr>
                  <w:rFonts w:ascii="Arial" w:cs="Arial" w:eastAsia="Arial" w:hAnsi="Arial"/>
                  <w:sz w:val="16"/>
                  <w:szCs w:val="16"/>
                  <w:color w:val="0000EE"/>
                </w:rPr>
                <w:t>Consolidated Statements of Equity for the Six Months Ended June 30, 2014 and 2013</w:t>
              </w:r>
            </w:hyperlink>
          </w:p>
        </w:tc>
        <w:tc>
          <w:tcPr>
            <w:tcW w:w="560" w:type="dxa"/>
            <w:vAlign w:val="bottom"/>
            <w:gridSpan w:val="3"/>
          </w:tcPr>
          <w:p>
            <w:pPr>
              <w:jc w:val="right"/>
              <w:ind w:right="20"/>
              <w:spacing w:after="0"/>
              <w:rPr>
                <w:rFonts w:ascii="Arial" w:cs="Arial" w:eastAsia="Arial" w:hAnsi="Arial"/>
                <w:sz w:val="18"/>
                <w:szCs w:val="18"/>
                <w:color w:val="0000EE"/>
              </w:rPr>
            </w:pPr>
            <w:hyperlink w:anchor="page7">
              <w:r>
                <w:rPr>
                  <w:rFonts w:ascii="Arial" w:cs="Arial" w:eastAsia="Arial" w:hAnsi="Arial"/>
                  <w:sz w:val="18"/>
                  <w:szCs w:val="18"/>
                  <w:color w:val="0000EE"/>
                </w:rPr>
                <w:t>8</w:t>
              </w:r>
            </w:hyperlink>
          </w:p>
        </w:tc>
      </w:tr>
      <w:tr>
        <w:trPr>
          <w:trHeight w:val="20"/>
        </w:trPr>
        <w:tc>
          <w:tcPr>
            <w:tcW w:w="9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76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5880" w:type="dxa"/>
            <w:vAlign w:val="bottom"/>
            <w:gridSpan w:val="16"/>
          </w:tcPr>
          <w:p>
            <w:pPr>
              <w:spacing w:after="0"/>
              <w:rPr>
                <w:rFonts w:ascii="Arial" w:cs="Arial" w:eastAsia="Arial" w:hAnsi="Arial"/>
                <w:sz w:val="16"/>
                <w:szCs w:val="16"/>
                <w:color w:val="0000EE"/>
                <w:w w:val="90"/>
              </w:rPr>
            </w:pPr>
            <w:hyperlink w:anchor="page9">
              <w:r>
                <w:rPr>
                  <w:rFonts w:ascii="Arial" w:cs="Arial" w:eastAsia="Arial" w:hAnsi="Arial"/>
                  <w:sz w:val="16"/>
                  <w:szCs w:val="16"/>
                  <w:color w:val="0000EE"/>
                  <w:w w:val="90"/>
                </w:rPr>
                <w:t>Consolidated Statements of Cash Flows for the Six Months Ended June 30, 2014 and 2013</w:t>
              </w:r>
            </w:hyperlink>
          </w:p>
        </w:tc>
        <w:tc>
          <w:tcPr>
            <w:tcW w:w="4020" w:type="dxa"/>
            <w:vAlign w:val="bottom"/>
            <w:gridSpan w:val="4"/>
          </w:tcPr>
          <w:p>
            <w:pPr>
              <w:spacing w:after="0"/>
              <w:rPr>
                <w:sz w:val="24"/>
                <w:szCs w:val="24"/>
                <w:color w:val="auto"/>
              </w:rPr>
            </w:pPr>
          </w:p>
        </w:tc>
        <w:tc>
          <w:tcPr>
            <w:tcW w:w="560" w:type="dxa"/>
            <w:vAlign w:val="bottom"/>
            <w:gridSpan w:val="3"/>
          </w:tcPr>
          <w:p>
            <w:pPr>
              <w:jc w:val="right"/>
              <w:ind w:right="20"/>
              <w:spacing w:after="0"/>
              <w:rPr>
                <w:rFonts w:ascii="Arial" w:cs="Arial" w:eastAsia="Arial" w:hAnsi="Arial"/>
                <w:sz w:val="18"/>
                <w:szCs w:val="18"/>
                <w:color w:val="0000EE"/>
              </w:rPr>
            </w:pPr>
            <w:hyperlink w:anchor="page9">
              <w:r>
                <w:rPr>
                  <w:rFonts w:ascii="Arial" w:cs="Arial" w:eastAsia="Arial" w:hAnsi="Arial"/>
                  <w:sz w:val="18"/>
                  <w:szCs w:val="18"/>
                  <w:color w:val="0000EE"/>
                </w:rPr>
                <w:t>10</w:t>
              </w:r>
            </w:hyperlink>
          </w:p>
        </w:tc>
      </w:tr>
      <w:tr>
        <w:trPr>
          <w:trHeight w:val="20"/>
        </w:trPr>
        <w:tc>
          <w:tcPr>
            <w:tcW w:w="9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80" w:type="dxa"/>
            <w:vAlign w:val="bottom"/>
            <w:gridSpan w:val="4"/>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760" w:type="dxa"/>
            <w:vAlign w:val="bottom"/>
            <w:gridSpan w:val="3"/>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5880" w:type="dxa"/>
            <w:vAlign w:val="bottom"/>
            <w:gridSpan w:val="16"/>
          </w:tcPr>
          <w:p>
            <w:pPr>
              <w:spacing w:after="0"/>
              <w:rPr>
                <w:rFonts w:ascii="Arial" w:cs="Arial" w:eastAsia="Arial" w:hAnsi="Arial"/>
                <w:sz w:val="16"/>
                <w:szCs w:val="16"/>
                <w:color w:val="0000EE"/>
              </w:rPr>
            </w:pPr>
            <w:hyperlink w:anchor="page10">
              <w:r>
                <w:rPr>
                  <w:rFonts w:ascii="Arial" w:cs="Arial" w:eastAsia="Arial" w:hAnsi="Arial"/>
                  <w:sz w:val="16"/>
                  <w:szCs w:val="16"/>
                  <w:color w:val="0000EE"/>
                </w:rPr>
                <w:t>Notes to Unaudited Consolidated Financial Statements</w:t>
              </w:r>
            </w:hyperlink>
          </w:p>
        </w:tc>
        <w:tc>
          <w:tcPr>
            <w:tcW w:w="4020" w:type="dxa"/>
            <w:vAlign w:val="bottom"/>
            <w:gridSpan w:val="4"/>
          </w:tcPr>
          <w:p>
            <w:pPr>
              <w:spacing w:after="0"/>
              <w:rPr>
                <w:sz w:val="24"/>
                <w:szCs w:val="24"/>
                <w:color w:val="auto"/>
              </w:rPr>
            </w:pPr>
          </w:p>
        </w:tc>
        <w:tc>
          <w:tcPr>
            <w:tcW w:w="560" w:type="dxa"/>
            <w:vAlign w:val="bottom"/>
            <w:gridSpan w:val="3"/>
          </w:tcPr>
          <w:p>
            <w:pPr>
              <w:jc w:val="right"/>
              <w:ind w:right="20"/>
              <w:spacing w:after="0"/>
              <w:rPr>
                <w:rFonts w:ascii="Arial" w:cs="Arial" w:eastAsia="Arial" w:hAnsi="Arial"/>
                <w:sz w:val="18"/>
                <w:szCs w:val="18"/>
                <w:color w:val="0000EE"/>
              </w:rPr>
            </w:pPr>
            <w:hyperlink w:anchor="page10">
              <w:r>
                <w:rPr>
                  <w:rFonts w:ascii="Arial" w:cs="Arial" w:eastAsia="Arial" w:hAnsi="Arial"/>
                  <w:sz w:val="18"/>
                  <w:szCs w:val="18"/>
                  <w:color w:val="0000EE"/>
                </w:rPr>
                <w:t>11</w:t>
              </w:r>
            </w:hyperlink>
          </w:p>
        </w:tc>
      </w:tr>
      <w:tr>
        <w:trPr>
          <w:trHeight w:val="20"/>
        </w:trPr>
        <w:tc>
          <w:tcPr>
            <w:tcW w:w="9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gridSpan w:val="5"/>
          </w:tcPr>
          <w:p>
            <w:pPr>
              <w:spacing w:after="0" w:line="20" w:lineRule="exact"/>
              <w:rPr>
                <w:sz w:val="1"/>
                <w:szCs w:val="1"/>
                <w:color w:val="auto"/>
              </w:rPr>
            </w:pPr>
          </w:p>
        </w:tc>
        <w:tc>
          <w:tcPr>
            <w:tcW w:w="3760" w:type="dxa"/>
            <w:vAlign w:val="bottom"/>
            <w:gridSpan w:val="3"/>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6"/>
                <w:szCs w:val="16"/>
                <w:b w:val="1"/>
                <w:bCs w:val="1"/>
                <w:color w:val="auto"/>
              </w:rPr>
              <w:t>Item 2.</w:t>
            </w:r>
          </w:p>
        </w:tc>
        <w:tc>
          <w:tcPr>
            <w:tcW w:w="9900" w:type="dxa"/>
            <w:vAlign w:val="bottom"/>
            <w:gridSpan w:val="20"/>
          </w:tcPr>
          <w:p>
            <w:pPr>
              <w:spacing w:after="0"/>
              <w:rPr>
                <w:rFonts w:ascii="Arial" w:cs="Arial" w:eastAsia="Arial" w:hAnsi="Arial"/>
                <w:sz w:val="16"/>
                <w:szCs w:val="16"/>
                <w:b w:val="1"/>
                <w:bCs w:val="1"/>
                <w:color w:val="0000EE"/>
              </w:rPr>
            </w:pPr>
            <w:hyperlink w:anchor="page17">
              <w:r>
                <w:rPr>
                  <w:rFonts w:ascii="Arial" w:cs="Arial" w:eastAsia="Arial" w:hAnsi="Arial"/>
                  <w:sz w:val="16"/>
                  <w:szCs w:val="16"/>
                  <w:b w:val="1"/>
                  <w:bCs w:val="1"/>
                  <w:color w:val="0000EE"/>
                </w:rPr>
                <w:t>Management’s Discussion and Analysis of Financial Condition and Results of Operations</w:t>
              </w:r>
            </w:hyperlink>
          </w:p>
        </w:tc>
        <w:tc>
          <w:tcPr>
            <w:tcW w:w="560" w:type="dxa"/>
            <w:vAlign w:val="bottom"/>
            <w:gridSpan w:val="3"/>
          </w:tcPr>
          <w:p>
            <w:pPr>
              <w:jc w:val="right"/>
              <w:ind w:right="20"/>
              <w:spacing w:after="0"/>
              <w:rPr>
                <w:rFonts w:ascii="Arial" w:cs="Arial" w:eastAsia="Arial" w:hAnsi="Arial"/>
                <w:sz w:val="18"/>
                <w:szCs w:val="18"/>
                <w:color w:val="0000EE"/>
              </w:rPr>
            </w:pPr>
            <w:hyperlink w:anchor="page17">
              <w:r>
                <w:rPr>
                  <w:rFonts w:ascii="Arial" w:cs="Arial" w:eastAsia="Arial" w:hAnsi="Arial"/>
                  <w:sz w:val="18"/>
                  <w:szCs w:val="18"/>
                  <w:color w:val="0000EE"/>
                </w:rPr>
                <w:t>18</w:t>
              </w:r>
            </w:hyperlink>
          </w:p>
        </w:tc>
      </w:tr>
      <w:tr>
        <w:trPr>
          <w:trHeight w:val="20"/>
        </w:trPr>
        <w:tc>
          <w:tcPr>
            <w:tcW w:w="9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38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940" w:type="dxa"/>
            <w:vAlign w:val="bottom"/>
            <w:gridSpan w:val="5"/>
            <w:shd w:val="clear" w:color="auto" w:fill="0000EE"/>
          </w:tcPr>
          <w:p>
            <w:pPr>
              <w:spacing w:after="0" w:line="20" w:lineRule="exact"/>
              <w:rPr>
                <w:sz w:val="1"/>
                <w:szCs w:val="1"/>
                <w:color w:val="auto"/>
              </w:rPr>
            </w:pPr>
          </w:p>
        </w:tc>
        <w:tc>
          <w:tcPr>
            <w:tcW w:w="3760" w:type="dxa"/>
            <w:vAlign w:val="bottom"/>
            <w:gridSpan w:val="3"/>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6"/>
                <w:szCs w:val="16"/>
                <w:b w:val="1"/>
                <w:bCs w:val="1"/>
                <w:color w:val="auto"/>
              </w:rPr>
              <w:t>Item 3.</w:t>
            </w:r>
          </w:p>
        </w:tc>
        <w:tc>
          <w:tcPr>
            <w:tcW w:w="4200" w:type="dxa"/>
            <w:vAlign w:val="bottom"/>
            <w:gridSpan w:val="12"/>
          </w:tcPr>
          <w:p>
            <w:pPr>
              <w:spacing w:after="0"/>
              <w:rPr>
                <w:rFonts w:ascii="Arial" w:cs="Arial" w:eastAsia="Arial" w:hAnsi="Arial"/>
                <w:sz w:val="16"/>
                <w:szCs w:val="16"/>
                <w:b w:val="1"/>
                <w:bCs w:val="1"/>
                <w:color w:val="0000EE"/>
                <w:w w:val="92"/>
              </w:rPr>
            </w:pPr>
            <w:hyperlink w:anchor="page27">
              <w:r>
                <w:rPr>
                  <w:rFonts w:ascii="Arial" w:cs="Arial" w:eastAsia="Arial" w:hAnsi="Arial"/>
                  <w:sz w:val="16"/>
                  <w:szCs w:val="16"/>
                  <w:b w:val="1"/>
                  <w:bCs w:val="1"/>
                  <w:color w:val="0000EE"/>
                  <w:w w:val="92"/>
                </w:rPr>
                <w:t>Quantitative and Qualitative Disclosures About Market Risk</w:t>
              </w:r>
            </w:hyperlink>
          </w:p>
        </w:tc>
        <w:tc>
          <w:tcPr>
            <w:tcW w:w="1940" w:type="dxa"/>
            <w:vAlign w:val="bottom"/>
            <w:gridSpan w:val="5"/>
          </w:tcPr>
          <w:p>
            <w:pPr>
              <w:spacing w:after="0"/>
              <w:rPr>
                <w:sz w:val="24"/>
                <w:szCs w:val="24"/>
                <w:color w:val="auto"/>
              </w:rPr>
            </w:pPr>
          </w:p>
        </w:tc>
        <w:tc>
          <w:tcPr>
            <w:tcW w:w="3760" w:type="dxa"/>
            <w:vAlign w:val="bottom"/>
            <w:gridSpan w:val="3"/>
          </w:tcPr>
          <w:p>
            <w:pPr>
              <w:spacing w:after="0"/>
              <w:rPr>
                <w:sz w:val="24"/>
                <w:szCs w:val="24"/>
                <w:color w:val="auto"/>
              </w:rPr>
            </w:pPr>
          </w:p>
        </w:tc>
        <w:tc>
          <w:tcPr>
            <w:tcW w:w="560" w:type="dxa"/>
            <w:vAlign w:val="bottom"/>
            <w:gridSpan w:val="3"/>
          </w:tcPr>
          <w:p>
            <w:pPr>
              <w:jc w:val="right"/>
              <w:ind w:right="20"/>
              <w:spacing w:after="0"/>
              <w:rPr>
                <w:rFonts w:ascii="Arial" w:cs="Arial" w:eastAsia="Arial" w:hAnsi="Arial"/>
                <w:sz w:val="18"/>
                <w:szCs w:val="18"/>
                <w:color w:val="0000EE"/>
              </w:rPr>
            </w:pPr>
            <w:hyperlink w:anchor="page27">
              <w:r>
                <w:rPr>
                  <w:rFonts w:ascii="Arial" w:cs="Arial" w:eastAsia="Arial" w:hAnsi="Arial"/>
                  <w:sz w:val="18"/>
                  <w:szCs w:val="18"/>
                  <w:color w:val="0000EE"/>
                </w:rPr>
                <w:t>27</w:t>
              </w:r>
            </w:hyperlink>
          </w:p>
        </w:tc>
      </w:tr>
      <w:tr>
        <w:trPr>
          <w:trHeight w:val="20"/>
        </w:trPr>
        <w:tc>
          <w:tcPr>
            <w:tcW w:w="9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38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700" w:type="dxa"/>
            <w:vAlign w:val="bottom"/>
            <w:gridSpan w:val="8"/>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6"/>
                <w:szCs w:val="16"/>
                <w:b w:val="1"/>
                <w:bCs w:val="1"/>
                <w:color w:val="auto"/>
              </w:rPr>
              <w:t>Item 4.</w:t>
            </w:r>
          </w:p>
        </w:tc>
        <w:tc>
          <w:tcPr>
            <w:tcW w:w="1720" w:type="dxa"/>
            <w:vAlign w:val="bottom"/>
            <w:gridSpan w:val="8"/>
          </w:tcPr>
          <w:p>
            <w:pPr>
              <w:spacing w:after="0"/>
              <w:rPr>
                <w:rFonts w:ascii="Arial" w:cs="Arial" w:eastAsia="Arial" w:hAnsi="Arial"/>
                <w:sz w:val="16"/>
                <w:szCs w:val="16"/>
                <w:b w:val="1"/>
                <w:bCs w:val="1"/>
                <w:color w:val="0000EE"/>
                <w:w w:val="88"/>
              </w:rPr>
            </w:pPr>
            <w:hyperlink w:anchor="page27">
              <w:r>
                <w:rPr>
                  <w:rFonts w:ascii="Arial" w:cs="Arial" w:eastAsia="Arial" w:hAnsi="Arial"/>
                  <w:sz w:val="16"/>
                  <w:szCs w:val="16"/>
                  <w:b w:val="1"/>
                  <w:bCs w:val="1"/>
                  <w:color w:val="0000EE"/>
                  <w:w w:val="88"/>
                </w:rPr>
                <w:t>Controls and Procedures</w:t>
              </w:r>
            </w:hyperlink>
          </w:p>
        </w:tc>
        <w:tc>
          <w:tcPr>
            <w:tcW w:w="2480" w:type="dxa"/>
            <w:vAlign w:val="bottom"/>
            <w:gridSpan w:val="4"/>
          </w:tcPr>
          <w:p>
            <w:pPr>
              <w:spacing w:after="0"/>
              <w:rPr>
                <w:sz w:val="24"/>
                <w:szCs w:val="24"/>
                <w:color w:val="auto"/>
              </w:rPr>
            </w:pPr>
          </w:p>
        </w:tc>
        <w:tc>
          <w:tcPr>
            <w:tcW w:w="5700" w:type="dxa"/>
            <w:vAlign w:val="bottom"/>
            <w:gridSpan w:val="8"/>
          </w:tcPr>
          <w:p>
            <w:pPr>
              <w:spacing w:after="0"/>
              <w:rPr>
                <w:sz w:val="24"/>
                <w:szCs w:val="24"/>
                <w:color w:val="auto"/>
              </w:rPr>
            </w:pPr>
          </w:p>
        </w:tc>
        <w:tc>
          <w:tcPr>
            <w:tcW w:w="560" w:type="dxa"/>
            <w:vAlign w:val="bottom"/>
            <w:gridSpan w:val="3"/>
          </w:tcPr>
          <w:p>
            <w:pPr>
              <w:jc w:val="right"/>
              <w:ind w:right="20"/>
              <w:spacing w:after="0"/>
              <w:rPr>
                <w:rFonts w:ascii="Arial" w:cs="Arial" w:eastAsia="Arial" w:hAnsi="Arial"/>
                <w:sz w:val="18"/>
                <w:szCs w:val="18"/>
                <w:color w:val="0000EE"/>
              </w:rPr>
            </w:pPr>
            <w:hyperlink w:anchor="page27">
              <w:r>
                <w:rPr>
                  <w:rFonts w:ascii="Arial" w:cs="Arial" w:eastAsia="Arial" w:hAnsi="Arial"/>
                  <w:sz w:val="18"/>
                  <w:szCs w:val="18"/>
                  <w:color w:val="0000EE"/>
                </w:rPr>
                <w:t>27</w:t>
              </w:r>
            </w:hyperlink>
          </w:p>
        </w:tc>
      </w:tr>
      <w:tr>
        <w:trPr>
          <w:trHeight w:val="20"/>
        </w:trPr>
        <w:tc>
          <w:tcPr>
            <w:tcW w:w="9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5800" w:type="dxa"/>
            <w:vAlign w:val="bottom"/>
            <w:gridSpan w:val="9"/>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2560" w:type="dxa"/>
            <w:vAlign w:val="bottom"/>
            <w:gridSpan w:val="8"/>
          </w:tcPr>
          <w:p>
            <w:pPr>
              <w:spacing w:after="0"/>
              <w:rPr>
                <w:rFonts w:ascii="Arial" w:cs="Arial" w:eastAsia="Arial" w:hAnsi="Arial"/>
                <w:sz w:val="16"/>
                <w:szCs w:val="16"/>
                <w:b w:val="1"/>
                <w:bCs w:val="1"/>
                <w:color w:val="0000EE"/>
              </w:rPr>
            </w:pPr>
            <w:hyperlink w:anchor="page27">
              <w:r>
                <w:rPr>
                  <w:rFonts w:ascii="Arial" w:cs="Arial" w:eastAsia="Arial" w:hAnsi="Arial"/>
                  <w:sz w:val="16"/>
                  <w:szCs w:val="16"/>
                  <w:b w:val="1"/>
                  <w:bCs w:val="1"/>
                  <w:color w:val="0000EE"/>
                </w:rPr>
                <w:t>PART II. OTHER INFORMATION</w:t>
              </w:r>
            </w:hyperlink>
          </w:p>
        </w:tc>
        <w:tc>
          <w:tcPr>
            <w:tcW w:w="8260" w:type="dxa"/>
            <w:vAlign w:val="bottom"/>
            <w:gridSpan w:val="13"/>
          </w:tcPr>
          <w:p>
            <w:pPr>
              <w:spacing w:after="0"/>
              <w:rPr>
                <w:sz w:val="24"/>
                <w:szCs w:val="24"/>
                <w:color w:val="auto"/>
              </w:rPr>
            </w:pPr>
          </w:p>
        </w:tc>
        <w:tc>
          <w:tcPr>
            <w:tcW w:w="560" w:type="dxa"/>
            <w:vAlign w:val="bottom"/>
            <w:gridSpan w:val="3"/>
          </w:tcPr>
          <w:p>
            <w:pPr>
              <w:jc w:val="right"/>
              <w:ind w:right="20"/>
              <w:spacing w:after="0"/>
              <w:rPr>
                <w:rFonts w:ascii="Arial" w:cs="Arial" w:eastAsia="Arial" w:hAnsi="Arial"/>
                <w:sz w:val="18"/>
                <w:szCs w:val="18"/>
                <w:color w:val="0000EE"/>
              </w:rPr>
            </w:pPr>
            <w:hyperlink w:anchor="page27">
              <w:r>
                <w:rPr>
                  <w:rFonts w:ascii="Arial" w:cs="Arial" w:eastAsia="Arial" w:hAnsi="Arial"/>
                  <w:sz w:val="18"/>
                  <w:szCs w:val="18"/>
                  <w:color w:val="0000EE"/>
                </w:rPr>
                <w:t>28</w:t>
              </w:r>
            </w:hyperlink>
          </w:p>
        </w:tc>
      </w:tr>
      <w:tr>
        <w:trPr>
          <w:trHeight w:val="27"/>
        </w:trPr>
        <w:tc>
          <w:tcPr>
            <w:tcW w:w="9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380" w:type="dxa"/>
            <w:vAlign w:val="bottom"/>
            <w:gridSpan w:val="3"/>
            <w:shd w:val="clear" w:color="auto" w:fill="0000EE"/>
          </w:tcPr>
          <w:p>
            <w:pPr>
              <w:spacing w:after="0"/>
              <w:rPr>
                <w:sz w:val="2"/>
                <w:szCs w:val="2"/>
                <w:color w:val="auto"/>
              </w:rPr>
            </w:pPr>
          </w:p>
        </w:tc>
        <w:tc>
          <w:tcPr>
            <w:tcW w:w="2460" w:type="dxa"/>
            <w:vAlign w:val="bottom"/>
            <w:gridSpan w:val="4"/>
          </w:tcPr>
          <w:p>
            <w:pPr>
              <w:spacing w:after="0"/>
              <w:rPr>
                <w:sz w:val="2"/>
                <w:szCs w:val="2"/>
                <w:color w:val="auto"/>
              </w:rPr>
            </w:pPr>
          </w:p>
        </w:tc>
        <w:tc>
          <w:tcPr>
            <w:tcW w:w="5800" w:type="dxa"/>
            <w:vAlign w:val="bottom"/>
            <w:gridSpan w:val="9"/>
          </w:tcPr>
          <w:p>
            <w:pPr>
              <w:spacing w:after="0"/>
              <w:rPr>
                <w:sz w:val="2"/>
                <w:szCs w:val="2"/>
                <w:color w:val="auto"/>
              </w:rPr>
            </w:pPr>
          </w:p>
        </w:tc>
        <w:tc>
          <w:tcPr>
            <w:tcW w:w="440" w:type="dxa"/>
            <w:vAlign w:val="bottom"/>
            <w:tcBorders>
              <w:right w:val="single" w:sz="8" w:color="0000EE"/>
            </w:tcBorders>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r>
      <w:tr>
        <w:trPr>
          <w:trHeight w:val="378"/>
        </w:trPr>
        <w:tc>
          <w:tcPr>
            <w:tcW w:w="920" w:type="dxa"/>
            <w:vAlign w:val="bottom"/>
          </w:tcPr>
          <w:p>
            <w:pPr>
              <w:spacing w:after="0"/>
              <w:rPr>
                <w:sz w:val="20"/>
                <w:szCs w:val="20"/>
                <w:color w:val="auto"/>
              </w:rPr>
            </w:pPr>
            <w:r>
              <w:rPr>
                <w:rFonts w:ascii="Arial" w:cs="Arial" w:eastAsia="Arial" w:hAnsi="Arial"/>
                <w:sz w:val="16"/>
                <w:szCs w:val="16"/>
                <w:b w:val="1"/>
                <w:bCs w:val="1"/>
                <w:color w:val="auto"/>
              </w:rPr>
              <w:t>Item 1.</w:t>
            </w:r>
          </w:p>
        </w:tc>
        <w:tc>
          <w:tcPr>
            <w:tcW w:w="1260" w:type="dxa"/>
            <w:vAlign w:val="bottom"/>
            <w:gridSpan w:val="4"/>
          </w:tcPr>
          <w:p>
            <w:pPr>
              <w:spacing w:after="0"/>
              <w:rPr>
                <w:rFonts w:ascii="Arial" w:cs="Arial" w:eastAsia="Arial" w:hAnsi="Arial"/>
                <w:sz w:val="16"/>
                <w:szCs w:val="16"/>
                <w:b w:val="1"/>
                <w:bCs w:val="1"/>
                <w:color w:val="0000EE"/>
                <w:w w:val="87"/>
              </w:rPr>
            </w:pPr>
            <w:hyperlink w:anchor="page28">
              <w:r>
                <w:rPr>
                  <w:rFonts w:ascii="Arial" w:cs="Arial" w:eastAsia="Arial" w:hAnsi="Arial"/>
                  <w:sz w:val="16"/>
                  <w:szCs w:val="16"/>
                  <w:b w:val="1"/>
                  <w:bCs w:val="1"/>
                  <w:color w:val="0000EE"/>
                  <w:w w:val="87"/>
                </w:rPr>
                <w:t>Legal Proceedings</w:t>
              </w:r>
            </w:hyperlink>
          </w:p>
        </w:tc>
        <w:tc>
          <w:tcPr>
            <w:tcW w:w="380" w:type="dxa"/>
            <w:vAlign w:val="bottom"/>
            <w:gridSpan w:val="3"/>
          </w:tcPr>
          <w:p>
            <w:pPr>
              <w:spacing w:after="0"/>
              <w:rPr>
                <w:sz w:val="24"/>
                <w:szCs w:val="24"/>
                <w:color w:val="auto"/>
              </w:rPr>
            </w:pPr>
          </w:p>
        </w:tc>
        <w:tc>
          <w:tcPr>
            <w:tcW w:w="8260" w:type="dxa"/>
            <w:vAlign w:val="bottom"/>
            <w:gridSpan w:val="13"/>
          </w:tcPr>
          <w:p>
            <w:pPr>
              <w:spacing w:after="0"/>
              <w:rPr>
                <w:sz w:val="24"/>
                <w:szCs w:val="24"/>
                <w:color w:val="auto"/>
              </w:rPr>
            </w:pPr>
          </w:p>
        </w:tc>
        <w:tc>
          <w:tcPr>
            <w:tcW w:w="560" w:type="dxa"/>
            <w:vAlign w:val="bottom"/>
            <w:gridSpan w:val="3"/>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28</w:t>
              </w:r>
            </w:hyperlink>
          </w:p>
        </w:tc>
      </w:tr>
      <w:tr>
        <w:trPr>
          <w:trHeight w:val="20"/>
        </w:trPr>
        <w:tc>
          <w:tcPr>
            <w:tcW w:w="9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c>
          <w:tcPr>
            <w:tcW w:w="5800" w:type="dxa"/>
            <w:vAlign w:val="bottom"/>
            <w:gridSpan w:val="9"/>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6"/>
                <w:szCs w:val="16"/>
                <w:b w:val="1"/>
                <w:bCs w:val="1"/>
                <w:color w:val="auto"/>
              </w:rPr>
              <w:t>Item 1A.</w:t>
            </w:r>
          </w:p>
        </w:tc>
        <w:tc>
          <w:tcPr>
            <w:tcW w:w="880" w:type="dxa"/>
            <w:vAlign w:val="bottom"/>
            <w:gridSpan w:val="3"/>
          </w:tcPr>
          <w:p>
            <w:pPr>
              <w:spacing w:after="0"/>
              <w:rPr>
                <w:rFonts w:ascii="Arial" w:cs="Arial" w:eastAsia="Arial" w:hAnsi="Arial"/>
                <w:sz w:val="16"/>
                <w:szCs w:val="16"/>
                <w:b w:val="1"/>
                <w:bCs w:val="1"/>
                <w:color w:val="0000EE"/>
                <w:w w:val="89"/>
              </w:rPr>
            </w:pPr>
            <w:hyperlink w:anchor="page28">
              <w:r>
                <w:rPr>
                  <w:rFonts w:ascii="Arial" w:cs="Arial" w:eastAsia="Arial" w:hAnsi="Arial"/>
                  <w:sz w:val="16"/>
                  <w:szCs w:val="16"/>
                  <w:b w:val="1"/>
                  <w:bCs w:val="1"/>
                  <w:color w:val="0000EE"/>
                  <w:w w:val="89"/>
                </w:rPr>
                <w:t>Risk Factors</w:t>
              </w:r>
            </w:hyperlink>
          </w:p>
        </w:tc>
        <w:tc>
          <w:tcPr>
            <w:tcW w:w="380" w:type="dxa"/>
            <w:vAlign w:val="bottom"/>
          </w:tcPr>
          <w:p>
            <w:pPr>
              <w:spacing w:after="0"/>
              <w:rPr>
                <w:sz w:val="24"/>
                <w:szCs w:val="24"/>
                <w:color w:val="auto"/>
              </w:rPr>
            </w:pPr>
          </w:p>
        </w:tc>
        <w:tc>
          <w:tcPr>
            <w:tcW w:w="8640" w:type="dxa"/>
            <w:vAlign w:val="bottom"/>
            <w:gridSpan w:val="16"/>
          </w:tcPr>
          <w:p>
            <w:pPr>
              <w:spacing w:after="0"/>
              <w:rPr>
                <w:sz w:val="24"/>
                <w:szCs w:val="24"/>
                <w:color w:val="auto"/>
              </w:rPr>
            </w:pPr>
          </w:p>
        </w:tc>
        <w:tc>
          <w:tcPr>
            <w:tcW w:w="560" w:type="dxa"/>
            <w:vAlign w:val="bottom"/>
            <w:gridSpan w:val="3"/>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28</w:t>
              </w:r>
            </w:hyperlink>
          </w:p>
        </w:tc>
      </w:tr>
      <w:tr>
        <w:trPr>
          <w:trHeight w:val="20"/>
        </w:trPr>
        <w:tc>
          <w:tcPr>
            <w:tcW w:w="9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c>
          <w:tcPr>
            <w:tcW w:w="5800" w:type="dxa"/>
            <w:vAlign w:val="bottom"/>
            <w:gridSpan w:val="9"/>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6"/>
                <w:szCs w:val="16"/>
                <w:b w:val="1"/>
                <w:bCs w:val="1"/>
                <w:color w:val="auto"/>
              </w:rPr>
              <w:t>Item 2.</w:t>
            </w:r>
          </w:p>
        </w:tc>
        <w:tc>
          <w:tcPr>
            <w:tcW w:w="9900" w:type="dxa"/>
            <w:vAlign w:val="bottom"/>
            <w:gridSpan w:val="20"/>
          </w:tcPr>
          <w:p>
            <w:pPr>
              <w:spacing w:after="0"/>
              <w:rPr>
                <w:rFonts w:ascii="Arial" w:cs="Arial" w:eastAsia="Arial" w:hAnsi="Arial"/>
                <w:sz w:val="16"/>
                <w:szCs w:val="16"/>
                <w:b w:val="1"/>
                <w:bCs w:val="1"/>
                <w:color w:val="0000EE"/>
              </w:rPr>
            </w:pPr>
            <w:hyperlink w:anchor="page28">
              <w:r>
                <w:rPr>
                  <w:rFonts w:ascii="Arial" w:cs="Arial" w:eastAsia="Arial" w:hAnsi="Arial"/>
                  <w:sz w:val="16"/>
                  <w:szCs w:val="16"/>
                  <w:b w:val="1"/>
                  <w:bCs w:val="1"/>
                  <w:color w:val="0000EE"/>
                </w:rPr>
                <w:t>Unregistered Sales of Equity Securities and Use of Proceeds</w:t>
              </w:r>
            </w:hyperlink>
          </w:p>
        </w:tc>
        <w:tc>
          <w:tcPr>
            <w:tcW w:w="560" w:type="dxa"/>
            <w:vAlign w:val="bottom"/>
            <w:gridSpan w:val="3"/>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28</w:t>
              </w:r>
            </w:hyperlink>
          </w:p>
        </w:tc>
      </w:tr>
      <w:tr>
        <w:trPr>
          <w:trHeight w:val="20"/>
        </w:trPr>
        <w:tc>
          <w:tcPr>
            <w:tcW w:w="9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80" w:type="dxa"/>
            <w:vAlign w:val="bottom"/>
            <w:gridSpan w:val="5"/>
            <w:shd w:val="clear" w:color="auto" w:fill="0000EE"/>
          </w:tcPr>
          <w:p>
            <w:pPr>
              <w:spacing w:after="0" w:line="20" w:lineRule="exact"/>
              <w:rPr>
                <w:sz w:val="1"/>
                <w:szCs w:val="1"/>
                <w:color w:val="auto"/>
              </w:rPr>
            </w:pPr>
          </w:p>
        </w:tc>
        <w:tc>
          <w:tcPr>
            <w:tcW w:w="2460" w:type="dxa"/>
            <w:vAlign w:val="bottom"/>
            <w:gridSpan w:val="4"/>
            <w:shd w:val="clear" w:color="auto" w:fill="0000EE"/>
          </w:tcPr>
          <w:p>
            <w:pPr>
              <w:spacing w:after="0" w:line="20" w:lineRule="exact"/>
              <w:rPr>
                <w:sz w:val="1"/>
                <w:szCs w:val="1"/>
                <w:color w:val="auto"/>
              </w:rPr>
            </w:pPr>
          </w:p>
        </w:tc>
        <w:tc>
          <w:tcPr>
            <w:tcW w:w="5800" w:type="dxa"/>
            <w:vAlign w:val="bottom"/>
            <w:gridSpan w:val="9"/>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6"/>
                <w:szCs w:val="16"/>
                <w:b w:val="1"/>
                <w:bCs w:val="1"/>
                <w:color w:val="auto"/>
              </w:rPr>
              <w:t>Item 4.</w:t>
            </w:r>
          </w:p>
        </w:tc>
        <w:tc>
          <w:tcPr>
            <w:tcW w:w="4100" w:type="dxa"/>
            <w:vAlign w:val="bottom"/>
            <w:gridSpan w:val="11"/>
          </w:tcPr>
          <w:p>
            <w:pPr>
              <w:spacing w:after="0"/>
              <w:rPr>
                <w:rFonts w:ascii="Arial" w:cs="Arial" w:eastAsia="Arial" w:hAnsi="Arial"/>
                <w:sz w:val="16"/>
                <w:szCs w:val="16"/>
                <w:b w:val="1"/>
                <w:bCs w:val="1"/>
                <w:color w:val="0000EE"/>
              </w:rPr>
            </w:pPr>
            <w:hyperlink w:anchor="page28">
              <w:r>
                <w:rPr>
                  <w:rFonts w:ascii="Arial" w:cs="Arial" w:eastAsia="Arial" w:hAnsi="Arial"/>
                  <w:sz w:val="16"/>
                  <w:szCs w:val="16"/>
                  <w:b w:val="1"/>
                  <w:bCs w:val="1"/>
                  <w:color w:val="0000EE"/>
                </w:rPr>
                <w:t>Mine Safety Disclosures</w:t>
              </w:r>
            </w:hyperlink>
          </w:p>
        </w:tc>
        <w:tc>
          <w:tcPr>
            <w:tcW w:w="5800" w:type="dxa"/>
            <w:vAlign w:val="bottom"/>
            <w:gridSpan w:val="9"/>
          </w:tcPr>
          <w:p>
            <w:pPr>
              <w:spacing w:after="0"/>
              <w:rPr>
                <w:sz w:val="24"/>
                <w:szCs w:val="24"/>
                <w:color w:val="auto"/>
              </w:rPr>
            </w:pPr>
          </w:p>
        </w:tc>
        <w:tc>
          <w:tcPr>
            <w:tcW w:w="560" w:type="dxa"/>
            <w:vAlign w:val="bottom"/>
            <w:gridSpan w:val="3"/>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28</w:t>
              </w:r>
            </w:hyperlink>
          </w:p>
        </w:tc>
      </w:tr>
      <w:tr>
        <w:trPr>
          <w:trHeight w:val="20"/>
        </w:trPr>
        <w:tc>
          <w:tcPr>
            <w:tcW w:w="9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80" w:type="dxa"/>
            <w:vAlign w:val="bottom"/>
            <w:gridSpan w:val="5"/>
            <w:shd w:val="clear" w:color="auto" w:fill="0000EE"/>
          </w:tcPr>
          <w:p>
            <w:pPr>
              <w:spacing w:after="0" w:line="20" w:lineRule="exact"/>
              <w:rPr>
                <w:sz w:val="1"/>
                <w:szCs w:val="1"/>
                <w:color w:val="auto"/>
              </w:rPr>
            </w:pPr>
          </w:p>
        </w:tc>
        <w:tc>
          <w:tcPr>
            <w:tcW w:w="8260" w:type="dxa"/>
            <w:vAlign w:val="bottom"/>
            <w:gridSpan w:val="13"/>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6"/>
                <w:szCs w:val="16"/>
                <w:b w:val="1"/>
                <w:bCs w:val="1"/>
                <w:color w:val="auto"/>
              </w:rPr>
              <w:t>Item 6.</w:t>
            </w:r>
          </w:p>
        </w:tc>
        <w:tc>
          <w:tcPr>
            <w:tcW w:w="1640" w:type="dxa"/>
            <w:vAlign w:val="bottom"/>
            <w:gridSpan w:val="7"/>
          </w:tcPr>
          <w:p>
            <w:pPr>
              <w:spacing w:after="0"/>
              <w:rPr>
                <w:rFonts w:ascii="Arial" w:cs="Arial" w:eastAsia="Arial" w:hAnsi="Arial"/>
                <w:sz w:val="16"/>
                <w:szCs w:val="16"/>
                <w:b w:val="1"/>
                <w:bCs w:val="1"/>
                <w:color w:val="0000EE"/>
              </w:rPr>
            </w:pPr>
            <w:hyperlink w:anchor="page28">
              <w:r>
                <w:rPr>
                  <w:rFonts w:ascii="Arial" w:cs="Arial" w:eastAsia="Arial" w:hAnsi="Arial"/>
                  <w:sz w:val="16"/>
                  <w:szCs w:val="16"/>
                  <w:b w:val="1"/>
                  <w:bCs w:val="1"/>
                  <w:color w:val="0000EE"/>
                </w:rPr>
                <w:t>Exhibits</w:t>
              </w:r>
            </w:hyperlink>
          </w:p>
        </w:tc>
        <w:tc>
          <w:tcPr>
            <w:tcW w:w="8260" w:type="dxa"/>
            <w:vAlign w:val="bottom"/>
            <w:gridSpan w:val="13"/>
          </w:tcPr>
          <w:p>
            <w:pPr>
              <w:spacing w:after="0"/>
              <w:rPr>
                <w:sz w:val="24"/>
                <w:szCs w:val="24"/>
                <w:color w:val="auto"/>
              </w:rPr>
            </w:pPr>
          </w:p>
        </w:tc>
        <w:tc>
          <w:tcPr>
            <w:tcW w:w="560" w:type="dxa"/>
            <w:vAlign w:val="bottom"/>
            <w:gridSpan w:val="3"/>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29</w:t>
              </w:r>
            </w:hyperlink>
          </w:p>
        </w:tc>
      </w:tr>
      <w:tr>
        <w:trPr>
          <w:trHeight w:val="20"/>
        </w:trPr>
        <w:tc>
          <w:tcPr>
            <w:tcW w:w="9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340" w:type="dxa"/>
            <w:vAlign w:val="bottom"/>
            <w:gridSpan w:val="18"/>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040" w:type="dxa"/>
            <w:vAlign w:val="bottom"/>
            <w:gridSpan w:val="2"/>
          </w:tcPr>
          <w:p>
            <w:pPr>
              <w:spacing w:after="0"/>
              <w:rPr>
                <w:rFonts w:ascii="Arial" w:cs="Arial" w:eastAsia="Arial" w:hAnsi="Arial"/>
                <w:sz w:val="16"/>
                <w:szCs w:val="16"/>
                <w:b w:val="1"/>
                <w:bCs w:val="1"/>
                <w:color w:val="0000EE"/>
                <w:w w:val="97"/>
              </w:rPr>
            </w:pPr>
            <w:hyperlink w:anchor="page29">
              <w:r>
                <w:rPr>
                  <w:rFonts w:ascii="Arial" w:cs="Arial" w:eastAsia="Arial" w:hAnsi="Arial"/>
                  <w:sz w:val="16"/>
                  <w:szCs w:val="16"/>
                  <w:b w:val="1"/>
                  <w:bCs w:val="1"/>
                  <w:color w:val="0000EE"/>
                  <w:w w:val="97"/>
                </w:rPr>
                <w:t>SIGNATURES</w:t>
              </w:r>
            </w:hyperlink>
          </w:p>
        </w:tc>
        <w:tc>
          <w:tcPr>
            <w:tcW w:w="9780" w:type="dxa"/>
            <w:vAlign w:val="bottom"/>
            <w:gridSpan w:val="19"/>
          </w:tcPr>
          <w:p>
            <w:pPr>
              <w:spacing w:after="0"/>
              <w:rPr>
                <w:sz w:val="24"/>
                <w:szCs w:val="24"/>
                <w:color w:val="auto"/>
              </w:rPr>
            </w:pPr>
          </w:p>
        </w:tc>
        <w:tc>
          <w:tcPr>
            <w:tcW w:w="560" w:type="dxa"/>
            <w:vAlign w:val="bottom"/>
            <w:gridSpan w:val="3"/>
          </w:tcPr>
          <w:p>
            <w:pPr>
              <w:jc w:val="right"/>
              <w:ind w:right="20"/>
              <w:spacing w:after="0"/>
              <w:rPr>
                <w:rFonts w:ascii="Arial" w:cs="Arial" w:eastAsia="Arial" w:hAnsi="Arial"/>
                <w:sz w:val="18"/>
                <w:szCs w:val="18"/>
                <w:color w:val="0000EE"/>
              </w:rPr>
            </w:pPr>
            <w:hyperlink w:anchor="page29">
              <w:r>
                <w:rPr>
                  <w:rFonts w:ascii="Arial" w:cs="Arial" w:eastAsia="Arial" w:hAnsi="Arial"/>
                  <w:sz w:val="18"/>
                  <w:szCs w:val="18"/>
                  <w:color w:val="0000EE"/>
                </w:rPr>
                <w:t>30</w:t>
              </w:r>
            </w:hyperlink>
          </w:p>
        </w:tc>
      </w:tr>
      <w:tr>
        <w:trPr>
          <w:trHeight w:val="27"/>
        </w:trPr>
        <w:tc>
          <w:tcPr>
            <w:tcW w:w="9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440" w:type="dxa"/>
            <w:vAlign w:val="bottom"/>
            <w:tcBorders>
              <w:right w:val="single" w:sz="8" w:color="0000EE"/>
            </w:tcBorders>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All references to “options” or “options contracts” in the text of this document refer to options on futures contracts.</w:t>
      </w:r>
    </w:p>
    <w:p>
      <w:pPr>
        <w:spacing w:after="0" w:line="171"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Unless otherwise indicated, references to CME Group Inc. (CME Group) products include references to products listed on one of its regulated exchanges: Chicago Mercantile Exchange Inc. (CME), Board of Trade of the City of Chicago, Inc. (CBOT), New York Mercantile Exchange, Inc. (NYMEX), and Commodity Exchange, Inc. (COMEX). Products listed on these exchanges are subject to the rules and regulations of the particular exchange and the applicable rulebook should be consulted. Unless otherwise indicated, references to NYMEX include its subsidiary, COMEX.</w:t>
      </w:r>
    </w:p>
    <w:p>
      <w:pPr>
        <w:spacing w:after="0" w:line="11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Further information about CME Group and its products can be found at http://www.cmegroup.com. Information made available on our website does not constitute a part of this Quarterly Report on Form 10-Q.</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Contract Volume and Average Rate per Contract</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amounts regarding contract volume and average rate per contract exclude our interest rate swaps, credit default swaps, CME Clearing Europe Limited and CME Europe Limited contracts. CME Europe Limited was launched in the second quarter of 2014.</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 Information</w:t>
      </w:r>
    </w:p>
    <w:p>
      <w:pPr>
        <w:spacing w:after="0" w:line="17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CME Group is a trademark of CME Group Inc. The Globe logo, CME, Chicago Mercantile Exchange, Globex and E-mini are trademarks of Chicago Mercantile Exchange Inc. CBOT and Chicago Board of Trade are trademarks of Board of Trade of the City of Chicago, Inc. NYMEX, New York Mercantile Exchange and ClearPort are trademarks of New York Mercantile Exchange, Inc. COMEX is a trademark of Commodity Exchange, Inc. KCBT and Kansas City Board of Trade are trademarks of The Board of Trade of Kansas City, Missouri, Inc. Dow Jones, Dow Jones Industrial Average, S&amp;P 500 and S&amp;P are service and/or trademarks of Dow Jones Trademark Holdings LLC, Standard &amp; Poor's Financial Services LLC and S&amp;P/Dow Jones Indices LLC, as the case may be, and have been licensed for use by Chicago Mercantile Exchange Inc. All other trademarks are the property of their respective owners.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From time to time, in this Quarterly Report on Form 10-Q as well as in other written reports and verbal statements, we discuss our expectations regarding future performance. These forward-looking statements are identified by their use of terms and phrases such as “believe,” “anticipate,” “could,” “estimate,” “intend,” “may,” “plan,” “expect” and similar expressions, including references to assumptions. These forward-looking statements are based on currently available competitive, financial and economic data, current expectations, estimates, forecasts and projections about the industries in which we operate and management's beliefs and assumptions. These statements are not guarantees of future performance and involve risks, uncertainties and assumptions that are difficult to predict. Therefore, actual outcomes and results may differ materially from what is expressed or implied in any forward-looking statements. We want to caution you not to place undue reliance on any forward-looking statements. We undertake no obligation to publicly update any forward-looking statements, whether as a result of new information, future events or otherwise. Among the factors that might affect our performance are:</w:t>
      </w:r>
    </w:p>
    <w:p>
      <w:pPr>
        <w:spacing w:after="0" w:line="31" w:lineRule="exact"/>
        <w:rPr>
          <w:sz w:val="20"/>
          <w:szCs w:val="20"/>
          <w:color w:val="auto"/>
        </w:rPr>
      </w:pPr>
    </w:p>
    <w:p>
      <w:pPr>
        <w:ind w:left="660" w:right="24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increasing competition by foreign and domestic entities, including increased competition from new entrants into our markets and consolidation of existing entities;</w:t>
      </w:r>
    </w:p>
    <w:p>
      <w:pPr>
        <w:spacing w:after="0" w:line="62" w:lineRule="exact"/>
        <w:rPr>
          <w:rFonts w:ascii="Arial" w:cs="Arial" w:eastAsia="Arial" w:hAnsi="Arial"/>
          <w:sz w:val="18"/>
          <w:szCs w:val="18"/>
          <w:color w:val="auto"/>
        </w:rPr>
      </w:pPr>
    </w:p>
    <w:p>
      <w:pPr>
        <w:jc w:val="both"/>
        <w:ind w:left="660" w:right="2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keep pace with rapid technological developments, including our ability to complete the development, implementation and maintenance of the enhanced functionality required by our customers while maintaining reliability and ensuring that such technology is not vulnerable to security risks;</w:t>
      </w:r>
    </w:p>
    <w:p>
      <w:pPr>
        <w:spacing w:after="0" w:line="73" w:lineRule="exact"/>
        <w:rPr>
          <w:rFonts w:ascii="Arial" w:cs="Arial" w:eastAsia="Arial" w:hAnsi="Arial"/>
          <w:sz w:val="18"/>
          <w:szCs w:val="18"/>
          <w:color w:val="auto"/>
        </w:rPr>
      </w:pPr>
    </w:p>
    <w:p>
      <w:pPr>
        <w:jc w:val="both"/>
        <w:ind w:left="660" w:right="10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continue introducing competitive new products and services on a timely, cost-effective basis, including through our electronic trading capabilities, and our ability to maintain the competitiveness of our existing products and services, including our ability to provide effective services to the swaps market;</w:t>
      </w:r>
    </w:p>
    <w:p>
      <w:pPr>
        <w:spacing w:after="0" w:line="7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adjust our fixed costs and expenses if our revenues decline;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existing customers, develop strategic relationships and attract new customers;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expand and offer our products outside the United States;</w:t>
      </w:r>
    </w:p>
    <w:p>
      <w:pPr>
        <w:spacing w:after="0" w:line="117" w:lineRule="exact"/>
        <w:rPr>
          <w:rFonts w:ascii="Arial" w:cs="Arial" w:eastAsia="Arial" w:hAnsi="Arial"/>
          <w:sz w:val="18"/>
          <w:szCs w:val="18"/>
          <w:color w:val="auto"/>
        </w:rPr>
      </w:pPr>
    </w:p>
    <w:p>
      <w:pPr>
        <w:jc w:val="both"/>
        <w:ind w:left="660" w:right="80" w:hanging="328"/>
        <w:spacing w:after="0" w:line="34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changes in domestic and non-U.S. regulations, including the impact of any changes in domestic and foreign laws or government policy with respect to our industry, such as any changes to regulations and policies that require increased financial and operational resources from us or our customers;</w:t>
      </w:r>
    </w:p>
    <w:p>
      <w:pPr>
        <w:spacing w:after="0" w:line="15" w:lineRule="exact"/>
        <w:rPr>
          <w:rFonts w:ascii="Arial" w:cs="Arial" w:eastAsia="Arial" w:hAnsi="Arial"/>
          <w:sz w:val="16"/>
          <w:szCs w:val="16"/>
          <w:color w:val="auto"/>
        </w:rPr>
      </w:pPr>
    </w:p>
    <w:p>
      <w:pPr>
        <w:ind w:left="660" w:right="10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costs associated with protecting our intellectual property rights and our ability to operate our business without violating the intellectual property rights of others;</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125" w:right="27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decreases in revenue from our market data as a result of decreased demand;</w:t>
      </w:r>
    </w:p>
    <w:p>
      <w:pPr>
        <w:spacing w:after="0" w:line="117" w:lineRule="exact"/>
        <w:rPr>
          <w:rFonts w:ascii="Arial" w:cs="Arial" w:eastAsia="Arial" w:hAnsi="Arial"/>
          <w:sz w:val="18"/>
          <w:szCs w:val="18"/>
          <w:color w:val="auto"/>
        </w:rPr>
      </w:pPr>
    </w:p>
    <w:p>
      <w:pPr>
        <w:ind w:left="660" w:right="240" w:hanging="328"/>
        <w:spacing w:after="0" w:line="342"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changes in our rate per contract due to shifts in the mix of the products traded, the trading venue and the mix of customers (whether the customer receives member or non-member fees or participates in one of our various incentive programs) and the impact of our tiered pricing structure;</w:t>
      </w:r>
    </w:p>
    <w:p>
      <w:pPr>
        <w:spacing w:after="0" w:line="15"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of our financial safeguards package to adequately protect us from the credit risks of clearing members;</w:t>
      </w:r>
    </w:p>
    <w:p>
      <w:pPr>
        <w:spacing w:after="0" w:line="117"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ability of our compliance and risk management methods to effectively monitor and manage our risks, including our ability to prevent errors and misconduct and protect our infrastructure against security breaches and misappropriation of our intellectual property assets;</w:t>
      </w:r>
    </w:p>
    <w:p>
      <w:pPr>
        <w:spacing w:after="0" w:line="38"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changes in price levels and volatility in the derivatives markets and in underlying equity, foreign exchange, interest rate and commodities markets;</w:t>
      </w:r>
    </w:p>
    <w:p>
      <w:pPr>
        <w:spacing w:after="0" w:line="140" w:lineRule="exact"/>
        <w:rPr>
          <w:rFonts w:ascii="Arial" w:cs="Arial" w:eastAsia="Arial" w:hAnsi="Arial"/>
          <w:sz w:val="16"/>
          <w:szCs w:val="16"/>
          <w:color w:val="auto"/>
        </w:rPr>
      </w:pPr>
    </w:p>
    <w:p>
      <w:pPr>
        <w:ind w:left="660" w:right="24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political and market conditions, including the volatility of the capital and credit markets and the impact of economic conditions on the trading activity of our current and potential customers;</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accommodate increases in contract volume and order transaction traffic and to implement enhancements without failure or degradation of the performance of our trading and clearing systems;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execute our growth strategy and maintain our growth effectively;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manage the risks and control the costs associated with our strategy for acquisitions, investments and alliances;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continue to generate funds and/or manage our indebtedness to allow us to continue to invest in our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industry and customer consolidation;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decreases in trading and clearing activity;</w:t>
      </w:r>
    </w:p>
    <w:p>
      <w:pPr>
        <w:spacing w:after="0" w:line="117" w:lineRule="exact"/>
        <w:rPr>
          <w:rFonts w:ascii="Arial" w:cs="Arial" w:eastAsia="Arial" w:hAnsi="Arial"/>
          <w:sz w:val="18"/>
          <w:szCs w:val="18"/>
          <w:color w:val="auto"/>
        </w:rPr>
      </w:pPr>
    </w:p>
    <w:p>
      <w:pPr>
        <w:ind w:left="660" w:right="64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imposition of a transaction tax or user fee on futures and options on futures transactions and/or repeal of the 60/40 tax treatment of such transactions;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unfavorable resolution of material legal proceedings;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seasonality of the futures business.</w:t>
      </w:r>
    </w:p>
    <w:p>
      <w:pPr>
        <w:spacing w:after="0" w:line="27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For a detailed discussion of these and other factors that might affect our performance, see Item 1A. of our Annual Report on Form 10-K, filed with the Securities and Exchange Commission on February 28, 2014 and Item 1A. of this Quarterly Report on Form 10-Q.</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40" w:top="125" w:right="31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tcPr>
          <w:p>
            <w:pPr>
              <w:ind w:left="40"/>
              <w:spacing w:after="0"/>
              <w:rPr>
                <w:sz w:val="20"/>
                <w:szCs w:val="20"/>
                <w:color w:val="auto"/>
              </w:rPr>
            </w:pPr>
            <w:r>
              <w:rPr>
                <w:rFonts w:ascii="Arial" w:cs="Arial" w:eastAsia="Arial" w:hAnsi="Arial"/>
                <w:sz w:val="18"/>
                <w:szCs w:val="18"/>
                <w:b w:val="1"/>
                <w:bCs w:val="1"/>
                <w:color w:val="auto"/>
              </w:rPr>
              <w:t>ITEM 1.</w:t>
            </w:r>
          </w:p>
        </w:tc>
        <w:tc>
          <w:tcPr>
            <w:tcW w:w="6880" w:type="dxa"/>
            <w:vAlign w:val="bottom"/>
          </w:tcPr>
          <w:p>
            <w:pPr>
              <w:ind w:left="60"/>
              <w:spacing w:after="0"/>
              <w:rPr>
                <w:sz w:val="20"/>
                <w:szCs w:val="20"/>
                <w:color w:val="auto"/>
              </w:rPr>
            </w:pPr>
            <w:r>
              <w:rPr>
                <w:rFonts w:ascii="Arial" w:cs="Arial" w:eastAsia="Arial" w:hAnsi="Arial"/>
                <w:sz w:val="18"/>
                <w:szCs w:val="18"/>
                <w:b w:val="1"/>
                <w:bCs w:val="1"/>
                <w:color w:val="auto"/>
              </w:rPr>
              <w:t>FINANCIAL STATEMENTS</w:t>
            </w: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25"/>
        </w:trPr>
        <w:tc>
          <w:tcPr>
            <w:tcW w:w="1240" w:type="dxa"/>
            <w:vAlign w:val="bottom"/>
          </w:tcPr>
          <w:p>
            <w:pPr>
              <w:spacing w:after="0"/>
              <w:rPr>
                <w:sz w:val="19"/>
                <w:szCs w:val="19"/>
                <w:color w:val="auto"/>
              </w:rPr>
            </w:pPr>
          </w:p>
        </w:tc>
        <w:tc>
          <w:tcPr>
            <w:tcW w:w="6880" w:type="dxa"/>
            <w:vAlign w:val="bottom"/>
          </w:tcPr>
          <w:p>
            <w:pPr>
              <w:jc w:val="center"/>
              <w:ind w:left="1990"/>
              <w:spacing w:after="0"/>
              <w:rPr>
                <w:sz w:val="20"/>
                <w:szCs w:val="20"/>
                <w:color w:val="auto"/>
              </w:rPr>
            </w:pPr>
            <w:r>
              <w:rPr>
                <w:rFonts w:ascii="Arial" w:cs="Arial" w:eastAsia="Arial" w:hAnsi="Arial"/>
                <w:sz w:val="18"/>
                <w:szCs w:val="18"/>
                <w:b w:val="1"/>
                <w:bCs w:val="1"/>
                <w:color w:val="auto"/>
                <w:w w:val="99"/>
              </w:rPr>
              <w:t>CME GROUP INC. AND SUBSIDIARIES</w:t>
            </w: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0"/>
        </w:trPr>
        <w:tc>
          <w:tcPr>
            <w:tcW w:w="1240" w:type="dxa"/>
            <w:vAlign w:val="bottom"/>
          </w:tcPr>
          <w:p>
            <w:pPr>
              <w:spacing w:after="0"/>
              <w:rPr>
                <w:sz w:val="19"/>
                <w:szCs w:val="19"/>
                <w:color w:val="auto"/>
              </w:rPr>
            </w:pPr>
          </w:p>
        </w:tc>
        <w:tc>
          <w:tcPr>
            <w:tcW w:w="6880" w:type="dxa"/>
            <w:vAlign w:val="bottom"/>
          </w:tcPr>
          <w:p>
            <w:pPr>
              <w:jc w:val="center"/>
              <w:ind w:left="1990"/>
              <w:spacing w:after="0"/>
              <w:rPr>
                <w:sz w:val="20"/>
                <w:szCs w:val="20"/>
                <w:color w:val="auto"/>
              </w:rPr>
            </w:pPr>
            <w:r>
              <w:rPr>
                <w:rFonts w:ascii="Arial" w:cs="Arial" w:eastAsia="Arial" w:hAnsi="Arial"/>
                <w:sz w:val="18"/>
                <w:szCs w:val="18"/>
                <w:b w:val="1"/>
                <w:bCs w:val="1"/>
                <w:color w:val="auto"/>
                <w:w w:val="99"/>
              </w:rPr>
              <w:t>CONSOLIDATED BALANCE SHEETS</w:t>
            </w: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16"/>
        </w:trPr>
        <w:tc>
          <w:tcPr>
            <w:tcW w:w="1240" w:type="dxa"/>
            <w:vAlign w:val="bottom"/>
          </w:tcPr>
          <w:p>
            <w:pPr>
              <w:spacing w:after="0"/>
              <w:rPr>
                <w:sz w:val="18"/>
                <w:szCs w:val="18"/>
                <w:color w:val="auto"/>
              </w:rPr>
            </w:pPr>
          </w:p>
        </w:tc>
        <w:tc>
          <w:tcPr>
            <w:tcW w:w="6880" w:type="dxa"/>
            <w:vAlign w:val="bottom"/>
          </w:tcPr>
          <w:p>
            <w:pPr>
              <w:jc w:val="center"/>
              <w:ind w:left="1970"/>
              <w:spacing w:after="0"/>
              <w:rPr>
                <w:sz w:val="20"/>
                <w:szCs w:val="20"/>
                <w:color w:val="auto"/>
              </w:rPr>
            </w:pPr>
            <w:r>
              <w:rPr>
                <w:rFonts w:ascii="Arial" w:cs="Arial" w:eastAsia="Arial" w:hAnsi="Arial"/>
                <w:sz w:val="18"/>
                <w:szCs w:val="18"/>
                <w:color w:val="auto"/>
                <w:w w:val="90"/>
              </w:rPr>
              <w:t>(dollars in millions, except par value data; shares in thousands)</w:t>
            </w: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0"/>
        </w:trPr>
        <w:tc>
          <w:tcPr>
            <w:tcW w:w="1240" w:type="dxa"/>
            <w:vAlign w:val="bottom"/>
          </w:tcPr>
          <w:p>
            <w:pPr>
              <w:spacing w:after="0"/>
              <w:rPr>
                <w:sz w:val="20"/>
                <w:szCs w:val="20"/>
                <w:color w:val="auto"/>
              </w:rPr>
            </w:pPr>
          </w:p>
        </w:tc>
        <w:tc>
          <w:tcPr>
            <w:tcW w:w="6880" w:type="dxa"/>
            <w:vAlign w:val="bottom"/>
          </w:tcPr>
          <w:p>
            <w:pPr>
              <w:jc w:val="center"/>
              <w:ind w:left="1970"/>
              <w:spacing w:after="0"/>
              <w:rPr>
                <w:sz w:val="20"/>
                <w:szCs w:val="20"/>
                <w:color w:val="auto"/>
              </w:rPr>
            </w:pPr>
            <w:r>
              <w:rPr>
                <w:rFonts w:ascii="Arial" w:cs="Arial" w:eastAsia="Arial" w:hAnsi="Arial"/>
                <w:sz w:val="18"/>
                <w:szCs w:val="18"/>
                <w:color w:val="auto"/>
                <w:w w:val="90"/>
              </w:rPr>
              <w:t>(unaudited)</w:t>
            </w: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399"/>
        </w:trPr>
        <w:tc>
          <w:tcPr>
            <w:tcW w:w="124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2014</w:t>
            </w:r>
          </w:p>
        </w:tc>
        <w:tc>
          <w:tcPr>
            <w:tcW w:w="180" w:type="dxa"/>
            <w:vAlign w:val="bottom"/>
          </w:tcPr>
          <w:p>
            <w:pPr>
              <w:spacing w:after="0"/>
              <w:rPr>
                <w:sz w:val="24"/>
                <w:szCs w:val="24"/>
                <w:color w:val="auto"/>
              </w:rPr>
            </w:pPr>
          </w:p>
        </w:tc>
        <w:tc>
          <w:tcPr>
            <w:tcW w:w="1420" w:type="dxa"/>
            <w:vAlign w:val="bottom"/>
          </w:tcPr>
          <w:p>
            <w:pPr>
              <w:jc w:val="right"/>
              <w:ind w:right="131"/>
              <w:spacing w:after="0"/>
              <w:rPr>
                <w:sz w:val="20"/>
                <w:szCs w:val="20"/>
                <w:color w:val="auto"/>
              </w:rPr>
            </w:pPr>
            <w:r>
              <w:rPr>
                <w:rFonts w:ascii="Arial" w:cs="Arial" w:eastAsia="Arial" w:hAnsi="Arial"/>
                <w:sz w:val="14"/>
                <w:szCs w:val="14"/>
                <w:b w:val="1"/>
                <w:bCs w:val="1"/>
                <w:color w:val="auto"/>
                <w:w w:val="93"/>
              </w:rPr>
              <w:t>December 31, 2013</w:t>
            </w:r>
          </w:p>
        </w:tc>
      </w:tr>
      <w:tr>
        <w:trPr>
          <w:trHeight w:val="250"/>
        </w:trPr>
        <w:tc>
          <w:tcPr>
            <w:tcW w:w="1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68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1240" w:type="dxa"/>
            <w:vAlign w:val="bottom"/>
          </w:tcPr>
          <w:p>
            <w:pPr>
              <w:ind w:left="40"/>
              <w:spacing w:after="0"/>
              <w:rPr>
                <w:sz w:val="20"/>
                <w:szCs w:val="20"/>
                <w:color w:val="auto"/>
              </w:rPr>
            </w:pPr>
            <w:r>
              <w:rPr>
                <w:rFonts w:ascii="Arial" w:cs="Arial" w:eastAsia="Arial" w:hAnsi="Arial"/>
                <w:sz w:val="18"/>
                <w:szCs w:val="18"/>
                <w:color w:val="auto"/>
                <w:w w:val="95"/>
              </w:rPr>
              <w:t>Current Assets:</w:t>
            </w:r>
          </w:p>
        </w:tc>
        <w:tc>
          <w:tcPr>
            <w:tcW w:w="6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81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2,469.7</w:t>
            </w: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Marketable securities</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72.9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68.4</w:t>
            </w:r>
          </w:p>
        </w:tc>
      </w:tr>
      <w:tr>
        <w:trPr>
          <w:trHeight w:val="27"/>
        </w:trPr>
        <w:tc>
          <w:tcPr>
            <w:tcW w:w="81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Accounts receivable, net of allowance of $0.9 and $1.2</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302.7</w:t>
            </w: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Other current assets (includes $37.0 and $40.0 in restricted cash)</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196.2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209.7</w:t>
            </w:r>
          </w:p>
        </w:tc>
      </w:tr>
      <w:tr>
        <w:trPr>
          <w:trHeight w:val="27"/>
        </w:trPr>
        <w:tc>
          <w:tcPr>
            <w:tcW w:w="81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Performance bonds and guaranty fund contributions</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20,089.9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21,355.1</w:t>
            </w: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Total current assets</w:t>
            </w: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21,731.2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24,405.6</w:t>
            </w:r>
          </w:p>
        </w:tc>
      </w:tr>
      <w:tr>
        <w:trPr>
          <w:trHeight w:val="27"/>
        </w:trPr>
        <w:tc>
          <w:tcPr>
            <w:tcW w:w="81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net of accumulated depreciation and amortization of $722.6 and $678.4</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513.4</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Intangible assets—trading products</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17,175.3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17,175.3</w:t>
            </w:r>
          </w:p>
        </w:tc>
      </w:tr>
      <w:tr>
        <w:trPr>
          <w:trHeight w:val="27"/>
        </w:trPr>
        <w:tc>
          <w:tcPr>
            <w:tcW w:w="81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assets—other, net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2,690.9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2,741.2</w:t>
            </w:r>
          </w:p>
        </w:tc>
      </w:tr>
      <w:tr>
        <w:trPr>
          <w:trHeight w:val="243"/>
        </w:trPr>
        <w:tc>
          <w:tcPr>
            <w:tcW w:w="1240" w:type="dxa"/>
            <w:vAlign w:val="bottom"/>
          </w:tcPr>
          <w:p>
            <w:pPr>
              <w:ind w:left="40"/>
              <w:spacing w:after="0"/>
              <w:rPr>
                <w:sz w:val="20"/>
                <w:szCs w:val="20"/>
                <w:color w:val="auto"/>
              </w:rPr>
            </w:pPr>
            <w:r>
              <w:rPr>
                <w:rFonts w:ascii="Arial" w:cs="Arial" w:eastAsia="Arial" w:hAnsi="Arial"/>
                <w:sz w:val="18"/>
                <w:szCs w:val="18"/>
                <w:color w:val="auto"/>
              </w:rPr>
              <w:t>Goodwill</w:t>
            </w:r>
          </w:p>
        </w:tc>
        <w:tc>
          <w:tcPr>
            <w:tcW w:w="6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7,569.0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7,569.0</w:t>
            </w:r>
          </w:p>
        </w:tc>
      </w:tr>
      <w:tr>
        <w:trPr>
          <w:trHeight w:val="27"/>
        </w:trPr>
        <w:tc>
          <w:tcPr>
            <w:tcW w:w="81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assets (includes $77.2 and $74.0 in restricted cash)</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1,941.5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1,873.3</w:t>
            </w:r>
          </w:p>
        </w:tc>
      </w:tr>
      <w:tr>
        <w:trPr>
          <w:trHeight w:val="237"/>
        </w:trPr>
        <w:tc>
          <w:tcPr>
            <w:tcW w:w="124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688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51,611.3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54,277.8</w:t>
            </w:r>
          </w:p>
        </w:tc>
      </w:tr>
      <w:tr>
        <w:trPr>
          <w:trHeight w:val="67"/>
        </w:trPr>
        <w:tc>
          <w:tcPr>
            <w:tcW w:w="8120" w:type="dxa"/>
            <w:vAlign w:val="bottom"/>
            <w:tcBorders>
              <w:bottom w:val="single" w:sz="8" w:color="CCEEFF"/>
            </w:tcBorders>
            <w:gridSpan w:val="2"/>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r>
      <w:tr>
        <w:trPr>
          <w:trHeight w:val="278"/>
        </w:trPr>
        <w:tc>
          <w:tcPr>
            <w:tcW w:w="1240" w:type="dxa"/>
            <w:vAlign w:val="bottom"/>
            <w:shd w:val="clear" w:color="auto" w:fill="CCEEFF"/>
          </w:tcPr>
          <w:p>
            <w:pPr>
              <w:spacing w:after="0"/>
              <w:rPr>
                <w:sz w:val="24"/>
                <w:szCs w:val="24"/>
                <w:color w:val="auto"/>
              </w:rPr>
            </w:pPr>
          </w:p>
        </w:tc>
        <w:tc>
          <w:tcPr>
            <w:tcW w:w="68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81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Accounts payable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36.2</w:t>
            </w:r>
          </w:p>
        </w:tc>
      </w:tr>
      <w:tr>
        <w:trPr>
          <w:trHeight w:val="27"/>
        </w:trPr>
        <w:tc>
          <w:tcPr>
            <w:tcW w:w="81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Short-term debt</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749.9</w:t>
            </w: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Other current liabilities</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254.7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1,169.8</w:t>
            </w:r>
          </w:p>
        </w:tc>
      </w:tr>
      <w:tr>
        <w:trPr>
          <w:trHeight w:val="27"/>
        </w:trPr>
        <w:tc>
          <w:tcPr>
            <w:tcW w:w="81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Performance bonds and guaranty fund contributions</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20,089.9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21,355.1</w:t>
            </w: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20,376.7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23,311.0</w:t>
            </w:r>
          </w:p>
        </w:tc>
      </w:tr>
      <w:tr>
        <w:trPr>
          <w:trHeight w:val="27"/>
        </w:trPr>
        <w:tc>
          <w:tcPr>
            <w:tcW w:w="1240" w:type="dxa"/>
            <w:vAlign w:val="bottom"/>
          </w:tcPr>
          <w:p>
            <w:pPr>
              <w:spacing w:after="0"/>
              <w:rPr>
                <w:sz w:val="2"/>
                <w:szCs w:val="2"/>
                <w:color w:val="auto"/>
              </w:rPr>
            </w:pPr>
          </w:p>
        </w:tc>
        <w:tc>
          <w:tcPr>
            <w:tcW w:w="6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1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Long-term debt</w:t>
            </w:r>
          </w:p>
        </w:tc>
        <w:tc>
          <w:tcPr>
            <w:tcW w:w="68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2,107.2</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Deferred income tax liabilities, net</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7,271.9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7,249.7</w:t>
            </w:r>
          </w:p>
        </w:tc>
      </w:tr>
      <w:tr>
        <w:trPr>
          <w:trHeight w:val="27"/>
        </w:trPr>
        <w:tc>
          <w:tcPr>
            <w:tcW w:w="1240" w:type="dxa"/>
            <w:vAlign w:val="bottom"/>
          </w:tcPr>
          <w:p>
            <w:pPr>
              <w:spacing w:after="0"/>
              <w:rPr>
                <w:sz w:val="2"/>
                <w:szCs w:val="2"/>
                <w:color w:val="auto"/>
              </w:rPr>
            </w:pPr>
          </w:p>
        </w:tc>
        <w:tc>
          <w:tcPr>
            <w:tcW w:w="6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1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Other liabilities</w:t>
            </w:r>
          </w:p>
        </w:tc>
        <w:tc>
          <w:tcPr>
            <w:tcW w:w="68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389.8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449.4</w:t>
            </w:r>
          </w:p>
        </w:tc>
      </w:tr>
      <w:tr>
        <w:trPr>
          <w:trHeight w:val="237"/>
        </w:trPr>
        <w:tc>
          <w:tcPr>
            <w:tcW w:w="1240" w:type="dxa"/>
            <w:vAlign w:val="bottom"/>
          </w:tcPr>
          <w:p>
            <w:pPr>
              <w:ind w:left="40"/>
              <w:spacing w:after="0"/>
              <w:rPr>
                <w:sz w:val="20"/>
                <w:szCs w:val="20"/>
                <w:color w:val="auto"/>
              </w:rPr>
            </w:pPr>
            <w:r>
              <w:rPr>
                <w:rFonts w:ascii="Arial" w:cs="Arial" w:eastAsia="Arial" w:hAnsi="Arial"/>
                <w:sz w:val="18"/>
                <w:szCs w:val="18"/>
                <w:color w:val="auto"/>
                <w:w w:val="99"/>
              </w:rPr>
              <w:t>Total Liabilities</w:t>
            </w:r>
          </w:p>
        </w:tc>
        <w:tc>
          <w:tcPr>
            <w:tcW w:w="68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30,145.9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33,117.3</w:t>
            </w:r>
          </w:p>
        </w:tc>
      </w:tr>
      <w:tr>
        <w:trPr>
          <w:trHeight w:val="27"/>
        </w:trPr>
        <w:tc>
          <w:tcPr>
            <w:tcW w:w="812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3"/>
        </w:trPr>
        <w:tc>
          <w:tcPr>
            <w:tcW w:w="1240" w:type="dxa"/>
            <w:vAlign w:val="bottom"/>
            <w:shd w:val="clear" w:color="auto" w:fill="CCEEFF"/>
          </w:tcPr>
          <w:p>
            <w:pPr>
              <w:spacing w:after="0"/>
              <w:rPr>
                <w:sz w:val="19"/>
                <w:szCs w:val="19"/>
                <w:color w:val="auto"/>
              </w:rPr>
            </w:pPr>
          </w:p>
        </w:tc>
        <w:tc>
          <w:tcPr>
            <w:tcW w:w="68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CME Group Shareholders’ Equity:</w:t>
            </w: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81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9"/>
        </w:trPr>
        <w:tc>
          <w:tcPr>
            <w:tcW w:w="81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2"/>
              </w:rPr>
              <w:t>Preferred stock, $0.01 par value, 10,000 shares authorized as of June 30, 2014 and December 31, 2013;</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7"/>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none issued or outstanding</w:t>
            </w:r>
          </w:p>
        </w:tc>
        <w:tc>
          <w:tcPr>
            <w:tcW w:w="2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8120" w:type="dxa"/>
            <w:vAlign w:val="bottom"/>
            <w:gridSpan w:val="2"/>
          </w:tcPr>
          <w:p>
            <w:pPr>
              <w:ind w:left="380"/>
              <w:spacing w:after="0"/>
              <w:rPr>
                <w:sz w:val="20"/>
                <w:szCs w:val="20"/>
                <w:color w:val="auto"/>
              </w:rPr>
            </w:pPr>
            <w:r>
              <w:rPr>
                <w:rFonts w:ascii="Arial" w:cs="Arial" w:eastAsia="Arial" w:hAnsi="Arial"/>
                <w:sz w:val="18"/>
                <w:szCs w:val="18"/>
                <w:color w:val="auto"/>
                <w:w w:val="90"/>
              </w:rPr>
              <w:t>Class A common stock, $0.01 par value, 1,000,000 shares authorized; 334,251 and 333,852 shares issued</w:t>
            </w: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and outstanding as of June 30, 2014 and December 31, 2013, respectively</w:t>
            </w:r>
          </w:p>
        </w:tc>
        <w:tc>
          <w:tcPr>
            <w:tcW w:w="260" w:type="dxa"/>
            <w:vAlign w:val="bottom"/>
          </w:tcPr>
          <w:p>
            <w:pPr>
              <w:spacing w:after="0"/>
              <w:rPr>
                <w:sz w:val="20"/>
                <w:szCs w:val="20"/>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3.3</w:t>
            </w:r>
          </w:p>
        </w:tc>
      </w:tr>
      <w:tr>
        <w:trPr>
          <w:trHeight w:val="27"/>
        </w:trPr>
        <w:tc>
          <w:tcPr>
            <w:tcW w:w="81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9"/>
        </w:trPr>
        <w:tc>
          <w:tcPr>
            <w:tcW w:w="81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1"/>
              </w:rPr>
              <w:t>Class B common stock, $0.01 par value, 3 shares authorized, issued and outstanding as of June 30, 2014</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7"/>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and December 31, 2013</w:t>
            </w:r>
          </w:p>
        </w:tc>
        <w:tc>
          <w:tcPr>
            <w:tcW w:w="2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17,545.6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17,504.9</w:t>
            </w:r>
          </w:p>
        </w:tc>
      </w:tr>
      <w:tr>
        <w:trPr>
          <w:trHeight w:val="27"/>
        </w:trPr>
        <w:tc>
          <w:tcPr>
            <w:tcW w:w="81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Retained earnings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3,709.8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3,494.6</w:t>
            </w: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Accumulated other comprehensive income (loss)</w:t>
            </w: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206.7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152.0</w:t>
            </w:r>
          </w:p>
        </w:tc>
      </w:tr>
      <w:tr>
        <w:trPr>
          <w:trHeight w:val="27"/>
        </w:trPr>
        <w:tc>
          <w:tcPr>
            <w:tcW w:w="812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CME Group shareholders’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21,465.4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21,154.8</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Non-controlling interest</w:t>
            </w:r>
          </w:p>
        </w:tc>
        <w:tc>
          <w:tcPr>
            <w:tcW w:w="2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5.7</w:t>
            </w:r>
          </w:p>
        </w:tc>
      </w:tr>
      <w:tr>
        <w:trPr>
          <w:trHeight w:val="27"/>
        </w:trPr>
        <w:tc>
          <w:tcPr>
            <w:tcW w:w="1240" w:type="dxa"/>
            <w:vAlign w:val="bottom"/>
            <w:tcBorders>
              <w:bottom w:val="single" w:sz="8" w:color="CCEEFF"/>
            </w:tcBorders>
          </w:tcPr>
          <w:p>
            <w:pPr>
              <w:spacing w:after="0"/>
              <w:rPr>
                <w:sz w:val="2"/>
                <w:szCs w:val="2"/>
                <w:color w:val="auto"/>
              </w:rPr>
            </w:pPr>
          </w:p>
        </w:tc>
        <w:tc>
          <w:tcPr>
            <w:tcW w:w="68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1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Equity</w:t>
            </w:r>
          </w:p>
        </w:tc>
        <w:tc>
          <w:tcPr>
            <w:tcW w:w="68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21,465.4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21,160.5</w:t>
            </w: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51,611.3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54,277.8</w:t>
            </w:r>
          </w:p>
        </w:tc>
      </w:tr>
      <w:tr>
        <w:trPr>
          <w:trHeight w:val="27"/>
        </w:trPr>
        <w:tc>
          <w:tcPr>
            <w:tcW w:w="1240" w:type="dxa"/>
            <w:vAlign w:val="bottom"/>
          </w:tcPr>
          <w:p>
            <w:pPr>
              <w:spacing w:after="0"/>
              <w:rPr>
                <w:sz w:val="2"/>
                <w:szCs w:val="2"/>
                <w:color w:val="auto"/>
              </w:rPr>
            </w:pPr>
          </w:p>
        </w:tc>
        <w:tc>
          <w:tcPr>
            <w:tcW w:w="68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124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5" w:right="23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 except per share data; shares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00" w:type="dxa"/>
            <w:vAlign w:val="bottom"/>
            <w:gridSpan w:val="4"/>
          </w:tcPr>
          <w:p>
            <w:pPr>
              <w:jc w:val="right"/>
              <w:ind w:right="511"/>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65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24"/>
                <w:szCs w:val="24"/>
                <w:color w:val="auto"/>
              </w:rPr>
            </w:pPr>
          </w:p>
        </w:tc>
      </w:tr>
      <w:tr>
        <w:trPr>
          <w:trHeight w:val="264"/>
        </w:trPr>
        <w:tc>
          <w:tcPr>
            <w:tcW w:w="65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2013</w:t>
            </w: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Clearing and transaction fees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609.3</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692.5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1,261.5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1,285.7</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 data and information services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89.6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179.0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160.3</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Access and communication fees</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42.1</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46.6</w:t>
            </w:r>
          </w:p>
        </w:tc>
      </w:tr>
      <w:tr>
        <w:trPr>
          <w:trHeight w:val="237"/>
        </w:trPr>
        <w:tc>
          <w:tcPr>
            <w:tcW w:w="6540" w:type="dxa"/>
            <w:vAlign w:val="bottom"/>
          </w:tcPr>
          <w:p>
            <w:pPr>
              <w:ind w:left="40"/>
              <w:spacing w:after="0"/>
              <w:rPr>
                <w:sz w:val="20"/>
                <w:szCs w:val="20"/>
                <w:color w:val="auto"/>
              </w:rPr>
            </w:pPr>
            <w:r>
              <w:rPr>
                <w:rFonts w:ascii="Arial" w:cs="Arial" w:eastAsia="Arial" w:hAnsi="Arial"/>
                <w:sz w:val="18"/>
                <w:szCs w:val="18"/>
                <w:b w:val="1"/>
                <w:bCs w:val="1"/>
                <w:color w:val="auto"/>
              </w:rPr>
              <w:t>Total Revenues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731.6</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816.1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1,509.0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1,534.7</w:t>
            </w:r>
          </w:p>
        </w:tc>
      </w:tr>
      <w:tr>
        <w:trPr>
          <w:trHeight w:val="27"/>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Expenses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Compensation and benefits</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139.7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128.9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275.2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258.3</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Communications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Technology support services</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26.2</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Professional fees and outside services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49.8</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Amortization of purchased intangibles</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51.8</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65.8</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Occupancy and building operations</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37.5</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Licensing and other fee agreements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48.1</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66.4</w:t>
            </w:r>
          </w:p>
        </w:tc>
      </w:tr>
      <w:tr>
        <w:trPr>
          <w:trHeight w:val="27"/>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Expenses</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319.6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308.3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642.5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621.4</w:t>
            </w:r>
          </w:p>
        </w:tc>
      </w:tr>
      <w:tr>
        <w:trPr>
          <w:trHeight w:val="237"/>
        </w:trPr>
        <w:tc>
          <w:tcPr>
            <w:tcW w:w="654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412.0</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507.8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866.5</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913.3</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16"/>
        </w:trPr>
        <w:tc>
          <w:tcPr>
            <w:tcW w:w="6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b w:val="1"/>
                <w:bCs w:val="1"/>
                <w:color w:val="auto"/>
              </w:rPr>
              <w:t>Non-Operating Income (Expense)</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income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Interest and other borrowing costs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(78.2)</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net gains (losses) of unconsolidated subsidiaries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37.7</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Other non-operating income (expense)</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Non-Operating</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r>
      <w:tr>
        <w:trPr>
          <w:trHeight w:val="237"/>
        </w:trPr>
        <w:tc>
          <w:tcPr>
            <w:tcW w:w="654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422.1</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507.5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868.5</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895.1</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158.3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196.2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338.1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346.4</w:t>
            </w:r>
          </w:p>
        </w:tc>
      </w:tr>
      <w:tr>
        <w:trPr>
          <w:trHeight w:val="237"/>
        </w:trPr>
        <w:tc>
          <w:tcPr>
            <w:tcW w:w="654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263.8</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311.3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530.4</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548.7</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net income (loss) attributable to non-controlling interest</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r>
      <w:tr>
        <w:trPr>
          <w:trHeight w:val="237"/>
        </w:trPr>
        <w:tc>
          <w:tcPr>
            <w:tcW w:w="6540" w:type="dxa"/>
            <w:vAlign w:val="bottom"/>
          </w:tcPr>
          <w:p>
            <w:pPr>
              <w:ind w:left="40"/>
              <w:spacing w:after="0"/>
              <w:rPr>
                <w:sz w:val="20"/>
                <w:szCs w:val="20"/>
                <w:color w:val="auto"/>
              </w:rPr>
            </w:pPr>
            <w:r>
              <w:rPr>
                <w:rFonts w:ascii="Arial" w:cs="Arial" w:eastAsia="Arial" w:hAnsi="Arial"/>
                <w:sz w:val="18"/>
                <w:szCs w:val="18"/>
                <w:b w:val="1"/>
                <w:bCs w:val="1"/>
                <w:color w:val="auto"/>
              </w:rPr>
              <w:t>Net Income Attributable to CME Group</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263.8</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311.2</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530.6</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547.0</w:t>
            </w:r>
          </w:p>
        </w:tc>
      </w:tr>
      <w:tr>
        <w:trPr>
          <w:trHeight w:val="67"/>
        </w:trPr>
        <w:tc>
          <w:tcPr>
            <w:tcW w:w="654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r>
      <w:tr>
        <w:trPr>
          <w:trHeight w:val="210"/>
        </w:trPr>
        <w:tc>
          <w:tcPr>
            <w:tcW w:w="6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b w:val="1"/>
                <w:bCs w:val="1"/>
                <w:color w:val="auto"/>
              </w:rPr>
              <w:t>Earnings per Common Share Attributable to CME Group:</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0.79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w:t>
            </w: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0.79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0.93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1.64</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Number of Common Shares: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334,097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w w:val="89"/>
              </w:rPr>
              <w:t>332,341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334,002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332,148</w:t>
            </w:r>
          </w:p>
        </w:tc>
      </w:tr>
      <w:tr>
        <w:trPr>
          <w:trHeight w:val="27"/>
        </w:trPr>
        <w:tc>
          <w:tcPr>
            <w:tcW w:w="6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3"/>
        </w:trPr>
        <w:tc>
          <w:tcPr>
            <w:tcW w:w="6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335,800</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89"/>
              </w:rPr>
              <w:t>334,073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335,705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333,739</w:t>
            </w:r>
          </w:p>
        </w:tc>
      </w:tr>
      <w:tr>
        <w:trPr>
          <w:trHeight w:val="27"/>
        </w:trPr>
        <w:tc>
          <w:tcPr>
            <w:tcW w:w="65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20" w:type="dxa"/>
            <w:vAlign w:val="bottom"/>
            <w:gridSpan w:val="4"/>
          </w:tcPr>
          <w:p>
            <w:pPr>
              <w:jc w:val="right"/>
              <w:ind w:right="631"/>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60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24"/>
                <w:szCs w:val="24"/>
                <w:color w:val="auto"/>
              </w:rPr>
            </w:pPr>
          </w:p>
        </w:tc>
      </w:tr>
      <w:tr>
        <w:trPr>
          <w:trHeight w:val="264"/>
        </w:trPr>
        <w:tc>
          <w:tcPr>
            <w:tcW w:w="60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2013</w:t>
            </w: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263.8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548.7</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Other comprehensive income, net of tax:</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Investment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500"/>
              <w:spacing w:after="0"/>
              <w:rPr>
                <w:sz w:val="20"/>
                <w:szCs w:val="20"/>
                <w:color w:val="auto"/>
              </w:rPr>
            </w:pPr>
            <w:r>
              <w:rPr>
                <w:rFonts w:ascii="Arial" w:cs="Arial" w:eastAsia="Arial" w:hAnsi="Arial"/>
                <w:sz w:val="18"/>
                <w:szCs w:val="18"/>
                <w:color w:val="auto"/>
              </w:rPr>
              <w:t>Net unrealized holding gains (losses) arising during the period</w:t>
            </w: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(118.0)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55.9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(120.9)</w:t>
            </w: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Income tax benefit (expense)</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w:t>
            </w:r>
          </w:p>
        </w:tc>
      </w:tr>
      <w:tr>
        <w:trPr>
          <w:trHeight w:val="237"/>
        </w:trPr>
        <w:tc>
          <w:tcPr>
            <w:tcW w:w="6080" w:type="dxa"/>
            <w:vAlign w:val="bottom"/>
          </w:tcPr>
          <w:p>
            <w:pPr>
              <w:ind w:left="280"/>
              <w:spacing w:after="0"/>
              <w:rPr>
                <w:sz w:val="20"/>
                <w:szCs w:val="20"/>
                <w:color w:val="auto"/>
              </w:rPr>
            </w:pPr>
            <w:r>
              <w:rPr>
                <w:rFonts w:ascii="Arial" w:cs="Arial" w:eastAsia="Arial" w:hAnsi="Arial"/>
                <w:sz w:val="18"/>
                <w:szCs w:val="18"/>
                <w:color w:val="auto"/>
              </w:rPr>
              <w:t>Investment securities, net</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29.5</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(115.0)</w:t>
            </w: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Defined benefit plans:</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500"/>
              <w:spacing w:after="0"/>
              <w:rPr>
                <w:sz w:val="20"/>
                <w:szCs w:val="20"/>
                <w:color w:val="auto"/>
              </w:rPr>
            </w:pPr>
            <w:r>
              <w:rPr>
                <w:rFonts w:ascii="Arial" w:cs="Arial" w:eastAsia="Arial" w:hAnsi="Arial"/>
                <w:sz w:val="18"/>
                <w:szCs w:val="18"/>
                <w:color w:val="auto"/>
              </w:rPr>
              <w:t>Net change in defined benefit plans arising during the period</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1.0</w:t>
            </w: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w w:val="97"/>
              </w:rPr>
              <w:t>Amortization of net actuarial (gains) losses included in pension expense</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r>
      <w:tr>
        <w:trPr>
          <w:trHeight w:val="243"/>
        </w:trPr>
        <w:tc>
          <w:tcPr>
            <w:tcW w:w="6080" w:type="dxa"/>
            <w:vAlign w:val="bottom"/>
          </w:tcPr>
          <w:p>
            <w:pPr>
              <w:ind w:left="500"/>
              <w:spacing w:after="0"/>
              <w:rPr>
                <w:sz w:val="20"/>
                <w:szCs w:val="20"/>
                <w:color w:val="auto"/>
              </w:rPr>
            </w:pPr>
            <w:r>
              <w:rPr>
                <w:rFonts w:ascii="Arial" w:cs="Arial" w:eastAsia="Arial" w:hAnsi="Arial"/>
                <w:sz w:val="18"/>
                <w:szCs w:val="18"/>
                <w:color w:val="auto"/>
              </w:rPr>
              <w:t>Income tax benefit (expense)</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7"/>
        </w:trPr>
        <w:tc>
          <w:tcPr>
            <w:tcW w:w="6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Defined benefit plans, net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r>
      <w:tr>
        <w:trPr>
          <w:trHeight w:val="243"/>
        </w:trPr>
        <w:tc>
          <w:tcPr>
            <w:tcW w:w="6080" w:type="dxa"/>
            <w:vAlign w:val="bottom"/>
          </w:tcPr>
          <w:p>
            <w:pPr>
              <w:ind w:left="280"/>
              <w:spacing w:after="0"/>
              <w:rPr>
                <w:sz w:val="20"/>
                <w:szCs w:val="20"/>
                <w:color w:val="auto"/>
              </w:rPr>
            </w:pPr>
            <w:r>
              <w:rPr>
                <w:rFonts w:ascii="Arial" w:cs="Arial" w:eastAsia="Arial" w:hAnsi="Arial"/>
                <w:sz w:val="18"/>
                <w:szCs w:val="18"/>
                <w:color w:val="auto"/>
              </w:rPr>
              <w:t>Derivative investments:</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unrealized holding gains (losses) arising during the period</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85.3</w:t>
            </w:r>
          </w:p>
        </w:tc>
      </w:tr>
      <w:tr>
        <w:trPr>
          <w:trHeight w:val="229"/>
        </w:trPr>
        <w:tc>
          <w:tcPr>
            <w:tcW w:w="6080" w:type="dxa"/>
            <w:vAlign w:val="bottom"/>
          </w:tcPr>
          <w:p>
            <w:pPr>
              <w:ind w:left="500"/>
              <w:spacing w:after="0"/>
              <w:rPr>
                <w:sz w:val="20"/>
                <w:szCs w:val="20"/>
                <w:color w:val="auto"/>
              </w:rPr>
            </w:pPr>
            <w:r>
              <w:rPr>
                <w:rFonts w:ascii="Arial" w:cs="Arial" w:eastAsia="Arial" w:hAnsi="Arial"/>
                <w:sz w:val="18"/>
                <w:szCs w:val="18"/>
                <w:color w:val="auto"/>
                <w:w w:val="99"/>
              </w:rPr>
              <w:t>Amortization of effective portion of net (gain) loss on cash flow hedges</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6080" w:type="dxa"/>
            <w:vAlign w:val="bottom"/>
          </w:tcPr>
          <w:p>
            <w:pPr>
              <w:ind w:left="500"/>
              <w:spacing w:after="0"/>
              <w:rPr>
                <w:sz w:val="20"/>
                <w:szCs w:val="20"/>
                <w:color w:val="auto"/>
              </w:rPr>
            </w:pPr>
            <w:r>
              <w:rPr>
                <w:rFonts w:ascii="Arial" w:cs="Arial" w:eastAsia="Arial" w:hAnsi="Arial"/>
                <w:sz w:val="18"/>
                <w:szCs w:val="18"/>
                <w:color w:val="auto"/>
              </w:rPr>
              <w:t>included in interest expense</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1.4</w:t>
            </w: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Income tax benefit (expense)</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w:t>
            </w:r>
          </w:p>
        </w:tc>
      </w:tr>
      <w:tr>
        <w:trPr>
          <w:trHeight w:val="237"/>
        </w:trPr>
        <w:tc>
          <w:tcPr>
            <w:tcW w:w="6080" w:type="dxa"/>
            <w:vAlign w:val="bottom"/>
          </w:tcPr>
          <w:p>
            <w:pPr>
              <w:ind w:left="280"/>
              <w:spacing w:after="0"/>
              <w:rPr>
                <w:sz w:val="20"/>
                <w:szCs w:val="20"/>
                <w:color w:val="auto"/>
              </w:rPr>
            </w:pPr>
            <w:r>
              <w:rPr>
                <w:rFonts w:ascii="Arial" w:cs="Arial" w:eastAsia="Arial" w:hAnsi="Arial"/>
                <w:sz w:val="18"/>
                <w:szCs w:val="18"/>
                <w:color w:val="auto"/>
              </w:rPr>
              <w:t>Derivative investments, net</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55.1</w:t>
            </w: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 translation:</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50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3.2</w:t>
            </w: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Income tax benefit (expense)</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7"/>
        </w:trPr>
        <w:tc>
          <w:tcPr>
            <w:tcW w:w="6080" w:type="dxa"/>
            <w:vAlign w:val="bottom"/>
          </w:tcPr>
          <w:p>
            <w:pPr>
              <w:ind w:left="280"/>
              <w:spacing w:after="0"/>
              <w:rPr>
                <w:sz w:val="20"/>
                <w:szCs w:val="20"/>
                <w:color w:val="auto"/>
              </w:rPr>
            </w:pPr>
            <w:r>
              <w:rPr>
                <w:rFonts w:ascii="Arial" w:cs="Arial" w:eastAsia="Arial" w:hAnsi="Arial"/>
                <w:sz w:val="18"/>
                <w:szCs w:val="18"/>
                <w:color w:val="auto"/>
              </w:rPr>
              <w:t>Foreign currency translation, net</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w:t>
            </w:r>
          </w:p>
        </w:tc>
      </w:tr>
      <w:tr>
        <w:trPr>
          <w:trHeight w:val="27"/>
        </w:trPr>
        <w:tc>
          <w:tcPr>
            <w:tcW w:w="6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net of tax</w:t>
            </w: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30.4</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w:t>
            </w:r>
          </w:p>
        </w:tc>
      </w:tr>
      <w:tr>
        <w:trPr>
          <w:trHeight w:val="237"/>
        </w:trPr>
        <w:tc>
          <w:tcPr>
            <w:tcW w:w="608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294.2</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234.5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585.1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492.6</w:t>
            </w: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comprehensive income attributable to non-controlling interests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r>
      <w:tr>
        <w:trPr>
          <w:trHeight w:val="257"/>
        </w:trPr>
        <w:tc>
          <w:tcPr>
            <w:tcW w:w="608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 Attributable to CME Group</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294.2</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234.4</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585.3</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490.9</w:t>
            </w:r>
          </w:p>
        </w:tc>
      </w:tr>
      <w:tr>
        <w:trPr>
          <w:trHeight w:val="20"/>
        </w:trPr>
        <w:tc>
          <w:tcPr>
            <w:tcW w:w="6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 except per share data; shares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10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Class A</w:t>
            </w:r>
          </w:p>
        </w:tc>
        <w:tc>
          <w:tcPr>
            <w:tcW w:w="9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Class B</w:t>
            </w:r>
          </w:p>
        </w:tc>
        <w:tc>
          <w:tcPr>
            <w:tcW w:w="14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Common</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Stock and</w:t>
            </w: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3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7"/>
              </w:rPr>
              <w:t>Total CME Group</w:t>
            </w:r>
          </w:p>
        </w:tc>
        <w:tc>
          <w:tcPr>
            <w:tcW w:w="140" w:type="dxa"/>
            <w:vAlign w:val="bottom"/>
          </w:tcPr>
          <w:p>
            <w:pPr>
              <w:spacing w:after="0"/>
              <w:rPr>
                <w:sz w:val="12"/>
                <w:szCs w:val="12"/>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Common</w:t>
            </w: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Common</w:t>
            </w: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2"/>
                <w:szCs w:val="12"/>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Other</w:t>
            </w:r>
          </w:p>
        </w:tc>
        <w:tc>
          <w:tcPr>
            <w:tcW w:w="13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Stock</w:t>
            </w: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Paid-in</w:t>
            </w: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Controlling</w:t>
            </w:r>
          </w:p>
        </w:tc>
        <w:tc>
          <w:tcPr>
            <w:tcW w:w="120" w:type="dxa"/>
            <w:vAlign w:val="bottom"/>
          </w:tcPr>
          <w:p>
            <w:pPr>
              <w:spacing w:after="0"/>
              <w:rPr>
                <w:sz w:val="12"/>
                <w:szCs w:val="12"/>
                <w:color w:val="auto"/>
              </w:rPr>
            </w:pPr>
          </w:p>
        </w:tc>
        <w:tc>
          <w:tcPr>
            <w:tcW w:w="90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w w:val="94"/>
              </w:rPr>
              <w:t>Total Equity</w:t>
            </w:r>
          </w:p>
        </w:tc>
        <w:tc>
          <w:tcPr>
            <w:tcW w:w="0" w:type="dxa"/>
            <w:vAlign w:val="bottom"/>
          </w:tcPr>
          <w:p>
            <w:pPr>
              <w:spacing w:after="0"/>
              <w:rPr>
                <w:sz w:val="1"/>
                <w:szCs w:val="1"/>
                <w:color w:val="auto"/>
              </w:rPr>
            </w:pPr>
          </w:p>
        </w:tc>
      </w:tr>
      <w:tr>
        <w:trPr>
          <w:trHeight w:val="192"/>
        </w:trPr>
        <w:tc>
          <w:tcPr>
            <w:tcW w:w="22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2"/>
              </w:rPr>
              <w:t>(Shares)</w:t>
            </w:r>
          </w:p>
        </w:tc>
        <w:tc>
          <w:tcPr>
            <w:tcW w:w="9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89"/>
              </w:rPr>
              <w:t>(Shares)</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0"/>
              </w:rPr>
              <w:t>Income (Loss)</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8"/>
              </w:rPr>
              <w:t>Equity</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4"/>
              </w:rPr>
              <w:t>Interest</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2013</w:t>
            </w: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333,852</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17,508.2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3,494.6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152.0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21,154.8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21,160.5</w:t>
            </w:r>
          </w:p>
        </w:tc>
        <w:tc>
          <w:tcPr>
            <w:tcW w:w="0" w:type="dxa"/>
            <w:vAlign w:val="bottom"/>
          </w:tcPr>
          <w:p>
            <w:pPr>
              <w:spacing w:after="0"/>
              <w:rPr>
                <w:sz w:val="1"/>
                <w:szCs w:val="1"/>
                <w:color w:val="auto"/>
              </w:rPr>
            </w:pPr>
          </w:p>
        </w:tc>
      </w:tr>
      <w:tr>
        <w:trPr>
          <w:trHeight w:val="229"/>
        </w:trPr>
        <w:tc>
          <w:tcPr>
            <w:tcW w:w="2200" w:type="dxa"/>
            <w:vAlign w:val="bottom"/>
          </w:tcPr>
          <w:p>
            <w:pPr>
              <w:ind w:left="40"/>
              <w:spacing w:after="0"/>
              <w:rPr>
                <w:sz w:val="20"/>
                <w:szCs w:val="20"/>
                <w:color w:val="auto"/>
              </w:rPr>
            </w:pPr>
            <w:r>
              <w:rPr>
                <w:rFonts w:ascii="Arial" w:cs="Arial" w:eastAsia="Arial" w:hAnsi="Arial"/>
                <w:sz w:val="18"/>
                <w:szCs w:val="18"/>
                <w:color w:val="auto"/>
              </w:rPr>
              <w:t>Net income attributable to</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0" w:type="dxa"/>
            <w:vAlign w:val="bottom"/>
          </w:tcPr>
          <w:p>
            <w:pPr>
              <w:ind w:left="40"/>
              <w:spacing w:after="0"/>
              <w:rPr>
                <w:sz w:val="20"/>
                <w:szCs w:val="20"/>
                <w:color w:val="auto"/>
              </w:rPr>
            </w:pPr>
            <w:r>
              <w:rPr>
                <w:rFonts w:ascii="Arial" w:cs="Arial" w:eastAsia="Arial" w:hAnsi="Arial"/>
                <w:sz w:val="18"/>
                <w:szCs w:val="18"/>
                <w:color w:val="auto"/>
              </w:rPr>
              <w:t>CME Group and non-</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0" w:type="dxa"/>
            <w:vAlign w:val="bottom"/>
          </w:tcPr>
          <w:p>
            <w:pPr>
              <w:ind w:left="40"/>
              <w:spacing w:after="0"/>
              <w:rPr>
                <w:sz w:val="20"/>
                <w:szCs w:val="20"/>
                <w:color w:val="auto"/>
              </w:rPr>
            </w:pPr>
            <w:r>
              <w:rPr>
                <w:rFonts w:ascii="Arial" w:cs="Arial" w:eastAsia="Arial" w:hAnsi="Arial"/>
                <w:sz w:val="18"/>
                <w:szCs w:val="18"/>
                <w:color w:val="auto"/>
              </w:rPr>
              <w:t>controlling interest</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530.6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530.6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530.4</w:t>
            </w: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attributable to</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CME Group</w:t>
            </w: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54.7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54.7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29"/>
        </w:trPr>
        <w:tc>
          <w:tcPr>
            <w:tcW w:w="2200" w:type="dxa"/>
            <w:vAlign w:val="bottom"/>
          </w:tcPr>
          <w:p>
            <w:pPr>
              <w:ind w:left="40"/>
              <w:spacing w:after="0"/>
              <w:rPr>
                <w:sz w:val="20"/>
                <w:szCs w:val="20"/>
                <w:color w:val="auto"/>
              </w:rPr>
            </w:pPr>
            <w:r>
              <w:rPr>
                <w:rFonts w:ascii="Arial" w:cs="Arial" w:eastAsia="Arial" w:hAnsi="Arial"/>
                <w:sz w:val="18"/>
                <w:szCs w:val="18"/>
                <w:color w:val="auto"/>
                <w:w w:val="97"/>
              </w:rPr>
              <w:t>Purchase of non-controlling</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0" w:type="dxa"/>
            <w:vAlign w:val="bottom"/>
          </w:tcPr>
          <w:p>
            <w:pPr>
              <w:ind w:left="40"/>
              <w:spacing w:after="0"/>
              <w:rPr>
                <w:sz w:val="20"/>
                <w:szCs w:val="20"/>
                <w:color w:val="auto"/>
              </w:rPr>
            </w:pPr>
            <w:r>
              <w:rPr>
                <w:rFonts w:ascii="Arial" w:cs="Arial" w:eastAsia="Arial" w:hAnsi="Arial"/>
                <w:sz w:val="18"/>
                <w:szCs w:val="18"/>
                <w:color w:val="auto"/>
              </w:rPr>
              <w:t>interest</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Dividends on common</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of $0.94 per share</w:t>
            </w: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(315.4)</w:t>
            </w:r>
          </w:p>
        </w:tc>
        <w:tc>
          <w:tcPr>
            <w:tcW w:w="0" w:type="dxa"/>
            <w:vAlign w:val="bottom"/>
          </w:tcPr>
          <w:p>
            <w:pPr>
              <w:spacing w:after="0"/>
              <w:rPr>
                <w:sz w:val="1"/>
                <w:szCs w:val="1"/>
                <w:color w:val="auto"/>
              </w:rPr>
            </w:pPr>
          </w:p>
        </w:tc>
      </w:tr>
      <w:tr>
        <w:trPr>
          <w:trHeight w:val="243"/>
        </w:trPr>
        <w:tc>
          <w:tcPr>
            <w:tcW w:w="2200" w:type="dxa"/>
            <w:vAlign w:val="bottom"/>
          </w:tcPr>
          <w:p>
            <w:pPr>
              <w:ind w:left="40"/>
              <w:spacing w:after="0"/>
              <w:rPr>
                <w:sz w:val="20"/>
                <w:szCs w:val="20"/>
                <w:color w:val="auto"/>
              </w:rPr>
            </w:pPr>
            <w:r>
              <w:rPr>
                <w:rFonts w:ascii="Arial" w:cs="Arial" w:eastAsia="Arial" w:hAnsi="Arial"/>
                <w:sz w:val="18"/>
                <w:szCs w:val="18"/>
                <w:color w:val="auto"/>
              </w:rPr>
              <w:t>Exercise of stock options</w:t>
            </w: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7"/>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Excess tax benefits from</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option exercises and</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stock vesting</w:t>
            </w: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9"/>
        </w:trPr>
        <w:tc>
          <w:tcPr>
            <w:tcW w:w="2200" w:type="dxa"/>
            <w:vAlign w:val="bottom"/>
          </w:tcPr>
          <w:p>
            <w:pPr>
              <w:ind w:left="40"/>
              <w:spacing w:after="0"/>
              <w:rPr>
                <w:sz w:val="20"/>
                <w:szCs w:val="20"/>
                <w:color w:val="auto"/>
              </w:rPr>
            </w:pPr>
            <w:r>
              <w:rPr>
                <w:rFonts w:ascii="Arial" w:cs="Arial" w:eastAsia="Arial" w:hAnsi="Arial"/>
                <w:sz w:val="18"/>
                <w:szCs w:val="18"/>
                <w:color w:val="auto"/>
                <w:w w:val="99"/>
              </w:rPr>
              <w:t>Vesting of issued restricted</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0" w:type="dxa"/>
            <w:vAlign w:val="bottom"/>
          </w:tcPr>
          <w:p>
            <w:pPr>
              <w:ind w:left="40"/>
              <w:spacing w:after="0"/>
              <w:rPr>
                <w:sz w:val="20"/>
                <w:szCs w:val="20"/>
                <w:color w:val="auto"/>
              </w:rPr>
            </w:pPr>
            <w:r>
              <w:rPr>
                <w:rFonts w:ascii="Arial" w:cs="Arial" w:eastAsia="Arial" w:hAnsi="Arial"/>
                <w:sz w:val="18"/>
                <w:szCs w:val="18"/>
                <w:color w:val="auto"/>
              </w:rPr>
              <w:t>Class A common stock</w:t>
            </w: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Shares issued to Board of</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Directors</w:t>
            </w: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2200" w:type="dxa"/>
            <w:vAlign w:val="bottom"/>
          </w:tcPr>
          <w:p>
            <w:pPr>
              <w:ind w:left="40"/>
              <w:spacing w:after="0"/>
              <w:rPr>
                <w:sz w:val="20"/>
                <w:szCs w:val="20"/>
                <w:color w:val="auto"/>
              </w:rPr>
            </w:pPr>
            <w:r>
              <w:rPr>
                <w:rFonts w:ascii="Arial" w:cs="Arial" w:eastAsia="Arial" w:hAnsi="Arial"/>
                <w:sz w:val="18"/>
                <w:szCs w:val="18"/>
                <w:color w:val="auto"/>
              </w:rPr>
              <w:t>Shares issued under</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0" w:type="dxa"/>
            <w:vAlign w:val="bottom"/>
          </w:tcPr>
          <w:p>
            <w:pPr>
              <w:ind w:left="40"/>
              <w:spacing w:after="0"/>
              <w:rPr>
                <w:sz w:val="20"/>
                <w:szCs w:val="20"/>
                <w:color w:val="auto"/>
              </w:rPr>
            </w:pPr>
            <w:r>
              <w:rPr>
                <w:rFonts w:ascii="Arial" w:cs="Arial" w:eastAsia="Arial" w:hAnsi="Arial"/>
                <w:sz w:val="18"/>
                <w:szCs w:val="18"/>
                <w:color w:val="auto"/>
              </w:rPr>
              <w:t>Employee Stock Purchase</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0" w:type="dxa"/>
            <w:vAlign w:val="bottom"/>
          </w:tcPr>
          <w:p>
            <w:pPr>
              <w:ind w:left="40"/>
              <w:spacing w:after="0"/>
              <w:rPr>
                <w:sz w:val="20"/>
                <w:szCs w:val="20"/>
                <w:color w:val="auto"/>
              </w:rPr>
            </w:pPr>
            <w:r>
              <w:rPr>
                <w:rFonts w:ascii="Arial" w:cs="Arial" w:eastAsia="Arial" w:hAnsi="Arial"/>
                <w:sz w:val="18"/>
                <w:szCs w:val="18"/>
                <w:color w:val="auto"/>
              </w:rPr>
              <w:t>Plan</w:t>
            </w: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7"/>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Stock-based compensation</w:t>
            </w:r>
          </w:p>
        </w:tc>
        <w:tc>
          <w:tcPr>
            <w:tcW w:w="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37"/>
        </w:trPr>
        <w:tc>
          <w:tcPr>
            <w:tcW w:w="2200" w:type="dxa"/>
            <w:vAlign w:val="bottom"/>
          </w:tcPr>
          <w:p>
            <w:pPr>
              <w:ind w:left="40"/>
              <w:spacing w:after="0"/>
              <w:rPr>
                <w:sz w:val="20"/>
                <w:szCs w:val="20"/>
                <w:color w:val="auto"/>
              </w:rPr>
            </w:pPr>
            <w:r>
              <w:rPr>
                <w:rFonts w:ascii="Arial" w:cs="Arial" w:eastAsia="Arial" w:hAnsi="Arial"/>
                <w:sz w:val="18"/>
                <w:szCs w:val="18"/>
                <w:b w:val="1"/>
                <w:bCs w:val="1"/>
                <w:color w:val="auto"/>
              </w:rPr>
              <w:t>Balance at June 30, 2014</w:t>
            </w:r>
          </w:p>
        </w:tc>
        <w:tc>
          <w:tcPr>
            <w:tcW w:w="92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334,251</w:t>
            </w:r>
          </w:p>
        </w:tc>
        <w:tc>
          <w:tcPr>
            <w:tcW w:w="120" w:type="dxa"/>
            <w:vAlign w:val="bottom"/>
          </w:tcPr>
          <w:p>
            <w:pPr>
              <w:spacing w:after="0"/>
              <w:rPr>
                <w:sz w:val="20"/>
                <w:szCs w:val="20"/>
                <w:color w:val="auto"/>
              </w:rPr>
            </w:pPr>
          </w:p>
        </w:tc>
        <w:tc>
          <w:tcPr>
            <w:tcW w:w="800" w:type="dxa"/>
            <w:vAlign w:val="bottom"/>
            <w:tcBorders>
              <w:top w:val="single" w:sz="8" w:color="auto"/>
            </w:tcBorders>
          </w:tcPr>
          <w:p>
            <w:pPr>
              <w:jc w:val="right"/>
              <w:ind w:right="2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17,548.9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3,709.8</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8"/>
                <w:szCs w:val="18"/>
                <w:color w:val="auto"/>
              </w:rPr>
              <w:t>206.7</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21,465.4</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21,465.4</w:t>
            </w: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 xml:space="preserve">CONSOLIDATED STATEMENTS OF EQUITY </w:t>
      </w:r>
      <w:r>
        <w:rPr>
          <w:rFonts w:ascii="Arial" w:cs="Arial" w:eastAsia="Arial" w:hAnsi="Arial"/>
          <w:sz w:val="18"/>
          <w:szCs w:val="18"/>
          <w:color w:val="auto"/>
        </w:rPr>
        <w:t>(continued)</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(dollars in millions, except per share data; shares in thousands)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10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Class A</w:t>
            </w:r>
          </w:p>
        </w:tc>
        <w:tc>
          <w:tcPr>
            <w:tcW w:w="10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Class B</w:t>
            </w:r>
          </w:p>
        </w:tc>
        <w:tc>
          <w:tcPr>
            <w:tcW w:w="16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Common</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Stock and</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3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9"/>
              </w:rPr>
              <w:t>Total CME Group</w:t>
            </w:r>
          </w:p>
        </w:tc>
        <w:tc>
          <w:tcPr>
            <w:tcW w:w="140" w:type="dxa"/>
            <w:vAlign w:val="bottom"/>
          </w:tcPr>
          <w:p>
            <w:pPr>
              <w:spacing w:after="0"/>
              <w:rPr>
                <w:sz w:val="12"/>
                <w:szCs w:val="12"/>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Non-</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Common</w:t>
            </w: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Common</w:t>
            </w:r>
          </w:p>
        </w:tc>
        <w:tc>
          <w:tcPr>
            <w:tcW w:w="16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2"/>
                <w:szCs w:val="12"/>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Other</w:t>
            </w:r>
          </w:p>
        </w:tc>
        <w:tc>
          <w:tcPr>
            <w:tcW w:w="13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Stock</w:t>
            </w: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Stock</w:t>
            </w:r>
          </w:p>
        </w:tc>
        <w:tc>
          <w:tcPr>
            <w:tcW w:w="16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Controlling</w:t>
            </w:r>
          </w:p>
        </w:tc>
        <w:tc>
          <w:tcPr>
            <w:tcW w:w="120" w:type="dxa"/>
            <w:vAlign w:val="bottom"/>
          </w:tcPr>
          <w:p>
            <w:pPr>
              <w:spacing w:after="0"/>
              <w:rPr>
                <w:sz w:val="12"/>
                <w:szCs w:val="12"/>
                <w:color w:val="auto"/>
              </w:rPr>
            </w:pPr>
          </w:p>
        </w:tc>
        <w:tc>
          <w:tcPr>
            <w:tcW w:w="90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w w:val="92"/>
              </w:rPr>
              <w:t>Total Equity</w:t>
            </w:r>
          </w:p>
        </w:tc>
        <w:tc>
          <w:tcPr>
            <w:tcW w:w="0" w:type="dxa"/>
            <w:vAlign w:val="bottom"/>
          </w:tcPr>
          <w:p>
            <w:pPr>
              <w:spacing w:after="0"/>
              <w:rPr>
                <w:sz w:val="1"/>
                <w:szCs w:val="1"/>
                <w:color w:val="auto"/>
              </w:rPr>
            </w:pPr>
          </w:p>
        </w:tc>
      </w:tr>
      <w:tr>
        <w:trPr>
          <w:trHeight w:val="192"/>
        </w:trPr>
        <w:tc>
          <w:tcPr>
            <w:tcW w:w="2180" w:type="dxa"/>
            <w:vAlign w:val="bottom"/>
          </w:tcPr>
          <w:p>
            <w:pPr>
              <w:spacing w:after="0"/>
              <w:rPr>
                <w:sz w:val="16"/>
                <w:szCs w:val="16"/>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(Shares)</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(Shares)</w:t>
            </w:r>
          </w:p>
        </w:tc>
        <w:tc>
          <w:tcPr>
            <w:tcW w:w="160" w:type="dxa"/>
            <w:vAlign w:val="bottom"/>
          </w:tcPr>
          <w:p>
            <w:pPr>
              <w:spacing w:after="0"/>
              <w:rPr>
                <w:sz w:val="16"/>
                <w:szCs w:val="16"/>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6"/>
                <w:szCs w:val="16"/>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Income (Loss)</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Equity</w:t>
            </w:r>
          </w:p>
        </w:tc>
        <w:tc>
          <w:tcPr>
            <w:tcW w:w="14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Interest</w:t>
            </w: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1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w:t>
            </w: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2012</w:t>
            </w: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331,832</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17,216.4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3,993.4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209.3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21,419.1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21,424.9</w:t>
            </w:r>
          </w:p>
        </w:tc>
        <w:tc>
          <w:tcPr>
            <w:tcW w:w="0" w:type="dxa"/>
            <w:vAlign w:val="bottom"/>
          </w:tcPr>
          <w:p>
            <w:pPr>
              <w:spacing w:after="0"/>
              <w:rPr>
                <w:sz w:val="1"/>
                <w:szCs w:val="1"/>
                <w:color w:val="auto"/>
              </w:rPr>
            </w:pPr>
          </w:p>
        </w:tc>
      </w:tr>
      <w:tr>
        <w:trPr>
          <w:trHeight w:val="229"/>
        </w:trPr>
        <w:tc>
          <w:tcPr>
            <w:tcW w:w="2180" w:type="dxa"/>
            <w:vAlign w:val="bottom"/>
          </w:tcPr>
          <w:p>
            <w:pPr>
              <w:ind w:left="40"/>
              <w:spacing w:after="0"/>
              <w:rPr>
                <w:sz w:val="20"/>
                <w:szCs w:val="20"/>
                <w:color w:val="auto"/>
              </w:rPr>
            </w:pPr>
            <w:r>
              <w:rPr>
                <w:rFonts w:ascii="Arial" w:cs="Arial" w:eastAsia="Arial" w:hAnsi="Arial"/>
                <w:sz w:val="18"/>
                <w:szCs w:val="18"/>
                <w:color w:val="auto"/>
              </w:rPr>
              <w:t>Net income attributable to</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80" w:type="dxa"/>
            <w:vAlign w:val="bottom"/>
          </w:tcPr>
          <w:p>
            <w:pPr>
              <w:ind w:left="40"/>
              <w:spacing w:after="0"/>
              <w:rPr>
                <w:sz w:val="20"/>
                <w:szCs w:val="20"/>
                <w:color w:val="auto"/>
              </w:rPr>
            </w:pPr>
            <w:r>
              <w:rPr>
                <w:rFonts w:ascii="Arial" w:cs="Arial" w:eastAsia="Arial" w:hAnsi="Arial"/>
                <w:sz w:val="18"/>
                <w:szCs w:val="18"/>
                <w:color w:val="auto"/>
              </w:rPr>
              <w:t>CME Group and non-</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80" w:type="dxa"/>
            <w:vAlign w:val="bottom"/>
          </w:tcPr>
          <w:p>
            <w:pPr>
              <w:ind w:left="40"/>
              <w:spacing w:after="0"/>
              <w:rPr>
                <w:sz w:val="20"/>
                <w:szCs w:val="20"/>
                <w:color w:val="auto"/>
              </w:rPr>
            </w:pPr>
            <w:r>
              <w:rPr>
                <w:rFonts w:ascii="Arial" w:cs="Arial" w:eastAsia="Arial" w:hAnsi="Arial"/>
                <w:sz w:val="18"/>
                <w:szCs w:val="18"/>
                <w:color w:val="auto"/>
              </w:rPr>
              <w:t>controlling interest</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6"/>
              <w:spacing w:after="0"/>
              <w:rPr>
                <w:sz w:val="20"/>
                <w:szCs w:val="20"/>
                <w:color w:val="auto"/>
              </w:rPr>
            </w:pPr>
            <w:r>
              <w:rPr>
                <w:rFonts w:ascii="Arial" w:cs="Arial" w:eastAsia="Arial" w:hAnsi="Arial"/>
                <w:sz w:val="18"/>
                <w:szCs w:val="18"/>
                <w:color w:val="auto"/>
              </w:rPr>
              <w:t>547.0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547.0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547.2</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attributable to</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CME Group</w:t>
            </w: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29"/>
        </w:trPr>
        <w:tc>
          <w:tcPr>
            <w:tcW w:w="2180" w:type="dxa"/>
            <w:vAlign w:val="bottom"/>
          </w:tcPr>
          <w:p>
            <w:pPr>
              <w:ind w:left="40"/>
              <w:spacing w:after="0"/>
              <w:rPr>
                <w:sz w:val="20"/>
                <w:szCs w:val="20"/>
                <w:color w:val="auto"/>
              </w:rPr>
            </w:pPr>
            <w:r>
              <w:rPr>
                <w:rFonts w:ascii="Arial" w:cs="Arial" w:eastAsia="Arial" w:hAnsi="Arial"/>
                <w:sz w:val="18"/>
                <w:szCs w:val="18"/>
                <w:color w:val="auto"/>
              </w:rPr>
              <w:t>Dividends on common</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80" w:type="dxa"/>
            <w:vAlign w:val="bottom"/>
          </w:tcPr>
          <w:p>
            <w:pPr>
              <w:ind w:left="40"/>
              <w:spacing w:after="0"/>
              <w:rPr>
                <w:sz w:val="20"/>
                <w:szCs w:val="20"/>
                <w:color w:val="auto"/>
              </w:rPr>
            </w:pPr>
            <w:r>
              <w:rPr>
                <w:rFonts w:ascii="Arial" w:cs="Arial" w:eastAsia="Arial" w:hAnsi="Arial"/>
                <w:sz w:val="18"/>
                <w:szCs w:val="18"/>
                <w:color w:val="auto"/>
              </w:rPr>
              <w:t>stock of $0.90 per share</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(301.2)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(301.2)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(301.2)</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Tax benefits and gain</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related to Index Services</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purchase</w:t>
            </w: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182.3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182.3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182.3</w:t>
            </w:r>
          </w:p>
        </w:tc>
        <w:tc>
          <w:tcPr>
            <w:tcW w:w="0" w:type="dxa"/>
            <w:vAlign w:val="bottom"/>
          </w:tcPr>
          <w:p>
            <w:pPr>
              <w:spacing w:after="0"/>
              <w:rPr>
                <w:sz w:val="1"/>
                <w:szCs w:val="1"/>
                <w:color w:val="auto"/>
              </w:rPr>
            </w:pP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Exercise of stock options</w:t>
            </w: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691</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Excess tax benefits from</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option exercises and</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stock vesting</w:t>
            </w: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2180" w:type="dxa"/>
            <w:vAlign w:val="bottom"/>
          </w:tcPr>
          <w:p>
            <w:pPr>
              <w:ind w:left="40"/>
              <w:spacing w:after="0"/>
              <w:rPr>
                <w:sz w:val="20"/>
                <w:szCs w:val="20"/>
                <w:color w:val="auto"/>
              </w:rPr>
            </w:pPr>
            <w:r>
              <w:rPr>
                <w:rFonts w:ascii="Arial" w:cs="Arial" w:eastAsia="Arial" w:hAnsi="Arial"/>
                <w:sz w:val="18"/>
                <w:szCs w:val="18"/>
                <w:color w:val="auto"/>
                <w:w w:val="98"/>
              </w:rPr>
              <w:t>Vesting of issued restricted</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80" w:type="dxa"/>
            <w:vAlign w:val="bottom"/>
          </w:tcPr>
          <w:p>
            <w:pPr>
              <w:ind w:left="40"/>
              <w:spacing w:after="0"/>
              <w:rPr>
                <w:sz w:val="20"/>
                <w:szCs w:val="20"/>
                <w:color w:val="auto"/>
              </w:rPr>
            </w:pPr>
            <w:r>
              <w:rPr>
                <w:rFonts w:ascii="Arial" w:cs="Arial" w:eastAsia="Arial" w:hAnsi="Arial"/>
                <w:sz w:val="18"/>
                <w:szCs w:val="18"/>
                <w:color w:val="auto"/>
              </w:rPr>
              <w:t>Class A common stock</w:t>
            </w: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Shares issued to Board of</w:t>
            </w: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Directors</w:t>
            </w: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2180" w:type="dxa"/>
            <w:vAlign w:val="bottom"/>
          </w:tcPr>
          <w:p>
            <w:pPr>
              <w:ind w:left="40"/>
              <w:spacing w:after="0"/>
              <w:rPr>
                <w:sz w:val="20"/>
                <w:szCs w:val="20"/>
                <w:color w:val="auto"/>
              </w:rPr>
            </w:pPr>
            <w:r>
              <w:rPr>
                <w:rFonts w:ascii="Arial" w:cs="Arial" w:eastAsia="Arial" w:hAnsi="Arial"/>
                <w:sz w:val="18"/>
                <w:szCs w:val="18"/>
                <w:color w:val="auto"/>
              </w:rPr>
              <w:t>Shares issued under</w:t>
            </w: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180" w:type="dxa"/>
            <w:vAlign w:val="bottom"/>
          </w:tcPr>
          <w:p>
            <w:pPr>
              <w:ind w:left="40"/>
              <w:spacing w:after="0"/>
              <w:rPr>
                <w:sz w:val="20"/>
                <w:szCs w:val="20"/>
                <w:color w:val="auto"/>
              </w:rPr>
            </w:pPr>
            <w:r>
              <w:rPr>
                <w:rFonts w:ascii="Arial" w:cs="Arial" w:eastAsia="Arial" w:hAnsi="Arial"/>
                <w:sz w:val="18"/>
                <w:szCs w:val="18"/>
                <w:color w:val="auto"/>
              </w:rPr>
              <w:t>Employee Stock Purchase</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80" w:type="dxa"/>
            <w:vAlign w:val="bottom"/>
          </w:tcPr>
          <w:p>
            <w:pPr>
              <w:ind w:left="40"/>
              <w:spacing w:after="0"/>
              <w:rPr>
                <w:sz w:val="20"/>
                <w:szCs w:val="20"/>
                <w:color w:val="auto"/>
              </w:rPr>
            </w:pPr>
            <w:r>
              <w:rPr>
                <w:rFonts w:ascii="Arial" w:cs="Arial" w:eastAsia="Arial" w:hAnsi="Arial"/>
                <w:sz w:val="18"/>
                <w:szCs w:val="18"/>
                <w:color w:val="auto"/>
              </w:rPr>
              <w:t>Plan</w:t>
            </w: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Stock-based compensation</w:t>
            </w:r>
          </w:p>
        </w:tc>
        <w:tc>
          <w:tcPr>
            <w:tcW w:w="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37"/>
        </w:trPr>
        <w:tc>
          <w:tcPr>
            <w:tcW w:w="2180" w:type="dxa"/>
            <w:vAlign w:val="bottom"/>
          </w:tcPr>
          <w:p>
            <w:pPr>
              <w:ind w:left="40"/>
              <w:spacing w:after="0"/>
              <w:rPr>
                <w:sz w:val="20"/>
                <w:szCs w:val="20"/>
                <w:color w:val="auto"/>
              </w:rPr>
            </w:pPr>
            <w:r>
              <w:rPr>
                <w:rFonts w:ascii="Arial" w:cs="Arial" w:eastAsia="Arial" w:hAnsi="Arial"/>
                <w:sz w:val="18"/>
                <w:szCs w:val="18"/>
                <w:b w:val="1"/>
                <w:bCs w:val="1"/>
                <w:color w:val="auto"/>
                <w:w w:val="99"/>
              </w:rPr>
              <w:t>Balance at June 30, 2013</w:t>
            </w:r>
          </w:p>
        </w:tc>
        <w:tc>
          <w:tcPr>
            <w:tcW w:w="92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332,601</w:t>
            </w:r>
          </w:p>
        </w:tc>
        <w:tc>
          <w:tcPr>
            <w:tcW w:w="120" w:type="dxa"/>
            <w:vAlign w:val="bottom"/>
          </w:tcPr>
          <w:p>
            <w:pPr>
              <w:spacing w:after="0"/>
              <w:rPr>
                <w:sz w:val="20"/>
                <w:szCs w:val="20"/>
                <w:color w:val="auto"/>
              </w:rPr>
            </w:pPr>
          </w:p>
        </w:tc>
        <w:tc>
          <w:tcPr>
            <w:tcW w:w="920" w:type="dxa"/>
            <w:vAlign w:val="bottom"/>
            <w:tcBorders>
              <w:top w:val="single" w:sz="8" w:color="auto"/>
            </w:tcBorders>
          </w:tcPr>
          <w:p>
            <w:pPr>
              <w:jc w:val="right"/>
              <w:ind w:right="4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17,456.2</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4,239.2</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8"/>
                <w:szCs w:val="18"/>
                <w:color w:val="auto"/>
              </w:rPr>
              <w:t>153.2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21,848.6</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21,854.6</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125" w:right="29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(unaudited)</w:t>
      </w:r>
    </w:p>
    <w:p>
      <w:pPr>
        <w:spacing w:after="0" w:line="148" w:lineRule="exact"/>
        <w:rPr>
          <w:sz w:val="20"/>
          <w:szCs w:val="20"/>
          <w:color w:val="auto"/>
        </w:rPr>
      </w:pPr>
    </w:p>
    <w:p>
      <w:pPr>
        <w:ind w:left="942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ind w:left="976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13335</wp:posOffset>
            </wp:positionV>
            <wp:extent cx="18008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530.4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548.7</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26.4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26.0</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purchased intangibles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51.8</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68.4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65.8</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Undistributed net (gains) losses of unconsolidated subsidiaries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Accounts receivable</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(92.1)</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assets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28.6</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Other assets</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10.2</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Income taxes payable</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35.7</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108.2</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Other liabilities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0.1</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554.7</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768.8</w:t>
            </w:r>
          </w:p>
        </w:tc>
      </w:tr>
      <w:tr>
        <w:trPr>
          <w:trHeight w:val="27"/>
        </w:trPr>
        <w:tc>
          <w:tcPr>
            <w:tcW w:w="8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0"/>
        </w:trPr>
        <w:tc>
          <w:tcPr>
            <w:tcW w:w="8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maturities of available-for-sale marketable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Purchases of available-for-sale marketable securities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(18.3)</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of property</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(55.8)</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Proceeds from sale of building property</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Used in Investing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(56.6)</w:t>
            </w:r>
          </w:p>
        </w:tc>
      </w:tr>
      <w:tr>
        <w:trPr>
          <w:trHeight w:val="210"/>
        </w:trPr>
        <w:tc>
          <w:tcPr>
            <w:tcW w:w="85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Repayment of debt</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dividends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(1,182.1)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(299.8)</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Purchase of non-controlling interest in CME Group Index Holdings LLC</w:t>
            </w: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(80.0)</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exercise of stock options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28.1</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Excess tax benefits related to employee option exercises and restricted stock vesting</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2.1</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Net Cash Used in Financing Activities</w:t>
            </w: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(1,916.8)</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(348.9)</w:t>
            </w:r>
          </w:p>
        </w:tc>
      </w:tr>
      <w:tr>
        <w:trPr>
          <w:trHeight w:val="27"/>
        </w:trPr>
        <w:tc>
          <w:tcPr>
            <w:tcW w:w="8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0"/>
        </w:trPr>
        <w:tc>
          <w:tcPr>
            <w:tcW w:w="8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Net change in cash and cash equivalents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(1,432.4)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363.3</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2,469.7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1,604.7</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End of Period</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1,037.3</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1,968.0</w:t>
            </w:r>
          </w:p>
        </w:tc>
      </w:tr>
      <w:tr>
        <w:trPr>
          <w:trHeight w:val="67"/>
        </w:trPr>
        <w:tc>
          <w:tcPr>
            <w:tcW w:w="858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r>
      <w:tr>
        <w:trPr>
          <w:trHeight w:val="197"/>
        </w:trPr>
        <w:tc>
          <w:tcPr>
            <w:tcW w:w="8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 paid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322.0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312.1</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Interest paid</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66.8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66.9</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Accrued purchase of non-controlling interest</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97"/>
        </w:trPr>
        <w:tc>
          <w:tcPr>
            <w:tcW w:w="8580" w:type="dxa"/>
            <w:vAlign w:val="bottom"/>
          </w:tcPr>
          <w:p>
            <w:pPr>
              <w:spacing w:after="0"/>
              <w:rPr>
                <w:sz w:val="20"/>
                <w:szCs w:val="20"/>
                <w:color w:val="auto"/>
              </w:rPr>
            </w:pPr>
            <w:r>
              <w:rPr>
                <w:rFonts w:ascii="Arial" w:cs="Arial" w:eastAsia="Arial" w:hAnsi="Arial"/>
                <w:sz w:val="18"/>
                <w:szCs w:val="18"/>
                <w:color w:val="auto"/>
              </w:rPr>
              <w:t>See accompanying notes to unaudited consolidated financial statements.</w:t>
            </w: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5" w:right="2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29"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The consolidated financial statements consist of CME Group Inc. (CME Group) and its subsidiaries (collectively, the company), including Chicago Mercantile Exchange Inc. (CME), Board of Trade of the City of Chicago, Inc. (CBOT), New York Mercantile Exchange, Inc. (NYMEX), Commodity Exchange, Inc. (COMEX), and their respective subsidiaries (collectively, the exchange). The consolidated statements also include CME Clearing Europe Limited (CMECE) and CME Europe Limited.</w:t>
      </w:r>
    </w:p>
    <w:p>
      <w:pPr>
        <w:spacing w:after="0" w:line="18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accompanying interim consolidated financial statements have been prepared by CME Group without audit. Certain notes and other information normally included in financial statements prepared in accordance with accounting principles generally accepted in the United States have been condensed or omitted. In the opinion of management, the accompanying consolidated financial statements include all normal recurring adjustments considered necessary to present fairly the financial position of the company at June 30, 2014 and December 31, 2013 and the results of operations and cash flows for the periods indicated. Quarterly results are not necessarily indicative of results for any subsequent period.</w:t>
      </w:r>
    </w:p>
    <w:p>
      <w:pPr>
        <w:spacing w:after="0" w:line="173"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The accompanying consolidated financial statements should be read in conjunction with the consolidated financial statements and notes thereto in CME Group’s Annual Report on Form 10-K for the year ended December 31, 2013, filed with the Securities and Exchange Commission (SEC) on February 28, 2014.</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Performance Bonds and Guaranty Fund Contributions</w:t>
      </w:r>
    </w:p>
    <w:p>
      <w:pPr>
        <w:spacing w:after="0" w:line="22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i w:val="1"/>
          <w:iCs w:val="1"/>
          <w:color w:val="auto"/>
        </w:rPr>
        <w:t xml:space="preserve">Performance Bonds and Guaranty Fund Contributions. </w:t>
      </w:r>
      <w:r>
        <w:rPr>
          <w:rFonts w:ascii="Arial" w:cs="Arial" w:eastAsia="Arial" w:hAnsi="Arial"/>
          <w:sz w:val="16"/>
          <w:szCs w:val="16"/>
          <w:color w:val="auto"/>
        </w:rPr>
        <w:t>At June 30, 2014, performance bonds and guaranty fund contributions in the consolidated balance</w:t>
      </w:r>
      <w:r>
        <w:rPr>
          <w:rFonts w:ascii="Arial" w:cs="Arial" w:eastAsia="Arial" w:hAnsi="Arial"/>
          <w:sz w:val="16"/>
          <w:szCs w:val="16"/>
          <w:i w:val="1"/>
          <w:iCs w:val="1"/>
          <w:color w:val="auto"/>
        </w:rPr>
        <w:t xml:space="preserve"> </w:t>
      </w:r>
      <w:r>
        <w:rPr>
          <w:rFonts w:ascii="Arial" w:cs="Arial" w:eastAsia="Arial" w:hAnsi="Arial"/>
          <w:sz w:val="16"/>
          <w:szCs w:val="16"/>
          <w:color w:val="auto"/>
        </w:rPr>
        <w:t>sheet included performance bond and guaranty fund contributions received in the form of cash, some of which were reinvested by CME in U.S. Treasury securities with maturity dates of 60 days or less. Any interest earned on these U.S. Treasury investments accrues to CME and is included in the consolidated statements of income. Because CME has control of the cash collateral reinvested in U.S. Treasury securities and the benefits and risks of ownership accrue to CME, these performance bonds and guaranty fund contributions are reflected in the consolidated balance sheets. The amortized cost and fair value of the U.S. Treasury securities were both $3.5 billion as of June 30, 2014. The U.S. Treasury securities matured in July 2014.</w:t>
      </w:r>
    </w:p>
    <w:p>
      <w:pPr>
        <w:spacing w:after="0" w:line="16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i w:val="1"/>
          <w:iCs w:val="1"/>
          <w:color w:val="auto"/>
        </w:rPr>
        <w:t xml:space="preserve">Clearing House Contract Settlement. </w:t>
      </w:r>
      <w:r>
        <w:rPr>
          <w:rFonts w:ascii="Arial" w:cs="Arial" w:eastAsia="Arial" w:hAnsi="Arial"/>
          <w:sz w:val="16"/>
          <w:szCs w:val="16"/>
          <w:color w:val="auto"/>
        </w:rPr>
        <w:t>CME and CMECE mark-to-market open positions for all products at least once a day (twice a day for futures and</w:t>
      </w:r>
      <w:r>
        <w:rPr>
          <w:rFonts w:ascii="Arial" w:cs="Arial" w:eastAsia="Arial" w:hAnsi="Arial"/>
          <w:sz w:val="16"/>
          <w:szCs w:val="16"/>
          <w:i w:val="1"/>
          <w:iCs w:val="1"/>
          <w:color w:val="auto"/>
        </w:rPr>
        <w:t xml:space="preserve"> </w:t>
      </w:r>
      <w:r>
        <w:rPr>
          <w:rFonts w:ascii="Arial" w:cs="Arial" w:eastAsia="Arial" w:hAnsi="Arial"/>
          <w:sz w:val="16"/>
          <w:szCs w:val="16"/>
          <w:color w:val="auto"/>
        </w:rPr>
        <w:t>options contracts). Based on values derived from the mark-to-market process, CME and CMECE require payment from clearing firms whose positions have lost value and make payments to clearing firms whose positions have gained value. Under the extremely unlikely scenario of simultaneous default by every clearing firm who has open positions with unrealized losses, the maximum exposure related to positions other than over-the-counter credit default and interest rate swap contracts would be one half day of changes in fair value of all open positions, before considering the clearing houses' ability to access defaulting clearing firms' collateral deposits. For CME's cleared over-the-counter credit default swap and interest rate swap contracts, the maximum exposure related to CME's guarantee would be one full day of changes in fair value of all open positions, before considering CME's ability to access defaulting clearing firms' collateral. During the first six months of 2014, the clearing houses transferred an average of approximately $2.6 billion a day through their clearing systems for settlement from clearing firms whose positions had lost value to clearing firms whose positions had gained value. The clearing houses reduce the guarantee exposure through initial and maintenance performance bond requirements and mandatory guaranty fund contributions. The company believes that the guarantee liability is immaterial and therefore has not recorded any liability at June 30, 2014.</w:t>
      </w: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consisted of the following at June 30, 2014 and December 31, 2013:</w:t>
      </w: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w w:val="94"/>
              </w:rPr>
              <w:t>June 30, 2014</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1"/>
              </w:rPr>
              <w:t>December 31, 2013</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Assigned Value</w:t>
            </w:r>
          </w:p>
        </w:tc>
        <w:tc>
          <w:tcPr>
            <w:tcW w:w="160" w:type="dxa"/>
            <w:vAlign w:val="bottom"/>
          </w:tcPr>
          <w:p>
            <w:pPr>
              <w:spacing w:after="0"/>
              <w:rPr>
                <w:sz w:val="13"/>
                <w:szCs w:val="13"/>
                <w:color w:val="auto"/>
              </w:rPr>
            </w:pPr>
          </w:p>
        </w:tc>
        <w:tc>
          <w:tcPr>
            <w:tcW w:w="1200" w:type="dxa"/>
            <w:vAlign w:val="bottom"/>
            <w:gridSpan w:val="2"/>
          </w:tcPr>
          <w:p>
            <w:pPr>
              <w:jc w:val="right"/>
              <w:ind w:right="340"/>
              <w:spacing w:after="0" w:line="153" w:lineRule="exact"/>
              <w:rPr>
                <w:sz w:val="20"/>
                <w:szCs w:val="20"/>
                <w:color w:val="auto"/>
              </w:rPr>
            </w:pPr>
            <w:r>
              <w:rPr>
                <w:rFonts w:ascii="Arial" w:cs="Arial" w:eastAsia="Arial" w:hAnsi="Arial"/>
                <w:sz w:val="14"/>
                <w:szCs w:val="14"/>
                <w:b w:val="1"/>
                <w:bCs w:val="1"/>
                <w:color w:val="auto"/>
                <w:w w:val="95"/>
              </w:rPr>
              <w:t>Accumulated</w:t>
            </w:r>
          </w:p>
        </w:tc>
        <w:tc>
          <w:tcPr>
            <w:tcW w:w="200" w:type="dxa"/>
            <w:vAlign w:val="bottom"/>
          </w:tcPr>
          <w:p>
            <w:pPr>
              <w:spacing w:after="0"/>
              <w:rPr>
                <w:sz w:val="13"/>
                <w:szCs w:val="13"/>
                <w:color w:val="auto"/>
              </w:rPr>
            </w:pPr>
          </w:p>
        </w:tc>
        <w:tc>
          <w:tcPr>
            <w:tcW w:w="940" w:type="dxa"/>
            <w:vAlign w:val="bottom"/>
          </w:tcPr>
          <w:p>
            <w:pPr>
              <w:jc w:val="right"/>
              <w:ind w:right="214"/>
              <w:spacing w:after="0" w:line="153" w:lineRule="exact"/>
              <w:rPr>
                <w:sz w:val="20"/>
                <w:szCs w:val="20"/>
                <w:color w:val="auto"/>
              </w:rPr>
            </w:pPr>
            <w:r>
              <w:rPr>
                <w:rFonts w:ascii="Arial" w:cs="Arial" w:eastAsia="Arial" w:hAnsi="Arial"/>
                <w:sz w:val="14"/>
                <w:szCs w:val="14"/>
                <w:b w:val="1"/>
                <w:bCs w:val="1"/>
                <w:color w:val="auto"/>
              </w:rPr>
              <w:t>Net Book</w:t>
            </w:r>
          </w:p>
        </w:tc>
        <w:tc>
          <w:tcPr>
            <w:tcW w:w="100" w:type="dxa"/>
            <w:vAlign w:val="bottom"/>
          </w:tcPr>
          <w:p>
            <w:pPr>
              <w:spacing w:after="0"/>
              <w:rPr>
                <w:sz w:val="13"/>
                <w:szCs w:val="13"/>
                <w:color w:val="auto"/>
              </w:rPr>
            </w:pPr>
          </w:p>
        </w:tc>
        <w:tc>
          <w:tcPr>
            <w:tcW w:w="12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Assigned Value</w:t>
            </w:r>
          </w:p>
        </w:tc>
        <w:tc>
          <w:tcPr>
            <w:tcW w:w="160" w:type="dxa"/>
            <w:vAlign w:val="bottom"/>
          </w:tcPr>
          <w:p>
            <w:pPr>
              <w:spacing w:after="0"/>
              <w:rPr>
                <w:sz w:val="13"/>
                <w:szCs w:val="13"/>
                <w:color w:val="auto"/>
              </w:rPr>
            </w:pPr>
          </w:p>
        </w:tc>
        <w:tc>
          <w:tcPr>
            <w:tcW w:w="12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3"/>
                <w:szCs w:val="13"/>
                <w:color w:val="auto"/>
              </w:rPr>
            </w:pPr>
          </w:p>
        </w:tc>
        <w:tc>
          <w:tcPr>
            <w:tcW w:w="940" w:type="dxa"/>
            <w:vAlign w:val="bottom"/>
          </w:tcPr>
          <w:p>
            <w:pPr>
              <w:jc w:val="right"/>
              <w:ind w:right="194"/>
              <w:spacing w:after="0" w:line="153" w:lineRule="exact"/>
              <w:rPr>
                <w:sz w:val="20"/>
                <w:szCs w:val="20"/>
                <w:color w:val="auto"/>
              </w:rPr>
            </w:pPr>
            <w:r>
              <w:rPr>
                <w:rFonts w:ascii="Arial" w:cs="Arial" w:eastAsia="Arial" w:hAnsi="Arial"/>
                <w:sz w:val="14"/>
                <w:szCs w:val="14"/>
                <w:b w:val="1"/>
                <w:bCs w:val="1"/>
                <w:color w:val="auto"/>
              </w:rPr>
              <w:t>Net Book</w:t>
            </w:r>
          </w:p>
        </w:tc>
        <w:tc>
          <w:tcPr>
            <w:tcW w:w="0" w:type="dxa"/>
            <w:vAlign w:val="bottom"/>
          </w:tcPr>
          <w:p>
            <w:pPr>
              <w:spacing w:after="0"/>
              <w:rPr>
                <w:sz w:val="1"/>
                <w:szCs w:val="1"/>
                <w:color w:val="auto"/>
              </w:rPr>
            </w:pPr>
          </w:p>
        </w:tc>
      </w:tr>
      <w:tr>
        <w:trPr>
          <w:trHeight w:val="192"/>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Amortizable Intangible Assets: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40"/>
              <w:spacing w:after="0"/>
              <w:rPr>
                <w:sz w:val="20"/>
                <w:szCs w:val="20"/>
                <w:color w:val="auto"/>
              </w:rPr>
            </w:pPr>
            <w:r>
              <w:rPr>
                <w:rFonts w:ascii="Arial" w:cs="Arial" w:eastAsia="Arial" w:hAnsi="Arial"/>
                <w:sz w:val="18"/>
                <w:szCs w:val="18"/>
                <w:color w:val="auto"/>
              </w:rPr>
              <w:t>Clearing firm, market data and other customer</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40"/>
              <w:spacing w:after="0"/>
              <w:rPr>
                <w:sz w:val="20"/>
                <w:szCs w:val="20"/>
                <w:color w:val="auto"/>
              </w:rPr>
            </w:pPr>
            <w:r>
              <w:rPr>
                <w:rFonts w:ascii="Arial" w:cs="Arial" w:eastAsia="Arial" w:hAnsi="Arial"/>
                <w:sz w:val="18"/>
                <w:szCs w:val="18"/>
                <w:color w:val="auto"/>
              </w:rPr>
              <w:t>relationships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2,838.8</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(611.0)</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2,227.8</w:t>
            </w:r>
          </w:p>
        </w:tc>
        <w:tc>
          <w:tcPr>
            <w:tcW w:w="400" w:type="dxa"/>
            <w:vAlign w:val="bottom"/>
            <w:gridSpan w:val="2"/>
          </w:tcPr>
          <w:p>
            <w:pPr>
              <w:jc w:val="right"/>
              <w:ind w:right="99"/>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2,838.8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(563.2)</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2,275.6</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Lease-related intangibles</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Technology-related intellectual property</w:t>
            </w:r>
          </w:p>
        </w:tc>
        <w:tc>
          <w:tcPr>
            <w:tcW w:w="12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33.8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amortizable intangible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2,875.0</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(634.1)</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CCEEFF"/>
            </w:tcBorders>
          </w:tcPr>
          <w:p>
            <w:pPr>
              <w:spacing w:after="0"/>
              <w:rPr>
                <w:sz w:val="24"/>
                <w:szCs w:val="24"/>
                <w:color w:val="auto"/>
              </w:rPr>
            </w:pPr>
          </w:p>
        </w:tc>
        <w:tc>
          <w:tcPr>
            <w:tcW w:w="940" w:type="dxa"/>
            <w:vAlign w:val="bottom"/>
            <w:tcBorders>
              <w:top w:val="single" w:sz="8" w:color="auto"/>
              <w:bottom w:val="single" w:sz="8" w:color="CCEEFF"/>
            </w:tcBorders>
          </w:tcPr>
          <w:p>
            <w:pPr>
              <w:jc w:val="right"/>
              <w:ind w:right="34"/>
              <w:spacing w:after="0"/>
              <w:rPr>
                <w:sz w:val="20"/>
                <w:szCs w:val="20"/>
                <w:color w:val="auto"/>
              </w:rPr>
            </w:pPr>
            <w:r>
              <w:rPr>
                <w:rFonts w:ascii="Arial" w:cs="Arial" w:eastAsia="Arial" w:hAnsi="Arial"/>
                <w:sz w:val="18"/>
                <w:szCs w:val="18"/>
                <w:color w:val="auto"/>
              </w:rPr>
              <w:t>2,240.9</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2,875.0</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(583.8)</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CCEEFF"/>
            </w:tcBorders>
          </w:tcPr>
          <w:p>
            <w:pPr>
              <w:spacing w:after="0"/>
              <w:rPr>
                <w:sz w:val="24"/>
                <w:szCs w:val="24"/>
                <w:color w:val="auto"/>
              </w:rPr>
            </w:pPr>
          </w:p>
        </w:tc>
        <w:tc>
          <w:tcPr>
            <w:tcW w:w="940" w:type="dxa"/>
            <w:vAlign w:val="bottom"/>
            <w:tcBorders>
              <w:top w:val="single" w:sz="8" w:color="auto"/>
              <w:bottom w:val="single" w:sz="8" w:color="CCEEFF"/>
            </w:tcBorders>
          </w:tcPr>
          <w:p>
            <w:pPr>
              <w:jc w:val="right"/>
              <w:ind w:right="14"/>
              <w:spacing w:after="0"/>
              <w:rPr>
                <w:sz w:val="20"/>
                <w:szCs w:val="20"/>
                <w:color w:val="auto"/>
              </w:rPr>
            </w:pPr>
            <w:r>
              <w:rPr>
                <w:rFonts w:ascii="Arial" w:cs="Arial" w:eastAsia="Arial" w:hAnsi="Arial"/>
                <w:sz w:val="18"/>
                <w:szCs w:val="18"/>
                <w:color w:val="auto"/>
              </w:rPr>
              <w:t>2,291.2</w:t>
            </w:r>
          </w:p>
        </w:tc>
        <w:tc>
          <w:tcPr>
            <w:tcW w:w="0" w:type="dxa"/>
            <w:vAlign w:val="bottom"/>
          </w:tcPr>
          <w:p>
            <w:pPr>
              <w:spacing w:after="0"/>
              <w:rPr>
                <w:sz w:val="1"/>
                <w:szCs w:val="1"/>
                <w:color w:val="auto"/>
              </w:rPr>
            </w:pPr>
          </w:p>
        </w:tc>
      </w:tr>
      <w:tr>
        <w:trPr>
          <w:trHeight w:val="311"/>
        </w:trPr>
        <w:tc>
          <w:tcPr>
            <w:tcW w:w="3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Indefinite-Lived Intangible Assets:</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names</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450.0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color w:val="auto"/>
              </w:rPr>
              <w:t>Total intangible assets – other, net</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2,690.9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2,741.2</w:t>
            </w:r>
          </w:p>
        </w:tc>
        <w:tc>
          <w:tcPr>
            <w:tcW w:w="0" w:type="dxa"/>
            <w:vAlign w:val="bottom"/>
          </w:tcPr>
          <w:p>
            <w:pPr>
              <w:spacing w:after="0"/>
              <w:rPr>
                <w:sz w:val="1"/>
                <w:szCs w:val="1"/>
                <w:color w:val="auto"/>
              </w:rPr>
            </w:pPr>
          </w:p>
        </w:tc>
      </w:tr>
      <w:tr>
        <w:trPr>
          <w:trHeight w:val="67"/>
        </w:trPr>
        <w:tc>
          <w:tcPr>
            <w:tcW w:w="378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6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108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CCEEFF"/>
            </w:tcBorders>
          </w:tcPr>
          <w:p>
            <w:pPr>
              <w:spacing w:after="0"/>
              <w:rPr>
                <w:sz w:val="5"/>
                <w:szCs w:val="5"/>
                <w:color w:val="auto"/>
              </w:rPr>
            </w:pPr>
          </w:p>
        </w:tc>
        <w:tc>
          <w:tcPr>
            <w:tcW w:w="84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110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3780" w:type="dxa"/>
            <w:vAlign w:val="bottom"/>
            <w:tcBorders>
              <w:bottom w:val="single" w:sz="8" w:color="CCEEFF"/>
            </w:tcBorders>
            <w:shd w:val="clear" w:color="auto" w:fill="CCEEFF"/>
          </w:tcPr>
          <w:p>
            <w:pPr>
              <w:ind w:left="40"/>
              <w:spacing w:after="0" w:line="251" w:lineRule="exact"/>
              <w:rPr>
                <w:sz w:val="20"/>
                <w:szCs w:val="20"/>
                <w:color w:val="auto"/>
              </w:rPr>
            </w:pPr>
            <w:r>
              <w:rPr>
                <w:rFonts w:ascii="Arial" w:cs="Arial" w:eastAsia="Arial" w:hAnsi="Arial"/>
                <w:sz w:val="18"/>
                <w:szCs w:val="18"/>
                <w:color w:val="auto"/>
              </w:rPr>
              <w:t>Trading products</w:t>
            </w:r>
            <w:r>
              <w:rPr>
                <w:rFonts w:ascii="Arial" w:cs="Arial" w:eastAsia="Arial" w:hAnsi="Arial"/>
                <w:sz w:val="25"/>
                <w:szCs w:val="25"/>
                <w:color w:val="auto"/>
                <w:vertAlign w:val="superscript"/>
              </w:rPr>
              <w:t>(1)</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17,175.3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17,175.3</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right="20" w:hanging="328"/>
        <w:spacing w:after="0" w:line="25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Trading products represent futures and options products acquired in our business combinations with CBOT Holdings, Inc., NYMEX Holdings, Inc. and The Board of Trade of Kansas City, Missouri, Inc. Clearing and transaction fees revenues are generated through the trading of these products. These trading products, most of which have traded for decades, require authorization from the CFTC. Product authorizations from the CFTC have no term limits.</w:t>
      </w:r>
    </w:p>
    <w:p>
      <w:pPr>
        <w:spacing w:after="0" w:line="18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Total amortization expense for intangible assets was $25.2 million and $25.9 million for the quarters ended June 30, 2014 and 2013, respectively. Total amortization expense for intangible assets was $50.4 million and $51.8 million for the six months ended June 30, 2014 and 2013, respectively. As of June 30, 2014, the future estimated amortization expense related to amortizable intangible assets is expected to be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59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Amortization Expense</w:t>
            </w:r>
          </w:p>
        </w:tc>
      </w:tr>
      <w:tr>
        <w:trPr>
          <w:trHeight w:val="250"/>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Remainder of 2014</w:t>
            </w:r>
          </w:p>
        </w:tc>
        <w:tc>
          <w:tcPr>
            <w:tcW w:w="5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50.4</w:t>
            </w:r>
          </w:p>
        </w:tc>
      </w:tr>
      <w:tr>
        <w:trPr>
          <w:trHeight w:val="243"/>
        </w:trPr>
        <w:tc>
          <w:tcPr>
            <w:tcW w:w="3520" w:type="dxa"/>
            <w:vAlign w:val="bottom"/>
          </w:tcPr>
          <w:p>
            <w:pPr>
              <w:ind w:left="40"/>
              <w:spacing w:after="0"/>
              <w:rPr>
                <w:sz w:val="20"/>
                <w:szCs w:val="20"/>
                <w:color w:val="auto"/>
              </w:rPr>
            </w:pPr>
            <w:r>
              <w:rPr>
                <w:rFonts w:ascii="Arial" w:cs="Arial" w:eastAsia="Arial" w:hAnsi="Arial"/>
                <w:sz w:val="18"/>
                <w:szCs w:val="18"/>
                <w:color w:val="auto"/>
              </w:rPr>
              <w:t>2015</w:t>
            </w:r>
          </w:p>
        </w:tc>
        <w:tc>
          <w:tcPr>
            <w:tcW w:w="5920" w:type="dxa"/>
            <w:vAlign w:val="bottom"/>
          </w:tcPr>
          <w:p>
            <w:pPr>
              <w:spacing w:after="0"/>
              <w:rPr>
                <w:sz w:val="21"/>
                <w:szCs w:val="21"/>
                <w:color w:val="auto"/>
              </w:rPr>
            </w:pPr>
          </w:p>
        </w:tc>
        <w:tc>
          <w:tcPr>
            <w:tcW w:w="1980" w:type="dxa"/>
            <w:vAlign w:val="bottom"/>
          </w:tcPr>
          <w:p>
            <w:pPr>
              <w:jc w:val="right"/>
              <w:ind w:right="12"/>
              <w:spacing w:after="0"/>
              <w:rPr>
                <w:sz w:val="20"/>
                <w:szCs w:val="20"/>
                <w:color w:val="auto"/>
              </w:rPr>
            </w:pPr>
            <w:r>
              <w:rPr>
                <w:rFonts w:ascii="Arial" w:cs="Arial" w:eastAsia="Arial" w:hAnsi="Arial"/>
                <w:sz w:val="18"/>
                <w:szCs w:val="18"/>
                <w:color w:val="auto"/>
              </w:rPr>
              <w:t>100.6</w:t>
            </w:r>
          </w:p>
        </w:tc>
      </w:tr>
      <w:tr>
        <w:trPr>
          <w:trHeight w:val="27"/>
        </w:trPr>
        <w:tc>
          <w:tcPr>
            <w:tcW w:w="352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59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97.2</w:t>
            </w:r>
          </w:p>
        </w:tc>
      </w:tr>
      <w:tr>
        <w:trPr>
          <w:trHeight w:val="243"/>
        </w:trPr>
        <w:tc>
          <w:tcPr>
            <w:tcW w:w="3520" w:type="dxa"/>
            <w:vAlign w:val="bottom"/>
          </w:tcPr>
          <w:p>
            <w:pPr>
              <w:ind w:left="40"/>
              <w:spacing w:after="0"/>
              <w:rPr>
                <w:sz w:val="20"/>
                <w:szCs w:val="20"/>
                <w:color w:val="auto"/>
              </w:rPr>
            </w:pPr>
            <w:r>
              <w:rPr>
                <w:rFonts w:ascii="Arial" w:cs="Arial" w:eastAsia="Arial" w:hAnsi="Arial"/>
                <w:sz w:val="18"/>
                <w:szCs w:val="18"/>
                <w:color w:val="auto"/>
              </w:rPr>
              <w:t>2017</w:t>
            </w:r>
          </w:p>
        </w:tc>
        <w:tc>
          <w:tcPr>
            <w:tcW w:w="5920" w:type="dxa"/>
            <w:vAlign w:val="bottom"/>
          </w:tcPr>
          <w:p>
            <w:pPr>
              <w:spacing w:after="0"/>
              <w:rPr>
                <w:sz w:val="21"/>
                <w:szCs w:val="21"/>
                <w:color w:val="auto"/>
              </w:rPr>
            </w:pPr>
          </w:p>
        </w:tc>
        <w:tc>
          <w:tcPr>
            <w:tcW w:w="1980" w:type="dxa"/>
            <w:vAlign w:val="bottom"/>
          </w:tcPr>
          <w:p>
            <w:pPr>
              <w:jc w:val="right"/>
              <w:ind w:right="12"/>
              <w:spacing w:after="0"/>
              <w:rPr>
                <w:sz w:val="20"/>
                <w:szCs w:val="20"/>
                <w:color w:val="auto"/>
              </w:rPr>
            </w:pPr>
            <w:r>
              <w:rPr>
                <w:rFonts w:ascii="Arial" w:cs="Arial" w:eastAsia="Arial" w:hAnsi="Arial"/>
                <w:sz w:val="18"/>
                <w:szCs w:val="18"/>
                <w:color w:val="auto"/>
              </w:rPr>
              <w:t>96.4</w:t>
            </w:r>
          </w:p>
        </w:tc>
      </w:tr>
      <w:tr>
        <w:trPr>
          <w:trHeight w:val="27"/>
        </w:trPr>
        <w:tc>
          <w:tcPr>
            <w:tcW w:w="352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59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94.7</w:t>
            </w:r>
          </w:p>
        </w:tc>
      </w:tr>
      <w:tr>
        <w:trPr>
          <w:trHeight w:val="243"/>
        </w:trPr>
        <w:tc>
          <w:tcPr>
            <w:tcW w:w="3520" w:type="dxa"/>
            <w:vAlign w:val="bottom"/>
          </w:tcPr>
          <w:p>
            <w:pPr>
              <w:ind w:left="40"/>
              <w:spacing w:after="0"/>
              <w:rPr>
                <w:sz w:val="20"/>
                <w:szCs w:val="20"/>
                <w:color w:val="auto"/>
              </w:rPr>
            </w:pPr>
            <w:r>
              <w:rPr>
                <w:rFonts w:ascii="Arial" w:cs="Arial" w:eastAsia="Arial" w:hAnsi="Arial"/>
                <w:sz w:val="18"/>
                <w:szCs w:val="18"/>
                <w:color w:val="auto"/>
              </w:rPr>
              <w:t>2019</w:t>
            </w:r>
          </w:p>
        </w:tc>
        <w:tc>
          <w:tcPr>
            <w:tcW w:w="5920" w:type="dxa"/>
            <w:vAlign w:val="bottom"/>
          </w:tcPr>
          <w:p>
            <w:pPr>
              <w:spacing w:after="0"/>
              <w:rPr>
                <w:sz w:val="21"/>
                <w:szCs w:val="21"/>
                <w:color w:val="auto"/>
              </w:rPr>
            </w:pPr>
          </w:p>
        </w:tc>
        <w:tc>
          <w:tcPr>
            <w:tcW w:w="1980" w:type="dxa"/>
            <w:vAlign w:val="bottom"/>
          </w:tcPr>
          <w:p>
            <w:pPr>
              <w:jc w:val="right"/>
              <w:ind w:right="12"/>
              <w:spacing w:after="0"/>
              <w:rPr>
                <w:sz w:val="20"/>
                <w:szCs w:val="20"/>
                <w:color w:val="auto"/>
              </w:rPr>
            </w:pPr>
            <w:r>
              <w:rPr>
                <w:rFonts w:ascii="Arial" w:cs="Arial" w:eastAsia="Arial" w:hAnsi="Arial"/>
                <w:sz w:val="18"/>
                <w:szCs w:val="18"/>
                <w:color w:val="auto"/>
              </w:rPr>
              <w:t>94.7</w:t>
            </w:r>
          </w:p>
        </w:tc>
      </w:tr>
      <w:tr>
        <w:trPr>
          <w:trHeight w:val="27"/>
        </w:trPr>
        <w:tc>
          <w:tcPr>
            <w:tcW w:w="352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59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1,706.9</w:t>
            </w:r>
          </w:p>
        </w:tc>
      </w:tr>
      <w:tr>
        <w:trPr>
          <w:trHeight w:val="567"/>
        </w:trPr>
        <w:tc>
          <w:tcPr>
            <w:tcW w:w="3520" w:type="dxa"/>
            <w:vAlign w:val="bottom"/>
          </w:tcPr>
          <w:p>
            <w:pPr>
              <w:spacing w:after="0"/>
              <w:rPr>
                <w:sz w:val="24"/>
                <w:szCs w:val="24"/>
                <w:color w:val="auto"/>
              </w:rPr>
            </w:pPr>
          </w:p>
        </w:tc>
        <w:tc>
          <w:tcPr>
            <w:tcW w:w="5920" w:type="dxa"/>
            <w:vAlign w:val="bottom"/>
          </w:tcPr>
          <w:p>
            <w:pPr>
              <w:jc w:val="right"/>
              <w:ind w:right="3550"/>
              <w:spacing w:after="0"/>
              <w:rPr>
                <w:sz w:val="20"/>
                <w:szCs w:val="20"/>
                <w:color w:val="auto"/>
              </w:rPr>
            </w:pPr>
            <w:r>
              <w:rPr>
                <w:rFonts w:ascii="Arial" w:cs="Arial" w:eastAsia="Arial" w:hAnsi="Arial"/>
                <w:sz w:val="18"/>
                <w:szCs w:val="18"/>
                <w:color w:val="auto"/>
              </w:rPr>
              <w:t>12</w:t>
            </w:r>
          </w:p>
        </w:tc>
        <w:tc>
          <w:tcPr>
            <w:tcW w:w="19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Short-term debt consisted of the following at June 30, 2014 and December 31, 2013:</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June 30, 2014</w:t>
            </w: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5"/>
              </w:rPr>
              <w:t>December 31, 2013</w:t>
            </w:r>
          </w:p>
        </w:tc>
        <w:tc>
          <w:tcPr>
            <w:tcW w:w="0" w:type="dxa"/>
            <w:vAlign w:val="bottom"/>
          </w:tcPr>
          <w:p>
            <w:pPr>
              <w:spacing w:after="0"/>
              <w:rPr>
                <w:sz w:val="1"/>
                <w:szCs w:val="1"/>
                <w:color w:val="auto"/>
              </w:rPr>
            </w:pPr>
          </w:p>
        </w:tc>
      </w:tr>
      <w:tr>
        <w:trPr>
          <w:trHeight w:val="270"/>
        </w:trPr>
        <w:tc>
          <w:tcPr>
            <w:tcW w:w="8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$750.0 million fixed rate notes due February 2014, stated rate of 5.75%</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749.9</w:t>
            </w:r>
          </w:p>
        </w:tc>
        <w:tc>
          <w:tcPr>
            <w:tcW w:w="0" w:type="dxa"/>
            <w:vAlign w:val="bottom"/>
          </w:tcPr>
          <w:p>
            <w:pPr>
              <w:spacing w:after="0"/>
              <w:rPr>
                <w:sz w:val="1"/>
                <w:szCs w:val="1"/>
                <w:color w:val="auto"/>
              </w:rPr>
            </w:pPr>
          </w:p>
        </w:tc>
      </w:tr>
      <w:tr>
        <w:trPr>
          <w:trHeight w:val="257"/>
        </w:trPr>
        <w:tc>
          <w:tcPr>
            <w:tcW w:w="8020" w:type="dxa"/>
            <w:vAlign w:val="bottom"/>
          </w:tcPr>
          <w:p>
            <w:pPr>
              <w:ind w:left="40"/>
              <w:spacing w:after="0"/>
              <w:rPr>
                <w:sz w:val="20"/>
                <w:szCs w:val="20"/>
                <w:color w:val="auto"/>
              </w:rPr>
            </w:pPr>
            <w:r>
              <w:rPr>
                <w:rFonts w:ascii="Arial" w:cs="Arial" w:eastAsia="Arial" w:hAnsi="Arial"/>
                <w:sz w:val="18"/>
                <w:szCs w:val="18"/>
                <w:color w:val="auto"/>
              </w:rPr>
              <w:t>Total short-term debt</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749.9</w:t>
            </w:r>
          </w:p>
        </w:tc>
        <w:tc>
          <w:tcPr>
            <w:tcW w:w="0" w:type="dxa"/>
            <w:vAlign w:val="bottom"/>
          </w:tcPr>
          <w:p>
            <w:pPr>
              <w:spacing w:after="0"/>
              <w:rPr>
                <w:sz w:val="1"/>
                <w:szCs w:val="1"/>
                <w:color w:val="auto"/>
              </w:rPr>
            </w:pPr>
          </w:p>
        </w:tc>
      </w:tr>
      <w:tr>
        <w:trPr>
          <w:trHeight w:val="20"/>
        </w:trPr>
        <w:tc>
          <w:tcPr>
            <w:tcW w:w="8020" w:type="dxa"/>
            <w:vAlign w:val="bottom"/>
            <w:vMerge w:val="restart"/>
          </w:tcPr>
          <w:p>
            <w:pPr>
              <w:spacing w:after="0"/>
              <w:rPr>
                <w:sz w:val="20"/>
                <w:szCs w:val="20"/>
                <w:color w:val="auto"/>
              </w:rPr>
            </w:pPr>
            <w:r>
              <w:rPr>
                <w:rFonts w:ascii="Arial" w:cs="Arial" w:eastAsia="Arial" w:hAnsi="Arial"/>
                <w:sz w:val="18"/>
                <w:szCs w:val="18"/>
                <w:color w:val="auto"/>
              </w:rPr>
              <w:t>Long-term debt consisted of the following at June 30, 2014 and December 31, 2013:</w:t>
            </w: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0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8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June 30, 2014</w:t>
            </w: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5"/>
              </w:rPr>
              <w:t>December 31, 2013</w:t>
            </w:r>
          </w:p>
        </w:tc>
        <w:tc>
          <w:tcPr>
            <w:tcW w:w="0" w:type="dxa"/>
            <w:vAlign w:val="bottom"/>
          </w:tcPr>
          <w:p>
            <w:pPr>
              <w:spacing w:after="0"/>
              <w:rPr>
                <w:sz w:val="1"/>
                <w:szCs w:val="1"/>
                <w:color w:val="auto"/>
              </w:rPr>
            </w:pPr>
          </w:p>
        </w:tc>
      </w:tr>
      <w:tr>
        <w:trPr>
          <w:trHeight w:val="270"/>
        </w:trPr>
        <w:tc>
          <w:tcPr>
            <w:tcW w:w="80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$612.5 million fixed rate notes due March 2018, stated rate of 4.40%</w:t>
            </w:r>
            <w:r>
              <w:rPr>
                <w:rFonts w:ascii="Arial" w:cs="Arial" w:eastAsia="Arial" w:hAnsi="Arial"/>
                <w:sz w:val="25"/>
                <w:szCs w:val="25"/>
                <w:color w:val="auto"/>
                <w:vertAlign w:val="superscript"/>
              </w:rPr>
              <w:t>(1)</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610.7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610.5</w:t>
            </w:r>
          </w:p>
        </w:tc>
        <w:tc>
          <w:tcPr>
            <w:tcW w:w="0" w:type="dxa"/>
            <w:vAlign w:val="bottom"/>
          </w:tcPr>
          <w:p>
            <w:pPr>
              <w:spacing w:after="0"/>
              <w:rPr>
                <w:sz w:val="1"/>
                <w:szCs w:val="1"/>
                <w:color w:val="auto"/>
              </w:rPr>
            </w:pPr>
          </w:p>
        </w:tc>
      </w:tr>
      <w:tr>
        <w:trPr>
          <w:trHeight w:val="270"/>
        </w:trPr>
        <w:tc>
          <w:tcPr>
            <w:tcW w:w="80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$750.0 million fixed rate notes due September 2022, stated rate of 3.00% </w:t>
            </w:r>
            <w:r>
              <w:rPr>
                <w:rFonts w:ascii="Arial" w:cs="Arial" w:eastAsia="Arial" w:hAnsi="Arial"/>
                <w:sz w:val="25"/>
                <w:szCs w:val="25"/>
                <w:color w:val="auto"/>
                <w:vertAlign w:val="superscript"/>
              </w:rPr>
              <w:t>(2)</w:t>
            </w:r>
          </w:p>
        </w:tc>
        <w:tc>
          <w:tcPr>
            <w:tcW w:w="240" w:type="dxa"/>
            <w:vAlign w:val="bottom"/>
          </w:tcPr>
          <w:p>
            <w:pPr>
              <w:spacing w:after="0"/>
              <w:rPr>
                <w:sz w:val="23"/>
                <w:szCs w:val="23"/>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748.1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748.0</w:t>
            </w:r>
          </w:p>
        </w:tc>
        <w:tc>
          <w:tcPr>
            <w:tcW w:w="0" w:type="dxa"/>
            <w:vAlign w:val="bottom"/>
          </w:tcPr>
          <w:p>
            <w:pPr>
              <w:spacing w:after="0"/>
              <w:rPr>
                <w:sz w:val="1"/>
                <w:szCs w:val="1"/>
                <w:color w:val="auto"/>
              </w:rPr>
            </w:pPr>
          </w:p>
        </w:tc>
      </w:tr>
      <w:tr>
        <w:trPr>
          <w:trHeight w:val="270"/>
        </w:trPr>
        <w:tc>
          <w:tcPr>
            <w:tcW w:w="80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$750.0 million fixed rates notes due September 2043, stated rate of 5.30% </w:t>
            </w:r>
            <w:r>
              <w:rPr>
                <w:rFonts w:ascii="Arial" w:cs="Arial" w:eastAsia="Arial" w:hAnsi="Arial"/>
                <w:sz w:val="25"/>
                <w:szCs w:val="25"/>
                <w:color w:val="auto"/>
                <w:vertAlign w:val="superscript"/>
              </w:rPr>
              <w:t>(3)</w:t>
            </w:r>
          </w:p>
        </w:tc>
        <w:tc>
          <w:tcPr>
            <w:tcW w:w="2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748.7</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748.7</w:t>
            </w:r>
          </w:p>
        </w:tc>
        <w:tc>
          <w:tcPr>
            <w:tcW w:w="0" w:type="dxa"/>
            <w:vAlign w:val="bottom"/>
          </w:tcPr>
          <w:p>
            <w:pPr>
              <w:spacing w:after="0"/>
              <w:rPr>
                <w:sz w:val="1"/>
                <w:szCs w:val="1"/>
                <w:color w:val="auto"/>
              </w:rPr>
            </w:pPr>
          </w:p>
        </w:tc>
      </w:tr>
      <w:tr>
        <w:trPr>
          <w:trHeight w:val="237"/>
        </w:trPr>
        <w:tc>
          <w:tcPr>
            <w:tcW w:w="8020" w:type="dxa"/>
            <w:vAlign w:val="bottom"/>
          </w:tcPr>
          <w:p>
            <w:pPr>
              <w:ind w:left="40"/>
              <w:spacing w:after="0"/>
              <w:rPr>
                <w:sz w:val="20"/>
                <w:szCs w:val="20"/>
                <w:color w:val="auto"/>
              </w:rPr>
            </w:pPr>
            <w:r>
              <w:rPr>
                <w:rFonts w:ascii="Arial" w:cs="Arial" w:eastAsia="Arial" w:hAnsi="Arial"/>
                <w:sz w:val="18"/>
                <w:szCs w:val="18"/>
                <w:color w:val="auto"/>
              </w:rPr>
              <w:t>Total long-term debt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2,107.5</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2,107.2</w:t>
            </w:r>
          </w:p>
        </w:tc>
        <w:tc>
          <w:tcPr>
            <w:tcW w:w="0" w:type="dxa"/>
            <w:vAlign w:val="bottom"/>
          </w:tcPr>
          <w:p>
            <w:pPr>
              <w:spacing w:after="0"/>
              <w:rPr>
                <w:sz w:val="1"/>
                <w:szCs w:val="1"/>
                <w:color w:val="auto"/>
              </w:rPr>
            </w:pPr>
          </w:p>
        </w:tc>
      </w:tr>
      <w:tr>
        <w:trPr>
          <w:trHeight w:val="27"/>
        </w:trPr>
        <w:tc>
          <w:tcPr>
            <w:tcW w:w="80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February 2010, CME Group entered into a forward-starting interest rate swap agreement that modified the interest obligation associated with these notes so that the interest payable on the notes effectively became fixed at a rate of 4.46%.</w:t>
      </w:r>
    </w:p>
    <w:p>
      <w:pPr>
        <w:spacing w:after="0" w:line="170"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August 2012, CME Group entered into a forward-starting interest rate swap agreement that modified the interest obligation associated with these notes so that the interest payable on the notes effectively became fixed at a rate of 3.32%.</w:t>
      </w:r>
    </w:p>
    <w:p>
      <w:pPr>
        <w:spacing w:after="0" w:line="170"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August 2012, CME Group entered into a forward-starting interest rate swap agreement that modified the interest obligation associated with these notes so that the interest payable on the notes effectively became fixed at a rate of 4.73%.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Long-term debt maturities, at par value, were as follows as of June 30, 2014:</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49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Par Value</w:t>
            </w: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4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2016</w:t>
            </w:r>
          </w:p>
        </w:tc>
        <w:tc>
          <w:tcPr>
            <w:tcW w:w="49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48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49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2018</w:t>
            </w:r>
          </w:p>
        </w:tc>
        <w:tc>
          <w:tcPr>
            <w:tcW w:w="49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612.5</w:t>
            </w:r>
          </w:p>
        </w:tc>
      </w:tr>
      <w:tr>
        <w:trPr>
          <w:trHeight w:val="27"/>
        </w:trPr>
        <w:tc>
          <w:tcPr>
            <w:tcW w:w="548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49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49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1,500.0</w:t>
            </w:r>
          </w:p>
        </w:tc>
      </w:tr>
    </w:tbl>
    <w:p>
      <w:pPr>
        <w:spacing w:after="0" w:line="283"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The fair value of the fixed rate notes due 2018, which is considered a level 3 liability under the classification hierarchy for fair value measurements, was derived using a standard valuation model with market-based observable inputs including U.S. Treasury yields and interest rate spreads. The fair values of the fixed rate notes due 2022 and 2043 were estimated using quoted market prices and are considered level 2 liabilities. For further information on the three-level classification hierarchy of fair value measurements, see note 8. At June 30, 2014, the fair values of the fixed rate notes by maturity date were as follows: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25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7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$612.5 million fixed rate notes due March 2018, stated rate of 4.40%</w:t>
            </w:r>
          </w:p>
        </w:tc>
        <w:tc>
          <w:tcPr>
            <w:tcW w:w="2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660.9</w:t>
            </w:r>
          </w:p>
        </w:tc>
      </w:tr>
      <w:tr>
        <w:trPr>
          <w:trHeight w:val="243"/>
        </w:trPr>
        <w:tc>
          <w:tcPr>
            <w:tcW w:w="7720" w:type="dxa"/>
            <w:vAlign w:val="bottom"/>
          </w:tcPr>
          <w:p>
            <w:pPr>
              <w:ind w:left="40"/>
              <w:spacing w:after="0"/>
              <w:rPr>
                <w:sz w:val="20"/>
                <w:szCs w:val="20"/>
                <w:color w:val="auto"/>
              </w:rPr>
            </w:pPr>
            <w:r>
              <w:rPr>
                <w:rFonts w:ascii="Arial" w:cs="Arial" w:eastAsia="Arial" w:hAnsi="Arial"/>
                <w:sz w:val="18"/>
                <w:szCs w:val="18"/>
                <w:color w:val="auto"/>
              </w:rPr>
              <w:t>$750.0 million fixed rate notes due September 2022, stated rate of 3.00%</w:t>
            </w:r>
          </w:p>
        </w:tc>
        <w:tc>
          <w:tcPr>
            <w:tcW w:w="258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742.6</w:t>
            </w:r>
          </w:p>
        </w:tc>
      </w:tr>
      <w:tr>
        <w:trPr>
          <w:trHeight w:val="27"/>
        </w:trPr>
        <w:tc>
          <w:tcPr>
            <w:tcW w:w="77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7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$750.0 million fixed rates notes due September 2043, stated rate of 5.30%</w:t>
            </w:r>
          </w:p>
        </w:tc>
        <w:tc>
          <w:tcPr>
            <w:tcW w:w="258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862.9</w:t>
            </w:r>
          </w:p>
        </w:tc>
      </w:tr>
      <w:tr>
        <w:trPr>
          <w:trHeight w:val="27"/>
        </w:trPr>
        <w:tc>
          <w:tcPr>
            <w:tcW w:w="7720" w:type="dxa"/>
            <w:vAlign w:val="bottom"/>
            <w:shd w:val="clear" w:color="auto" w:fill="CCEEFF"/>
          </w:tcPr>
          <w:p>
            <w:pPr>
              <w:spacing w:after="0"/>
              <w:rPr>
                <w:sz w:val="2"/>
                <w:szCs w:val="2"/>
                <w:color w:val="auto"/>
              </w:rPr>
            </w:pPr>
          </w:p>
        </w:tc>
        <w:tc>
          <w:tcPr>
            <w:tcW w:w="25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Contingencies</w:t>
      </w:r>
    </w:p>
    <w:p>
      <w:pPr>
        <w:spacing w:after="0" w:line="22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i w:val="1"/>
          <w:iCs w:val="1"/>
          <w:color w:val="auto"/>
        </w:rPr>
        <w:t xml:space="preserve">Legal and Regulatory Matters. </w:t>
      </w:r>
      <w:r>
        <w:rPr>
          <w:rFonts w:ascii="Arial" w:cs="Arial" w:eastAsia="Arial" w:hAnsi="Arial"/>
          <w:sz w:val="17"/>
          <w:szCs w:val="17"/>
          <w:color w:val="auto"/>
        </w:rPr>
        <w:t>In 2008, Fifth Market, Inc. (Fifth Market) filed a complaint against CME Group and CME in the Delaware District Court</w:t>
      </w:r>
      <w:r>
        <w:rPr>
          <w:rFonts w:ascii="Arial" w:cs="Arial" w:eastAsia="Arial" w:hAnsi="Arial"/>
          <w:sz w:val="17"/>
          <w:szCs w:val="17"/>
          <w:i w:val="1"/>
          <w:iCs w:val="1"/>
          <w:color w:val="auto"/>
        </w:rPr>
        <w:t xml:space="preserve"> </w:t>
      </w:r>
      <w:r>
        <w:rPr>
          <w:rFonts w:ascii="Arial" w:cs="Arial" w:eastAsia="Arial" w:hAnsi="Arial"/>
          <w:sz w:val="17"/>
          <w:szCs w:val="17"/>
          <w:color w:val="auto"/>
        </w:rPr>
        <w:t>seeking a permanent injunction against CME's Globex system and unquantified enhanced damages for what the plaintiff alleges is willful infringement of two patents, in addition to costs, expenses and attorneys' fees. The case was stayed pending the outcome of CME's request for reexamination by the U.S. Patent and Trademark Office (USPTO). The reexaminations resulted in some claims being rejected and others being confirmed. In June 2013, the court lifted the stay. The validity of the patents, however, remains subject to further review by the USPTO. Based on its investigation to date and advice from legal counsel, the company believes this suit is without merit and intends to defend itself vigorously against these charges.</w:t>
      </w:r>
    </w:p>
    <w:p>
      <w:pPr>
        <w:sectPr>
          <w:pgSz w:w="11900" w:h="16838" w:orient="portrait"/>
          <w:cols w:equalWidth="0" w:num="1">
            <w:col w:w="11420"/>
          </w:cols>
          <w:pgMar w:left="240" w:top="125" w:right="239" w:bottom="1440" w:gutter="0" w:footer="0" w:header="0"/>
        </w:sect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5" w:right="2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2009, CME and CBOT filed a complaint against Howard Garber in the Northern District of Illinois seeking a declaratory judgment that neither CME nor CBOT infringed the Garber patent, which relates to electronic market makers, and that the patent is invalid and unenforceable. The Technology Research Group (TRG) was substituted for Mr. Garber in 2009 and TRG filed counterclaims alleging patent infringement and other related claims. In 2011, the case was dismissed with the right to reinstate pending the outcome of a reexamination by the USPTO. In August and October 2013, the USPTO issued actions resulting in the rejection of all TRG’s claims completing the reexamination process. In January 2014, TRG appealed the decision of the USPTO. Based on its investigation to date and advice from legal counsel, the company believes this suit is without merit and intends to defend itself vigorously against these charges.</w:t>
      </w:r>
    </w:p>
    <w:p>
      <w:pPr>
        <w:spacing w:after="0" w:line="13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foregoing legal matters involve alleged infringements of intellectual property which, due to their nature, involve potential liability that is uncertain, difficult to quantify and involves a wide range of potential outcomes. The company believes that the matters are without merit, and the company intends to defend itself vigorously against the claims. We expect the re-examinations by the USPTO in the Fifth Market and Garber matters, including any appeals thereof, to result in a determination of the validity of the patents at issue which we expect will have an impact on the merits of the matters. Given the uncertainty of factors which may potentially impact the resolution of these matters, at this time the company is unable to estimate the reasonably possible loss or range of reasonably possible loss in the unlikely event it were found to be liable at trial in these matters.</w:t>
      </w:r>
    </w:p>
    <w:p>
      <w:pPr>
        <w:spacing w:after="0" w:line="124"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A number of lawsuits were filed in federal court in New York on behalf of all commodity account holders or customers of MF Global who had not received a return of 100% of their funds. These matters have been consolidated into a single action in federal court in New York, and a consolidated amended class action complaint was filed on November 5, 2012. On November 6, 2013, CME announced that it has reached an agreement in principle to resolve the class action litigation. In an agreement between the trustee and CME, CME will be allowed to assert a $29.0 million claim against MF Global based on expenses incurred by CME as a result of MF Global’s bankruptcy. In a separate agreement between CME and the customer representatives, CME has agreed to deliver $14.5 million, one-half of the distribution that it will receive from the trustee, to the customer representatives for distribution to MF Global’s former customers. In connection with the settlements between the company and the trustee and the customers, the company’s $550.0 million financial guarantee to the bankruptcy trustee to cover any shortfall in the bankruptcy has been extinguished.</w:t>
      </w:r>
    </w:p>
    <w:p>
      <w:pPr>
        <w:spacing w:after="0" w:line="125"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In February 2013, the CFTC filed suit against NYMEX and two former employees alleging disclosure of confidential customer information in violation of the Commodity Exchange Act. Based on the initial review of the complaint, the company believes that it has strong factual and legal defenses to the claim.</w:t>
      </w:r>
    </w:p>
    <w:p>
      <w:pPr>
        <w:spacing w:after="0" w:line="70"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In the normal course of business, the company discusses matters with its regulators raised during regulatory examinations or otherwise subject to their inquiry and oversight. These matters could result in censures, fines, penalties or other sanctions. Management believes the outcome of any resulting actions will not have a material impact on its consolidated financial position or results of operations. However, the company is unable to predict the outcome or the timing of the ultimate resolution of these matters, or the potential fines, penalties or injunctive or other equitable relief, if any, that may result from these matters.</w:t>
      </w:r>
    </w:p>
    <w:p>
      <w:pPr>
        <w:spacing w:after="0" w:line="10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addition, the company is a defendant in, and has potential for, various other legal proceedings arising from its regular business activities. While the ultimate results of such proceedings against the company cannot be predicted with certainty, the company believes that the resolution of any of these matters on an individual basis will not have a material impact on its consolidated financial position or results of operations.</w:t>
      </w:r>
    </w:p>
    <w:p>
      <w:pPr>
        <w:spacing w:after="0" w:line="13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At June 30, 2014 and December 31, 2013, the company had accrued $4.3 million and $11.3 million, respectively, for legal and regulatory matters that were probable and estimable.</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Intellectual Property Indemnifications. </w:t>
      </w:r>
      <w:r>
        <w:rPr>
          <w:rFonts w:ascii="Arial" w:cs="Arial" w:eastAsia="Arial" w:hAnsi="Arial"/>
          <w:sz w:val="18"/>
          <w:szCs w:val="18"/>
          <w:color w:val="auto"/>
        </w:rPr>
        <w:t>Certain agreements with customers and other third parties related to accessing the CME platforms; utilizing market</w:t>
      </w:r>
      <w:r>
        <w:rPr>
          <w:rFonts w:ascii="Arial" w:cs="Arial" w:eastAsia="Arial" w:hAnsi="Arial"/>
          <w:sz w:val="18"/>
          <w:szCs w:val="18"/>
          <w:i w:val="1"/>
          <w:iCs w:val="1"/>
          <w:color w:val="auto"/>
        </w:rPr>
        <w:t xml:space="preserve"> </w:t>
      </w:r>
      <w:r>
        <w:rPr>
          <w:rFonts w:ascii="Arial" w:cs="Arial" w:eastAsia="Arial" w:hAnsi="Arial"/>
          <w:sz w:val="18"/>
          <w:szCs w:val="18"/>
          <w:color w:val="auto"/>
        </w:rPr>
        <w:t>data services; and licensing CME SPAN software may contain indemnifications from intellectual property claims that may be made against them as a result of their use of the applicable products and/or services. The potential future claims relating to these indemnifications cannot be estimated and therefore no liability has been recorded.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Guarantees</w:t>
      </w:r>
    </w:p>
    <w:p>
      <w:pPr>
        <w:spacing w:after="0" w:line="22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i w:val="1"/>
          <w:iCs w:val="1"/>
          <w:color w:val="auto"/>
        </w:rPr>
        <w:t xml:space="preserve">Mutual Offset Agreement. </w:t>
      </w:r>
      <w:r>
        <w:rPr>
          <w:rFonts w:ascii="Arial" w:cs="Arial" w:eastAsia="Arial" w:hAnsi="Arial"/>
          <w:sz w:val="17"/>
          <w:szCs w:val="17"/>
          <w:color w:val="auto"/>
        </w:rPr>
        <w:t>CME and Singapore Exchange Limited (SGX) have a mutual offset agreement with a current term through October 2014. This</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enables market participants to open a futures position on one exchange and liquidate it on the other. The term of the agreement will automatically renew for a one-year period unless either party provides advance notice of their intent to terminate. CME can maintain collateral in the form of U.S. Treasury securities or irrevocable, standby letters of credit. At June 30, 2014, CME was contingently liable to SGX on letters of credit totaling $460.0 million. Regardless of the collateral, CME guarantees all cleared transactions submitted through SGX and would initiate procedures designed to satisfy these financial obligations in the event of a default, such as the use of performance bonds and guaranty fund contributions of the defaulting clearing firm. The company believes that its guarantee liability is immaterial and therefore has not recorded any liability at June 30, 2014.</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i w:val="1"/>
          <w:iCs w:val="1"/>
          <w:color w:val="auto"/>
        </w:rPr>
        <w:t xml:space="preserve">Family Farmer and Rancher Protection Fund. </w:t>
      </w:r>
      <w:r>
        <w:rPr>
          <w:rFonts w:ascii="Arial" w:cs="Arial" w:eastAsia="Arial" w:hAnsi="Arial"/>
          <w:sz w:val="18"/>
          <w:szCs w:val="18"/>
          <w:color w:val="auto"/>
        </w:rPr>
        <w:t>In 2012, the company established the Family Farmer and Rancher Protection Fund (the Fund). The Fund is</w:t>
      </w:r>
      <w:r>
        <w:rPr>
          <w:rFonts w:ascii="Arial" w:cs="Arial" w:eastAsia="Arial" w:hAnsi="Arial"/>
          <w:sz w:val="18"/>
          <w:szCs w:val="18"/>
          <w:i w:val="1"/>
          <w:iCs w:val="1"/>
          <w:color w:val="auto"/>
        </w:rPr>
        <w:t xml:space="preserve"> </w:t>
      </w:r>
      <w:r>
        <w:rPr>
          <w:rFonts w:ascii="Arial" w:cs="Arial" w:eastAsia="Arial" w:hAnsi="Arial"/>
          <w:sz w:val="18"/>
          <w:szCs w:val="18"/>
          <w:color w:val="auto"/>
        </w:rPr>
        <w:t>designed to provide payments, up to certain maximum levels, to family farmers, ranchers and other agricultural industry participants who use the company's agricultural products and who suffer losses to their segregated account balances due to their CME clearing member becoming insolvent. Under the terms of the Fund, farmers and ranchers are eligible for up to $25,000 per participant. Farming and ranching cooperatives are eligible for up to $100,000 per cooperative. The Fund was established with a maximum payment amount of $100.0 million. Since its establishment, the Fund has made payments of approximately $2.0 million, which leaves $98.0 million available for future claims. If payments to participants were to exceed the amount remaining in the fund at the time of insolvency, payments would be pro-rated. Clearing members and customers must register in advance with the company and provide certain documentation in order to substantiate their eligibility. The company believes that its guarantee liability is immaterial and therefore has not recorded any liability at June 30, 2014.</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Accumulated Other Comprehensive Income</w:t>
      </w:r>
    </w:p>
    <w:p>
      <w:pPr>
        <w:spacing w:after="0" w:line="20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tables present changes in the accumulated balances for each component of other comprehensive income attributable to CME Group, including current period other comprehensive income and reclassifications out of accumulated other comprehensive income:</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5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Investment Securities</w:t>
            </w:r>
          </w:p>
        </w:tc>
        <w:tc>
          <w:tcPr>
            <w:tcW w:w="16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Defined Benefit</w:t>
            </w:r>
          </w:p>
        </w:tc>
        <w:tc>
          <w:tcPr>
            <w:tcW w:w="20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Derivative</w:t>
            </w:r>
          </w:p>
        </w:tc>
        <w:tc>
          <w:tcPr>
            <w:tcW w:w="120" w:type="dxa"/>
            <w:vAlign w:val="bottom"/>
          </w:tcPr>
          <w:p>
            <w:pPr>
              <w:spacing w:after="0"/>
              <w:rPr>
                <w:sz w:val="14"/>
                <w:szCs w:val="1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Foreign Currency</w:t>
            </w:r>
          </w:p>
        </w:tc>
        <w:tc>
          <w:tcPr>
            <w:tcW w:w="320" w:type="dxa"/>
            <w:vAlign w:val="bottom"/>
          </w:tcPr>
          <w:p>
            <w:pPr>
              <w:spacing w:after="0"/>
              <w:rPr>
                <w:sz w:val="14"/>
                <w:szCs w:val="14"/>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52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5"/>
              </w:rPr>
              <w:t>Plans</w:t>
            </w: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0"/>
              </w:rPr>
              <w:t>Investments</w:t>
            </w: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Translation</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Balance at December 31, 2013</w:t>
            </w:r>
          </w:p>
        </w:tc>
        <w:tc>
          <w:tcPr>
            <w:tcW w:w="480" w:type="dxa"/>
            <w:vAlign w:val="bottom"/>
          </w:tcPr>
          <w:p>
            <w:pPr>
              <w:ind w:left="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98.9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152.0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Other comprehensive income before reclassifications</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and income tax benefit (expense)</w:t>
            </w:r>
          </w:p>
        </w:tc>
        <w:tc>
          <w:tcPr>
            <w:tcW w:w="4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29"/>
        </w:trPr>
        <w:tc>
          <w:tcPr>
            <w:tcW w:w="4120" w:type="dxa"/>
            <w:vAlign w:val="bottom"/>
          </w:tcPr>
          <w:p>
            <w:pPr>
              <w:ind w:left="40"/>
              <w:spacing w:after="0"/>
              <w:rPr>
                <w:sz w:val="20"/>
                <w:szCs w:val="20"/>
                <w:color w:val="auto"/>
              </w:rPr>
            </w:pPr>
            <w:r>
              <w:rPr>
                <w:rFonts w:ascii="Arial" w:cs="Arial" w:eastAsia="Arial" w:hAnsi="Arial"/>
                <w:sz w:val="18"/>
                <w:szCs w:val="18"/>
                <w:color w:val="auto"/>
              </w:rPr>
              <w:t>Amounts reclassified from accumulated other</w:t>
            </w: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4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(expense)</w:t>
            </w:r>
          </w:p>
        </w:tc>
        <w:tc>
          <w:tcPr>
            <w:tcW w:w="4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9"/>
        </w:trPr>
        <w:tc>
          <w:tcPr>
            <w:tcW w:w="4120" w:type="dxa"/>
            <w:vAlign w:val="bottom"/>
          </w:tcPr>
          <w:p>
            <w:pPr>
              <w:ind w:left="40"/>
              <w:spacing w:after="0"/>
              <w:rPr>
                <w:sz w:val="20"/>
                <w:szCs w:val="20"/>
                <w:color w:val="auto"/>
              </w:rPr>
            </w:pPr>
            <w:r>
              <w:rPr>
                <w:rFonts w:ascii="Arial" w:cs="Arial" w:eastAsia="Arial" w:hAnsi="Arial"/>
                <w:sz w:val="18"/>
                <w:szCs w:val="18"/>
                <w:color w:val="auto"/>
              </w:rPr>
              <w:t>Net current period other comprehensive income</w:t>
            </w:r>
          </w:p>
        </w:tc>
        <w:tc>
          <w:tcPr>
            <w:tcW w:w="4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attributable to CME Group</w:t>
            </w:r>
          </w:p>
        </w:tc>
        <w:tc>
          <w:tcPr>
            <w:tcW w:w="48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2014</w:t>
            </w:r>
          </w:p>
        </w:tc>
        <w:tc>
          <w:tcPr>
            <w:tcW w:w="4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153.3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64.6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206.7</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4120" w:type="dxa"/>
            <w:vAlign w:val="bottom"/>
          </w:tcPr>
          <w:p>
            <w:pPr>
              <w:spacing w:after="0"/>
              <w:rPr>
                <w:sz w:val="24"/>
                <w:szCs w:val="24"/>
                <w:color w:val="auto"/>
              </w:rPr>
            </w:pPr>
          </w:p>
        </w:tc>
        <w:tc>
          <w:tcPr>
            <w:tcW w:w="15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Investment Securities</w:t>
            </w:r>
          </w:p>
        </w:tc>
        <w:tc>
          <w:tcPr>
            <w:tcW w:w="160" w:type="dxa"/>
            <w:vAlign w:val="bottom"/>
          </w:tcPr>
          <w:p>
            <w:pPr>
              <w:spacing w:after="0"/>
              <w:rPr>
                <w:sz w:val="24"/>
                <w:szCs w:val="2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Defined Benefit</w:t>
            </w:r>
          </w:p>
        </w:tc>
        <w:tc>
          <w:tcPr>
            <w:tcW w:w="200" w:type="dxa"/>
            <w:vAlign w:val="bottom"/>
          </w:tcPr>
          <w:p>
            <w:pPr>
              <w:spacing w:after="0"/>
              <w:rPr>
                <w:sz w:val="24"/>
                <w:szCs w:val="2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Derivative</w:t>
            </w:r>
          </w:p>
        </w:tc>
        <w:tc>
          <w:tcPr>
            <w:tcW w:w="120" w:type="dxa"/>
            <w:vAlign w:val="bottom"/>
          </w:tcPr>
          <w:p>
            <w:pPr>
              <w:spacing w:after="0"/>
              <w:rPr>
                <w:sz w:val="24"/>
                <w:szCs w:val="2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Foreign Currency</w:t>
            </w:r>
          </w:p>
        </w:tc>
        <w:tc>
          <w:tcPr>
            <w:tcW w:w="320" w:type="dxa"/>
            <w:vAlign w:val="bottom"/>
          </w:tcPr>
          <w:p>
            <w:pPr>
              <w:spacing w:after="0"/>
              <w:rPr>
                <w:sz w:val="24"/>
                <w:szCs w:val="24"/>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52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5"/>
              </w:rPr>
              <w:t>Plans</w:t>
            </w: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0"/>
              </w:rPr>
              <w:t>Investments</w:t>
            </w: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Translation</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Balance at December 31, 2012</w:t>
            </w:r>
          </w:p>
        </w:tc>
        <w:tc>
          <w:tcPr>
            <w:tcW w:w="480" w:type="dxa"/>
            <w:vAlign w:val="bottom"/>
          </w:tcPr>
          <w:p>
            <w:pPr>
              <w:ind w:left="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256.7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(32.4)</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209.3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Other comprehensive income before reclassifications</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and income tax benefit (expense)</w:t>
            </w:r>
          </w:p>
        </w:tc>
        <w:tc>
          <w:tcPr>
            <w:tcW w:w="4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85.3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29"/>
        </w:trPr>
        <w:tc>
          <w:tcPr>
            <w:tcW w:w="4120" w:type="dxa"/>
            <w:vAlign w:val="bottom"/>
          </w:tcPr>
          <w:p>
            <w:pPr>
              <w:ind w:left="40"/>
              <w:spacing w:after="0"/>
              <w:rPr>
                <w:sz w:val="20"/>
                <w:szCs w:val="20"/>
                <w:color w:val="auto"/>
              </w:rPr>
            </w:pPr>
            <w:r>
              <w:rPr>
                <w:rFonts w:ascii="Arial" w:cs="Arial" w:eastAsia="Arial" w:hAnsi="Arial"/>
                <w:sz w:val="18"/>
                <w:szCs w:val="18"/>
                <w:color w:val="auto"/>
              </w:rPr>
              <w:t>Amounts reclassified from accumulated other</w:t>
            </w: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4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(expense)</w:t>
            </w:r>
          </w:p>
        </w:tc>
        <w:tc>
          <w:tcPr>
            <w:tcW w:w="4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09"/>
        </w:trPr>
        <w:tc>
          <w:tcPr>
            <w:tcW w:w="4120" w:type="dxa"/>
            <w:vAlign w:val="bottom"/>
          </w:tcPr>
          <w:p>
            <w:pPr>
              <w:ind w:left="40"/>
              <w:spacing w:after="0"/>
              <w:rPr>
                <w:sz w:val="20"/>
                <w:szCs w:val="20"/>
                <w:color w:val="auto"/>
              </w:rPr>
            </w:pPr>
            <w:r>
              <w:rPr>
                <w:rFonts w:ascii="Arial" w:cs="Arial" w:eastAsia="Arial" w:hAnsi="Arial"/>
                <w:sz w:val="18"/>
                <w:szCs w:val="18"/>
                <w:color w:val="auto"/>
              </w:rPr>
              <w:t>Net current period other comprehensive income</w:t>
            </w:r>
          </w:p>
        </w:tc>
        <w:tc>
          <w:tcPr>
            <w:tcW w:w="4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attributable to CME Group</w:t>
            </w:r>
          </w:p>
        </w:tc>
        <w:tc>
          <w:tcPr>
            <w:tcW w:w="4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(115.0)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2013</w:t>
            </w:r>
          </w:p>
        </w:tc>
        <w:tc>
          <w:tcPr>
            <w:tcW w:w="4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141.7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38.7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153.2</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uses a three-level classification hierarchy of fair value measurements for disclosure purposes.</w:t>
      </w:r>
    </w:p>
    <w:p>
      <w:pPr>
        <w:spacing w:after="0" w:line="225" w:lineRule="exact"/>
        <w:rPr>
          <w:sz w:val="20"/>
          <w:szCs w:val="20"/>
          <w:color w:val="auto"/>
        </w:rPr>
      </w:pPr>
    </w:p>
    <w:p>
      <w:pPr>
        <w:ind w:left="660" w:right="4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1 inputs, which are considered the most reliable evidence of fair value, consist of quoted prices (unadjusted) for identical assets or liabilities in active markets.</w:t>
      </w:r>
    </w:p>
    <w:p>
      <w:pPr>
        <w:spacing w:after="0" w:line="170"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2 inputs consist of observable market data, such as quoted prices for similar assets and liabilities in active markets, or inputs other than quoted prices that are directly observable.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Level 3 inputs consist of unobservable inputs which are derived and cannot be corroborated by market data or other entity-specific inputs.</w:t>
      </w:r>
    </w:p>
    <w:p>
      <w:pPr>
        <w:spacing w:after="0" w:line="21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Level 1 assets generally include U.S. Treasury securities and investments in publicly traded stocks and mutual funds with quoted market prices. In general, the company uses quoted prices in active markets for identical assets to determine the fair</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value of marketable securities and equity investments. If quoted prices are not available to determine fair value, the company uses other inputs that are directly observable.</w:t>
      </w:r>
    </w:p>
    <w:p>
      <w:pPr>
        <w:spacing w:after="0" w:line="11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Assets included in level 2 generally consist of asset-backed securities. Asset-backed securities were measured at fair value based on matrix pricing using prices of similar securities with similar inputs such as maturity dates, interest rates and credit ratings.</w:t>
      </w:r>
    </w:p>
    <w:p>
      <w:pPr>
        <w:spacing w:after="0" w:line="11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company determined the fair value of its contingent consideration liabilities, considered level 3 liabilities, using a discounted cash flow model to calculate the present value of future payouts. The liabilities were included in level 3 because management used significant unobservable inputs, including a discount rate of 20% and payout probabilities of either 75% or 100%. Significant increases or decreases in any of those inputs in isolation would result in a significantly different fair value.</w:t>
      </w:r>
    </w:p>
    <w:p>
      <w:pPr>
        <w:spacing w:after="0" w:line="16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Financial assets and liabilities recorded in the consolidated balance sheet as of June 30, 2014 were classified in their entirety based on the lowest level of input that was significant to each asset or liability's fair value measurement. The following presents financial instruments measured at fair value on a recurring basis: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jc w:val="right"/>
              <w:ind w:right="574"/>
              <w:spacing w:after="0"/>
              <w:rPr>
                <w:sz w:val="20"/>
                <w:szCs w:val="20"/>
                <w:color w:val="auto"/>
              </w:rPr>
            </w:pPr>
            <w:r>
              <w:rPr>
                <w:rFonts w:ascii="Arial" w:cs="Arial" w:eastAsia="Arial" w:hAnsi="Arial"/>
                <w:sz w:val="14"/>
                <w:szCs w:val="14"/>
                <w:b w:val="1"/>
                <w:bCs w:val="1"/>
                <w:color w:val="auto"/>
              </w:rPr>
              <w:t>June 30, 2014</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3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Total</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 at Fair Value: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Marketable securities:</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Treasury securities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81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19.2</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Mutual funds</w:t>
            </w:r>
          </w:p>
        </w:tc>
        <w:tc>
          <w:tcPr>
            <w:tcW w:w="32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53.3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53.3</w:t>
            </w: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Asset-backed securities</w:t>
            </w:r>
          </w:p>
        </w:tc>
        <w:tc>
          <w:tcPr>
            <w:tcW w:w="3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Marketable Securities</w:t>
            </w: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72.5</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72.9</w:t>
            </w: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351"/>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Performance bonds and guaranty fund contributions:</w:t>
            </w:r>
          </w:p>
        </w:tc>
        <w:tc>
          <w:tcPr>
            <w:tcW w:w="3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135"/>
        </w:trPr>
        <w:tc>
          <w:tcPr>
            <w:tcW w:w="5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r>
      <w:tr>
        <w:trPr>
          <w:trHeight w:val="270"/>
        </w:trPr>
        <w:tc>
          <w:tcPr>
            <w:tcW w:w="5160" w:type="dxa"/>
            <w:vAlign w:val="bottom"/>
          </w:tcPr>
          <w:p>
            <w:pPr>
              <w:ind w:left="380"/>
              <w:spacing w:after="0" w:line="270" w:lineRule="exact"/>
              <w:rPr>
                <w:sz w:val="20"/>
                <w:szCs w:val="20"/>
                <w:color w:val="auto"/>
              </w:rPr>
            </w:pPr>
            <w:r>
              <w:rPr>
                <w:rFonts w:ascii="Arial" w:cs="Arial" w:eastAsia="Arial" w:hAnsi="Arial"/>
                <w:sz w:val="18"/>
                <w:szCs w:val="18"/>
                <w:color w:val="auto"/>
              </w:rPr>
              <w:t xml:space="preserve">U.S. Treasury securities </w:t>
            </w:r>
            <w:r>
              <w:rPr>
                <w:rFonts w:ascii="Arial" w:cs="Arial" w:eastAsia="Arial" w:hAnsi="Arial"/>
                <w:sz w:val="25"/>
                <w:szCs w:val="25"/>
                <w:color w:val="auto"/>
                <w:vertAlign w:val="superscript"/>
              </w:rPr>
              <w:t>(1)</w:t>
            </w:r>
          </w:p>
        </w:tc>
        <w:tc>
          <w:tcPr>
            <w:tcW w:w="320" w:type="dxa"/>
            <w:vAlign w:val="bottom"/>
          </w:tcPr>
          <w:p>
            <w:pPr>
              <w:spacing w:after="0"/>
              <w:rPr>
                <w:sz w:val="23"/>
                <w:szCs w:val="23"/>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3,500.0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3"/>
                <w:szCs w:val="23"/>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3,500.0</w:t>
            </w: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investments</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555.8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555.8</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Assets at Fair Value</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4,128.3</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814"/>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4,128.7</w:t>
            </w:r>
          </w:p>
        </w:tc>
      </w:tr>
      <w:tr>
        <w:trPr>
          <w:trHeight w:val="67"/>
        </w:trPr>
        <w:tc>
          <w:tcPr>
            <w:tcW w:w="516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156"/>
        </w:trPr>
        <w:tc>
          <w:tcPr>
            <w:tcW w:w="51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Liabilities at Fair Value:</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consideration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814"/>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6"/>
              </w:rPr>
              <w:t>24.0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24.0</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Liabilities at Fair Value</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right"/>
              <w:ind w:right="814"/>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6"/>
              </w:rPr>
              <w:t>24.0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24.0</w:t>
            </w:r>
          </w:p>
        </w:tc>
      </w:tr>
      <w:tr>
        <w:trPr>
          <w:trHeight w:val="27"/>
        </w:trPr>
        <w:tc>
          <w:tcPr>
            <w:tcW w:w="5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40" w:firstLine="8"/>
        <w:spacing w:after="0" w:line="277" w:lineRule="auto"/>
        <w:tabs>
          <w:tab w:leader="none" w:pos="255"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Performance bonds and guaranty fund contributions on the consolidated balance sheet as of June 30, 2014 include cash contributions reinvested in U.S. Treasury securities.</w:t>
      </w:r>
    </w:p>
    <w:p>
      <w:pPr>
        <w:spacing w:after="0" w:line="170"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There were no transfers of assets or liabilities between level 1, level 2 or level 3 during the first six months of 2014. The following is a reconciliation of liabilities valued at fair value on a recurring basis using significant unobservable inputs (level 3) during the first six months of 2014. There were no assets valued at fair value on a recurring basis using significant unobservable inputs (level 3) during the first six months of 2014.</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Contingent Consideration</w:t>
            </w: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liability at December 31, 2013</w:t>
            </w:r>
          </w:p>
        </w:tc>
        <w:tc>
          <w:tcPr>
            <w:tcW w:w="700" w:type="dxa"/>
            <w:vAlign w:val="bottom"/>
            <w:tcBorders>
              <w:bottom w:val="single" w:sz="8" w:color="CCEEFF"/>
            </w:tcBorders>
            <w:shd w:val="clear" w:color="auto" w:fill="CCEEFF"/>
          </w:tcPr>
          <w:p>
            <w:pPr>
              <w:jc w:val="right"/>
              <w:ind w:right="49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Realized and unrealized (gains) losses:</w:t>
            </w:r>
          </w:p>
        </w:tc>
        <w:tc>
          <w:tcPr>
            <w:tcW w:w="7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9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9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Included in other expenses</w:t>
            </w:r>
          </w:p>
        </w:tc>
        <w:tc>
          <w:tcPr>
            <w:tcW w:w="7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w:t>
            </w:r>
          </w:p>
        </w:tc>
      </w:tr>
      <w:tr>
        <w:trPr>
          <w:trHeight w:val="257"/>
        </w:trPr>
        <w:tc>
          <w:tcPr>
            <w:tcW w:w="9720" w:type="dxa"/>
            <w:vAlign w:val="bottom"/>
          </w:tcPr>
          <w:p>
            <w:pPr>
              <w:ind w:left="40"/>
              <w:spacing w:after="0"/>
              <w:rPr>
                <w:sz w:val="20"/>
                <w:szCs w:val="20"/>
                <w:color w:val="auto"/>
              </w:rPr>
            </w:pPr>
            <w:r>
              <w:rPr>
                <w:rFonts w:ascii="Arial" w:cs="Arial" w:eastAsia="Arial" w:hAnsi="Arial"/>
                <w:sz w:val="18"/>
                <w:szCs w:val="18"/>
                <w:color w:val="auto"/>
              </w:rPr>
              <w:t>Fair value of liability at June 30, 2014</w:t>
            </w:r>
          </w:p>
        </w:tc>
        <w:tc>
          <w:tcPr>
            <w:tcW w:w="70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24.0</w:t>
            </w:r>
          </w:p>
        </w:tc>
      </w:tr>
      <w:tr>
        <w:trPr>
          <w:trHeight w:val="20"/>
        </w:trPr>
        <w:tc>
          <w:tcPr>
            <w:tcW w:w="97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There were no assets or liabilities valued at fair value on a nonrecurring basis using significant unobservable inputs (level 3) during the first six months of 2014.</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9. Earnings Per Share</w:t>
      </w:r>
    </w:p>
    <w:p>
      <w:pPr>
        <w:spacing w:after="0" w:line="229"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Basic earnings per share is computed by dividing net income attributable to the company by the weighted average number of shares of all classes of CME Group common stock outstanding for each reporting period. Diluted earnings per share reflects the increase in shares using the treasury stock method to reflect the impact of an equivalent number of shares of common stock if stock options were exercised and restricted stock awards were converted into common stock. Anti-dilutive stock options and restricted stock awards were as follows for the periods presented:</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4"/>
          </w:tcPr>
          <w:p>
            <w:pPr>
              <w:jc w:val="center"/>
              <w:ind w:left="357"/>
              <w:spacing w:after="0"/>
              <w:rPr>
                <w:sz w:val="20"/>
                <w:szCs w:val="20"/>
                <w:color w:val="auto"/>
              </w:rPr>
            </w:pPr>
            <w:r>
              <w:rPr>
                <w:rFonts w:ascii="Arial" w:cs="Arial" w:eastAsia="Arial" w:hAnsi="Arial"/>
                <w:sz w:val="14"/>
                <w:szCs w:val="14"/>
                <w:b w:val="1"/>
                <w:bCs w:val="1"/>
                <w:color w:val="auto"/>
                <w:w w:val="96"/>
              </w:rPr>
              <w:t>Quarter Ended</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00" w:type="dxa"/>
            <w:vAlign w:val="bottom"/>
            <w:gridSpan w:val="4"/>
          </w:tcPr>
          <w:p>
            <w:pPr>
              <w:jc w:val="center"/>
              <w:ind w:right="193"/>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86"/>
        </w:trPr>
        <w:tc>
          <w:tcPr>
            <w:tcW w:w="6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4"/>
          </w:tcPr>
          <w:p>
            <w:pPr>
              <w:jc w:val="center"/>
              <w:ind w:left="377"/>
              <w:spacing w:after="0"/>
              <w:rPr>
                <w:sz w:val="20"/>
                <w:szCs w:val="20"/>
                <w:color w:val="auto"/>
              </w:rPr>
            </w:pPr>
            <w:r>
              <w:rPr>
                <w:rFonts w:ascii="Arial" w:cs="Arial" w:eastAsia="Arial" w:hAnsi="Arial"/>
                <w:sz w:val="14"/>
                <w:szCs w:val="14"/>
                <w:b w:val="1"/>
                <w:bCs w:val="1"/>
                <w:color w:val="auto"/>
                <w:w w:val="92"/>
              </w:rPr>
              <w:t>June 30,</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3"/>
          </w:tcPr>
          <w:p>
            <w:pPr>
              <w:jc w:val="center"/>
              <w:ind w:left="477"/>
              <w:spacing w:after="0"/>
              <w:rPr>
                <w:sz w:val="20"/>
                <w:szCs w:val="20"/>
                <w:color w:val="auto"/>
              </w:rPr>
            </w:pPr>
            <w:r>
              <w:rPr>
                <w:rFonts w:ascii="Arial" w:cs="Arial" w:eastAsia="Arial" w:hAnsi="Arial"/>
                <w:sz w:val="14"/>
                <w:szCs w:val="14"/>
                <w:b w:val="1"/>
                <w:bCs w:val="1"/>
                <w:color w:val="auto"/>
                <w:w w:val="92"/>
              </w:rPr>
              <w:t>June 30,</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52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92"/>
        </w:trPr>
        <w:tc>
          <w:tcPr>
            <w:tcW w:w="6520" w:type="dxa"/>
            <w:vAlign w:val="bottom"/>
            <w:vMerge w:val="restart"/>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357"/>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jc w:val="right"/>
              <w:ind w:right="333"/>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ind w:right="337"/>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jc w:val="right"/>
              <w:ind w:right="333"/>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14"/>
        </w:trPr>
        <w:tc>
          <w:tcPr>
            <w:tcW w:w="6520" w:type="dxa"/>
            <w:vAlign w:val="bottom"/>
            <w:tcBorders>
              <w:bottom w:val="single" w:sz="8" w:color="auto"/>
            </w:tcBorders>
            <w:vMerge w:val="continue"/>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Stock options</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1,480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1,627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7"/>
              <w:spacing w:after="0"/>
              <w:rPr>
                <w:sz w:val="20"/>
                <w:szCs w:val="20"/>
                <w:color w:val="auto"/>
              </w:rPr>
            </w:pPr>
            <w:r>
              <w:rPr>
                <w:rFonts w:ascii="Arial" w:cs="Arial" w:eastAsia="Arial" w:hAnsi="Arial"/>
                <w:sz w:val="18"/>
                <w:szCs w:val="18"/>
                <w:color w:val="auto"/>
              </w:rPr>
              <w:t>1,480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1,647</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awards</w:t>
            </w: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520" w:type="dxa"/>
            <w:vAlign w:val="bottom"/>
          </w:tcPr>
          <w:p>
            <w:pPr>
              <w:ind w:left="40"/>
              <w:spacing w:after="0"/>
              <w:rPr>
                <w:sz w:val="20"/>
                <w:szCs w:val="20"/>
                <w:color w:val="auto"/>
              </w:rPr>
            </w:pPr>
            <w:r>
              <w:rPr>
                <w:rFonts w:ascii="Arial" w:cs="Arial" w:eastAsia="Arial" w:hAnsi="Arial"/>
                <w:sz w:val="18"/>
                <w:szCs w:val="18"/>
                <w:color w:val="auto"/>
              </w:rPr>
              <w:t>Total</w:t>
            </w:r>
          </w:p>
        </w:tc>
        <w:tc>
          <w:tcPr>
            <w:tcW w:w="2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1,480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7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1,627</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1,480</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1,647</w:t>
            </w: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8"/>
                <w:szCs w:val="18"/>
                <w:color w:val="auto"/>
                <w:w w:val="91"/>
              </w:rPr>
              <w:t>The following table presents the earnings per share calculation for the periods presented:</w:t>
            </w: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5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4"/>
        </w:trPr>
        <w:tc>
          <w:tcPr>
            <w:tcW w:w="6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gridSpan w:val="4"/>
          </w:tcPr>
          <w:p>
            <w:pPr>
              <w:jc w:val="center"/>
              <w:ind w:left="357"/>
              <w:spacing w:after="0"/>
              <w:rPr>
                <w:sz w:val="20"/>
                <w:szCs w:val="20"/>
                <w:color w:val="auto"/>
              </w:rPr>
            </w:pPr>
            <w:r>
              <w:rPr>
                <w:rFonts w:ascii="Arial" w:cs="Arial" w:eastAsia="Arial" w:hAnsi="Arial"/>
                <w:sz w:val="14"/>
                <w:szCs w:val="14"/>
                <w:b w:val="1"/>
                <w:bCs w:val="1"/>
                <w:color w:val="auto"/>
                <w:w w:val="96"/>
              </w:rPr>
              <w:t>Quarter Ended</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00" w:type="dxa"/>
            <w:vAlign w:val="bottom"/>
            <w:gridSpan w:val="4"/>
          </w:tcPr>
          <w:p>
            <w:pPr>
              <w:jc w:val="center"/>
              <w:ind w:right="193"/>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92"/>
        </w:trPr>
        <w:tc>
          <w:tcPr>
            <w:tcW w:w="6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center"/>
              <w:ind w:left="477"/>
              <w:spacing w:after="0"/>
              <w:rPr>
                <w:sz w:val="20"/>
                <w:szCs w:val="20"/>
                <w:color w:val="auto"/>
              </w:rPr>
            </w:pPr>
            <w:r>
              <w:rPr>
                <w:rFonts w:ascii="Arial" w:cs="Arial" w:eastAsia="Arial" w:hAnsi="Arial"/>
                <w:sz w:val="14"/>
                <w:szCs w:val="14"/>
                <w:b w:val="1"/>
                <w:bCs w:val="1"/>
                <w:color w:val="auto"/>
                <w:w w:val="92"/>
              </w:rPr>
              <w:t>June 30,</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5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CME Group (in millions)</w:t>
            </w: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263.8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530.6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547.0</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Weighted Average Number of Common Shares (in thousands):</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334,097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89"/>
              </w:rPr>
              <w:t>332,341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334,002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332,148</w:t>
            </w: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Effect of stock options and restricted stock awards</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7"/>
              <w:spacing w:after="0"/>
              <w:rPr>
                <w:sz w:val="20"/>
                <w:szCs w:val="20"/>
                <w:color w:val="auto"/>
              </w:rPr>
            </w:pPr>
            <w:r>
              <w:rPr>
                <w:rFonts w:ascii="Arial" w:cs="Arial" w:eastAsia="Arial" w:hAnsi="Arial"/>
                <w:sz w:val="18"/>
                <w:szCs w:val="18"/>
                <w:color w:val="auto"/>
              </w:rPr>
              <w:t>1,703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1,732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7"/>
              <w:spacing w:after="0"/>
              <w:rPr>
                <w:sz w:val="20"/>
                <w:szCs w:val="20"/>
                <w:color w:val="auto"/>
              </w:rPr>
            </w:pPr>
            <w:r>
              <w:rPr>
                <w:rFonts w:ascii="Arial" w:cs="Arial" w:eastAsia="Arial" w:hAnsi="Arial"/>
                <w:sz w:val="18"/>
                <w:szCs w:val="18"/>
                <w:color w:val="auto"/>
              </w:rPr>
              <w:t>1,703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1,591</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335,800</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89"/>
              </w:rPr>
              <w:t>334,073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335,705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333,739</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Common Share Attributable to CME Group:</w:t>
            </w: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5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0.79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Diluted</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7"/>
              <w:spacing w:after="0"/>
              <w:rPr>
                <w:sz w:val="20"/>
                <w:szCs w:val="20"/>
                <w:color w:val="auto"/>
              </w:rPr>
            </w:pPr>
            <w:r>
              <w:rPr>
                <w:rFonts w:ascii="Arial" w:cs="Arial" w:eastAsia="Arial" w:hAnsi="Arial"/>
                <w:sz w:val="18"/>
                <w:szCs w:val="18"/>
                <w:color w:val="auto"/>
              </w:rPr>
              <w:t>0.79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0.93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7"/>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Subsequent Events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 has evaluated subsequent events through the date the financial statements were issued and has determined that there are no subsequent events that require disclosure except for the following:</w:t>
      </w:r>
    </w:p>
    <w:p>
      <w:pPr>
        <w:spacing w:after="0" w:line="62"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On July 30, 2014, CME Group agreed to acquire Trayport, which provides trading software to the European energy markets, and FENICS, a business solutions provider for global over-the-counter foreign currency options markets, from GFI Group Inc. The acquisition, which supports the company’s continuing expansion in Europe, will be completed through a merger of GFI and CME Group concurrent with the sale of GFI’s brokerage business to a third party. GFI shareholders will receive CME Group Class A common stock currently valued at approximately $580.0 million. CME Group will receive $165.0 million in cash for the sale of the brokerage business. In conjunction with these transactions, CME Group will assume $240.0 million in outstanding debt that the company expects to retire in 2015. The merger is expected to close in early 2015 subject to regulatory approvals and customary closing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688"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6" w:lineRule="exact"/>
        <w:rPr>
          <w:sz w:val="20"/>
          <w:szCs w:val="20"/>
          <w:color w:val="auto"/>
        </w:rPr>
      </w:pPr>
    </w:p>
    <w:p>
      <w:pPr>
        <w:ind w:right="680"/>
        <w:spacing w:after="0" w:line="342" w:lineRule="auto"/>
        <w:rPr>
          <w:sz w:val="20"/>
          <w:szCs w:val="20"/>
          <w:color w:val="auto"/>
        </w:rPr>
      </w:pPr>
      <w:r>
        <w:rPr>
          <w:rFonts w:ascii="Arial" w:cs="Arial" w:eastAsia="Arial" w:hAnsi="Arial"/>
          <w:sz w:val="16"/>
          <w:szCs w:val="16"/>
          <w:color w:val="auto"/>
        </w:rPr>
        <w:t>The following discussion is provided as a supplement to, and should be read in conjunction with, the accompanying unaudited consolidated financial statements and notes in this Quarterly Report on Form 10-Q and in our Annual Report on Form 10-K for the year ended December 31, 2013.</w:t>
      </w:r>
    </w:p>
    <w:p>
      <w:pPr>
        <w:spacing w:after="0" w:line="124" w:lineRule="exact"/>
        <w:rPr>
          <w:sz w:val="20"/>
          <w:szCs w:val="20"/>
          <w:color w:val="auto"/>
        </w:rPr>
      </w:pPr>
    </w:p>
    <w:p>
      <w:pPr>
        <w:jc w:val="both"/>
        <w:ind w:right="400"/>
        <w:spacing w:after="0" w:line="297" w:lineRule="auto"/>
        <w:rPr>
          <w:sz w:val="20"/>
          <w:szCs w:val="20"/>
          <w:color w:val="auto"/>
        </w:rPr>
      </w:pPr>
      <w:r>
        <w:rPr>
          <w:rFonts w:ascii="Arial" w:cs="Arial" w:eastAsia="Arial" w:hAnsi="Arial"/>
          <w:sz w:val="16"/>
          <w:szCs w:val="16"/>
          <w:color w:val="auto"/>
        </w:rPr>
        <w:t>References in this discussion and analysis to “we,” “us” and “our” are to CME Group Inc. (CME Group) and its consolidated subsidiaries, collectively. References to “exchange” are to Chicago Mercantile Exchange Inc. (CME), Board of Trade of the City of Chicago, Inc. (CBOT), New York Mercantile Exchange, Inc. (NYMEX), Commodity Exchange, Inc. (COMEX), CME Clearing Europe Limited (CMECE) and CME Europe Limited (CME Europe), collectively, unless otherwise noted. In addition, CME serves as a swap execution facility, which is a regulated platform for swap trading, and serves as a swap data repository, which provides public data on swap transactions and stores confidential swap data for regulatory purposes.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significant changes in our financial performance for the periods presented.</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gridSpan w:val="2"/>
          </w:tcPr>
          <w:p>
            <w:pPr>
              <w:jc w:val="right"/>
              <w:spacing w:after="0"/>
              <w:rPr>
                <w:sz w:val="20"/>
                <w:szCs w:val="20"/>
                <w:color w:val="auto"/>
              </w:rPr>
            </w:pPr>
            <w:r>
              <w:rPr>
                <w:rFonts w:ascii="Arial" w:cs="Arial" w:eastAsia="Arial" w:hAnsi="Arial"/>
                <w:sz w:val="14"/>
                <w:szCs w:val="14"/>
                <w:b w:val="1"/>
                <w:bCs w:val="1"/>
                <w:color w:val="auto"/>
              </w:rPr>
              <w:t>Quarter Ended</w:t>
            </w:r>
          </w:p>
        </w:tc>
        <w:tc>
          <w:tcPr>
            <w:tcW w:w="7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0" w:type="dxa"/>
            <w:vAlign w:val="bottom"/>
            <w:gridSpan w:val="3"/>
          </w:tcPr>
          <w:p>
            <w:pPr>
              <w:jc w:val="right"/>
              <w:ind w:right="592"/>
              <w:spacing w:after="0"/>
              <w:rPr>
                <w:sz w:val="20"/>
                <w:szCs w:val="20"/>
                <w:color w:val="auto"/>
              </w:rPr>
            </w:pPr>
            <w:r>
              <w:rPr>
                <w:rFonts w:ascii="Arial" w:cs="Arial" w:eastAsia="Arial" w:hAnsi="Arial"/>
                <w:sz w:val="14"/>
                <w:szCs w:val="14"/>
                <w:b w:val="1"/>
                <w:bCs w:val="1"/>
                <w:color w:val="auto"/>
              </w:rPr>
              <w:t>Six Months Ended</w:t>
            </w:r>
          </w:p>
        </w:tc>
        <w:tc>
          <w:tcPr>
            <w:tcW w:w="1320" w:type="dxa"/>
            <w:vAlign w:val="bottom"/>
          </w:tcPr>
          <w:p>
            <w:pPr>
              <w:spacing w:after="0"/>
              <w:rPr>
                <w:sz w:val="14"/>
                <w:szCs w:val="14"/>
                <w:color w:val="auto"/>
              </w:rPr>
            </w:pPr>
          </w:p>
        </w:tc>
      </w:tr>
      <w:tr>
        <w:trPr>
          <w:trHeight w:val="192"/>
        </w:trPr>
        <w:tc>
          <w:tcPr>
            <w:tcW w:w="37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6"/>
                <w:szCs w:val="16"/>
                <w:color w:val="auto"/>
              </w:rPr>
            </w:pPr>
          </w:p>
        </w:tc>
        <w:tc>
          <w:tcPr>
            <w:tcW w:w="14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1320" w:type="dxa"/>
            <w:vAlign w:val="bottom"/>
          </w:tcPr>
          <w:p>
            <w:pPr>
              <w:spacing w:after="0"/>
              <w:rPr>
                <w:sz w:val="16"/>
                <w:szCs w:val="16"/>
                <w:color w:val="auto"/>
              </w:rPr>
            </w:pPr>
          </w:p>
        </w:tc>
      </w:tr>
      <w:tr>
        <w:trPr>
          <w:trHeight w:val="264"/>
        </w:trPr>
        <w:tc>
          <w:tcPr>
            <w:tcW w:w="3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 except per share data)</w:t>
            </w: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2014</w:t>
            </w:r>
          </w:p>
        </w:tc>
        <w:tc>
          <w:tcPr>
            <w:tcW w:w="5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w w:val="89"/>
              </w:rPr>
              <w:t>2013</w:t>
            </w:r>
          </w:p>
        </w:tc>
        <w:tc>
          <w:tcPr>
            <w:tcW w:w="14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Change</w:t>
            </w: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2013</w:t>
            </w:r>
          </w:p>
        </w:tc>
        <w:tc>
          <w:tcPr>
            <w:tcW w:w="13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Change</w:t>
            </w:r>
          </w:p>
        </w:tc>
      </w:tr>
      <w:tr>
        <w:trPr>
          <w:trHeight w:val="250"/>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731.6</w:t>
            </w:r>
          </w:p>
        </w:tc>
        <w:tc>
          <w:tcPr>
            <w:tcW w:w="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816.1</w:t>
            </w:r>
          </w:p>
        </w:tc>
        <w:tc>
          <w:tcPr>
            <w:tcW w:w="14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(10)%</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color w:val="auto"/>
              </w:rPr>
              <w:t>1,509.0</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1,534.7</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3720" w:type="dxa"/>
            <w:vAlign w:val="bottom"/>
          </w:tcPr>
          <w:p>
            <w:pPr>
              <w:ind w:left="40"/>
              <w:spacing w:after="0"/>
              <w:rPr>
                <w:sz w:val="20"/>
                <w:szCs w:val="20"/>
                <w:color w:val="auto"/>
              </w:rPr>
            </w:pPr>
            <w:r>
              <w:rPr>
                <w:rFonts w:ascii="Arial" w:cs="Arial" w:eastAsia="Arial" w:hAnsi="Arial"/>
                <w:sz w:val="18"/>
                <w:szCs w:val="18"/>
                <w:color w:val="auto"/>
              </w:rPr>
              <w:t>Total expenses</w:t>
            </w:r>
          </w:p>
        </w:tc>
        <w:tc>
          <w:tcPr>
            <w:tcW w:w="280" w:type="dxa"/>
            <w:vAlign w:val="bottom"/>
          </w:tcPr>
          <w:p>
            <w:pPr>
              <w:spacing w:after="0"/>
              <w:rPr>
                <w:sz w:val="21"/>
                <w:szCs w:val="21"/>
                <w:color w:val="auto"/>
              </w:rPr>
            </w:pPr>
          </w:p>
        </w:tc>
        <w:tc>
          <w:tcPr>
            <w:tcW w:w="940" w:type="dxa"/>
            <w:vAlign w:val="bottom"/>
          </w:tcPr>
          <w:p>
            <w:pPr>
              <w:jc w:val="right"/>
              <w:ind w:right="155"/>
              <w:spacing w:after="0"/>
              <w:rPr>
                <w:sz w:val="20"/>
                <w:szCs w:val="20"/>
                <w:color w:val="auto"/>
              </w:rPr>
            </w:pPr>
            <w:r>
              <w:rPr>
                <w:rFonts w:ascii="Arial" w:cs="Arial" w:eastAsia="Arial" w:hAnsi="Arial"/>
                <w:sz w:val="18"/>
                <w:szCs w:val="18"/>
                <w:color w:val="auto"/>
              </w:rPr>
              <w:t>319.6</w:t>
            </w:r>
          </w:p>
        </w:tc>
        <w:tc>
          <w:tcPr>
            <w:tcW w:w="500" w:type="dxa"/>
            <w:vAlign w:val="bottom"/>
          </w:tcPr>
          <w:p>
            <w:pPr>
              <w:spacing w:after="0"/>
              <w:rPr>
                <w:sz w:val="21"/>
                <w:szCs w:val="21"/>
                <w:color w:val="auto"/>
              </w:rPr>
            </w:pP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308.3</w:t>
            </w:r>
          </w:p>
        </w:tc>
        <w:tc>
          <w:tcPr>
            <w:tcW w:w="1440" w:type="dxa"/>
            <w:vAlign w:val="bottom"/>
          </w:tcPr>
          <w:p>
            <w:pPr>
              <w:jc w:val="right"/>
              <w:ind w:right="273"/>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21"/>
                <w:szCs w:val="21"/>
                <w:color w:val="auto"/>
              </w:rPr>
            </w:pPr>
          </w:p>
        </w:tc>
        <w:tc>
          <w:tcPr>
            <w:tcW w:w="940" w:type="dxa"/>
            <w:vAlign w:val="bottom"/>
          </w:tcPr>
          <w:p>
            <w:pPr>
              <w:jc w:val="right"/>
              <w:ind w:right="135"/>
              <w:spacing w:after="0"/>
              <w:rPr>
                <w:sz w:val="20"/>
                <w:szCs w:val="20"/>
                <w:color w:val="auto"/>
              </w:rPr>
            </w:pPr>
            <w:r>
              <w:rPr>
                <w:rFonts w:ascii="Arial" w:cs="Arial" w:eastAsia="Arial" w:hAnsi="Arial"/>
                <w:sz w:val="18"/>
                <w:szCs w:val="18"/>
                <w:color w:val="auto"/>
              </w:rPr>
              <w:t>642.5</w:t>
            </w:r>
          </w:p>
        </w:tc>
        <w:tc>
          <w:tcPr>
            <w:tcW w:w="400" w:type="dxa"/>
            <w:vAlign w:val="bottom"/>
          </w:tcPr>
          <w:p>
            <w:pPr>
              <w:spacing w:after="0"/>
              <w:rPr>
                <w:sz w:val="21"/>
                <w:szCs w:val="21"/>
                <w:color w:val="auto"/>
              </w:rPr>
            </w:pPr>
          </w:p>
        </w:tc>
        <w:tc>
          <w:tcPr>
            <w:tcW w:w="860" w:type="dxa"/>
            <w:vAlign w:val="bottom"/>
          </w:tcPr>
          <w:p>
            <w:pPr>
              <w:jc w:val="right"/>
              <w:ind w:right="112"/>
              <w:spacing w:after="0"/>
              <w:rPr>
                <w:sz w:val="20"/>
                <w:szCs w:val="20"/>
                <w:color w:val="auto"/>
              </w:rPr>
            </w:pPr>
            <w:r>
              <w:rPr>
                <w:rFonts w:ascii="Arial" w:cs="Arial" w:eastAsia="Arial" w:hAnsi="Arial"/>
                <w:sz w:val="18"/>
                <w:szCs w:val="18"/>
                <w:color w:val="auto"/>
              </w:rPr>
              <w:t>621.4</w:t>
            </w:r>
          </w:p>
        </w:tc>
        <w:tc>
          <w:tcPr>
            <w:tcW w:w="1320" w:type="dxa"/>
            <w:vAlign w:val="bottom"/>
          </w:tcPr>
          <w:p>
            <w:pPr>
              <w:jc w:val="right"/>
              <w:ind w:right="153"/>
              <w:spacing w:after="0"/>
              <w:rPr>
                <w:sz w:val="20"/>
                <w:szCs w:val="20"/>
                <w:color w:val="auto"/>
              </w:rPr>
            </w:pPr>
            <w:r>
              <w:rPr>
                <w:rFonts w:ascii="Arial" w:cs="Arial" w:eastAsia="Arial" w:hAnsi="Arial"/>
                <w:sz w:val="18"/>
                <w:szCs w:val="18"/>
                <w:color w:val="auto"/>
              </w:rPr>
              <w:t>3</w:t>
            </w:r>
          </w:p>
        </w:tc>
      </w:tr>
      <w:tr>
        <w:trPr>
          <w:trHeight w:val="27"/>
        </w:trPr>
        <w:tc>
          <w:tcPr>
            <w:tcW w:w="3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5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3720" w:type="dxa"/>
            <w:vAlign w:val="bottom"/>
          </w:tcPr>
          <w:p>
            <w:pPr>
              <w:ind w:left="40"/>
              <w:spacing w:after="0"/>
              <w:rPr>
                <w:sz w:val="20"/>
                <w:szCs w:val="20"/>
                <w:color w:val="auto"/>
              </w:rPr>
            </w:pPr>
            <w:r>
              <w:rPr>
                <w:rFonts w:ascii="Arial" w:cs="Arial" w:eastAsia="Arial" w:hAnsi="Arial"/>
                <w:sz w:val="18"/>
                <w:szCs w:val="18"/>
                <w:color w:val="auto"/>
              </w:rPr>
              <w:t>Non-operating income (expense)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55"/>
              <w:spacing w:after="0"/>
              <w:rPr>
                <w:sz w:val="20"/>
                <w:szCs w:val="20"/>
                <w:color w:val="auto"/>
              </w:rPr>
            </w:pPr>
            <w:r>
              <w:rPr>
                <w:rFonts w:ascii="Arial" w:cs="Arial" w:eastAsia="Arial" w:hAnsi="Arial"/>
                <w:sz w:val="18"/>
                <w:szCs w:val="18"/>
                <w:color w:val="auto"/>
              </w:rPr>
              <w:t>10.1</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(0.3)</w:t>
            </w:r>
          </w:p>
        </w:tc>
        <w:tc>
          <w:tcPr>
            <w:tcW w:w="1440" w:type="dxa"/>
            <w:vAlign w:val="bottom"/>
          </w:tcPr>
          <w:p>
            <w:pPr>
              <w:jc w:val="right"/>
              <w:ind w:right="273"/>
              <w:spacing w:after="0"/>
              <w:rPr>
                <w:sz w:val="20"/>
                <w:szCs w:val="20"/>
                <w:color w:val="auto"/>
              </w:rPr>
            </w:pPr>
            <w:r>
              <w:rPr>
                <w:rFonts w:ascii="Arial" w:cs="Arial" w:eastAsia="Arial" w:hAnsi="Arial"/>
                <w:sz w:val="18"/>
                <w:szCs w:val="18"/>
                <w:color w:val="auto"/>
              </w:rPr>
              <w:t>n.m.</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35"/>
              <w:spacing w:after="0"/>
              <w:rPr>
                <w:sz w:val="20"/>
                <w:szCs w:val="20"/>
                <w:color w:val="auto"/>
              </w:rPr>
            </w:pPr>
            <w:r>
              <w:rPr>
                <w:rFonts w:ascii="Arial" w:cs="Arial" w:eastAsia="Arial" w:hAnsi="Arial"/>
                <w:sz w:val="18"/>
                <w:szCs w:val="18"/>
                <w:color w:val="auto"/>
              </w:rPr>
              <w:t>2.0</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(18.2)</w:t>
            </w:r>
          </w:p>
        </w:tc>
        <w:tc>
          <w:tcPr>
            <w:tcW w:w="1320" w:type="dxa"/>
            <w:vAlign w:val="bottom"/>
          </w:tcPr>
          <w:p>
            <w:pPr>
              <w:jc w:val="right"/>
              <w:ind w:right="93"/>
              <w:spacing w:after="0"/>
              <w:rPr>
                <w:sz w:val="20"/>
                <w:szCs w:val="20"/>
                <w:color w:val="auto"/>
              </w:rPr>
            </w:pPr>
            <w:r>
              <w:rPr>
                <w:rFonts w:ascii="Arial" w:cs="Arial" w:eastAsia="Arial" w:hAnsi="Arial"/>
                <w:sz w:val="18"/>
                <w:szCs w:val="18"/>
                <w:color w:val="auto"/>
              </w:rPr>
              <w:t>(111)</w:t>
            </w:r>
          </w:p>
        </w:tc>
      </w:tr>
      <w:tr>
        <w:trPr>
          <w:trHeight w:val="27"/>
        </w:trPr>
        <w:tc>
          <w:tcPr>
            <w:tcW w:w="3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5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3720" w:type="dxa"/>
            <w:vAlign w:val="bottom"/>
          </w:tcPr>
          <w:p>
            <w:pPr>
              <w:ind w:left="40"/>
              <w:spacing w:after="0"/>
              <w:rPr>
                <w:sz w:val="20"/>
                <w:szCs w:val="20"/>
                <w:color w:val="auto"/>
              </w:rPr>
            </w:pPr>
            <w:r>
              <w:rPr>
                <w:rFonts w:ascii="Arial" w:cs="Arial" w:eastAsia="Arial" w:hAnsi="Arial"/>
                <w:sz w:val="18"/>
                <w:szCs w:val="18"/>
                <w:color w:val="auto"/>
              </w:rPr>
              <w:t>Net income attributable to CME Group</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55"/>
              <w:spacing w:after="0"/>
              <w:rPr>
                <w:sz w:val="20"/>
                <w:szCs w:val="20"/>
                <w:color w:val="auto"/>
              </w:rPr>
            </w:pPr>
            <w:r>
              <w:rPr>
                <w:rFonts w:ascii="Arial" w:cs="Arial" w:eastAsia="Arial" w:hAnsi="Arial"/>
                <w:sz w:val="18"/>
                <w:szCs w:val="18"/>
                <w:color w:val="auto"/>
              </w:rPr>
              <w:t>263.8</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92"/>
              <w:spacing w:after="0"/>
              <w:rPr>
                <w:sz w:val="20"/>
                <w:szCs w:val="20"/>
                <w:color w:val="auto"/>
              </w:rPr>
            </w:pPr>
            <w:r>
              <w:rPr>
                <w:rFonts w:ascii="Arial" w:cs="Arial" w:eastAsia="Arial" w:hAnsi="Arial"/>
                <w:sz w:val="18"/>
                <w:szCs w:val="18"/>
                <w:color w:val="auto"/>
              </w:rPr>
              <w:t>311.2</w:t>
            </w:r>
          </w:p>
        </w:tc>
        <w:tc>
          <w:tcPr>
            <w:tcW w:w="1440" w:type="dxa"/>
            <w:vAlign w:val="bottom"/>
          </w:tcPr>
          <w:p>
            <w:pPr>
              <w:jc w:val="right"/>
              <w:ind w:right="213"/>
              <w:spacing w:after="0"/>
              <w:rPr>
                <w:sz w:val="20"/>
                <w:szCs w:val="20"/>
                <w:color w:val="auto"/>
              </w:rPr>
            </w:pPr>
            <w:r>
              <w:rPr>
                <w:rFonts w:ascii="Arial" w:cs="Arial" w:eastAsia="Arial" w:hAnsi="Arial"/>
                <w:sz w:val="18"/>
                <w:szCs w:val="18"/>
                <w:color w:val="auto"/>
              </w:rPr>
              <w:t>(15)</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35"/>
              <w:spacing w:after="0"/>
              <w:rPr>
                <w:sz w:val="20"/>
                <w:szCs w:val="20"/>
                <w:color w:val="auto"/>
              </w:rPr>
            </w:pPr>
            <w:r>
              <w:rPr>
                <w:rFonts w:ascii="Arial" w:cs="Arial" w:eastAsia="Arial" w:hAnsi="Arial"/>
                <w:sz w:val="18"/>
                <w:szCs w:val="18"/>
                <w:color w:val="auto"/>
              </w:rPr>
              <w:t>530.6</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2"/>
              <w:spacing w:after="0"/>
              <w:rPr>
                <w:sz w:val="20"/>
                <w:szCs w:val="20"/>
                <w:color w:val="auto"/>
              </w:rPr>
            </w:pPr>
            <w:r>
              <w:rPr>
                <w:rFonts w:ascii="Arial" w:cs="Arial" w:eastAsia="Arial" w:hAnsi="Arial"/>
                <w:sz w:val="18"/>
                <w:szCs w:val="18"/>
                <w:color w:val="auto"/>
              </w:rPr>
              <w:t>547.0</w:t>
            </w:r>
          </w:p>
        </w:tc>
        <w:tc>
          <w:tcPr>
            <w:tcW w:w="1320" w:type="dxa"/>
            <w:vAlign w:val="bottom"/>
          </w:tcPr>
          <w:p>
            <w:pPr>
              <w:jc w:val="right"/>
              <w:ind w:right="93"/>
              <w:spacing w:after="0"/>
              <w:rPr>
                <w:sz w:val="20"/>
                <w:szCs w:val="20"/>
                <w:color w:val="auto"/>
              </w:rPr>
            </w:pPr>
            <w:r>
              <w:rPr>
                <w:rFonts w:ascii="Arial" w:cs="Arial" w:eastAsia="Arial" w:hAnsi="Arial"/>
                <w:sz w:val="18"/>
                <w:szCs w:val="18"/>
                <w:color w:val="auto"/>
              </w:rPr>
              <w:t>(3)</w:t>
            </w:r>
          </w:p>
        </w:tc>
      </w:tr>
      <w:tr>
        <w:trPr>
          <w:trHeight w:val="27"/>
        </w:trPr>
        <w:tc>
          <w:tcPr>
            <w:tcW w:w="3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9"/>
        </w:trPr>
        <w:tc>
          <w:tcPr>
            <w:tcW w:w="37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Diluted earnings per common share attributable</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7"/>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 CME Group</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0.79</w:t>
            </w:r>
          </w:p>
        </w:tc>
        <w:tc>
          <w:tcPr>
            <w:tcW w:w="5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0.93</w:t>
            </w:r>
          </w:p>
        </w:tc>
        <w:tc>
          <w:tcPr>
            <w:tcW w:w="144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8"/>
                <w:szCs w:val="18"/>
                <w:color w:val="auto"/>
              </w:rPr>
              <w:t>(15)</w:t>
            </w: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8"/>
                <w:szCs w:val="18"/>
                <w:color w:val="auto"/>
              </w:rPr>
              <w:t>1.58</w:t>
            </w:r>
          </w:p>
        </w:tc>
        <w:tc>
          <w:tcPr>
            <w:tcW w:w="4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1.64</w:t>
            </w:r>
          </w:p>
        </w:tc>
        <w:tc>
          <w:tcPr>
            <w:tcW w:w="13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w:t>
            </w:r>
          </w:p>
        </w:tc>
      </w:tr>
      <w:tr>
        <w:trPr>
          <w:trHeight w:val="243"/>
        </w:trPr>
        <w:tc>
          <w:tcPr>
            <w:tcW w:w="3720" w:type="dxa"/>
            <w:vAlign w:val="bottom"/>
          </w:tcPr>
          <w:p>
            <w:pPr>
              <w:ind w:left="40"/>
              <w:spacing w:after="0"/>
              <w:rPr>
                <w:sz w:val="20"/>
                <w:szCs w:val="20"/>
                <w:color w:val="auto"/>
              </w:rPr>
            </w:pPr>
            <w:r>
              <w:rPr>
                <w:rFonts w:ascii="Arial" w:cs="Arial" w:eastAsia="Arial" w:hAnsi="Arial"/>
                <w:sz w:val="18"/>
                <w:szCs w:val="18"/>
                <w:color w:val="auto"/>
              </w:rPr>
              <w:t>Cash flows from operating activities</w:t>
            </w: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35"/>
              <w:spacing w:after="0"/>
              <w:rPr>
                <w:sz w:val="20"/>
                <w:szCs w:val="20"/>
                <w:color w:val="auto"/>
              </w:rPr>
            </w:pPr>
            <w:r>
              <w:rPr>
                <w:rFonts w:ascii="Arial" w:cs="Arial" w:eastAsia="Arial" w:hAnsi="Arial"/>
                <w:sz w:val="18"/>
                <w:szCs w:val="18"/>
                <w:color w:val="auto"/>
              </w:rPr>
              <w:t>554.7</w:t>
            </w:r>
          </w:p>
        </w:tc>
        <w:tc>
          <w:tcPr>
            <w:tcW w:w="400" w:type="dxa"/>
            <w:vAlign w:val="bottom"/>
          </w:tcPr>
          <w:p>
            <w:pPr>
              <w:spacing w:after="0"/>
              <w:rPr>
                <w:sz w:val="21"/>
                <w:szCs w:val="21"/>
                <w:color w:val="auto"/>
              </w:rPr>
            </w:pPr>
          </w:p>
        </w:tc>
        <w:tc>
          <w:tcPr>
            <w:tcW w:w="860" w:type="dxa"/>
            <w:vAlign w:val="bottom"/>
          </w:tcPr>
          <w:p>
            <w:pPr>
              <w:jc w:val="right"/>
              <w:ind w:right="112"/>
              <w:spacing w:after="0"/>
              <w:rPr>
                <w:sz w:val="20"/>
                <w:szCs w:val="20"/>
                <w:color w:val="auto"/>
              </w:rPr>
            </w:pPr>
            <w:r>
              <w:rPr>
                <w:rFonts w:ascii="Arial" w:cs="Arial" w:eastAsia="Arial" w:hAnsi="Arial"/>
                <w:sz w:val="18"/>
                <w:szCs w:val="18"/>
                <w:color w:val="auto"/>
              </w:rPr>
              <w:t>768.8</w:t>
            </w:r>
          </w:p>
        </w:tc>
        <w:tc>
          <w:tcPr>
            <w:tcW w:w="1320" w:type="dxa"/>
            <w:vAlign w:val="bottom"/>
          </w:tcPr>
          <w:p>
            <w:pPr>
              <w:jc w:val="right"/>
              <w:ind w:right="93"/>
              <w:spacing w:after="0"/>
              <w:rPr>
                <w:sz w:val="20"/>
                <w:szCs w:val="20"/>
                <w:color w:val="auto"/>
              </w:rPr>
            </w:pPr>
            <w:r>
              <w:rPr>
                <w:rFonts w:ascii="Arial" w:cs="Arial" w:eastAsia="Arial" w:hAnsi="Arial"/>
                <w:sz w:val="18"/>
                <w:szCs w:val="18"/>
                <w:color w:val="auto"/>
              </w:rPr>
              <w:t>(28)</w:t>
            </w:r>
          </w:p>
        </w:tc>
      </w:tr>
      <w:tr>
        <w:trPr>
          <w:trHeight w:val="243"/>
        </w:trPr>
        <w:tc>
          <w:tcPr>
            <w:tcW w:w="3720" w:type="dxa"/>
            <w:vAlign w:val="bottom"/>
          </w:tcPr>
          <w:p>
            <w:pPr>
              <w:spacing w:after="0"/>
              <w:rPr>
                <w:sz w:val="20"/>
                <w:szCs w:val="20"/>
                <w:color w:val="auto"/>
              </w:rPr>
            </w:pPr>
            <w:r>
              <w:rPr>
                <w:rFonts w:ascii="Arial" w:cs="Arial" w:eastAsia="Arial" w:hAnsi="Arial"/>
                <w:sz w:val="18"/>
                <w:szCs w:val="18"/>
                <w:color w:val="auto"/>
              </w:rPr>
              <w:t>n.m. not meaningful</w:t>
            </w: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320" w:type="dxa"/>
            <w:vAlign w:val="bottom"/>
          </w:tcPr>
          <w:p>
            <w:pPr>
              <w:spacing w:after="0"/>
              <w:rPr>
                <w:sz w:val="21"/>
                <w:szCs w:val="21"/>
                <w:color w:val="auto"/>
              </w:rPr>
            </w:pPr>
          </w:p>
        </w:tc>
      </w:tr>
    </w:tbl>
    <w:p>
      <w:pPr>
        <w:spacing w:after="0" w:line="94" w:lineRule="exact"/>
        <w:rPr>
          <w:sz w:val="20"/>
          <w:szCs w:val="20"/>
          <w:color w:val="auto"/>
        </w:rPr>
      </w:pPr>
    </w:p>
    <w:p>
      <w:pPr>
        <w:ind w:left="660" w:right="80" w:hanging="328"/>
        <w:spacing w:after="0" w:line="259"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the second quarter and first six months of 2014 when compared with the same periods in 2013, the decreases in revenues were attributable to lower exchange-traded contract volumes and decreases in other revenues due to proceeds recognized from business interruption insurance in 2013 and declines in rental income. The overall decreases in revenues were partially offset by increases in market data fees related to higher fees for basic real-time market data service and higher over-the-counter contract volumes.</w:t>
      </w:r>
    </w:p>
    <w:p>
      <w:pPr>
        <w:spacing w:after="0" w:line="186" w:lineRule="exact"/>
        <w:rPr>
          <w:rFonts w:ascii="Arial" w:cs="Arial" w:eastAsia="Arial" w:hAnsi="Arial"/>
          <w:sz w:val="18"/>
          <w:szCs w:val="18"/>
          <w:color w:val="auto"/>
        </w:rPr>
      </w:pPr>
    </w:p>
    <w:p>
      <w:pPr>
        <w:ind w:left="660" w:right="440" w:hanging="328"/>
        <w:spacing w:after="0" w:line="302"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increases in expenses in the second quarter and first six months of 2014 when compared with the same periods in 2013 were attributable to increases in compensation and benefits expenses relating to higher headcount and expenses associated with the development and continued enhancement of our product offerings and our electronic platforms, partially offset by higher net gains on foreign currency fluctuations and a recovery of expenses recognized in the second quarter of 2014 related to the MF Global bankruptcy in 2011.</w:t>
      </w:r>
    </w:p>
    <w:p>
      <w:pPr>
        <w:spacing w:after="0" w:line="154" w:lineRule="exact"/>
        <w:rPr>
          <w:rFonts w:ascii="Arial" w:cs="Arial" w:eastAsia="Arial" w:hAnsi="Arial"/>
          <w:sz w:val="16"/>
          <w:szCs w:val="16"/>
          <w:color w:val="auto"/>
        </w:rPr>
      </w:pPr>
    </w:p>
    <w:p>
      <w:pPr>
        <w:ind w:left="660" w:right="160" w:hanging="328"/>
        <w:spacing w:after="0" w:line="259"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increases in non-operating income (expense) in the second quarter and first six months of 2014 when compared with the same periods in 2013 were due to decreases in interest expense due to the repayment of the 5.75% fixed rate notes due February 2014, the repayment of the 5.4% fixed rate notes due August 2013 and the issuance of the 5.3% fixed rate notes due September 2043 that were effectively fixed at a rate of 4.73% through an interest rate swap agreement.</w:t>
      </w:r>
    </w:p>
    <w:p>
      <w:pPr>
        <w:spacing w:after="0" w:line="186"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overall decrease in effective tax rate for the second quarter of 2014 when compared with the same period in 2013 was largely due to a benefit accrued in the second quarter of 2014 related to the domestic production activities deduction.</w:t>
      </w:r>
    </w:p>
    <w:p>
      <w:pPr>
        <w:spacing w:after="0" w:line="170" w:lineRule="exact"/>
        <w:rPr>
          <w:rFonts w:ascii="Arial" w:cs="Arial" w:eastAsia="Arial" w:hAnsi="Arial"/>
          <w:sz w:val="18"/>
          <w:szCs w:val="18"/>
          <w:color w:val="auto"/>
        </w:rPr>
      </w:pPr>
    </w:p>
    <w:p>
      <w:pPr>
        <w:ind w:left="660" w:right="260" w:hanging="328"/>
        <w:spacing w:after="0" w:line="286"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Cash flows from operating activities decreased in the first six months of 2014 when compared with the same period in 2013 largely due to cash collateral on hand related to our forward-starting interest rate swap contract in the first six months of 2013.The forward-starting interest rate swap contract was outstanding during the first six months of 2013 in advance of our debt offering in the third quarter of 2013.</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7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gridSpan w:val="4"/>
          </w:tcPr>
          <w:p>
            <w:pPr>
              <w:jc w:val="right"/>
              <w:ind w:right="533"/>
              <w:spacing w:after="0"/>
              <w:rPr>
                <w:sz w:val="20"/>
                <w:szCs w:val="20"/>
                <w:color w:val="auto"/>
              </w:rPr>
            </w:pPr>
            <w:r>
              <w:rPr>
                <w:rFonts w:ascii="Arial" w:cs="Arial" w:eastAsia="Arial" w:hAnsi="Arial"/>
                <w:sz w:val="14"/>
                <w:szCs w:val="14"/>
                <w:b w:val="1"/>
                <w:bCs w:val="1"/>
                <w:color w:val="auto"/>
              </w:rPr>
              <w:t>Six Months Ended</w:t>
            </w:r>
          </w:p>
        </w:tc>
        <w:tc>
          <w:tcPr>
            <w:tcW w:w="1360" w:type="dxa"/>
            <w:vAlign w:val="bottom"/>
          </w:tcPr>
          <w:p>
            <w:pPr>
              <w:spacing w:after="0"/>
              <w:rPr>
                <w:sz w:val="14"/>
                <w:szCs w:val="14"/>
                <w:color w:val="auto"/>
              </w:rPr>
            </w:pPr>
          </w:p>
        </w:tc>
      </w:tr>
      <w:tr>
        <w:trPr>
          <w:trHeight w:val="192"/>
        </w:trPr>
        <w:tc>
          <w:tcPr>
            <w:tcW w:w="38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6"/>
                <w:szCs w:val="16"/>
                <w:color w:val="auto"/>
              </w:rPr>
            </w:pPr>
          </w:p>
        </w:tc>
        <w:tc>
          <w:tcPr>
            <w:tcW w:w="14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38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w w:val="89"/>
              </w:rPr>
              <w:t>2013</w:t>
            </w:r>
          </w:p>
        </w:tc>
        <w:tc>
          <w:tcPr>
            <w:tcW w:w="14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Change</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2013</w:t>
            </w:r>
          </w:p>
        </w:tc>
        <w:tc>
          <w:tcPr>
            <w:tcW w:w="13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Change</w:t>
            </w: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Clearing and transaction fees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609.3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692.5</w:t>
            </w:r>
          </w:p>
        </w:tc>
        <w:tc>
          <w:tcPr>
            <w:tcW w:w="14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(12)%</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1,261.5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1,285.7</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Market data and information services</w:t>
            </w:r>
          </w:p>
        </w:tc>
        <w:tc>
          <w:tcPr>
            <w:tcW w:w="260" w:type="dxa"/>
            <w:vAlign w:val="bottom"/>
          </w:tcPr>
          <w:p>
            <w:pPr>
              <w:spacing w:after="0"/>
              <w:rPr>
                <w:sz w:val="21"/>
                <w:szCs w:val="21"/>
                <w:color w:val="auto"/>
              </w:rPr>
            </w:pP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89.6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79.4</w:t>
            </w:r>
          </w:p>
        </w:tc>
        <w:tc>
          <w:tcPr>
            <w:tcW w:w="1480" w:type="dxa"/>
            <w:vAlign w:val="bottom"/>
          </w:tcPr>
          <w:p>
            <w:pPr>
              <w:jc w:val="right"/>
              <w:ind w:right="273"/>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21"/>
                <w:szCs w:val="21"/>
                <w:color w:val="auto"/>
              </w:rPr>
            </w:pP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179.0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160.3</w:t>
            </w:r>
          </w:p>
        </w:tc>
        <w:tc>
          <w:tcPr>
            <w:tcW w:w="1360" w:type="dxa"/>
            <w:vAlign w:val="bottom"/>
          </w:tcPr>
          <w:p>
            <w:pPr>
              <w:jc w:val="right"/>
              <w:ind w:right="153"/>
              <w:spacing w:after="0"/>
              <w:rPr>
                <w:sz w:val="20"/>
                <w:szCs w:val="20"/>
                <w:color w:val="auto"/>
              </w:rPr>
            </w:pPr>
            <w:r>
              <w:rPr>
                <w:rFonts w:ascii="Arial" w:cs="Arial" w:eastAsia="Arial" w:hAnsi="Arial"/>
                <w:sz w:val="18"/>
                <w:szCs w:val="18"/>
                <w:color w:val="auto"/>
              </w:rPr>
              <w:t>12</w:t>
            </w:r>
          </w:p>
        </w:tc>
      </w:tr>
      <w:tr>
        <w:trPr>
          <w:trHeight w:val="27"/>
        </w:trPr>
        <w:tc>
          <w:tcPr>
            <w:tcW w:w="3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Access and communication fees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20.6</w:t>
            </w:r>
          </w:p>
        </w:tc>
        <w:tc>
          <w:tcPr>
            <w:tcW w:w="148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8"/>
                <w:szCs w:val="18"/>
                <w:color w:val="auto"/>
              </w:rPr>
              <w:t>(1)</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40.8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42.1</w:t>
            </w:r>
          </w:p>
        </w:tc>
        <w:tc>
          <w:tcPr>
            <w:tcW w:w="13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w:t>
            </w: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860" w:type="dxa"/>
            <w:vAlign w:val="bottom"/>
          </w:tcPr>
          <w:p>
            <w:pPr>
              <w:jc w:val="right"/>
              <w:ind w:right="17"/>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23.6</w:t>
            </w:r>
          </w:p>
        </w:tc>
        <w:tc>
          <w:tcPr>
            <w:tcW w:w="1480" w:type="dxa"/>
            <w:vAlign w:val="bottom"/>
          </w:tcPr>
          <w:p>
            <w:pPr>
              <w:jc w:val="right"/>
              <w:ind w:right="213"/>
              <w:spacing w:after="0"/>
              <w:rPr>
                <w:sz w:val="20"/>
                <w:szCs w:val="20"/>
                <w:color w:val="auto"/>
              </w:rPr>
            </w:pPr>
            <w:r>
              <w:rPr>
                <w:rFonts w:ascii="Arial" w:cs="Arial" w:eastAsia="Arial" w:hAnsi="Arial"/>
                <w:sz w:val="18"/>
                <w:szCs w:val="18"/>
                <w:color w:val="auto"/>
              </w:rPr>
              <w:t>(48)</w:t>
            </w:r>
          </w:p>
        </w:tc>
        <w:tc>
          <w:tcPr>
            <w:tcW w:w="260" w:type="dxa"/>
            <w:vAlign w:val="bottom"/>
          </w:tcPr>
          <w:p>
            <w:pPr>
              <w:spacing w:after="0"/>
              <w:rPr>
                <w:sz w:val="21"/>
                <w:szCs w:val="21"/>
                <w:color w:val="auto"/>
              </w:rPr>
            </w:pP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46.6</w:t>
            </w:r>
          </w:p>
        </w:tc>
        <w:tc>
          <w:tcPr>
            <w:tcW w:w="1360" w:type="dxa"/>
            <w:vAlign w:val="bottom"/>
          </w:tcPr>
          <w:p>
            <w:pPr>
              <w:jc w:val="right"/>
              <w:ind w:right="93"/>
              <w:spacing w:after="0"/>
              <w:rPr>
                <w:sz w:val="20"/>
                <w:szCs w:val="20"/>
                <w:color w:val="auto"/>
              </w:rPr>
            </w:pPr>
            <w:r>
              <w:rPr>
                <w:rFonts w:ascii="Arial" w:cs="Arial" w:eastAsia="Arial" w:hAnsi="Arial"/>
                <w:sz w:val="18"/>
                <w:szCs w:val="18"/>
                <w:color w:val="auto"/>
              </w:rPr>
              <w:t>(40)</w:t>
            </w:r>
          </w:p>
        </w:tc>
      </w:tr>
      <w:tr>
        <w:trPr>
          <w:trHeight w:val="27"/>
        </w:trPr>
        <w:tc>
          <w:tcPr>
            <w:tcW w:w="3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57"/>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731.6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816.1</w:t>
            </w:r>
          </w:p>
        </w:tc>
        <w:tc>
          <w:tcPr>
            <w:tcW w:w="148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8"/>
                <w:szCs w:val="18"/>
                <w:color w:val="auto"/>
              </w:rPr>
              <w:t>(10)</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1,509.0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1,534.7</w:t>
            </w:r>
          </w:p>
        </w:tc>
        <w:tc>
          <w:tcPr>
            <w:tcW w:w="13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w:t>
            </w:r>
          </w:p>
        </w:tc>
      </w:tr>
      <w:tr>
        <w:trPr>
          <w:trHeight w:val="20"/>
        </w:trPr>
        <w:tc>
          <w:tcPr>
            <w:tcW w:w="3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Clearing and Transaction Fees</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following table summarizes our total contract volume, revenue and average rate per contract. Total contract volume includes contracts that are traded on our exchange and cleared through our clearing house as well as cleared-only contracts. Volume is measured in round turns, which is considered a completed transaction that involves a purchase and an offsetting sale of a contract. Average rate per contract is determined by dividing total clearing and transaction fees by total contract volume. Volume and average rate per contract disclosures exclude our CME interest rate swap, CME credit default swap, CMECE and CME Europe contracts.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tcPr>
          <w:p>
            <w:pPr>
              <w:jc w:val="right"/>
              <w:spacing w:after="0"/>
              <w:rPr>
                <w:sz w:val="20"/>
                <w:szCs w:val="20"/>
                <w:color w:val="auto"/>
              </w:rPr>
            </w:pPr>
            <w:r>
              <w:rPr>
                <w:rFonts w:ascii="Arial" w:cs="Arial" w:eastAsia="Arial" w:hAnsi="Arial"/>
                <w:sz w:val="14"/>
                <w:szCs w:val="14"/>
                <w:b w:val="1"/>
                <w:bCs w:val="1"/>
                <w:color w:val="auto"/>
              </w:rPr>
              <w:t>Quarter Ended</w:t>
            </w:r>
          </w:p>
        </w:tc>
        <w:tc>
          <w:tcPr>
            <w:tcW w:w="7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gridSpan w:val="3"/>
          </w:tcPr>
          <w:p>
            <w:pPr>
              <w:jc w:val="right"/>
              <w:ind w:right="534"/>
              <w:spacing w:after="0"/>
              <w:rPr>
                <w:sz w:val="20"/>
                <w:szCs w:val="20"/>
                <w:color w:val="auto"/>
              </w:rPr>
            </w:pPr>
            <w:r>
              <w:rPr>
                <w:rFonts w:ascii="Arial" w:cs="Arial" w:eastAsia="Arial" w:hAnsi="Arial"/>
                <w:sz w:val="14"/>
                <w:szCs w:val="14"/>
                <w:b w:val="1"/>
                <w:bCs w:val="1"/>
                <w:color w:val="auto"/>
              </w:rPr>
              <w:t>Six Months Ended</w:t>
            </w:r>
          </w:p>
        </w:tc>
        <w:tc>
          <w:tcPr>
            <w:tcW w:w="1360" w:type="dxa"/>
            <w:vAlign w:val="bottom"/>
          </w:tcPr>
          <w:p>
            <w:pPr>
              <w:spacing w:after="0"/>
              <w:rPr>
                <w:sz w:val="14"/>
                <w:szCs w:val="14"/>
                <w:color w:val="auto"/>
              </w:rPr>
            </w:pPr>
          </w:p>
        </w:tc>
      </w:tr>
      <w:tr>
        <w:trPr>
          <w:trHeight w:val="192"/>
        </w:trPr>
        <w:tc>
          <w:tcPr>
            <w:tcW w:w="38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6"/>
                <w:szCs w:val="16"/>
                <w:color w:val="auto"/>
              </w:rPr>
            </w:pPr>
          </w:p>
        </w:tc>
        <w:tc>
          <w:tcPr>
            <w:tcW w:w="14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386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2014</w:t>
            </w:r>
          </w:p>
        </w:tc>
        <w:tc>
          <w:tcPr>
            <w:tcW w:w="5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w w:val="89"/>
              </w:rPr>
              <w:t>2013</w:t>
            </w:r>
          </w:p>
        </w:tc>
        <w:tc>
          <w:tcPr>
            <w:tcW w:w="14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Change</w:t>
            </w: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2014</w:t>
            </w: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2013</w:t>
            </w:r>
          </w:p>
        </w:tc>
        <w:tc>
          <w:tcPr>
            <w:tcW w:w="136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Change</w:t>
            </w: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contract volume (in millions)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796.0</w:t>
            </w:r>
          </w:p>
        </w:tc>
        <w:tc>
          <w:tcPr>
            <w:tcW w:w="5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916.7</w:t>
            </w:r>
          </w:p>
        </w:tc>
        <w:tc>
          <w:tcPr>
            <w:tcW w:w="14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(13)%</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1,629.2</w:t>
            </w: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1,667.2</w:t>
            </w:r>
          </w:p>
        </w:tc>
        <w:tc>
          <w:tcPr>
            <w:tcW w:w="136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w w:val="99"/>
              </w:rPr>
              <w:t>(2)%</w:t>
            </w: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Clearing and transaction fees (in millions)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9"/>
              <w:spacing w:after="0"/>
              <w:rPr>
                <w:sz w:val="20"/>
                <w:szCs w:val="20"/>
                <w:color w:val="auto"/>
              </w:rPr>
            </w:pPr>
            <w:r>
              <w:rPr>
                <w:rFonts w:ascii="Arial" w:cs="Arial" w:eastAsia="Arial" w:hAnsi="Arial"/>
                <w:sz w:val="18"/>
                <w:szCs w:val="18"/>
                <w:color w:val="auto"/>
              </w:rPr>
              <w:t>596.0</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685.6</w:t>
            </w:r>
          </w:p>
        </w:tc>
        <w:tc>
          <w:tcPr>
            <w:tcW w:w="1480" w:type="dxa"/>
            <w:vAlign w:val="bottom"/>
          </w:tcPr>
          <w:p>
            <w:pPr>
              <w:jc w:val="right"/>
              <w:ind w:right="214"/>
              <w:spacing w:after="0"/>
              <w:rPr>
                <w:sz w:val="20"/>
                <w:szCs w:val="20"/>
                <w:color w:val="auto"/>
              </w:rPr>
            </w:pPr>
            <w:r>
              <w:rPr>
                <w:rFonts w:ascii="Arial" w:cs="Arial" w:eastAsia="Arial" w:hAnsi="Arial"/>
                <w:sz w:val="18"/>
                <w:szCs w:val="18"/>
                <w:color w:val="auto"/>
              </w:rPr>
              <w:t>(13)</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9"/>
              <w:spacing w:after="0"/>
              <w:rPr>
                <w:sz w:val="20"/>
                <w:szCs w:val="20"/>
                <w:color w:val="auto"/>
              </w:rPr>
            </w:pPr>
            <w:r>
              <w:rPr>
                <w:rFonts w:ascii="Arial" w:cs="Arial" w:eastAsia="Arial" w:hAnsi="Arial"/>
                <w:sz w:val="18"/>
                <w:szCs w:val="18"/>
                <w:color w:val="auto"/>
              </w:rPr>
              <w:t>1,235.3</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1,275.6</w:t>
            </w:r>
          </w:p>
        </w:tc>
        <w:tc>
          <w:tcPr>
            <w:tcW w:w="1360" w:type="dxa"/>
            <w:vAlign w:val="bottom"/>
          </w:tcPr>
          <w:p>
            <w:pPr>
              <w:ind w:left="960"/>
              <w:spacing w:after="0"/>
              <w:rPr>
                <w:sz w:val="20"/>
                <w:szCs w:val="20"/>
                <w:color w:val="auto"/>
              </w:rPr>
            </w:pPr>
            <w:r>
              <w:rPr>
                <w:rFonts w:ascii="Arial" w:cs="Arial" w:eastAsia="Arial" w:hAnsi="Arial"/>
                <w:sz w:val="18"/>
                <w:szCs w:val="18"/>
                <w:color w:val="auto"/>
              </w:rPr>
              <w:t>(3)</w:t>
            </w:r>
          </w:p>
        </w:tc>
      </w:tr>
      <w:tr>
        <w:trPr>
          <w:trHeight w:val="27"/>
        </w:trPr>
        <w:tc>
          <w:tcPr>
            <w:tcW w:w="3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3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Average rate per contract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0.749</w:t>
            </w:r>
          </w:p>
        </w:tc>
        <w:tc>
          <w:tcPr>
            <w:tcW w:w="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0.748</w:t>
            </w:r>
          </w:p>
        </w:tc>
        <w:tc>
          <w:tcPr>
            <w:tcW w:w="148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0.758</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0.765</w:t>
            </w:r>
          </w:p>
        </w:tc>
        <w:tc>
          <w:tcPr>
            <w:tcW w:w="1360" w:type="dxa"/>
            <w:vAlign w:val="bottom"/>
            <w:shd w:val="clear" w:color="auto" w:fill="CCEEFF"/>
          </w:tcPr>
          <w:p>
            <w:pPr>
              <w:ind w:left="960"/>
              <w:spacing w:after="0"/>
              <w:rPr>
                <w:sz w:val="20"/>
                <w:szCs w:val="20"/>
                <w:color w:val="auto"/>
              </w:rPr>
            </w:pPr>
            <w:r>
              <w:rPr>
                <w:rFonts w:ascii="Arial" w:cs="Arial" w:eastAsia="Arial" w:hAnsi="Arial"/>
                <w:sz w:val="18"/>
                <w:szCs w:val="18"/>
                <w:color w:val="auto"/>
              </w:rPr>
              <w:t>(1)</w:t>
            </w:r>
          </w:p>
        </w:tc>
      </w:tr>
      <w:tr>
        <w:trPr>
          <w:trHeight w:val="27"/>
        </w:trPr>
        <w:tc>
          <w:tcPr>
            <w:tcW w:w="38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We estimate the following increases (decreases) in clearing and transaction fees based on change in total contract volume and change in average rate per contract during the second quarter and first six months of 2014 when compared with the same periods in 2013.</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40" w:type="dxa"/>
            <w:vAlign w:val="bottom"/>
          </w:tcPr>
          <w:p>
            <w:pPr>
              <w:spacing w:after="0"/>
              <w:rPr>
                <w:sz w:val="14"/>
                <w:szCs w:val="14"/>
                <w:color w:val="auto"/>
              </w:rPr>
            </w:pPr>
          </w:p>
        </w:tc>
        <w:tc>
          <w:tcPr>
            <w:tcW w:w="12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Quarter Ended</w:t>
            </w:r>
          </w:p>
        </w:tc>
        <w:tc>
          <w:tcPr>
            <w:tcW w:w="180" w:type="dxa"/>
            <w:vAlign w:val="bottom"/>
          </w:tcPr>
          <w:p>
            <w:pPr>
              <w:spacing w:after="0"/>
              <w:rPr>
                <w:sz w:val="14"/>
                <w:szCs w:val="14"/>
                <w:color w:val="auto"/>
              </w:rPr>
            </w:pPr>
          </w:p>
        </w:tc>
        <w:tc>
          <w:tcPr>
            <w:tcW w:w="960" w:type="dxa"/>
            <w:vAlign w:val="bottom"/>
          </w:tcPr>
          <w:p>
            <w:pPr>
              <w:jc w:val="right"/>
              <w:ind w:right="137"/>
              <w:spacing w:after="0"/>
              <w:rPr>
                <w:sz w:val="20"/>
                <w:szCs w:val="20"/>
                <w:color w:val="auto"/>
              </w:rPr>
            </w:pPr>
            <w:r>
              <w:rPr>
                <w:rFonts w:ascii="Arial" w:cs="Arial" w:eastAsia="Arial" w:hAnsi="Arial"/>
                <w:sz w:val="14"/>
                <w:szCs w:val="14"/>
                <w:b w:val="1"/>
                <w:bCs w:val="1"/>
                <w:color w:val="auto"/>
                <w:w w:val="96"/>
              </w:rPr>
              <w:t>Six Months</w:t>
            </w:r>
          </w:p>
        </w:tc>
        <w:tc>
          <w:tcPr>
            <w:tcW w:w="0" w:type="dxa"/>
            <w:vAlign w:val="bottom"/>
          </w:tcPr>
          <w:p>
            <w:pPr>
              <w:spacing w:after="0"/>
              <w:rPr>
                <w:sz w:val="1"/>
                <w:szCs w:val="1"/>
                <w:color w:val="auto"/>
              </w:rPr>
            </w:pPr>
          </w:p>
        </w:tc>
      </w:tr>
      <w:tr>
        <w:trPr>
          <w:trHeight w:val="192"/>
        </w:trPr>
        <w:tc>
          <w:tcPr>
            <w:tcW w:w="9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1240" w:type="dxa"/>
            <w:vAlign w:val="bottom"/>
            <w:tcBorders>
              <w:bottom w:val="single" w:sz="8" w:color="auto"/>
            </w:tcBorders>
            <w:gridSpan w:val="3"/>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25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Decreases due to changes in total contract volume</w:t>
            </w:r>
          </w:p>
        </w:tc>
        <w:tc>
          <w:tcPr>
            <w:tcW w:w="3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Increase (decrease) due to changes in average rate per contract</w:t>
            </w:r>
          </w:p>
        </w:tc>
        <w:tc>
          <w:tcPr>
            <w:tcW w:w="3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7"/>
        </w:trPr>
        <w:tc>
          <w:tcPr>
            <w:tcW w:w="90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Decreases in clearing and transaction fees</w:t>
            </w:r>
          </w:p>
        </w:tc>
        <w:tc>
          <w:tcPr>
            <w:tcW w:w="38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7"/>
        </w:trPr>
        <w:tc>
          <w:tcPr>
            <w:tcW w:w="90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Average rate per contract is impacted by our rate structure, including volume-based incentives; product mix; trading venue, and the percentage of volume executed by customers who are members compared with non-member customers. Due to the relationship between average rate per contract and contract volume, the change in clearing and transaction fees attributable to the change in each is only an approximation.</w:t>
      </w:r>
    </w:p>
    <w:p>
      <w:pPr>
        <w:spacing w:after="0" w:line="16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Clearing and transaction fees as presented in the consolidated statements of income include revenues for our cleared-only CME interest rate swap and CME credit default swap contracts. In the second quarter and first six months of 2014 when compared with the same periods in 2013, clearing and transaction fees generated from these contracts increased by $6.5 million and $16.2 million, respectively. The increases in revenues were largely attributable to increases in CME interest rate swap contract volumes resulting from the over-the-counter clearing mandate required to be implemented starting in mid-2013 by the Dodd-Frank Wall Street Reform and Consumer Protection Act.</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Volume</w:t>
      </w:r>
    </w:p>
    <w:p>
      <w:pPr>
        <w:spacing w:after="0" w:line="22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following table summarizes average daily contract volume. Contract volume can be influenced by many factors, including political and economic conditions, the regulatory environment and market competition.</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660" w:type="dxa"/>
            <w:vAlign w:val="bottom"/>
            <w:gridSpan w:val="3"/>
          </w:tcPr>
          <w:p>
            <w:pPr>
              <w:jc w:val="center"/>
              <w:ind w:left="614"/>
              <w:spacing w:after="0"/>
              <w:rPr>
                <w:sz w:val="20"/>
                <w:szCs w:val="20"/>
                <w:color w:val="auto"/>
              </w:rPr>
            </w:pPr>
            <w:r>
              <w:rPr>
                <w:rFonts w:ascii="Arial" w:cs="Arial" w:eastAsia="Arial" w:hAnsi="Arial"/>
                <w:sz w:val="14"/>
                <w:szCs w:val="14"/>
                <w:b w:val="1"/>
                <w:bCs w:val="1"/>
                <w:color w:val="auto"/>
                <w:w w:val="94"/>
              </w:rPr>
              <w:t>Quarter Ended</w:t>
            </w:r>
          </w:p>
        </w:tc>
        <w:tc>
          <w:tcPr>
            <w:tcW w:w="7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5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1240" w:type="dxa"/>
            <w:vAlign w:val="bottom"/>
          </w:tcPr>
          <w:p>
            <w:pPr>
              <w:spacing w:after="0"/>
              <w:rPr>
                <w:sz w:val="14"/>
                <w:szCs w:val="14"/>
                <w:color w:val="auto"/>
              </w:rPr>
            </w:pPr>
          </w:p>
        </w:tc>
      </w:tr>
      <w:tr>
        <w:trPr>
          <w:trHeight w:val="192"/>
        </w:trPr>
        <w:tc>
          <w:tcPr>
            <w:tcW w:w="3780" w:type="dxa"/>
            <w:vAlign w:val="bottom"/>
          </w:tcPr>
          <w:p>
            <w:pPr>
              <w:spacing w:after="0"/>
              <w:rPr>
                <w:sz w:val="16"/>
                <w:szCs w:val="16"/>
                <w:color w:val="auto"/>
              </w:rPr>
            </w:pPr>
          </w:p>
        </w:tc>
        <w:tc>
          <w:tcPr>
            <w:tcW w:w="1660" w:type="dxa"/>
            <w:vAlign w:val="bottom"/>
            <w:tcBorders>
              <w:bottom w:val="single" w:sz="8" w:color="auto"/>
            </w:tcBorders>
            <w:gridSpan w:val="3"/>
          </w:tcPr>
          <w:p>
            <w:pPr>
              <w:jc w:val="center"/>
              <w:ind w:left="654"/>
              <w:spacing w:after="0"/>
              <w:rPr>
                <w:sz w:val="20"/>
                <w:szCs w:val="20"/>
                <w:color w:val="auto"/>
              </w:rPr>
            </w:pPr>
            <w:r>
              <w:rPr>
                <w:rFonts w:ascii="Arial" w:cs="Arial" w:eastAsia="Arial" w:hAnsi="Arial"/>
                <w:sz w:val="14"/>
                <w:szCs w:val="14"/>
                <w:b w:val="1"/>
                <w:bCs w:val="1"/>
                <w:color w:val="auto"/>
                <w:w w:val="92"/>
              </w:rPr>
              <w:t>June 30,</w:t>
            </w:r>
          </w:p>
        </w:tc>
        <w:tc>
          <w:tcPr>
            <w:tcW w:w="700" w:type="dxa"/>
            <w:vAlign w:val="bottom"/>
            <w:tcBorders>
              <w:bottom w:val="single" w:sz="8" w:color="auto"/>
            </w:tcBorders>
          </w:tcPr>
          <w:p>
            <w:pPr>
              <w:spacing w:after="0"/>
              <w:rPr>
                <w:sz w:val="16"/>
                <w:szCs w:val="16"/>
                <w:color w:val="auto"/>
              </w:rPr>
            </w:pPr>
          </w:p>
        </w:tc>
        <w:tc>
          <w:tcPr>
            <w:tcW w:w="1480" w:type="dxa"/>
            <w:vAlign w:val="bottom"/>
          </w:tcPr>
          <w:p>
            <w:pPr>
              <w:spacing w:after="0"/>
              <w:rPr>
                <w:sz w:val="16"/>
                <w:szCs w:val="16"/>
                <w:color w:val="auto"/>
              </w:rPr>
            </w:pPr>
          </w:p>
        </w:tc>
        <w:tc>
          <w:tcPr>
            <w:tcW w:w="1680" w:type="dxa"/>
            <w:vAlign w:val="bottom"/>
            <w:tcBorders>
              <w:bottom w:val="single" w:sz="8" w:color="auto"/>
            </w:tcBorders>
            <w:gridSpan w:val="3"/>
          </w:tcPr>
          <w:p>
            <w:pPr>
              <w:jc w:val="center"/>
              <w:ind w:left="814"/>
              <w:spacing w:after="0"/>
              <w:rPr>
                <w:sz w:val="20"/>
                <w:szCs w:val="20"/>
                <w:color w:val="auto"/>
              </w:rPr>
            </w:pPr>
            <w:r>
              <w:rPr>
                <w:rFonts w:ascii="Arial" w:cs="Arial" w:eastAsia="Arial" w:hAnsi="Arial"/>
                <w:sz w:val="14"/>
                <w:szCs w:val="14"/>
                <w:b w:val="1"/>
                <w:bCs w:val="1"/>
                <w:color w:val="auto"/>
                <w:w w:val="89"/>
              </w:rPr>
              <w:t>June 30,</w:t>
            </w:r>
          </w:p>
        </w:tc>
        <w:tc>
          <w:tcPr>
            <w:tcW w:w="880" w:type="dxa"/>
            <w:vAlign w:val="bottom"/>
            <w:tcBorders>
              <w:bottom w:val="single" w:sz="8" w:color="auto"/>
            </w:tcBorders>
          </w:tcPr>
          <w:p>
            <w:pPr>
              <w:spacing w:after="0"/>
              <w:rPr>
                <w:sz w:val="16"/>
                <w:szCs w:val="16"/>
                <w:color w:val="auto"/>
              </w:rPr>
            </w:pPr>
          </w:p>
        </w:tc>
        <w:tc>
          <w:tcPr>
            <w:tcW w:w="1240" w:type="dxa"/>
            <w:vAlign w:val="bottom"/>
          </w:tcPr>
          <w:p>
            <w:pPr>
              <w:spacing w:after="0"/>
              <w:rPr>
                <w:sz w:val="16"/>
                <w:szCs w:val="16"/>
                <w:color w:val="auto"/>
              </w:rPr>
            </w:pPr>
          </w:p>
        </w:tc>
      </w:tr>
      <w:tr>
        <w:trPr>
          <w:trHeight w:val="264"/>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11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83"/>
              </w:rPr>
              <w:t>2013</w:t>
            </w:r>
          </w:p>
        </w:tc>
        <w:tc>
          <w:tcPr>
            <w:tcW w:w="14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Change</w:t>
            </w:r>
          </w:p>
        </w:tc>
        <w:tc>
          <w:tcPr>
            <w:tcW w:w="12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2013</w:t>
            </w:r>
          </w:p>
        </w:tc>
        <w:tc>
          <w:tcPr>
            <w:tcW w:w="12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Change</w:t>
            </w: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Daily Volume by Product Line:</w:t>
            </w: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Interest rate</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6,668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6,828</w:t>
            </w:r>
          </w:p>
        </w:tc>
        <w:tc>
          <w:tcPr>
            <w:tcW w:w="1480" w:type="dxa"/>
            <w:vAlign w:val="bottom"/>
          </w:tcPr>
          <w:p>
            <w:pPr>
              <w:jc w:val="right"/>
              <w:ind w:right="51"/>
              <w:spacing w:after="0"/>
              <w:rPr>
                <w:sz w:val="20"/>
                <w:szCs w:val="20"/>
                <w:color w:val="auto"/>
              </w:rPr>
            </w:pPr>
            <w:r>
              <w:rPr>
                <w:rFonts w:ascii="Arial" w:cs="Arial" w:eastAsia="Arial" w:hAnsi="Arial"/>
                <w:sz w:val="18"/>
                <w:szCs w:val="18"/>
                <w:color w:val="auto"/>
              </w:rPr>
              <w:t>(2)%</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6,696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6,261</w:t>
            </w:r>
          </w:p>
        </w:tc>
        <w:tc>
          <w:tcPr>
            <w:tcW w:w="1240" w:type="dxa"/>
            <w:vAlign w:val="bottom"/>
          </w:tcPr>
          <w:p>
            <w:pPr>
              <w:jc w:val="right"/>
              <w:spacing w:after="0"/>
              <w:rPr>
                <w:sz w:val="20"/>
                <w:szCs w:val="20"/>
                <w:color w:val="auto"/>
              </w:rPr>
            </w:pPr>
            <w:r>
              <w:rPr>
                <w:rFonts w:ascii="Arial" w:cs="Arial" w:eastAsia="Arial" w:hAnsi="Arial"/>
                <w:sz w:val="18"/>
                <w:szCs w:val="18"/>
                <w:color w:val="auto"/>
              </w:rPr>
              <w:t>7 %</w:t>
            </w:r>
          </w:p>
        </w:tc>
      </w:tr>
      <w:tr>
        <w:trPr>
          <w:trHeight w:val="27"/>
        </w:trPr>
        <w:tc>
          <w:tcPr>
            <w:tcW w:w="3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2,465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3,079</w:t>
            </w:r>
          </w:p>
        </w:tc>
        <w:tc>
          <w:tcPr>
            <w:tcW w:w="1480" w:type="dxa"/>
            <w:vAlign w:val="bottom"/>
            <w:tcBorders>
              <w:bottom w:val="single" w:sz="8" w:color="CCEEFF"/>
            </w:tcBorders>
            <w:shd w:val="clear" w:color="auto" w:fill="CCEEFF"/>
          </w:tcPr>
          <w:p>
            <w:pPr>
              <w:jc w:val="right"/>
              <w:ind w:right="211"/>
              <w:spacing w:after="0"/>
              <w:rPr>
                <w:sz w:val="20"/>
                <w:szCs w:val="20"/>
                <w:color w:val="auto"/>
              </w:rPr>
            </w:pPr>
            <w:r>
              <w:rPr>
                <w:rFonts w:ascii="Arial" w:cs="Arial" w:eastAsia="Arial" w:hAnsi="Arial"/>
                <w:sz w:val="18"/>
                <w:szCs w:val="18"/>
                <w:color w:val="auto"/>
              </w:rPr>
              <w:t>(20)</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2,851</w:t>
            </w: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Foreign exchange</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638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1,042</w:t>
            </w:r>
          </w:p>
        </w:tc>
        <w:tc>
          <w:tcPr>
            <w:tcW w:w="1480" w:type="dxa"/>
            <w:vAlign w:val="bottom"/>
          </w:tcPr>
          <w:p>
            <w:pPr>
              <w:jc w:val="right"/>
              <w:ind w:right="211"/>
              <w:spacing w:after="0"/>
              <w:rPr>
                <w:sz w:val="20"/>
                <w:szCs w:val="20"/>
                <w:color w:val="auto"/>
              </w:rPr>
            </w:pPr>
            <w:r>
              <w:rPr>
                <w:rFonts w:ascii="Arial" w:cs="Arial" w:eastAsia="Arial" w:hAnsi="Arial"/>
                <w:sz w:val="18"/>
                <w:szCs w:val="18"/>
                <w:color w:val="auto"/>
              </w:rPr>
              <w:t>(39)</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726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1,027</w:t>
            </w: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(29)</w:t>
            </w:r>
          </w:p>
        </w:tc>
      </w:tr>
      <w:tr>
        <w:trPr>
          <w:trHeight w:val="27"/>
        </w:trPr>
        <w:tc>
          <w:tcPr>
            <w:tcW w:w="3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Agricultural commodity</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1,085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1,107</w:t>
            </w:r>
          </w:p>
        </w:tc>
        <w:tc>
          <w:tcPr>
            <w:tcW w:w="1480" w:type="dxa"/>
            <w:vAlign w:val="bottom"/>
            <w:tcBorders>
              <w:bottom w:val="single" w:sz="8" w:color="CCEEFF"/>
            </w:tcBorders>
            <w:shd w:val="clear" w:color="auto" w:fill="CCEEFF"/>
          </w:tcPr>
          <w:p>
            <w:pPr>
              <w:jc w:val="right"/>
              <w:ind w:right="211"/>
              <w:spacing w:after="0"/>
              <w:rPr>
                <w:sz w:val="20"/>
                <w:szCs w:val="20"/>
                <w:color w:val="auto"/>
              </w:rPr>
            </w:pPr>
            <w:r>
              <w:rPr>
                <w:rFonts w:ascii="Arial" w:cs="Arial" w:eastAsia="Arial" w:hAnsi="Arial"/>
                <w:sz w:val="18"/>
                <w:szCs w:val="18"/>
                <w:color w:val="auto"/>
              </w:rPr>
              <w:t>(2)</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1,107</w:t>
            </w:r>
          </w:p>
        </w:tc>
        <w:tc>
          <w:tcPr>
            <w:tcW w:w="12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w:t>
            </w: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Energy</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1,457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1,796</w:t>
            </w:r>
          </w:p>
        </w:tc>
        <w:tc>
          <w:tcPr>
            <w:tcW w:w="1480" w:type="dxa"/>
            <w:vAlign w:val="bottom"/>
          </w:tcPr>
          <w:p>
            <w:pPr>
              <w:jc w:val="right"/>
              <w:ind w:right="211"/>
              <w:spacing w:after="0"/>
              <w:rPr>
                <w:sz w:val="20"/>
                <w:szCs w:val="20"/>
                <w:color w:val="auto"/>
              </w:rPr>
            </w:pPr>
            <w:r>
              <w:rPr>
                <w:rFonts w:ascii="Arial" w:cs="Arial" w:eastAsia="Arial" w:hAnsi="Arial"/>
                <w:sz w:val="18"/>
                <w:szCs w:val="18"/>
                <w:color w:val="auto"/>
              </w:rPr>
              <w:t>(19)</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1,579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1,764</w:t>
            </w: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(11)</w:t>
            </w:r>
          </w:p>
        </w:tc>
      </w:tr>
      <w:tr>
        <w:trPr>
          <w:trHeight w:val="27"/>
        </w:trPr>
        <w:tc>
          <w:tcPr>
            <w:tcW w:w="3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Metal</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471</w:t>
            </w:r>
          </w:p>
        </w:tc>
        <w:tc>
          <w:tcPr>
            <w:tcW w:w="1480" w:type="dxa"/>
            <w:vAlign w:val="bottom"/>
            <w:tcBorders>
              <w:bottom w:val="single" w:sz="8" w:color="CCEEFF"/>
            </w:tcBorders>
            <w:shd w:val="clear" w:color="auto" w:fill="CCEEFF"/>
          </w:tcPr>
          <w:p>
            <w:pPr>
              <w:jc w:val="right"/>
              <w:ind w:right="211"/>
              <w:spacing w:after="0"/>
              <w:rPr>
                <w:sz w:val="20"/>
                <w:szCs w:val="20"/>
                <w:color w:val="auto"/>
              </w:rPr>
            </w:pPr>
            <w:r>
              <w:rPr>
                <w:rFonts w:ascii="Arial" w:cs="Arial" w:eastAsia="Arial" w:hAnsi="Arial"/>
                <w:sz w:val="18"/>
                <w:szCs w:val="18"/>
                <w:color w:val="auto"/>
              </w:rPr>
              <w:t>(31)</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435</w:t>
            </w: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w:t>
            </w:r>
          </w:p>
        </w:tc>
      </w:tr>
      <w:tr>
        <w:trPr>
          <w:trHeight w:val="237"/>
        </w:trPr>
        <w:tc>
          <w:tcPr>
            <w:tcW w:w="3780" w:type="dxa"/>
            <w:vAlign w:val="bottom"/>
          </w:tcPr>
          <w:p>
            <w:pPr>
              <w:ind w:left="40"/>
              <w:spacing w:after="0"/>
              <w:rPr>
                <w:sz w:val="20"/>
                <w:szCs w:val="20"/>
                <w:color w:val="auto"/>
              </w:rPr>
            </w:pPr>
            <w:r>
              <w:rPr>
                <w:rFonts w:ascii="Arial" w:cs="Arial" w:eastAsia="Arial" w:hAnsi="Arial"/>
                <w:sz w:val="18"/>
                <w:szCs w:val="18"/>
                <w:color w:val="auto"/>
              </w:rPr>
              <w:t>Aggregate average daily volume</w:t>
            </w:r>
          </w:p>
        </w:tc>
        <w:tc>
          <w:tcPr>
            <w:tcW w:w="11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12,636</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14,323</w:t>
            </w:r>
          </w:p>
        </w:tc>
        <w:tc>
          <w:tcPr>
            <w:tcW w:w="1480" w:type="dxa"/>
            <w:vAlign w:val="bottom"/>
          </w:tcPr>
          <w:p>
            <w:pPr>
              <w:jc w:val="right"/>
              <w:ind w:right="211"/>
              <w:spacing w:after="0"/>
              <w:rPr>
                <w:sz w:val="20"/>
                <w:szCs w:val="20"/>
                <w:color w:val="auto"/>
              </w:rPr>
            </w:pPr>
            <w:r>
              <w:rPr>
                <w:rFonts w:ascii="Arial" w:cs="Arial" w:eastAsia="Arial" w:hAnsi="Arial"/>
                <w:sz w:val="18"/>
                <w:szCs w:val="18"/>
                <w:color w:val="auto"/>
              </w:rPr>
              <w:t>(12)</w:t>
            </w: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13,139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13,445</w:t>
            </w: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(2)</w:t>
            </w:r>
          </w:p>
        </w:tc>
      </w:tr>
      <w:tr>
        <w:trPr>
          <w:trHeight w:val="27"/>
        </w:trPr>
        <w:tc>
          <w:tcPr>
            <w:tcW w:w="3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Daily Volume by Venue:</w:t>
            </w: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Electronic</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10,888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12,459</w:t>
            </w:r>
          </w:p>
        </w:tc>
        <w:tc>
          <w:tcPr>
            <w:tcW w:w="1480" w:type="dxa"/>
            <w:vAlign w:val="bottom"/>
          </w:tcPr>
          <w:p>
            <w:pPr>
              <w:jc w:val="right"/>
              <w:ind w:right="211"/>
              <w:spacing w:after="0"/>
              <w:rPr>
                <w:sz w:val="20"/>
                <w:szCs w:val="20"/>
                <w:color w:val="auto"/>
              </w:rPr>
            </w:pPr>
            <w:r>
              <w:rPr>
                <w:rFonts w:ascii="Arial" w:cs="Arial" w:eastAsia="Arial" w:hAnsi="Arial"/>
                <w:sz w:val="18"/>
                <w:szCs w:val="18"/>
                <w:color w:val="auto"/>
              </w:rPr>
              <w:t>(13)</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11,289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11,721</w:t>
            </w: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(4)</w:t>
            </w:r>
          </w:p>
        </w:tc>
      </w:tr>
      <w:tr>
        <w:trPr>
          <w:trHeight w:val="27"/>
        </w:trPr>
        <w:tc>
          <w:tcPr>
            <w:tcW w:w="3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Open outcry</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1,101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1,134</w:t>
            </w:r>
          </w:p>
        </w:tc>
        <w:tc>
          <w:tcPr>
            <w:tcW w:w="1480" w:type="dxa"/>
            <w:vAlign w:val="bottom"/>
            <w:tcBorders>
              <w:bottom w:val="single" w:sz="8" w:color="CCEEFF"/>
            </w:tcBorders>
            <w:shd w:val="clear" w:color="auto" w:fill="CCEEFF"/>
          </w:tcPr>
          <w:p>
            <w:pPr>
              <w:jc w:val="right"/>
              <w:ind w:right="211"/>
              <w:spacing w:after="0"/>
              <w:rPr>
                <w:sz w:val="20"/>
                <w:szCs w:val="20"/>
                <w:color w:val="auto"/>
              </w:rPr>
            </w:pPr>
            <w:r>
              <w:rPr>
                <w:rFonts w:ascii="Arial" w:cs="Arial" w:eastAsia="Arial" w:hAnsi="Arial"/>
                <w:sz w:val="18"/>
                <w:szCs w:val="18"/>
                <w:color w:val="auto"/>
              </w:rPr>
              <w:t>(3)</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1,014</w:t>
            </w:r>
          </w:p>
        </w:tc>
        <w:tc>
          <w:tcPr>
            <w:tcW w:w="12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12</w:t>
            </w:r>
          </w:p>
        </w:tc>
      </w:tr>
      <w:tr>
        <w:trPr>
          <w:trHeight w:val="270"/>
        </w:trPr>
        <w:tc>
          <w:tcPr>
            <w:tcW w:w="378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Privately negotiated </w:t>
            </w:r>
            <w:r>
              <w:rPr>
                <w:rFonts w:ascii="Arial" w:cs="Arial" w:eastAsia="Arial" w:hAnsi="Arial"/>
                <w:sz w:val="25"/>
                <w:szCs w:val="25"/>
                <w:color w:val="auto"/>
                <w:vertAlign w:val="superscript"/>
              </w:rPr>
              <w:t>(1)</w:t>
            </w: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647</w:t>
            </w: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730</w:t>
            </w:r>
          </w:p>
        </w:tc>
        <w:tc>
          <w:tcPr>
            <w:tcW w:w="1480" w:type="dxa"/>
            <w:vAlign w:val="bottom"/>
            <w:tcBorders>
              <w:bottom w:val="single" w:sz="8" w:color="CCEEFF"/>
            </w:tcBorders>
          </w:tcPr>
          <w:p>
            <w:pPr>
              <w:jc w:val="right"/>
              <w:ind w:right="211"/>
              <w:spacing w:after="0"/>
              <w:rPr>
                <w:sz w:val="20"/>
                <w:szCs w:val="20"/>
                <w:color w:val="auto"/>
              </w:rPr>
            </w:pPr>
            <w:r>
              <w:rPr>
                <w:rFonts w:ascii="Arial" w:cs="Arial" w:eastAsia="Arial" w:hAnsi="Arial"/>
                <w:sz w:val="18"/>
                <w:szCs w:val="18"/>
                <w:color w:val="auto"/>
              </w:rPr>
              <w:t>(11)</w:t>
            </w:r>
          </w:p>
        </w:tc>
        <w:tc>
          <w:tcPr>
            <w:tcW w:w="12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711</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710</w:t>
            </w:r>
          </w:p>
        </w:tc>
        <w:tc>
          <w:tcPr>
            <w:tcW w:w="1240" w:type="dxa"/>
            <w:vAlign w:val="bottom"/>
            <w:tcBorders>
              <w:bottom w:val="single" w:sz="8" w:color="CCEEFF"/>
            </w:tcBorders>
          </w:tcPr>
          <w:p>
            <w:pPr>
              <w:jc w:val="right"/>
              <w:ind w:right="131"/>
              <w:spacing w:after="0"/>
              <w:rPr>
                <w:sz w:val="20"/>
                <w:szCs w:val="20"/>
                <w:color w:val="auto"/>
              </w:rPr>
            </w:pPr>
            <w:r>
              <w:rPr>
                <w:rFonts w:ascii="Arial" w:cs="Arial" w:eastAsia="Arial" w:hAnsi="Arial"/>
                <w:sz w:val="18"/>
                <w:szCs w:val="18"/>
                <w:color w:val="auto"/>
              </w:rPr>
              <w:t>—</w:t>
            </w:r>
          </w:p>
        </w:tc>
      </w:tr>
      <w:tr>
        <w:trPr>
          <w:trHeight w:val="237"/>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Aggregate average daily volume</w:t>
            </w: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12,636</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14,323</w:t>
            </w:r>
          </w:p>
        </w:tc>
        <w:tc>
          <w:tcPr>
            <w:tcW w:w="148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(12)</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13,139</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13,445</w:t>
            </w:r>
          </w:p>
        </w:tc>
        <w:tc>
          <w:tcPr>
            <w:tcW w:w="12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w:t>
            </w:r>
          </w:p>
        </w:tc>
      </w:tr>
      <w:tr>
        <w:trPr>
          <w:trHeight w:val="27"/>
        </w:trPr>
        <w:tc>
          <w:tcPr>
            <w:tcW w:w="37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320"/>
        <w:spacing w:after="0" w:line="402" w:lineRule="auto"/>
        <w:rPr>
          <w:sz w:val="20"/>
          <w:szCs w:val="20"/>
          <w:color w:val="auto"/>
        </w:rPr>
      </w:pPr>
      <w:r>
        <w:rPr>
          <w:rFonts w:ascii="Arial" w:cs="Arial" w:eastAsia="Arial" w:hAnsi="Arial"/>
          <w:sz w:val="18"/>
          <w:szCs w:val="18"/>
          <w:color w:val="auto"/>
        </w:rPr>
        <w:t xml:space="preserve">(1) Privately negotiated venue average daily volume includes both traditional block trades as well as what was historically categorized as CME ClearPort. </w:t>
      </w:r>
      <w:r>
        <w:rPr>
          <w:rFonts w:ascii="Arial" w:cs="Arial" w:eastAsia="Arial" w:hAnsi="Arial"/>
          <w:sz w:val="18"/>
          <w:szCs w:val="18"/>
          <w:i w:val="1"/>
          <w:iCs w:val="1"/>
          <w:color w:val="auto"/>
        </w:rPr>
        <w:t>Interest Rate Products</w:t>
      </w:r>
    </w:p>
    <w:p>
      <w:pPr>
        <w:spacing w:after="0" w:line="6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summarizes average daily contract volume for our key interest rate products. Eurodollar Front 8 futures include contracts expiring in two years or less. Eurodollar Back 32 futures include contracts with expirations after two years through ten years.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Quarter Ended</w:t>
            </w:r>
          </w:p>
        </w:tc>
        <w:tc>
          <w:tcPr>
            <w:tcW w:w="7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360" w:type="dxa"/>
            <w:vAlign w:val="bottom"/>
            <w:gridSpan w:val="2"/>
          </w:tcPr>
          <w:p>
            <w:pPr>
              <w:jc w:val="right"/>
              <w:ind w:right="532"/>
              <w:spacing w:after="0"/>
              <w:rPr>
                <w:sz w:val="20"/>
                <w:szCs w:val="20"/>
                <w:color w:val="auto"/>
              </w:rPr>
            </w:pPr>
            <w:r>
              <w:rPr>
                <w:rFonts w:ascii="Arial" w:cs="Arial" w:eastAsia="Arial" w:hAnsi="Arial"/>
                <w:sz w:val="14"/>
                <w:szCs w:val="14"/>
                <w:b w:val="1"/>
                <w:bCs w:val="1"/>
                <w:color w:val="auto"/>
              </w:rPr>
              <w:t>Six Months Ended</w:t>
            </w:r>
          </w:p>
        </w:tc>
        <w:tc>
          <w:tcPr>
            <w:tcW w:w="1360" w:type="dxa"/>
            <w:vAlign w:val="bottom"/>
          </w:tcPr>
          <w:p>
            <w:pPr>
              <w:spacing w:after="0"/>
              <w:rPr>
                <w:sz w:val="14"/>
                <w:szCs w:val="14"/>
                <w:color w:val="auto"/>
              </w:rPr>
            </w:pPr>
          </w:p>
        </w:tc>
      </w:tr>
      <w:tr>
        <w:trPr>
          <w:trHeight w:val="192"/>
        </w:trPr>
        <w:tc>
          <w:tcPr>
            <w:tcW w:w="3900" w:type="dxa"/>
            <w:vAlign w:val="bottom"/>
          </w:tcPr>
          <w:p>
            <w:pPr>
              <w:spacing w:after="0"/>
              <w:rPr>
                <w:sz w:val="16"/>
                <w:szCs w:val="16"/>
                <w:color w:val="auto"/>
              </w:rPr>
            </w:pPr>
          </w:p>
        </w:tc>
        <w:tc>
          <w:tcPr>
            <w:tcW w:w="16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6"/>
                <w:szCs w:val="16"/>
                <w:color w:val="auto"/>
              </w:rPr>
            </w:pPr>
          </w:p>
        </w:tc>
        <w:tc>
          <w:tcPr>
            <w:tcW w:w="1460" w:type="dxa"/>
            <w:vAlign w:val="bottom"/>
          </w:tcPr>
          <w:p>
            <w:pPr>
              <w:spacing w:after="0"/>
              <w:rPr>
                <w:sz w:val="16"/>
                <w:szCs w:val="16"/>
                <w:color w:val="auto"/>
              </w:rPr>
            </w:pPr>
          </w:p>
        </w:tc>
        <w:tc>
          <w:tcPr>
            <w:tcW w:w="156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1640" w:type="dxa"/>
            <w:vAlign w:val="bottom"/>
            <w:tcBorders>
              <w:bottom w:val="single" w:sz="8" w:color="auto"/>
            </w:tcBorders>
          </w:tcPr>
          <w:p>
            <w:pPr>
              <w:jc w:val="right"/>
              <w:ind w:right="855"/>
              <w:spacing w:after="0"/>
              <w:rPr>
                <w:sz w:val="20"/>
                <w:szCs w:val="20"/>
                <w:color w:val="auto"/>
              </w:rPr>
            </w:pPr>
            <w:r>
              <w:rPr>
                <w:rFonts w:ascii="Arial" w:cs="Arial" w:eastAsia="Arial" w:hAnsi="Arial"/>
                <w:sz w:val="14"/>
                <w:szCs w:val="14"/>
                <w:b w:val="1"/>
                <w:bCs w:val="1"/>
                <w:color w:val="auto"/>
              </w:rPr>
              <w:t>2014</w:t>
            </w:r>
          </w:p>
        </w:tc>
        <w:tc>
          <w:tcPr>
            <w:tcW w:w="7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w w:val="89"/>
              </w:rPr>
              <w:t>2013</w:t>
            </w:r>
          </w:p>
        </w:tc>
        <w:tc>
          <w:tcPr>
            <w:tcW w:w="14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Change</w:t>
            </w:r>
          </w:p>
        </w:tc>
        <w:tc>
          <w:tcPr>
            <w:tcW w:w="1560" w:type="dxa"/>
            <w:vAlign w:val="bottom"/>
            <w:tcBorders>
              <w:bottom w:val="single" w:sz="8" w:color="auto"/>
            </w:tcBorders>
          </w:tcPr>
          <w:p>
            <w:pPr>
              <w:jc w:val="right"/>
              <w:ind w:right="755"/>
              <w:spacing w:after="0"/>
              <w:rPr>
                <w:sz w:val="20"/>
                <w:szCs w:val="20"/>
                <w:color w:val="auto"/>
              </w:rPr>
            </w:pPr>
            <w:r>
              <w:rPr>
                <w:rFonts w:ascii="Arial" w:cs="Arial" w:eastAsia="Arial" w:hAnsi="Arial"/>
                <w:sz w:val="14"/>
                <w:szCs w:val="14"/>
                <w:b w:val="1"/>
                <w:bCs w:val="1"/>
                <w:color w:val="auto"/>
              </w:rPr>
              <w:t>2014</w:t>
            </w:r>
          </w:p>
        </w:tc>
        <w:tc>
          <w:tcPr>
            <w:tcW w:w="8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2013</w:t>
            </w:r>
          </w:p>
        </w:tc>
        <w:tc>
          <w:tcPr>
            <w:tcW w:w="13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Change</w:t>
            </w: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Eurodollar futures and options:</w:t>
            </w:r>
          </w:p>
        </w:tc>
        <w:tc>
          <w:tcPr>
            <w:tcW w:w="16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Front 8 futures</w:t>
            </w:r>
          </w:p>
        </w:tc>
        <w:tc>
          <w:tcPr>
            <w:tcW w:w="1640" w:type="dxa"/>
            <w:vAlign w:val="bottom"/>
          </w:tcPr>
          <w:p>
            <w:pPr>
              <w:jc w:val="right"/>
              <w:ind w:right="535"/>
              <w:spacing w:after="0"/>
              <w:rPr>
                <w:sz w:val="20"/>
                <w:szCs w:val="20"/>
                <w:color w:val="auto"/>
              </w:rPr>
            </w:pPr>
            <w:r>
              <w:rPr>
                <w:rFonts w:ascii="Arial" w:cs="Arial" w:eastAsia="Arial" w:hAnsi="Arial"/>
                <w:sz w:val="18"/>
                <w:szCs w:val="18"/>
                <w:color w:val="auto"/>
              </w:rPr>
              <w:t>1,451</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1,315</w:t>
            </w:r>
          </w:p>
        </w:tc>
        <w:tc>
          <w:tcPr>
            <w:tcW w:w="1460" w:type="dxa"/>
            <w:vAlign w:val="bottom"/>
          </w:tcPr>
          <w:p>
            <w:pPr>
              <w:jc w:val="right"/>
              <w:ind w:right="52"/>
              <w:spacing w:after="0"/>
              <w:rPr>
                <w:sz w:val="20"/>
                <w:szCs w:val="20"/>
                <w:color w:val="auto"/>
              </w:rPr>
            </w:pPr>
            <w:r>
              <w:rPr>
                <w:rFonts w:ascii="Arial" w:cs="Arial" w:eastAsia="Arial" w:hAnsi="Arial"/>
                <w:sz w:val="18"/>
                <w:szCs w:val="18"/>
                <w:color w:val="auto"/>
              </w:rPr>
              <w:t>10 %</w:t>
            </w:r>
          </w:p>
        </w:tc>
        <w:tc>
          <w:tcPr>
            <w:tcW w:w="1560" w:type="dxa"/>
            <w:vAlign w:val="bottom"/>
          </w:tcPr>
          <w:p>
            <w:pPr>
              <w:jc w:val="right"/>
              <w:ind w:right="455"/>
              <w:spacing w:after="0"/>
              <w:rPr>
                <w:sz w:val="20"/>
                <w:szCs w:val="20"/>
                <w:color w:val="auto"/>
              </w:rPr>
            </w:pPr>
            <w:r>
              <w:rPr>
                <w:rFonts w:ascii="Arial" w:cs="Arial" w:eastAsia="Arial" w:hAnsi="Arial"/>
                <w:sz w:val="18"/>
                <w:szCs w:val="18"/>
                <w:color w:val="auto"/>
              </w:rPr>
              <w:t>1,441</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1,210</w:t>
            </w:r>
          </w:p>
        </w:tc>
        <w:tc>
          <w:tcPr>
            <w:tcW w:w="1360" w:type="dxa"/>
            <w:vAlign w:val="bottom"/>
          </w:tcPr>
          <w:p>
            <w:pPr>
              <w:jc w:val="right"/>
              <w:spacing w:after="0"/>
              <w:rPr>
                <w:sz w:val="20"/>
                <w:szCs w:val="20"/>
                <w:color w:val="auto"/>
              </w:rPr>
            </w:pPr>
            <w:r>
              <w:rPr>
                <w:rFonts w:ascii="Arial" w:cs="Arial" w:eastAsia="Arial" w:hAnsi="Arial"/>
                <w:sz w:val="18"/>
                <w:szCs w:val="18"/>
                <w:color w:val="auto"/>
              </w:rPr>
              <w:t>19 %</w:t>
            </w:r>
          </w:p>
        </w:tc>
      </w:tr>
      <w:tr>
        <w:trPr>
          <w:trHeight w:val="27"/>
        </w:trPr>
        <w:tc>
          <w:tcPr>
            <w:tcW w:w="39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Back 32 futures</w:t>
            </w:r>
          </w:p>
        </w:tc>
        <w:tc>
          <w:tcPr>
            <w:tcW w:w="1640" w:type="dxa"/>
            <w:vAlign w:val="bottom"/>
            <w:tcBorders>
              <w:bottom w:val="single" w:sz="8" w:color="CCEEFF"/>
            </w:tcBorders>
            <w:shd w:val="clear" w:color="auto" w:fill="CCEEFF"/>
          </w:tcPr>
          <w:p>
            <w:pPr>
              <w:jc w:val="right"/>
              <w:ind w:right="535"/>
              <w:spacing w:after="0"/>
              <w:rPr>
                <w:sz w:val="20"/>
                <w:szCs w:val="20"/>
                <w:color w:val="auto"/>
              </w:rPr>
            </w:pPr>
            <w:r>
              <w:rPr>
                <w:rFonts w:ascii="Arial" w:cs="Arial" w:eastAsia="Arial" w:hAnsi="Arial"/>
                <w:sz w:val="18"/>
                <w:szCs w:val="18"/>
                <w:color w:val="auto"/>
              </w:rPr>
              <w:t>1,012</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1,035</w:t>
            </w:r>
          </w:p>
        </w:tc>
        <w:tc>
          <w:tcPr>
            <w:tcW w:w="146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(2)</w:t>
            </w:r>
          </w:p>
        </w:tc>
        <w:tc>
          <w:tcPr>
            <w:tcW w:w="1560" w:type="dxa"/>
            <w:vAlign w:val="bottom"/>
            <w:tcBorders>
              <w:bottom w:val="single" w:sz="8" w:color="CCEEFF"/>
            </w:tcBorders>
            <w:shd w:val="clear" w:color="auto" w:fill="CCEEFF"/>
          </w:tcPr>
          <w:p>
            <w:pPr>
              <w:jc w:val="right"/>
              <w:ind w:right="455"/>
              <w:spacing w:after="0"/>
              <w:rPr>
                <w:sz w:val="20"/>
                <w:szCs w:val="20"/>
                <w:color w:val="auto"/>
              </w:rPr>
            </w:pPr>
            <w:r>
              <w:rPr>
                <w:rFonts w:ascii="Arial" w:cs="Arial" w:eastAsia="Arial" w:hAnsi="Arial"/>
                <w:sz w:val="18"/>
                <w:szCs w:val="18"/>
                <w:color w:val="auto"/>
              </w:rPr>
              <w:t>1,028</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890</w:t>
            </w:r>
          </w:p>
        </w:tc>
        <w:tc>
          <w:tcPr>
            <w:tcW w:w="13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16</w:t>
            </w: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Options</w:t>
            </w:r>
          </w:p>
        </w:tc>
        <w:tc>
          <w:tcPr>
            <w:tcW w:w="1640" w:type="dxa"/>
            <w:vAlign w:val="bottom"/>
          </w:tcPr>
          <w:p>
            <w:pPr>
              <w:jc w:val="right"/>
              <w:ind w:right="535"/>
              <w:spacing w:after="0"/>
              <w:rPr>
                <w:sz w:val="20"/>
                <w:szCs w:val="20"/>
                <w:color w:val="auto"/>
              </w:rPr>
            </w:pPr>
            <w:r>
              <w:rPr>
                <w:rFonts w:ascii="Arial" w:cs="Arial" w:eastAsia="Arial" w:hAnsi="Arial"/>
                <w:sz w:val="18"/>
                <w:szCs w:val="18"/>
                <w:color w:val="auto"/>
              </w:rPr>
              <w:t>779</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608</w:t>
            </w:r>
          </w:p>
        </w:tc>
        <w:tc>
          <w:tcPr>
            <w:tcW w:w="1460" w:type="dxa"/>
            <w:vAlign w:val="bottom"/>
          </w:tcPr>
          <w:p>
            <w:pPr>
              <w:jc w:val="right"/>
              <w:ind w:right="252"/>
              <w:spacing w:after="0"/>
              <w:rPr>
                <w:sz w:val="20"/>
                <w:szCs w:val="20"/>
                <w:color w:val="auto"/>
              </w:rPr>
            </w:pPr>
            <w:r>
              <w:rPr>
                <w:rFonts w:ascii="Arial" w:cs="Arial" w:eastAsia="Arial" w:hAnsi="Arial"/>
                <w:sz w:val="18"/>
                <w:szCs w:val="18"/>
                <w:color w:val="auto"/>
              </w:rPr>
              <w:t>28</w:t>
            </w:r>
          </w:p>
        </w:tc>
        <w:tc>
          <w:tcPr>
            <w:tcW w:w="1560" w:type="dxa"/>
            <w:vAlign w:val="bottom"/>
          </w:tcPr>
          <w:p>
            <w:pPr>
              <w:jc w:val="right"/>
              <w:ind w:right="455"/>
              <w:spacing w:after="0"/>
              <w:rPr>
                <w:sz w:val="20"/>
                <w:szCs w:val="20"/>
                <w:color w:val="auto"/>
              </w:rPr>
            </w:pPr>
            <w:r>
              <w:rPr>
                <w:rFonts w:ascii="Arial" w:cs="Arial" w:eastAsia="Arial" w:hAnsi="Arial"/>
                <w:sz w:val="18"/>
                <w:szCs w:val="18"/>
                <w:color w:val="auto"/>
              </w:rPr>
              <w:t>800</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507</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58</w:t>
            </w:r>
          </w:p>
        </w:tc>
      </w:tr>
      <w:tr>
        <w:trPr>
          <w:trHeight w:val="27"/>
        </w:trPr>
        <w:tc>
          <w:tcPr>
            <w:tcW w:w="39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Treasury futures and options:</w:t>
            </w:r>
          </w:p>
        </w:tc>
        <w:tc>
          <w:tcPr>
            <w:tcW w:w="16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10-Year</w:t>
            </w:r>
          </w:p>
        </w:tc>
        <w:tc>
          <w:tcPr>
            <w:tcW w:w="1640" w:type="dxa"/>
            <w:vAlign w:val="bottom"/>
          </w:tcPr>
          <w:p>
            <w:pPr>
              <w:jc w:val="right"/>
              <w:ind w:right="535"/>
              <w:spacing w:after="0"/>
              <w:rPr>
                <w:sz w:val="20"/>
                <w:szCs w:val="20"/>
                <w:color w:val="auto"/>
              </w:rPr>
            </w:pPr>
            <w:r>
              <w:rPr>
                <w:rFonts w:ascii="Arial" w:cs="Arial" w:eastAsia="Arial" w:hAnsi="Arial"/>
                <w:sz w:val="18"/>
                <w:szCs w:val="18"/>
                <w:color w:val="auto"/>
              </w:rPr>
              <w:t>1,665</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1,921</w:t>
            </w:r>
          </w:p>
        </w:tc>
        <w:tc>
          <w:tcPr>
            <w:tcW w:w="1460" w:type="dxa"/>
            <w:vAlign w:val="bottom"/>
          </w:tcPr>
          <w:p>
            <w:pPr>
              <w:jc w:val="right"/>
              <w:ind w:right="192"/>
              <w:spacing w:after="0"/>
              <w:rPr>
                <w:sz w:val="20"/>
                <w:szCs w:val="20"/>
                <w:color w:val="auto"/>
              </w:rPr>
            </w:pPr>
            <w:r>
              <w:rPr>
                <w:rFonts w:ascii="Arial" w:cs="Arial" w:eastAsia="Arial" w:hAnsi="Arial"/>
                <w:sz w:val="18"/>
                <w:szCs w:val="18"/>
                <w:color w:val="auto"/>
              </w:rPr>
              <w:t>(13)</w:t>
            </w:r>
          </w:p>
        </w:tc>
        <w:tc>
          <w:tcPr>
            <w:tcW w:w="1560" w:type="dxa"/>
            <w:vAlign w:val="bottom"/>
          </w:tcPr>
          <w:p>
            <w:pPr>
              <w:jc w:val="right"/>
              <w:ind w:right="455"/>
              <w:spacing w:after="0"/>
              <w:rPr>
                <w:sz w:val="20"/>
                <w:szCs w:val="20"/>
                <w:color w:val="auto"/>
              </w:rPr>
            </w:pPr>
            <w:r>
              <w:rPr>
                <w:rFonts w:ascii="Arial" w:cs="Arial" w:eastAsia="Arial" w:hAnsi="Arial"/>
                <w:sz w:val="18"/>
                <w:szCs w:val="18"/>
                <w:color w:val="auto"/>
              </w:rPr>
              <w:t>1,689</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1,811</w:t>
            </w:r>
          </w:p>
        </w:tc>
        <w:tc>
          <w:tcPr>
            <w:tcW w:w="1360" w:type="dxa"/>
            <w:vAlign w:val="bottom"/>
          </w:tcPr>
          <w:p>
            <w:pPr>
              <w:jc w:val="right"/>
              <w:ind w:right="72"/>
              <w:spacing w:after="0"/>
              <w:rPr>
                <w:sz w:val="20"/>
                <w:szCs w:val="20"/>
                <w:color w:val="auto"/>
              </w:rPr>
            </w:pPr>
            <w:r>
              <w:rPr>
                <w:rFonts w:ascii="Arial" w:cs="Arial" w:eastAsia="Arial" w:hAnsi="Arial"/>
                <w:sz w:val="18"/>
                <w:szCs w:val="18"/>
                <w:color w:val="auto"/>
              </w:rPr>
              <w:t>(7)</w:t>
            </w:r>
          </w:p>
        </w:tc>
      </w:tr>
      <w:tr>
        <w:trPr>
          <w:trHeight w:val="27"/>
        </w:trPr>
        <w:tc>
          <w:tcPr>
            <w:tcW w:w="39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5-Year</w:t>
            </w:r>
          </w:p>
        </w:tc>
        <w:tc>
          <w:tcPr>
            <w:tcW w:w="1640" w:type="dxa"/>
            <w:vAlign w:val="bottom"/>
            <w:tcBorders>
              <w:bottom w:val="single" w:sz="8" w:color="CCEEFF"/>
            </w:tcBorders>
            <w:shd w:val="clear" w:color="auto" w:fill="CCEEFF"/>
          </w:tcPr>
          <w:p>
            <w:pPr>
              <w:jc w:val="right"/>
              <w:ind w:right="535"/>
              <w:spacing w:after="0"/>
              <w:rPr>
                <w:sz w:val="20"/>
                <w:szCs w:val="20"/>
                <w:color w:val="auto"/>
              </w:rPr>
            </w:pPr>
            <w:r>
              <w:rPr>
                <w:rFonts w:ascii="Arial" w:cs="Arial" w:eastAsia="Arial" w:hAnsi="Arial"/>
                <w:sz w:val="18"/>
                <w:szCs w:val="18"/>
                <w:color w:val="auto"/>
              </w:rPr>
              <w:t>875</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921</w:t>
            </w:r>
          </w:p>
        </w:tc>
        <w:tc>
          <w:tcPr>
            <w:tcW w:w="146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(5)</w:t>
            </w:r>
          </w:p>
        </w:tc>
        <w:tc>
          <w:tcPr>
            <w:tcW w:w="1560" w:type="dxa"/>
            <w:vAlign w:val="bottom"/>
            <w:tcBorders>
              <w:bottom w:val="single" w:sz="8" w:color="CCEEFF"/>
            </w:tcBorders>
            <w:shd w:val="clear" w:color="auto" w:fill="CCEEFF"/>
          </w:tcPr>
          <w:p>
            <w:pPr>
              <w:jc w:val="right"/>
              <w:ind w:right="455"/>
              <w:spacing w:after="0"/>
              <w:rPr>
                <w:sz w:val="20"/>
                <w:szCs w:val="20"/>
                <w:color w:val="auto"/>
              </w:rPr>
            </w:pPr>
            <w:r>
              <w:rPr>
                <w:rFonts w:ascii="Arial" w:cs="Arial" w:eastAsia="Arial" w:hAnsi="Arial"/>
                <w:sz w:val="18"/>
                <w:szCs w:val="18"/>
                <w:color w:val="auto"/>
              </w:rPr>
              <w:t>874</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868</w:t>
            </w:r>
          </w:p>
        </w:tc>
        <w:tc>
          <w:tcPr>
            <w:tcW w:w="13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w:t>
            </w: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Treasury bond</w:t>
            </w:r>
          </w:p>
        </w:tc>
        <w:tc>
          <w:tcPr>
            <w:tcW w:w="1640" w:type="dxa"/>
            <w:vAlign w:val="bottom"/>
          </w:tcPr>
          <w:p>
            <w:pPr>
              <w:jc w:val="right"/>
              <w:ind w:right="535"/>
              <w:spacing w:after="0"/>
              <w:rPr>
                <w:sz w:val="20"/>
                <w:szCs w:val="20"/>
                <w:color w:val="auto"/>
              </w:rPr>
            </w:pPr>
            <w:r>
              <w:rPr>
                <w:rFonts w:ascii="Arial" w:cs="Arial" w:eastAsia="Arial" w:hAnsi="Arial"/>
                <w:sz w:val="18"/>
                <w:szCs w:val="18"/>
                <w:color w:val="auto"/>
              </w:rPr>
              <w:t>419</w:t>
            </w: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582</w:t>
            </w:r>
          </w:p>
        </w:tc>
        <w:tc>
          <w:tcPr>
            <w:tcW w:w="1460" w:type="dxa"/>
            <w:vAlign w:val="bottom"/>
          </w:tcPr>
          <w:p>
            <w:pPr>
              <w:jc w:val="right"/>
              <w:ind w:right="192"/>
              <w:spacing w:after="0"/>
              <w:rPr>
                <w:sz w:val="20"/>
                <w:szCs w:val="20"/>
                <w:color w:val="auto"/>
              </w:rPr>
            </w:pPr>
            <w:r>
              <w:rPr>
                <w:rFonts w:ascii="Arial" w:cs="Arial" w:eastAsia="Arial" w:hAnsi="Arial"/>
                <w:sz w:val="18"/>
                <w:szCs w:val="18"/>
                <w:color w:val="auto"/>
              </w:rPr>
              <w:t>(28)</w:t>
            </w:r>
          </w:p>
        </w:tc>
        <w:tc>
          <w:tcPr>
            <w:tcW w:w="1560" w:type="dxa"/>
            <w:vAlign w:val="bottom"/>
          </w:tcPr>
          <w:p>
            <w:pPr>
              <w:jc w:val="right"/>
              <w:ind w:right="455"/>
              <w:spacing w:after="0"/>
              <w:rPr>
                <w:sz w:val="20"/>
                <w:szCs w:val="20"/>
                <w:color w:val="auto"/>
              </w:rPr>
            </w:pPr>
            <w:r>
              <w:rPr>
                <w:rFonts w:ascii="Arial" w:cs="Arial" w:eastAsia="Arial" w:hAnsi="Arial"/>
                <w:sz w:val="18"/>
                <w:szCs w:val="18"/>
                <w:color w:val="auto"/>
              </w:rPr>
              <w:t>408</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546</w:t>
            </w:r>
          </w:p>
        </w:tc>
        <w:tc>
          <w:tcPr>
            <w:tcW w:w="1360" w:type="dxa"/>
            <w:vAlign w:val="bottom"/>
          </w:tcPr>
          <w:p>
            <w:pPr>
              <w:jc w:val="right"/>
              <w:ind w:right="72"/>
              <w:spacing w:after="0"/>
              <w:rPr>
                <w:sz w:val="20"/>
                <w:szCs w:val="20"/>
                <w:color w:val="auto"/>
              </w:rPr>
            </w:pPr>
            <w:r>
              <w:rPr>
                <w:rFonts w:ascii="Arial" w:cs="Arial" w:eastAsia="Arial" w:hAnsi="Arial"/>
                <w:sz w:val="18"/>
                <w:szCs w:val="18"/>
                <w:color w:val="auto"/>
              </w:rPr>
              <w:t>(25)</w:t>
            </w:r>
          </w:p>
        </w:tc>
      </w:tr>
      <w:tr>
        <w:trPr>
          <w:trHeight w:val="27"/>
        </w:trPr>
        <w:tc>
          <w:tcPr>
            <w:tcW w:w="39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39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2-Year</w:t>
            </w:r>
          </w:p>
        </w:tc>
        <w:tc>
          <w:tcPr>
            <w:tcW w:w="1640" w:type="dxa"/>
            <w:vAlign w:val="bottom"/>
            <w:shd w:val="clear" w:color="auto" w:fill="CCEEFF"/>
          </w:tcPr>
          <w:p>
            <w:pPr>
              <w:jc w:val="right"/>
              <w:ind w:right="535"/>
              <w:spacing w:after="0"/>
              <w:rPr>
                <w:sz w:val="20"/>
                <w:szCs w:val="20"/>
                <w:color w:val="auto"/>
              </w:rPr>
            </w:pPr>
            <w:r>
              <w:rPr>
                <w:rFonts w:ascii="Arial" w:cs="Arial" w:eastAsia="Arial" w:hAnsi="Arial"/>
                <w:sz w:val="18"/>
                <w:szCs w:val="18"/>
                <w:color w:val="auto"/>
              </w:rPr>
              <w:t>280</w:t>
            </w:r>
          </w:p>
        </w:tc>
        <w:tc>
          <w:tcPr>
            <w:tcW w:w="7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270</w:t>
            </w:r>
          </w:p>
        </w:tc>
        <w:tc>
          <w:tcPr>
            <w:tcW w:w="14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4</w:t>
            </w:r>
          </w:p>
        </w:tc>
        <w:tc>
          <w:tcPr>
            <w:tcW w:w="1560" w:type="dxa"/>
            <w:vAlign w:val="bottom"/>
            <w:shd w:val="clear" w:color="auto" w:fill="CCEEFF"/>
          </w:tcPr>
          <w:p>
            <w:pPr>
              <w:jc w:val="right"/>
              <w:ind w:right="455"/>
              <w:spacing w:after="0"/>
              <w:rPr>
                <w:sz w:val="20"/>
                <w:szCs w:val="20"/>
                <w:color w:val="auto"/>
              </w:rPr>
            </w:pPr>
            <w:r>
              <w:rPr>
                <w:rFonts w:ascii="Arial" w:cs="Arial" w:eastAsia="Arial" w:hAnsi="Arial"/>
                <w:sz w:val="18"/>
                <w:szCs w:val="18"/>
                <w:color w:val="auto"/>
              </w:rPr>
              <w:t>268</w:t>
            </w: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268</w:t>
            </w:r>
          </w:p>
        </w:tc>
        <w:tc>
          <w:tcPr>
            <w:tcW w:w="13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r>
      <w:tr>
        <w:trPr>
          <w:trHeight w:val="27"/>
        </w:trPr>
        <w:tc>
          <w:tcPr>
            <w:tcW w:w="390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Overall interest rate volume remained relatively flat in the second quarter of 2014 while volume increased in the first six months of 2014 when compared with the same periods in 2013. Eurodollar futures and options contract volume increased in the second quarter and first six months of 2014, when compared with the same periods in 2013, resulting from volatility caused by improved domestic macroeconomic data.</w:t>
      </w:r>
    </w:p>
    <w:p>
      <w:pPr>
        <w:spacing w:after="0" w:line="12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Volumes for U.S. Treasury contracts decreased in the second quarter and first six months of 2014 when compared with the same periods in 2013. Volatility within the U.S. Treasury market was higher in early 2013, despite some volatility caused by improved domestic macroeconomic data in early 2014. Volumes were higher in the first half of 2013 due to short periods of high volatility created by the Federal Reserve's intention to revisit their quantitative easing strategy and outline a quantitative easing exit strategy in early 2013.</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contract volume for our key equity products.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Quarter Ended</w:t>
            </w:r>
          </w:p>
        </w:tc>
        <w:tc>
          <w:tcPr>
            <w:tcW w:w="7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360" w:type="dxa"/>
            <w:vAlign w:val="bottom"/>
            <w:gridSpan w:val="2"/>
          </w:tcPr>
          <w:p>
            <w:pPr>
              <w:jc w:val="right"/>
              <w:ind w:right="536"/>
              <w:spacing w:after="0"/>
              <w:rPr>
                <w:sz w:val="20"/>
                <w:szCs w:val="20"/>
                <w:color w:val="auto"/>
              </w:rPr>
            </w:pPr>
            <w:r>
              <w:rPr>
                <w:rFonts w:ascii="Arial" w:cs="Arial" w:eastAsia="Arial" w:hAnsi="Arial"/>
                <w:sz w:val="14"/>
                <w:szCs w:val="14"/>
                <w:b w:val="1"/>
                <w:bCs w:val="1"/>
                <w:color w:val="auto"/>
              </w:rPr>
              <w:t>Six Months Ended</w:t>
            </w:r>
          </w:p>
        </w:tc>
        <w:tc>
          <w:tcPr>
            <w:tcW w:w="1360" w:type="dxa"/>
            <w:vAlign w:val="bottom"/>
          </w:tcPr>
          <w:p>
            <w:pPr>
              <w:spacing w:after="0"/>
              <w:rPr>
                <w:sz w:val="14"/>
                <w:szCs w:val="14"/>
                <w:color w:val="auto"/>
              </w:rPr>
            </w:pPr>
          </w:p>
        </w:tc>
      </w:tr>
      <w:tr>
        <w:trPr>
          <w:trHeight w:val="192"/>
        </w:trPr>
        <w:tc>
          <w:tcPr>
            <w:tcW w:w="3880" w:type="dxa"/>
            <w:vAlign w:val="bottom"/>
          </w:tcPr>
          <w:p>
            <w:pPr>
              <w:spacing w:after="0"/>
              <w:rPr>
                <w:sz w:val="16"/>
                <w:szCs w:val="16"/>
                <w:color w:val="auto"/>
              </w:rPr>
            </w:pPr>
          </w:p>
        </w:tc>
        <w:tc>
          <w:tcPr>
            <w:tcW w:w="164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6"/>
                <w:szCs w:val="16"/>
                <w:color w:val="auto"/>
              </w:rPr>
            </w:pPr>
          </w:p>
        </w:tc>
        <w:tc>
          <w:tcPr>
            <w:tcW w:w="1460" w:type="dxa"/>
            <w:vAlign w:val="bottom"/>
          </w:tcPr>
          <w:p>
            <w:pPr>
              <w:spacing w:after="0"/>
              <w:rPr>
                <w:sz w:val="16"/>
                <w:szCs w:val="16"/>
                <w:color w:val="auto"/>
              </w:rPr>
            </w:pPr>
          </w:p>
        </w:tc>
        <w:tc>
          <w:tcPr>
            <w:tcW w:w="156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1640" w:type="dxa"/>
            <w:vAlign w:val="bottom"/>
            <w:tcBorders>
              <w:bottom w:val="single" w:sz="8" w:color="auto"/>
            </w:tcBorders>
          </w:tcPr>
          <w:p>
            <w:pPr>
              <w:jc w:val="right"/>
              <w:ind w:right="861"/>
              <w:spacing w:after="0"/>
              <w:rPr>
                <w:sz w:val="20"/>
                <w:szCs w:val="20"/>
                <w:color w:val="auto"/>
              </w:rPr>
            </w:pPr>
            <w:r>
              <w:rPr>
                <w:rFonts w:ascii="Arial" w:cs="Arial" w:eastAsia="Arial" w:hAnsi="Arial"/>
                <w:sz w:val="14"/>
                <w:szCs w:val="14"/>
                <w:b w:val="1"/>
                <w:bCs w:val="1"/>
                <w:color w:val="auto"/>
              </w:rPr>
              <w:t>2014</w:t>
            </w:r>
          </w:p>
        </w:tc>
        <w:tc>
          <w:tcPr>
            <w:tcW w:w="7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w w:val="89"/>
              </w:rPr>
              <w:t>2013</w:t>
            </w:r>
          </w:p>
        </w:tc>
        <w:tc>
          <w:tcPr>
            <w:tcW w:w="146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Change</w:t>
            </w:r>
          </w:p>
        </w:tc>
        <w:tc>
          <w:tcPr>
            <w:tcW w:w="1560" w:type="dxa"/>
            <w:vAlign w:val="bottom"/>
            <w:tcBorders>
              <w:bottom w:val="single" w:sz="8" w:color="auto"/>
            </w:tcBorders>
          </w:tcPr>
          <w:p>
            <w:pPr>
              <w:jc w:val="right"/>
              <w:ind w:right="761"/>
              <w:spacing w:after="0"/>
              <w:rPr>
                <w:sz w:val="20"/>
                <w:szCs w:val="20"/>
                <w:color w:val="auto"/>
              </w:rPr>
            </w:pPr>
            <w:r>
              <w:rPr>
                <w:rFonts w:ascii="Arial" w:cs="Arial" w:eastAsia="Arial" w:hAnsi="Arial"/>
                <w:sz w:val="14"/>
                <w:szCs w:val="14"/>
                <w:b w:val="1"/>
                <w:bCs w:val="1"/>
                <w:color w:val="auto"/>
              </w:rPr>
              <w:t>2014</w:t>
            </w:r>
          </w:p>
        </w:tc>
        <w:tc>
          <w:tcPr>
            <w:tcW w:w="8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2013</w:t>
            </w:r>
          </w:p>
        </w:tc>
        <w:tc>
          <w:tcPr>
            <w:tcW w:w="136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Change</w:t>
            </w: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E-mini S&amp;P 500 futures and options</w:t>
            </w:r>
          </w:p>
        </w:tc>
        <w:tc>
          <w:tcPr>
            <w:tcW w:w="1640" w:type="dxa"/>
            <w:vAlign w:val="bottom"/>
            <w:tcBorders>
              <w:bottom w:val="single" w:sz="8" w:color="CCEEFF"/>
            </w:tcBorders>
            <w:shd w:val="clear" w:color="auto" w:fill="CCEEFF"/>
          </w:tcPr>
          <w:p>
            <w:pPr>
              <w:jc w:val="right"/>
              <w:ind w:right="541"/>
              <w:spacing w:after="0"/>
              <w:rPr>
                <w:sz w:val="20"/>
                <w:szCs w:val="20"/>
                <w:color w:val="auto"/>
              </w:rPr>
            </w:pPr>
            <w:r>
              <w:rPr>
                <w:rFonts w:ascii="Arial" w:cs="Arial" w:eastAsia="Arial" w:hAnsi="Arial"/>
                <w:sz w:val="18"/>
                <w:szCs w:val="18"/>
                <w:color w:val="auto"/>
              </w:rPr>
              <w:t>1,890</w:t>
            </w:r>
          </w:p>
        </w:tc>
        <w:tc>
          <w:tcPr>
            <w:tcW w:w="7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2,469</w:t>
            </w:r>
          </w:p>
        </w:tc>
        <w:tc>
          <w:tcPr>
            <w:tcW w:w="14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(23)%</w:t>
            </w:r>
          </w:p>
        </w:tc>
        <w:tc>
          <w:tcPr>
            <w:tcW w:w="1560" w:type="dxa"/>
            <w:vAlign w:val="bottom"/>
            <w:tcBorders>
              <w:bottom w:val="single" w:sz="8" w:color="CCEEFF"/>
            </w:tcBorders>
            <w:shd w:val="clear" w:color="auto" w:fill="CCEEFF"/>
          </w:tcPr>
          <w:p>
            <w:pPr>
              <w:jc w:val="right"/>
              <w:ind w:right="461"/>
              <w:spacing w:after="0"/>
              <w:rPr>
                <w:sz w:val="20"/>
                <w:szCs w:val="20"/>
                <w:color w:val="auto"/>
              </w:rPr>
            </w:pPr>
            <w:r>
              <w:rPr>
                <w:rFonts w:ascii="Arial" w:cs="Arial" w:eastAsia="Arial" w:hAnsi="Arial"/>
                <w:sz w:val="18"/>
                <w:szCs w:val="18"/>
                <w:color w:val="auto"/>
              </w:rPr>
              <w:t>2,068</w:t>
            </w:r>
          </w:p>
        </w:tc>
        <w:tc>
          <w:tcPr>
            <w:tcW w:w="8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2,298</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E-mini NASDAQ 100 futures and options</w:t>
            </w:r>
          </w:p>
        </w:tc>
        <w:tc>
          <w:tcPr>
            <w:tcW w:w="1640" w:type="dxa"/>
            <w:vAlign w:val="bottom"/>
          </w:tcPr>
          <w:p>
            <w:pPr>
              <w:jc w:val="right"/>
              <w:ind w:right="541"/>
              <w:spacing w:after="0"/>
              <w:rPr>
                <w:sz w:val="20"/>
                <w:szCs w:val="20"/>
                <w:color w:val="auto"/>
              </w:rPr>
            </w:pPr>
            <w:r>
              <w:rPr>
                <w:rFonts w:ascii="Arial" w:cs="Arial" w:eastAsia="Arial" w:hAnsi="Arial"/>
                <w:sz w:val="18"/>
                <w:szCs w:val="18"/>
                <w:color w:val="auto"/>
              </w:rPr>
              <w:t>310</w:t>
            </w:r>
          </w:p>
        </w:tc>
        <w:tc>
          <w:tcPr>
            <w:tcW w:w="720" w:type="dxa"/>
            <w:vAlign w:val="bottom"/>
          </w:tcPr>
          <w:p>
            <w:pPr>
              <w:jc w:val="right"/>
              <w:ind w:right="36"/>
              <w:spacing w:after="0"/>
              <w:rPr>
                <w:sz w:val="20"/>
                <w:szCs w:val="20"/>
                <w:color w:val="auto"/>
              </w:rPr>
            </w:pPr>
            <w:r>
              <w:rPr>
                <w:rFonts w:ascii="Arial" w:cs="Arial" w:eastAsia="Arial" w:hAnsi="Arial"/>
                <w:sz w:val="18"/>
                <w:szCs w:val="18"/>
                <w:color w:val="auto"/>
              </w:rPr>
              <w:t>256</w:t>
            </w:r>
          </w:p>
        </w:tc>
        <w:tc>
          <w:tcPr>
            <w:tcW w:w="1460" w:type="dxa"/>
            <w:vAlign w:val="bottom"/>
          </w:tcPr>
          <w:p>
            <w:pPr>
              <w:jc w:val="right"/>
              <w:ind w:right="256"/>
              <w:spacing w:after="0"/>
              <w:rPr>
                <w:sz w:val="20"/>
                <w:szCs w:val="20"/>
                <w:color w:val="auto"/>
              </w:rPr>
            </w:pPr>
            <w:r>
              <w:rPr>
                <w:rFonts w:ascii="Arial" w:cs="Arial" w:eastAsia="Arial" w:hAnsi="Arial"/>
                <w:sz w:val="18"/>
                <w:szCs w:val="18"/>
                <w:color w:val="auto"/>
              </w:rPr>
              <w:t>21</w:t>
            </w:r>
          </w:p>
        </w:tc>
        <w:tc>
          <w:tcPr>
            <w:tcW w:w="1560" w:type="dxa"/>
            <w:vAlign w:val="bottom"/>
          </w:tcPr>
          <w:p>
            <w:pPr>
              <w:jc w:val="right"/>
              <w:ind w:right="461"/>
              <w:spacing w:after="0"/>
              <w:rPr>
                <w:sz w:val="20"/>
                <w:szCs w:val="20"/>
                <w:color w:val="auto"/>
              </w:rPr>
            </w:pPr>
            <w:r>
              <w:rPr>
                <w:rFonts w:ascii="Arial" w:cs="Arial" w:eastAsia="Arial" w:hAnsi="Arial"/>
                <w:sz w:val="18"/>
                <w:szCs w:val="18"/>
                <w:color w:val="auto"/>
              </w:rPr>
              <w:t>313</w:t>
            </w:r>
          </w:p>
        </w:tc>
        <w:tc>
          <w:tcPr>
            <w:tcW w:w="800" w:type="dxa"/>
            <w:vAlign w:val="bottom"/>
          </w:tcPr>
          <w:p>
            <w:pPr>
              <w:jc w:val="right"/>
              <w:ind w:right="36"/>
              <w:spacing w:after="0"/>
              <w:rPr>
                <w:sz w:val="20"/>
                <w:szCs w:val="20"/>
                <w:color w:val="auto"/>
              </w:rPr>
            </w:pPr>
            <w:r>
              <w:rPr>
                <w:rFonts w:ascii="Arial" w:cs="Arial" w:eastAsia="Arial" w:hAnsi="Arial"/>
                <w:sz w:val="18"/>
                <w:szCs w:val="18"/>
                <w:color w:val="auto"/>
              </w:rPr>
              <w:t>244</w:t>
            </w:r>
          </w:p>
        </w:tc>
        <w:tc>
          <w:tcPr>
            <w:tcW w:w="1360" w:type="dxa"/>
            <w:vAlign w:val="bottom"/>
          </w:tcPr>
          <w:p>
            <w:pPr>
              <w:jc w:val="right"/>
              <w:ind w:right="156"/>
              <w:spacing w:after="0"/>
              <w:rPr>
                <w:sz w:val="20"/>
                <w:szCs w:val="20"/>
                <w:color w:val="auto"/>
              </w:rPr>
            </w:pPr>
            <w:r>
              <w:rPr>
                <w:rFonts w:ascii="Arial" w:cs="Arial" w:eastAsia="Arial" w:hAnsi="Arial"/>
                <w:sz w:val="18"/>
                <w:szCs w:val="18"/>
                <w:color w:val="auto"/>
              </w:rPr>
              <w:t>28</w:t>
            </w:r>
          </w:p>
        </w:tc>
      </w:tr>
    </w:tbl>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Overall equity contract volumes decreased in the second quarter and first six months of 2014 when compared with the same periods in 2013 due to decreases in E-mini S&amp;P 500 contract volumes resulting from lower volatility, as measured by the CBOE Volatility Index, in early 2014. The equity market volatility was very low in the first half of 2014 compared with the short periods of high volatility in the first half of 2013 related to the anticipation of changes in the Federal Reserve's intention to revisit their quantitative easing strategy. The decreases in overall equity volumes in the second quarter and first six months of 2014, when compared with the same periods in 2013, were partially offset by increases in E-mini Nasdaq 100 contract volume, due largely to periods of higher volatility, as measured by the CBOE Nasdaq-100 Volatility Index. We believe that higher volatility in the index was largely attributable to the technology sector.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contract volume for our key foreign exchange products.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Quarter Ended</w:t>
            </w:r>
          </w:p>
        </w:tc>
        <w:tc>
          <w:tcPr>
            <w:tcW w:w="7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360" w:type="dxa"/>
            <w:vAlign w:val="bottom"/>
            <w:gridSpan w:val="2"/>
          </w:tcPr>
          <w:p>
            <w:pPr>
              <w:jc w:val="right"/>
              <w:ind w:right="533"/>
              <w:spacing w:after="0"/>
              <w:rPr>
                <w:sz w:val="20"/>
                <w:szCs w:val="20"/>
                <w:color w:val="auto"/>
              </w:rPr>
            </w:pPr>
            <w:r>
              <w:rPr>
                <w:rFonts w:ascii="Arial" w:cs="Arial" w:eastAsia="Arial" w:hAnsi="Arial"/>
                <w:sz w:val="14"/>
                <w:szCs w:val="14"/>
                <w:b w:val="1"/>
                <w:bCs w:val="1"/>
                <w:color w:val="auto"/>
              </w:rPr>
              <w:t>Six Months Ended</w:t>
            </w:r>
          </w:p>
        </w:tc>
        <w:tc>
          <w:tcPr>
            <w:tcW w:w="1360" w:type="dxa"/>
            <w:vAlign w:val="bottom"/>
          </w:tcPr>
          <w:p>
            <w:pPr>
              <w:spacing w:after="0"/>
              <w:rPr>
                <w:sz w:val="14"/>
                <w:szCs w:val="14"/>
                <w:color w:val="auto"/>
              </w:rPr>
            </w:pPr>
          </w:p>
        </w:tc>
      </w:tr>
      <w:tr>
        <w:trPr>
          <w:trHeight w:val="192"/>
        </w:trPr>
        <w:tc>
          <w:tcPr>
            <w:tcW w:w="3880" w:type="dxa"/>
            <w:vAlign w:val="bottom"/>
          </w:tcPr>
          <w:p>
            <w:pPr>
              <w:spacing w:after="0"/>
              <w:rPr>
                <w:sz w:val="16"/>
                <w:szCs w:val="16"/>
                <w:color w:val="auto"/>
              </w:rPr>
            </w:pPr>
          </w:p>
        </w:tc>
        <w:tc>
          <w:tcPr>
            <w:tcW w:w="164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6"/>
                <w:szCs w:val="16"/>
                <w:color w:val="auto"/>
              </w:rPr>
            </w:pPr>
          </w:p>
        </w:tc>
        <w:tc>
          <w:tcPr>
            <w:tcW w:w="1460" w:type="dxa"/>
            <w:vAlign w:val="bottom"/>
          </w:tcPr>
          <w:p>
            <w:pPr>
              <w:spacing w:after="0"/>
              <w:rPr>
                <w:sz w:val="16"/>
                <w:szCs w:val="16"/>
                <w:color w:val="auto"/>
              </w:rPr>
            </w:pPr>
          </w:p>
        </w:tc>
        <w:tc>
          <w:tcPr>
            <w:tcW w:w="156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1640" w:type="dxa"/>
            <w:vAlign w:val="bottom"/>
            <w:tcBorders>
              <w:bottom w:val="single" w:sz="8" w:color="auto"/>
            </w:tcBorders>
          </w:tcPr>
          <w:p>
            <w:pPr>
              <w:jc w:val="right"/>
              <w:ind w:right="857"/>
              <w:spacing w:after="0"/>
              <w:rPr>
                <w:sz w:val="20"/>
                <w:szCs w:val="20"/>
                <w:color w:val="auto"/>
              </w:rPr>
            </w:pPr>
            <w:r>
              <w:rPr>
                <w:rFonts w:ascii="Arial" w:cs="Arial" w:eastAsia="Arial" w:hAnsi="Arial"/>
                <w:sz w:val="14"/>
                <w:szCs w:val="14"/>
                <w:b w:val="1"/>
                <w:bCs w:val="1"/>
                <w:color w:val="auto"/>
              </w:rPr>
              <w:t>2014</w:t>
            </w:r>
          </w:p>
        </w:tc>
        <w:tc>
          <w:tcPr>
            <w:tcW w:w="7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w w:val="89"/>
              </w:rPr>
              <w:t>2013</w:t>
            </w:r>
          </w:p>
        </w:tc>
        <w:tc>
          <w:tcPr>
            <w:tcW w:w="146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Change</w:t>
            </w:r>
          </w:p>
        </w:tc>
        <w:tc>
          <w:tcPr>
            <w:tcW w:w="1560" w:type="dxa"/>
            <w:vAlign w:val="bottom"/>
            <w:tcBorders>
              <w:bottom w:val="single" w:sz="8" w:color="auto"/>
            </w:tcBorders>
          </w:tcPr>
          <w:p>
            <w:pPr>
              <w:jc w:val="right"/>
              <w:ind w:right="757"/>
              <w:spacing w:after="0"/>
              <w:rPr>
                <w:sz w:val="20"/>
                <w:szCs w:val="20"/>
                <w:color w:val="auto"/>
              </w:rPr>
            </w:pPr>
            <w:r>
              <w:rPr>
                <w:rFonts w:ascii="Arial" w:cs="Arial" w:eastAsia="Arial" w:hAnsi="Arial"/>
                <w:sz w:val="14"/>
                <w:szCs w:val="14"/>
                <w:b w:val="1"/>
                <w:bCs w:val="1"/>
                <w:color w:val="auto"/>
              </w:rPr>
              <w:t>2014</w:t>
            </w:r>
          </w:p>
        </w:tc>
        <w:tc>
          <w:tcPr>
            <w:tcW w:w="8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2013</w:t>
            </w:r>
          </w:p>
        </w:tc>
        <w:tc>
          <w:tcPr>
            <w:tcW w:w="136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Change</w:t>
            </w: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w:t>
            </w:r>
          </w:p>
        </w:tc>
        <w:tc>
          <w:tcPr>
            <w:tcW w:w="1640" w:type="dxa"/>
            <w:vAlign w:val="bottom"/>
            <w:tcBorders>
              <w:bottom w:val="single" w:sz="8" w:color="CCEEFF"/>
            </w:tcBorders>
            <w:shd w:val="clear" w:color="auto" w:fill="CCEEFF"/>
          </w:tcPr>
          <w:p>
            <w:pPr>
              <w:jc w:val="right"/>
              <w:ind w:right="537"/>
              <w:spacing w:after="0"/>
              <w:rPr>
                <w:sz w:val="20"/>
                <w:szCs w:val="20"/>
                <w:color w:val="auto"/>
              </w:rPr>
            </w:pPr>
            <w:r>
              <w:rPr>
                <w:rFonts w:ascii="Arial" w:cs="Arial" w:eastAsia="Arial" w:hAnsi="Arial"/>
                <w:sz w:val="18"/>
                <w:szCs w:val="18"/>
                <w:color w:val="auto"/>
              </w:rPr>
              <w:t>190</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296</w:t>
            </w:r>
          </w:p>
        </w:tc>
        <w:tc>
          <w:tcPr>
            <w:tcW w:w="146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(36)%</w:t>
            </w:r>
          </w:p>
        </w:tc>
        <w:tc>
          <w:tcPr>
            <w:tcW w:w="1560" w:type="dxa"/>
            <w:vAlign w:val="bottom"/>
            <w:tcBorders>
              <w:bottom w:val="single" w:sz="8" w:color="CCEEFF"/>
            </w:tcBorders>
            <w:shd w:val="clear" w:color="auto" w:fill="CCEEFF"/>
          </w:tcPr>
          <w:p>
            <w:pPr>
              <w:jc w:val="right"/>
              <w:ind w:right="457"/>
              <w:spacing w:after="0"/>
              <w:rPr>
                <w:sz w:val="20"/>
                <w:szCs w:val="20"/>
                <w:color w:val="auto"/>
              </w:rPr>
            </w:pPr>
            <w:r>
              <w:rPr>
                <w:rFonts w:ascii="Arial" w:cs="Arial" w:eastAsia="Arial" w:hAnsi="Arial"/>
                <w:sz w:val="18"/>
                <w:szCs w:val="18"/>
                <w:color w:val="auto"/>
              </w:rPr>
              <w:t>212</w:t>
            </w: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314</w:t>
            </w:r>
          </w:p>
        </w:tc>
        <w:tc>
          <w:tcPr>
            <w:tcW w:w="136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w w:val="95"/>
              </w:rPr>
              <w:t>(32)%</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Japanese yen</w:t>
            </w:r>
          </w:p>
        </w:tc>
        <w:tc>
          <w:tcPr>
            <w:tcW w:w="1640" w:type="dxa"/>
            <w:vAlign w:val="bottom"/>
          </w:tcPr>
          <w:p>
            <w:pPr>
              <w:jc w:val="right"/>
              <w:ind w:right="537"/>
              <w:spacing w:after="0"/>
              <w:rPr>
                <w:sz w:val="20"/>
                <w:szCs w:val="20"/>
                <w:color w:val="auto"/>
              </w:rPr>
            </w:pPr>
            <w:r>
              <w:rPr>
                <w:rFonts w:ascii="Arial" w:cs="Arial" w:eastAsia="Arial" w:hAnsi="Arial"/>
                <w:sz w:val="18"/>
                <w:szCs w:val="18"/>
                <w:color w:val="auto"/>
              </w:rPr>
              <w:t>124</w:t>
            </w: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243</w:t>
            </w:r>
          </w:p>
        </w:tc>
        <w:tc>
          <w:tcPr>
            <w:tcW w:w="1460" w:type="dxa"/>
            <w:vAlign w:val="bottom"/>
          </w:tcPr>
          <w:p>
            <w:pPr>
              <w:ind w:left="880"/>
              <w:spacing w:after="0"/>
              <w:rPr>
                <w:sz w:val="20"/>
                <w:szCs w:val="20"/>
                <w:color w:val="auto"/>
              </w:rPr>
            </w:pPr>
            <w:r>
              <w:rPr>
                <w:rFonts w:ascii="Arial" w:cs="Arial" w:eastAsia="Arial" w:hAnsi="Arial"/>
                <w:sz w:val="18"/>
                <w:szCs w:val="18"/>
                <w:color w:val="auto"/>
              </w:rPr>
              <w:t>(49)</w:t>
            </w:r>
          </w:p>
        </w:tc>
        <w:tc>
          <w:tcPr>
            <w:tcW w:w="1560" w:type="dxa"/>
            <w:vAlign w:val="bottom"/>
          </w:tcPr>
          <w:p>
            <w:pPr>
              <w:jc w:val="right"/>
              <w:ind w:right="457"/>
              <w:spacing w:after="0"/>
              <w:rPr>
                <w:sz w:val="20"/>
                <w:szCs w:val="20"/>
                <w:color w:val="auto"/>
              </w:rPr>
            </w:pPr>
            <w:r>
              <w:rPr>
                <w:rFonts w:ascii="Arial" w:cs="Arial" w:eastAsia="Arial" w:hAnsi="Arial"/>
                <w:sz w:val="18"/>
                <w:szCs w:val="18"/>
                <w:color w:val="auto"/>
              </w:rPr>
              <w:t>145</w:t>
            </w: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229</w:t>
            </w:r>
          </w:p>
        </w:tc>
        <w:tc>
          <w:tcPr>
            <w:tcW w:w="1360" w:type="dxa"/>
            <w:vAlign w:val="bottom"/>
          </w:tcPr>
          <w:p>
            <w:pPr>
              <w:ind w:left="880"/>
              <w:spacing w:after="0"/>
              <w:rPr>
                <w:sz w:val="20"/>
                <w:szCs w:val="20"/>
                <w:color w:val="auto"/>
              </w:rPr>
            </w:pPr>
            <w:r>
              <w:rPr>
                <w:rFonts w:ascii="Arial" w:cs="Arial" w:eastAsia="Arial" w:hAnsi="Arial"/>
                <w:sz w:val="18"/>
                <w:szCs w:val="18"/>
                <w:color w:val="auto"/>
              </w:rPr>
              <w:t>(37)</w:t>
            </w:r>
          </w:p>
        </w:tc>
      </w:tr>
      <w:tr>
        <w:trPr>
          <w:trHeight w:val="27"/>
        </w:trPr>
        <w:tc>
          <w:tcPr>
            <w:tcW w:w="38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British pound</w:t>
            </w:r>
          </w:p>
        </w:tc>
        <w:tc>
          <w:tcPr>
            <w:tcW w:w="1640" w:type="dxa"/>
            <w:vAlign w:val="bottom"/>
            <w:tcBorders>
              <w:bottom w:val="single" w:sz="8" w:color="CCEEFF"/>
            </w:tcBorders>
            <w:shd w:val="clear" w:color="auto" w:fill="CCEEFF"/>
          </w:tcPr>
          <w:p>
            <w:pPr>
              <w:jc w:val="right"/>
              <w:ind w:right="537"/>
              <w:spacing w:after="0"/>
              <w:rPr>
                <w:sz w:val="20"/>
                <w:szCs w:val="20"/>
                <w:color w:val="auto"/>
              </w:rPr>
            </w:pPr>
            <w:r>
              <w:rPr>
                <w:rFonts w:ascii="Arial" w:cs="Arial" w:eastAsia="Arial" w:hAnsi="Arial"/>
                <w:sz w:val="18"/>
                <w:szCs w:val="18"/>
                <w:color w:val="auto"/>
              </w:rPr>
              <w:t>97</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129</w:t>
            </w:r>
          </w:p>
        </w:tc>
        <w:tc>
          <w:tcPr>
            <w:tcW w:w="146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(24)</w:t>
            </w:r>
          </w:p>
        </w:tc>
        <w:tc>
          <w:tcPr>
            <w:tcW w:w="1560" w:type="dxa"/>
            <w:vAlign w:val="bottom"/>
            <w:tcBorders>
              <w:bottom w:val="single" w:sz="8" w:color="CCEEFF"/>
            </w:tcBorders>
            <w:shd w:val="clear" w:color="auto" w:fill="CCEEFF"/>
          </w:tcPr>
          <w:p>
            <w:pPr>
              <w:jc w:val="right"/>
              <w:ind w:right="457"/>
              <w:spacing w:after="0"/>
              <w:rPr>
                <w:sz w:val="20"/>
                <w:szCs w:val="20"/>
                <w:color w:val="auto"/>
              </w:rPr>
            </w:pPr>
            <w:r>
              <w:rPr>
                <w:rFonts w:ascii="Arial" w:cs="Arial" w:eastAsia="Arial" w:hAnsi="Arial"/>
                <w:sz w:val="18"/>
                <w:szCs w:val="18"/>
                <w:color w:val="auto"/>
              </w:rPr>
              <w:t>109</w:t>
            </w: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135</w:t>
            </w:r>
          </w:p>
        </w:tc>
        <w:tc>
          <w:tcPr>
            <w:tcW w:w="136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(19)</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Australian dollar</w:t>
            </w:r>
          </w:p>
        </w:tc>
        <w:tc>
          <w:tcPr>
            <w:tcW w:w="1640" w:type="dxa"/>
            <w:vAlign w:val="bottom"/>
          </w:tcPr>
          <w:p>
            <w:pPr>
              <w:jc w:val="right"/>
              <w:ind w:right="537"/>
              <w:spacing w:after="0"/>
              <w:rPr>
                <w:sz w:val="20"/>
                <w:szCs w:val="20"/>
                <w:color w:val="auto"/>
              </w:rPr>
            </w:pPr>
            <w:r>
              <w:rPr>
                <w:rFonts w:ascii="Arial" w:cs="Arial" w:eastAsia="Arial" w:hAnsi="Arial"/>
                <w:sz w:val="18"/>
                <w:szCs w:val="18"/>
                <w:color w:val="auto"/>
              </w:rPr>
              <w:t>71</w:t>
            </w: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145</w:t>
            </w:r>
          </w:p>
        </w:tc>
        <w:tc>
          <w:tcPr>
            <w:tcW w:w="1460" w:type="dxa"/>
            <w:vAlign w:val="bottom"/>
          </w:tcPr>
          <w:p>
            <w:pPr>
              <w:ind w:left="880"/>
              <w:spacing w:after="0"/>
              <w:rPr>
                <w:sz w:val="20"/>
                <w:szCs w:val="20"/>
                <w:color w:val="auto"/>
              </w:rPr>
            </w:pPr>
            <w:r>
              <w:rPr>
                <w:rFonts w:ascii="Arial" w:cs="Arial" w:eastAsia="Arial" w:hAnsi="Arial"/>
                <w:sz w:val="18"/>
                <w:szCs w:val="18"/>
                <w:color w:val="auto"/>
              </w:rPr>
              <w:t>(51)</w:t>
            </w:r>
          </w:p>
        </w:tc>
        <w:tc>
          <w:tcPr>
            <w:tcW w:w="1560" w:type="dxa"/>
            <w:vAlign w:val="bottom"/>
          </w:tcPr>
          <w:p>
            <w:pPr>
              <w:jc w:val="right"/>
              <w:ind w:right="457"/>
              <w:spacing w:after="0"/>
              <w:rPr>
                <w:sz w:val="20"/>
                <w:szCs w:val="20"/>
                <w:color w:val="auto"/>
              </w:rPr>
            </w:pPr>
            <w:r>
              <w:rPr>
                <w:rFonts w:ascii="Arial" w:cs="Arial" w:eastAsia="Arial" w:hAnsi="Arial"/>
                <w:sz w:val="18"/>
                <w:szCs w:val="18"/>
                <w:color w:val="auto"/>
              </w:rPr>
              <w:t>84</w:t>
            </w: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126</w:t>
            </w:r>
          </w:p>
        </w:tc>
        <w:tc>
          <w:tcPr>
            <w:tcW w:w="1360" w:type="dxa"/>
            <w:vAlign w:val="bottom"/>
          </w:tcPr>
          <w:p>
            <w:pPr>
              <w:ind w:left="880"/>
              <w:spacing w:after="0"/>
              <w:rPr>
                <w:sz w:val="20"/>
                <w:szCs w:val="20"/>
                <w:color w:val="auto"/>
              </w:rPr>
            </w:pPr>
            <w:r>
              <w:rPr>
                <w:rFonts w:ascii="Arial" w:cs="Arial" w:eastAsia="Arial" w:hAnsi="Arial"/>
                <w:sz w:val="18"/>
                <w:szCs w:val="18"/>
                <w:color w:val="auto"/>
              </w:rPr>
              <w:t>(33)</w:t>
            </w:r>
          </w:p>
        </w:tc>
      </w:tr>
      <w:tr>
        <w:trPr>
          <w:trHeight w:val="27"/>
        </w:trPr>
        <w:tc>
          <w:tcPr>
            <w:tcW w:w="38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3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Canadian dollar</w:t>
            </w:r>
          </w:p>
        </w:tc>
        <w:tc>
          <w:tcPr>
            <w:tcW w:w="1640" w:type="dxa"/>
            <w:vAlign w:val="bottom"/>
            <w:shd w:val="clear" w:color="auto" w:fill="CCEEFF"/>
          </w:tcPr>
          <w:p>
            <w:pPr>
              <w:jc w:val="right"/>
              <w:ind w:right="537"/>
              <w:spacing w:after="0"/>
              <w:rPr>
                <w:sz w:val="20"/>
                <w:szCs w:val="20"/>
                <w:color w:val="auto"/>
              </w:rPr>
            </w:pPr>
            <w:r>
              <w:rPr>
                <w:rFonts w:ascii="Arial" w:cs="Arial" w:eastAsia="Arial" w:hAnsi="Arial"/>
                <w:sz w:val="18"/>
                <w:szCs w:val="18"/>
                <w:color w:val="auto"/>
              </w:rPr>
              <w:t>53</w:t>
            </w:r>
          </w:p>
        </w:tc>
        <w:tc>
          <w:tcPr>
            <w:tcW w:w="7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85</w:t>
            </w:r>
          </w:p>
        </w:tc>
        <w:tc>
          <w:tcPr>
            <w:tcW w:w="14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(37)</w:t>
            </w:r>
          </w:p>
        </w:tc>
        <w:tc>
          <w:tcPr>
            <w:tcW w:w="1560" w:type="dxa"/>
            <w:vAlign w:val="bottom"/>
            <w:shd w:val="clear" w:color="auto" w:fill="CCEEFF"/>
          </w:tcPr>
          <w:p>
            <w:pPr>
              <w:jc w:val="right"/>
              <w:ind w:right="457"/>
              <w:spacing w:after="0"/>
              <w:rPr>
                <w:sz w:val="20"/>
                <w:szCs w:val="20"/>
                <w:color w:val="auto"/>
              </w:rPr>
            </w:pPr>
            <w:r>
              <w:rPr>
                <w:rFonts w:ascii="Arial" w:cs="Arial" w:eastAsia="Arial" w:hAnsi="Arial"/>
                <w:sz w:val="18"/>
                <w:szCs w:val="18"/>
                <w:color w:val="auto"/>
              </w:rPr>
              <w:t>63</w:t>
            </w:r>
          </w:p>
        </w:tc>
        <w:tc>
          <w:tcPr>
            <w:tcW w:w="8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84</w:t>
            </w:r>
          </w:p>
        </w:tc>
        <w:tc>
          <w:tcPr>
            <w:tcW w:w="13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(25)</w:t>
            </w:r>
          </w:p>
        </w:tc>
      </w:tr>
      <w:tr>
        <w:trPr>
          <w:trHeight w:val="27"/>
        </w:trPr>
        <w:tc>
          <w:tcPr>
            <w:tcW w:w="388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overall decreases in foreign exchange contract volumes in the second quarter and first six months of 2014 when compared with the same periods in 2013 were attributable to decreases in exchange rate volatility across all major currencies. Subdued expectations regarding interest rate changes across European countries and Japan led to decreases in exchange rate volatility throughout these regions. Additionally, allegations regarding possible collusion by certain foreign exchange market participants in other marketplaces had a continued negative impact on overall global foreign exchange product trading during the second quarter and first six months of 2014.</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Agricultural Commodity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contract volume for our key agricultural commodity products.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Quarter Ended</w:t>
            </w:r>
          </w:p>
        </w:tc>
        <w:tc>
          <w:tcPr>
            <w:tcW w:w="7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360" w:type="dxa"/>
            <w:vAlign w:val="bottom"/>
            <w:gridSpan w:val="2"/>
          </w:tcPr>
          <w:p>
            <w:pPr>
              <w:jc w:val="right"/>
              <w:ind w:right="534"/>
              <w:spacing w:after="0"/>
              <w:rPr>
                <w:sz w:val="20"/>
                <w:szCs w:val="20"/>
                <w:color w:val="auto"/>
              </w:rPr>
            </w:pPr>
            <w:r>
              <w:rPr>
                <w:rFonts w:ascii="Arial" w:cs="Arial" w:eastAsia="Arial" w:hAnsi="Arial"/>
                <w:sz w:val="14"/>
                <w:szCs w:val="14"/>
                <w:b w:val="1"/>
                <w:bCs w:val="1"/>
                <w:color w:val="auto"/>
              </w:rPr>
              <w:t>Six Months Ended</w:t>
            </w:r>
          </w:p>
        </w:tc>
        <w:tc>
          <w:tcPr>
            <w:tcW w:w="1360" w:type="dxa"/>
            <w:vAlign w:val="bottom"/>
          </w:tcPr>
          <w:p>
            <w:pPr>
              <w:spacing w:after="0"/>
              <w:rPr>
                <w:sz w:val="14"/>
                <w:szCs w:val="14"/>
                <w:color w:val="auto"/>
              </w:rPr>
            </w:pPr>
          </w:p>
        </w:tc>
      </w:tr>
      <w:tr>
        <w:trPr>
          <w:trHeight w:val="192"/>
        </w:trPr>
        <w:tc>
          <w:tcPr>
            <w:tcW w:w="3880" w:type="dxa"/>
            <w:vAlign w:val="bottom"/>
          </w:tcPr>
          <w:p>
            <w:pPr>
              <w:spacing w:after="0"/>
              <w:rPr>
                <w:sz w:val="16"/>
                <w:szCs w:val="16"/>
                <w:color w:val="auto"/>
              </w:rPr>
            </w:pPr>
          </w:p>
        </w:tc>
        <w:tc>
          <w:tcPr>
            <w:tcW w:w="164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6"/>
                <w:szCs w:val="16"/>
                <w:color w:val="auto"/>
              </w:rPr>
            </w:pPr>
          </w:p>
        </w:tc>
        <w:tc>
          <w:tcPr>
            <w:tcW w:w="1460" w:type="dxa"/>
            <w:vAlign w:val="bottom"/>
          </w:tcPr>
          <w:p>
            <w:pPr>
              <w:spacing w:after="0"/>
              <w:rPr>
                <w:sz w:val="16"/>
                <w:szCs w:val="16"/>
                <w:color w:val="auto"/>
              </w:rPr>
            </w:pPr>
          </w:p>
        </w:tc>
        <w:tc>
          <w:tcPr>
            <w:tcW w:w="156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1640" w:type="dxa"/>
            <w:vAlign w:val="bottom"/>
            <w:tcBorders>
              <w:bottom w:val="single" w:sz="8" w:color="auto"/>
            </w:tcBorders>
          </w:tcPr>
          <w:p>
            <w:pPr>
              <w:jc w:val="right"/>
              <w:ind w:right="858"/>
              <w:spacing w:after="0"/>
              <w:rPr>
                <w:sz w:val="20"/>
                <w:szCs w:val="20"/>
                <w:color w:val="auto"/>
              </w:rPr>
            </w:pPr>
            <w:r>
              <w:rPr>
                <w:rFonts w:ascii="Arial" w:cs="Arial" w:eastAsia="Arial" w:hAnsi="Arial"/>
                <w:sz w:val="14"/>
                <w:szCs w:val="14"/>
                <w:b w:val="1"/>
                <w:bCs w:val="1"/>
                <w:color w:val="auto"/>
              </w:rPr>
              <w:t>2014</w:t>
            </w:r>
          </w:p>
        </w:tc>
        <w:tc>
          <w:tcPr>
            <w:tcW w:w="7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89"/>
              </w:rPr>
              <w:t>2013</w:t>
            </w:r>
          </w:p>
        </w:tc>
        <w:tc>
          <w:tcPr>
            <w:tcW w:w="14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Change</w:t>
            </w:r>
          </w:p>
        </w:tc>
        <w:tc>
          <w:tcPr>
            <w:tcW w:w="1560" w:type="dxa"/>
            <w:vAlign w:val="bottom"/>
            <w:tcBorders>
              <w:bottom w:val="single" w:sz="8" w:color="auto"/>
            </w:tcBorders>
          </w:tcPr>
          <w:p>
            <w:pPr>
              <w:jc w:val="right"/>
              <w:ind w:right="758"/>
              <w:spacing w:after="0"/>
              <w:rPr>
                <w:sz w:val="20"/>
                <w:szCs w:val="20"/>
                <w:color w:val="auto"/>
              </w:rPr>
            </w:pPr>
            <w:r>
              <w:rPr>
                <w:rFonts w:ascii="Arial" w:cs="Arial" w:eastAsia="Arial" w:hAnsi="Arial"/>
                <w:sz w:val="14"/>
                <w:szCs w:val="14"/>
                <w:b w:val="1"/>
                <w:bCs w:val="1"/>
                <w:color w:val="auto"/>
              </w:rPr>
              <w:t>2014</w:t>
            </w:r>
          </w:p>
        </w:tc>
        <w:tc>
          <w:tcPr>
            <w:tcW w:w="8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2013</w:t>
            </w:r>
          </w:p>
        </w:tc>
        <w:tc>
          <w:tcPr>
            <w:tcW w:w="13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Change</w:t>
            </w: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Corn</w:t>
            </w:r>
          </w:p>
        </w:tc>
        <w:tc>
          <w:tcPr>
            <w:tcW w:w="1640" w:type="dxa"/>
            <w:vAlign w:val="bottom"/>
            <w:tcBorders>
              <w:bottom w:val="single" w:sz="8" w:color="CCEEFF"/>
            </w:tcBorders>
            <w:shd w:val="clear" w:color="auto" w:fill="CCEEFF"/>
          </w:tcPr>
          <w:p>
            <w:pPr>
              <w:jc w:val="right"/>
              <w:ind w:right="538"/>
              <w:spacing w:after="0"/>
              <w:rPr>
                <w:sz w:val="20"/>
                <w:szCs w:val="20"/>
                <w:color w:val="auto"/>
              </w:rPr>
            </w:pPr>
            <w:r>
              <w:rPr>
                <w:rFonts w:ascii="Arial" w:cs="Arial" w:eastAsia="Arial" w:hAnsi="Arial"/>
                <w:sz w:val="18"/>
                <w:szCs w:val="18"/>
                <w:color w:val="auto"/>
              </w:rPr>
              <w:t>359</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371</w:t>
            </w:r>
          </w:p>
        </w:tc>
        <w:tc>
          <w:tcPr>
            <w:tcW w:w="14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w:t>
            </w:r>
          </w:p>
        </w:tc>
        <w:tc>
          <w:tcPr>
            <w:tcW w:w="1560" w:type="dxa"/>
            <w:vAlign w:val="bottom"/>
            <w:tcBorders>
              <w:bottom w:val="single" w:sz="8" w:color="CCEEFF"/>
            </w:tcBorders>
            <w:shd w:val="clear" w:color="auto" w:fill="CCEEFF"/>
          </w:tcPr>
          <w:p>
            <w:pPr>
              <w:jc w:val="right"/>
              <w:ind w:right="458"/>
              <w:spacing w:after="0"/>
              <w:rPr>
                <w:sz w:val="20"/>
                <w:szCs w:val="20"/>
                <w:color w:val="auto"/>
              </w:rPr>
            </w:pPr>
            <w:r>
              <w:rPr>
                <w:rFonts w:ascii="Arial" w:cs="Arial" w:eastAsia="Arial" w:hAnsi="Arial"/>
                <w:sz w:val="18"/>
                <w:szCs w:val="18"/>
                <w:color w:val="auto"/>
              </w:rPr>
              <w:t>374</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365</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Soybean</w:t>
            </w:r>
          </w:p>
        </w:tc>
        <w:tc>
          <w:tcPr>
            <w:tcW w:w="1640" w:type="dxa"/>
            <w:vAlign w:val="bottom"/>
          </w:tcPr>
          <w:p>
            <w:pPr>
              <w:jc w:val="right"/>
              <w:ind w:right="538"/>
              <w:spacing w:after="0"/>
              <w:rPr>
                <w:sz w:val="20"/>
                <w:szCs w:val="20"/>
                <w:color w:val="auto"/>
              </w:rPr>
            </w:pPr>
            <w:r>
              <w:rPr>
                <w:rFonts w:ascii="Arial" w:cs="Arial" w:eastAsia="Arial" w:hAnsi="Arial"/>
                <w:sz w:val="18"/>
                <w:szCs w:val="18"/>
                <w:color w:val="auto"/>
              </w:rPr>
              <w:t>228</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237</w:t>
            </w:r>
          </w:p>
        </w:tc>
        <w:tc>
          <w:tcPr>
            <w:tcW w:w="1460" w:type="dxa"/>
            <w:vAlign w:val="bottom"/>
          </w:tcPr>
          <w:p>
            <w:pPr>
              <w:jc w:val="right"/>
              <w:ind w:right="194"/>
              <w:spacing w:after="0"/>
              <w:rPr>
                <w:sz w:val="20"/>
                <w:szCs w:val="20"/>
                <w:color w:val="auto"/>
              </w:rPr>
            </w:pPr>
            <w:r>
              <w:rPr>
                <w:rFonts w:ascii="Arial" w:cs="Arial" w:eastAsia="Arial" w:hAnsi="Arial"/>
                <w:sz w:val="18"/>
                <w:szCs w:val="18"/>
                <w:color w:val="auto"/>
              </w:rPr>
              <w:t>(4)</w:t>
            </w:r>
          </w:p>
        </w:tc>
        <w:tc>
          <w:tcPr>
            <w:tcW w:w="1560" w:type="dxa"/>
            <w:vAlign w:val="bottom"/>
          </w:tcPr>
          <w:p>
            <w:pPr>
              <w:jc w:val="right"/>
              <w:ind w:right="458"/>
              <w:spacing w:after="0"/>
              <w:rPr>
                <w:sz w:val="20"/>
                <w:szCs w:val="20"/>
                <w:color w:val="auto"/>
              </w:rPr>
            </w:pPr>
            <w:r>
              <w:rPr>
                <w:rFonts w:ascii="Arial" w:cs="Arial" w:eastAsia="Arial" w:hAnsi="Arial"/>
                <w:sz w:val="18"/>
                <w:szCs w:val="18"/>
                <w:color w:val="auto"/>
              </w:rPr>
              <w:t>241</w:t>
            </w: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240</w:t>
            </w:r>
          </w:p>
        </w:tc>
        <w:tc>
          <w:tcPr>
            <w:tcW w:w="1360" w:type="dxa"/>
            <w:vAlign w:val="bottom"/>
          </w:tcPr>
          <w:p>
            <w:pPr>
              <w:jc w:val="right"/>
              <w:ind w:right="134"/>
              <w:spacing w:after="0"/>
              <w:rPr>
                <w:sz w:val="20"/>
                <w:szCs w:val="20"/>
                <w:color w:val="auto"/>
              </w:rPr>
            </w:pPr>
            <w:r>
              <w:rPr>
                <w:rFonts w:ascii="Arial" w:cs="Arial" w:eastAsia="Arial" w:hAnsi="Arial"/>
                <w:sz w:val="18"/>
                <w:szCs w:val="18"/>
                <w:color w:val="auto"/>
              </w:rPr>
              <w:t>—</w:t>
            </w:r>
          </w:p>
        </w:tc>
      </w:tr>
      <w:tr>
        <w:trPr>
          <w:trHeight w:val="27"/>
        </w:trPr>
        <w:tc>
          <w:tcPr>
            <w:tcW w:w="38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Wheat</w:t>
            </w:r>
          </w:p>
        </w:tc>
        <w:tc>
          <w:tcPr>
            <w:tcW w:w="1640" w:type="dxa"/>
            <w:vAlign w:val="bottom"/>
            <w:tcBorders>
              <w:bottom w:val="single" w:sz="8" w:color="CCEEFF"/>
            </w:tcBorders>
            <w:shd w:val="clear" w:color="auto" w:fill="CCEEFF"/>
          </w:tcPr>
          <w:p>
            <w:pPr>
              <w:jc w:val="right"/>
              <w:ind w:right="538"/>
              <w:spacing w:after="0"/>
              <w:rPr>
                <w:sz w:val="20"/>
                <w:szCs w:val="20"/>
                <w:color w:val="auto"/>
              </w:rPr>
            </w:pPr>
            <w:r>
              <w:rPr>
                <w:rFonts w:ascii="Arial" w:cs="Arial" w:eastAsia="Arial" w:hAnsi="Arial"/>
                <w:sz w:val="18"/>
                <w:szCs w:val="18"/>
                <w:color w:val="auto"/>
              </w:rPr>
              <w:t>164</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157</w:t>
            </w:r>
          </w:p>
        </w:tc>
        <w:tc>
          <w:tcPr>
            <w:tcW w:w="1460" w:type="dxa"/>
            <w:vAlign w:val="bottom"/>
            <w:tcBorders>
              <w:bottom w:val="single" w:sz="8" w:color="CCEEFF"/>
            </w:tcBorders>
            <w:shd w:val="clear" w:color="auto" w:fill="CCEEFF"/>
          </w:tcPr>
          <w:p>
            <w:pPr>
              <w:jc w:val="right"/>
              <w:ind w:right="254"/>
              <w:spacing w:after="0"/>
              <w:rPr>
                <w:sz w:val="20"/>
                <w:szCs w:val="20"/>
                <w:color w:val="auto"/>
              </w:rPr>
            </w:pPr>
            <w:r>
              <w:rPr>
                <w:rFonts w:ascii="Arial" w:cs="Arial" w:eastAsia="Arial" w:hAnsi="Arial"/>
                <w:sz w:val="18"/>
                <w:szCs w:val="18"/>
                <w:color w:val="auto"/>
              </w:rPr>
              <w:t>4</w:t>
            </w:r>
          </w:p>
        </w:tc>
        <w:tc>
          <w:tcPr>
            <w:tcW w:w="1560" w:type="dxa"/>
            <w:vAlign w:val="bottom"/>
            <w:tcBorders>
              <w:bottom w:val="single" w:sz="8" w:color="CCEEFF"/>
            </w:tcBorders>
            <w:shd w:val="clear" w:color="auto" w:fill="CCEEFF"/>
          </w:tcPr>
          <w:p>
            <w:pPr>
              <w:jc w:val="right"/>
              <w:ind w:right="458"/>
              <w:spacing w:after="0"/>
              <w:rPr>
                <w:sz w:val="20"/>
                <w:szCs w:val="20"/>
                <w:color w:val="auto"/>
              </w:rPr>
            </w:pPr>
            <w:r>
              <w:rPr>
                <w:rFonts w:ascii="Arial" w:cs="Arial" w:eastAsia="Arial" w:hAnsi="Arial"/>
                <w:sz w:val="18"/>
                <w:szCs w:val="18"/>
                <w:color w:val="auto"/>
              </w:rPr>
              <w:t>165</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158</w:t>
            </w:r>
          </w:p>
        </w:tc>
        <w:tc>
          <w:tcPr>
            <w:tcW w:w="136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4</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Soybean oil</w:t>
            </w:r>
          </w:p>
        </w:tc>
        <w:tc>
          <w:tcPr>
            <w:tcW w:w="1640" w:type="dxa"/>
            <w:vAlign w:val="bottom"/>
          </w:tcPr>
          <w:p>
            <w:pPr>
              <w:jc w:val="right"/>
              <w:ind w:right="538"/>
              <w:spacing w:after="0"/>
              <w:rPr>
                <w:sz w:val="20"/>
                <w:szCs w:val="20"/>
                <w:color w:val="auto"/>
              </w:rPr>
            </w:pPr>
            <w:r>
              <w:rPr>
                <w:rFonts w:ascii="Arial" w:cs="Arial" w:eastAsia="Arial" w:hAnsi="Arial"/>
                <w:sz w:val="18"/>
                <w:szCs w:val="18"/>
                <w:color w:val="auto"/>
              </w:rPr>
              <w:t>98</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108</w:t>
            </w:r>
          </w:p>
        </w:tc>
        <w:tc>
          <w:tcPr>
            <w:tcW w:w="1460" w:type="dxa"/>
            <w:vAlign w:val="bottom"/>
          </w:tcPr>
          <w:p>
            <w:pPr>
              <w:jc w:val="right"/>
              <w:ind w:right="194"/>
              <w:spacing w:after="0"/>
              <w:rPr>
                <w:sz w:val="20"/>
                <w:szCs w:val="20"/>
                <w:color w:val="auto"/>
              </w:rPr>
            </w:pPr>
            <w:r>
              <w:rPr>
                <w:rFonts w:ascii="Arial" w:cs="Arial" w:eastAsia="Arial" w:hAnsi="Arial"/>
                <w:sz w:val="18"/>
                <w:szCs w:val="18"/>
                <w:color w:val="auto"/>
              </w:rPr>
              <w:t>(9)</w:t>
            </w:r>
          </w:p>
        </w:tc>
        <w:tc>
          <w:tcPr>
            <w:tcW w:w="1560" w:type="dxa"/>
            <w:vAlign w:val="bottom"/>
          </w:tcPr>
          <w:p>
            <w:pPr>
              <w:jc w:val="right"/>
              <w:ind w:right="458"/>
              <w:spacing w:after="0"/>
              <w:rPr>
                <w:sz w:val="20"/>
                <w:szCs w:val="20"/>
                <w:color w:val="auto"/>
              </w:rPr>
            </w:pPr>
            <w:r>
              <w:rPr>
                <w:rFonts w:ascii="Arial" w:cs="Arial" w:eastAsia="Arial" w:hAnsi="Arial"/>
                <w:sz w:val="18"/>
                <w:szCs w:val="18"/>
                <w:color w:val="auto"/>
              </w:rPr>
              <w:t>101</w:t>
            </w: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106</w:t>
            </w: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(5)</w:t>
            </w:r>
          </w:p>
        </w:tc>
      </w:tr>
    </w:tbl>
    <w:p>
      <w:pPr>
        <w:spacing w:after="0" w:line="94"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The overall agricultural commodity contract volumes remained relatively flat in the second quarter of 2014 and the first six months of 2014 when compared with the same periods in 2013. Contract volume increased in the first quarter of 2014 due to volatility caused by an increase in grain supplies from 2013 to 2014 as well as higher price volatility in corn and wheat products due to political instability in the Black Sea region in the first quarter of 2014. Volumes were slightly lower in the second quarter of 2014 due to good crop development, which reduced price volatility as supplies continued to return to historical levels.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Energy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contract volume for our key energy products.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Quarter Ended</w:t>
            </w:r>
          </w:p>
        </w:tc>
        <w:tc>
          <w:tcPr>
            <w:tcW w:w="7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360" w:type="dxa"/>
            <w:vAlign w:val="bottom"/>
            <w:gridSpan w:val="2"/>
          </w:tcPr>
          <w:p>
            <w:pPr>
              <w:jc w:val="right"/>
              <w:ind w:right="534"/>
              <w:spacing w:after="0"/>
              <w:rPr>
                <w:sz w:val="20"/>
                <w:szCs w:val="20"/>
                <w:color w:val="auto"/>
              </w:rPr>
            </w:pPr>
            <w:r>
              <w:rPr>
                <w:rFonts w:ascii="Arial" w:cs="Arial" w:eastAsia="Arial" w:hAnsi="Arial"/>
                <w:sz w:val="14"/>
                <w:szCs w:val="14"/>
                <w:b w:val="1"/>
                <w:bCs w:val="1"/>
                <w:color w:val="auto"/>
              </w:rPr>
              <w:t>Six Months Ended</w:t>
            </w:r>
          </w:p>
        </w:tc>
        <w:tc>
          <w:tcPr>
            <w:tcW w:w="1360" w:type="dxa"/>
            <w:vAlign w:val="bottom"/>
          </w:tcPr>
          <w:p>
            <w:pPr>
              <w:spacing w:after="0"/>
              <w:rPr>
                <w:sz w:val="14"/>
                <w:szCs w:val="14"/>
                <w:color w:val="auto"/>
              </w:rPr>
            </w:pPr>
          </w:p>
        </w:tc>
      </w:tr>
      <w:tr>
        <w:trPr>
          <w:trHeight w:val="192"/>
        </w:trPr>
        <w:tc>
          <w:tcPr>
            <w:tcW w:w="3880" w:type="dxa"/>
            <w:vAlign w:val="bottom"/>
          </w:tcPr>
          <w:p>
            <w:pPr>
              <w:spacing w:after="0"/>
              <w:rPr>
                <w:sz w:val="16"/>
                <w:szCs w:val="16"/>
                <w:color w:val="auto"/>
              </w:rPr>
            </w:pPr>
          </w:p>
        </w:tc>
        <w:tc>
          <w:tcPr>
            <w:tcW w:w="164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6"/>
                <w:szCs w:val="16"/>
                <w:color w:val="auto"/>
              </w:rPr>
            </w:pPr>
          </w:p>
        </w:tc>
        <w:tc>
          <w:tcPr>
            <w:tcW w:w="1460" w:type="dxa"/>
            <w:vAlign w:val="bottom"/>
          </w:tcPr>
          <w:p>
            <w:pPr>
              <w:spacing w:after="0"/>
              <w:rPr>
                <w:sz w:val="16"/>
                <w:szCs w:val="16"/>
                <w:color w:val="auto"/>
              </w:rPr>
            </w:pPr>
          </w:p>
        </w:tc>
        <w:tc>
          <w:tcPr>
            <w:tcW w:w="15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1640" w:type="dxa"/>
            <w:vAlign w:val="bottom"/>
            <w:tcBorders>
              <w:bottom w:val="single" w:sz="8" w:color="auto"/>
            </w:tcBorders>
          </w:tcPr>
          <w:p>
            <w:pPr>
              <w:jc w:val="right"/>
              <w:ind w:right="859"/>
              <w:spacing w:after="0"/>
              <w:rPr>
                <w:sz w:val="20"/>
                <w:szCs w:val="20"/>
                <w:color w:val="auto"/>
              </w:rPr>
            </w:pPr>
            <w:r>
              <w:rPr>
                <w:rFonts w:ascii="Arial" w:cs="Arial" w:eastAsia="Arial" w:hAnsi="Arial"/>
                <w:sz w:val="14"/>
                <w:szCs w:val="14"/>
                <w:b w:val="1"/>
                <w:bCs w:val="1"/>
                <w:color w:val="auto"/>
              </w:rPr>
              <w:t>2014</w:t>
            </w:r>
          </w:p>
        </w:tc>
        <w:tc>
          <w:tcPr>
            <w:tcW w:w="7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89"/>
              </w:rPr>
              <w:t>2013</w:t>
            </w:r>
          </w:p>
        </w:tc>
        <w:tc>
          <w:tcPr>
            <w:tcW w:w="14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Change</w:t>
            </w:r>
          </w:p>
        </w:tc>
        <w:tc>
          <w:tcPr>
            <w:tcW w:w="1560" w:type="dxa"/>
            <w:vAlign w:val="bottom"/>
            <w:tcBorders>
              <w:bottom w:val="single" w:sz="8" w:color="auto"/>
            </w:tcBorders>
          </w:tcPr>
          <w:p>
            <w:pPr>
              <w:jc w:val="right"/>
              <w:ind w:right="759"/>
              <w:spacing w:after="0"/>
              <w:rPr>
                <w:sz w:val="20"/>
                <w:szCs w:val="20"/>
                <w:color w:val="auto"/>
              </w:rPr>
            </w:pPr>
            <w:r>
              <w:rPr>
                <w:rFonts w:ascii="Arial" w:cs="Arial" w:eastAsia="Arial" w:hAnsi="Arial"/>
                <w:sz w:val="14"/>
                <w:szCs w:val="14"/>
                <w:b w:val="1"/>
                <w:bCs w:val="1"/>
                <w:color w:val="auto"/>
              </w:rPr>
              <w:t>2014</w:t>
            </w:r>
          </w:p>
        </w:tc>
        <w:tc>
          <w:tcPr>
            <w:tcW w:w="8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2013</w:t>
            </w:r>
          </w:p>
        </w:tc>
        <w:tc>
          <w:tcPr>
            <w:tcW w:w="13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Change</w:t>
            </w: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Crude oil</w:t>
            </w:r>
          </w:p>
        </w:tc>
        <w:tc>
          <w:tcPr>
            <w:tcW w:w="164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8"/>
                <w:szCs w:val="18"/>
                <w:color w:val="auto"/>
              </w:rPr>
              <w:t>724</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847</w:t>
            </w:r>
          </w:p>
        </w:tc>
        <w:tc>
          <w:tcPr>
            <w:tcW w:w="14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(15)%</w:t>
            </w:r>
          </w:p>
        </w:tc>
        <w:tc>
          <w:tcPr>
            <w:tcW w:w="156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8"/>
                <w:szCs w:val="18"/>
                <w:color w:val="auto"/>
              </w:rPr>
              <w:t>725</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799</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Natural gas</w:t>
            </w:r>
          </w:p>
        </w:tc>
        <w:tc>
          <w:tcPr>
            <w:tcW w:w="1640" w:type="dxa"/>
            <w:vAlign w:val="bottom"/>
          </w:tcPr>
          <w:p>
            <w:pPr>
              <w:jc w:val="right"/>
              <w:ind w:right="539"/>
              <w:spacing w:after="0"/>
              <w:rPr>
                <w:sz w:val="20"/>
                <w:szCs w:val="20"/>
                <w:color w:val="auto"/>
              </w:rPr>
            </w:pPr>
            <w:r>
              <w:rPr>
                <w:rFonts w:ascii="Arial" w:cs="Arial" w:eastAsia="Arial" w:hAnsi="Arial"/>
                <w:sz w:val="18"/>
                <w:szCs w:val="18"/>
                <w:color w:val="auto"/>
              </w:rPr>
              <w:t>365</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559</w:t>
            </w:r>
          </w:p>
        </w:tc>
        <w:tc>
          <w:tcPr>
            <w:tcW w:w="1460" w:type="dxa"/>
            <w:vAlign w:val="bottom"/>
          </w:tcPr>
          <w:p>
            <w:pPr>
              <w:jc w:val="right"/>
              <w:ind w:right="194"/>
              <w:spacing w:after="0"/>
              <w:rPr>
                <w:sz w:val="20"/>
                <w:szCs w:val="20"/>
                <w:color w:val="auto"/>
              </w:rPr>
            </w:pPr>
            <w:r>
              <w:rPr>
                <w:rFonts w:ascii="Arial" w:cs="Arial" w:eastAsia="Arial" w:hAnsi="Arial"/>
                <w:sz w:val="18"/>
                <w:szCs w:val="18"/>
                <w:color w:val="auto"/>
              </w:rPr>
              <w:t>(35)</w:t>
            </w:r>
          </w:p>
        </w:tc>
        <w:tc>
          <w:tcPr>
            <w:tcW w:w="1560" w:type="dxa"/>
            <w:vAlign w:val="bottom"/>
          </w:tcPr>
          <w:p>
            <w:pPr>
              <w:jc w:val="right"/>
              <w:ind w:right="459"/>
              <w:spacing w:after="0"/>
              <w:rPr>
                <w:sz w:val="20"/>
                <w:szCs w:val="20"/>
                <w:color w:val="auto"/>
              </w:rPr>
            </w:pPr>
            <w:r>
              <w:rPr>
                <w:rFonts w:ascii="Arial" w:cs="Arial" w:eastAsia="Arial" w:hAnsi="Arial"/>
                <w:sz w:val="18"/>
                <w:szCs w:val="18"/>
                <w:color w:val="auto"/>
              </w:rPr>
              <w:t>484</w:t>
            </w: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577</w:t>
            </w:r>
          </w:p>
        </w:tc>
        <w:tc>
          <w:tcPr>
            <w:tcW w:w="1360" w:type="dxa"/>
            <w:vAlign w:val="bottom"/>
          </w:tcPr>
          <w:p>
            <w:pPr>
              <w:jc w:val="right"/>
              <w:ind w:right="94"/>
              <w:spacing w:after="0"/>
              <w:rPr>
                <w:sz w:val="20"/>
                <w:szCs w:val="20"/>
                <w:color w:val="auto"/>
              </w:rPr>
            </w:pPr>
            <w:r>
              <w:rPr>
                <w:rFonts w:ascii="Arial" w:cs="Arial" w:eastAsia="Arial" w:hAnsi="Arial"/>
                <w:sz w:val="18"/>
                <w:szCs w:val="18"/>
                <w:color w:val="auto"/>
              </w:rPr>
              <w:t>(16)</w:t>
            </w:r>
          </w:p>
        </w:tc>
      </w:tr>
      <w:tr>
        <w:trPr>
          <w:trHeight w:val="27"/>
        </w:trPr>
        <w:tc>
          <w:tcPr>
            <w:tcW w:w="38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3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Refined products</w:t>
            </w:r>
          </w:p>
        </w:tc>
        <w:tc>
          <w:tcPr>
            <w:tcW w:w="1640" w:type="dxa"/>
            <w:vAlign w:val="bottom"/>
            <w:shd w:val="clear" w:color="auto" w:fill="CCEEFF"/>
          </w:tcPr>
          <w:p>
            <w:pPr>
              <w:jc w:val="right"/>
              <w:ind w:right="539"/>
              <w:spacing w:after="0"/>
              <w:rPr>
                <w:sz w:val="20"/>
                <w:szCs w:val="20"/>
                <w:color w:val="auto"/>
              </w:rPr>
            </w:pPr>
            <w:r>
              <w:rPr>
                <w:rFonts w:ascii="Arial" w:cs="Arial" w:eastAsia="Arial" w:hAnsi="Arial"/>
                <w:sz w:val="18"/>
                <w:szCs w:val="18"/>
                <w:color w:val="auto"/>
              </w:rPr>
              <w:t>278</w:t>
            </w:r>
          </w:p>
        </w:tc>
        <w:tc>
          <w:tcPr>
            <w:tcW w:w="7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302</w:t>
            </w:r>
          </w:p>
        </w:tc>
        <w:tc>
          <w:tcPr>
            <w:tcW w:w="14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(8)</w:t>
            </w:r>
          </w:p>
        </w:tc>
        <w:tc>
          <w:tcPr>
            <w:tcW w:w="1560" w:type="dxa"/>
            <w:vAlign w:val="bottom"/>
            <w:shd w:val="clear" w:color="auto" w:fill="CCEEFF"/>
          </w:tcPr>
          <w:p>
            <w:pPr>
              <w:jc w:val="right"/>
              <w:ind w:right="459"/>
              <w:spacing w:after="0"/>
              <w:rPr>
                <w:sz w:val="20"/>
                <w:szCs w:val="20"/>
                <w:color w:val="auto"/>
              </w:rPr>
            </w:pPr>
            <w:r>
              <w:rPr>
                <w:rFonts w:ascii="Arial" w:cs="Arial" w:eastAsia="Arial" w:hAnsi="Arial"/>
                <w:sz w:val="18"/>
                <w:szCs w:val="18"/>
                <w:color w:val="auto"/>
              </w:rPr>
              <w:t>286</w:t>
            </w:r>
          </w:p>
        </w:tc>
        <w:tc>
          <w:tcPr>
            <w:tcW w:w="8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315</w:t>
            </w:r>
          </w:p>
        </w:tc>
        <w:tc>
          <w:tcPr>
            <w:tcW w:w="13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(9)</w:t>
            </w:r>
          </w:p>
        </w:tc>
      </w:tr>
      <w:tr>
        <w:trPr>
          <w:trHeight w:val="27"/>
        </w:trPr>
        <w:tc>
          <w:tcPr>
            <w:tcW w:w="388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Overall energy contract volumes decreased in the second quarter and first six months of 2014 when compared with the same periods of 2013. The declines in crude oil and natural gas contract volumes were attributable to decreases in price volatility in early 2014 when compared with early 2013. Refined products contract volumes decreased in the second quarter and first six months of 2014 when compared with the same periods in 2013 due to decreases in demand in the underlying physical market.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Metal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volume for our key metal products.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Quarter Ended</w:t>
            </w:r>
          </w:p>
        </w:tc>
        <w:tc>
          <w:tcPr>
            <w:tcW w:w="7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360" w:type="dxa"/>
            <w:vAlign w:val="bottom"/>
            <w:gridSpan w:val="2"/>
          </w:tcPr>
          <w:p>
            <w:pPr>
              <w:jc w:val="right"/>
              <w:ind w:right="534"/>
              <w:spacing w:after="0"/>
              <w:rPr>
                <w:sz w:val="20"/>
                <w:szCs w:val="20"/>
                <w:color w:val="auto"/>
              </w:rPr>
            </w:pPr>
            <w:r>
              <w:rPr>
                <w:rFonts w:ascii="Arial" w:cs="Arial" w:eastAsia="Arial" w:hAnsi="Arial"/>
                <w:sz w:val="14"/>
                <w:szCs w:val="14"/>
                <w:b w:val="1"/>
                <w:bCs w:val="1"/>
                <w:color w:val="auto"/>
              </w:rPr>
              <w:t>Six Months Ended</w:t>
            </w:r>
          </w:p>
        </w:tc>
        <w:tc>
          <w:tcPr>
            <w:tcW w:w="1360" w:type="dxa"/>
            <w:vAlign w:val="bottom"/>
          </w:tcPr>
          <w:p>
            <w:pPr>
              <w:spacing w:after="0"/>
              <w:rPr>
                <w:sz w:val="14"/>
                <w:szCs w:val="14"/>
                <w:color w:val="auto"/>
              </w:rPr>
            </w:pPr>
          </w:p>
        </w:tc>
      </w:tr>
      <w:tr>
        <w:trPr>
          <w:trHeight w:val="192"/>
        </w:trPr>
        <w:tc>
          <w:tcPr>
            <w:tcW w:w="3880" w:type="dxa"/>
            <w:vAlign w:val="bottom"/>
          </w:tcPr>
          <w:p>
            <w:pPr>
              <w:spacing w:after="0"/>
              <w:rPr>
                <w:sz w:val="16"/>
                <w:szCs w:val="16"/>
                <w:color w:val="auto"/>
              </w:rPr>
            </w:pPr>
          </w:p>
        </w:tc>
        <w:tc>
          <w:tcPr>
            <w:tcW w:w="164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6"/>
                <w:szCs w:val="16"/>
                <w:color w:val="auto"/>
              </w:rPr>
            </w:pPr>
          </w:p>
        </w:tc>
        <w:tc>
          <w:tcPr>
            <w:tcW w:w="1460" w:type="dxa"/>
            <w:vAlign w:val="bottom"/>
          </w:tcPr>
          <w:p>
            <w:pPr>
              <w:spacing w:after="0"/>
              <w:rPr>
                <w:sz w:val="16"/>
                <w:szCs w:val="16"/>
                <w:color w:val="auto"/>
              </w:rPr>
            </w:pPr>
          </w:p>
        </w:tc>
        <w:tc>
          <w:tcPr>
            <w:tcW w:w="15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(amounts in thousands)</w:t>
            </w:r>
          </w:p>
        </w:tc>
        <w:tc>
          <w:tcPr>
            <w:tcW w:w="1640" w:type="dxa"/>
            <w:vAlign w:val="bottom"/>
            <w:tcBorders>
              <w:bottom w:val="single" w:sz="8" w:color="auto"/>
            </w:tcBorders>
          </w:tcPr>
          <w:p>
            <w:pPr>
              <w:jc w:val="right"/>
              <w:ind w:right="859"/>
              <w:spacing w:after="0"/>
              <w:rPr>
                <w:sz w:val="20"/>
                <w:szCs w:val="20"/>
                <w:color w:val="auto"/>
              </w:rPr>
            </w:pPr>
            <w:r>
              <w:rPr>
                <w:rFonts w:ascii="Arial" w:cs="Arial" w:eastAsia="Arial" w:hAnsi="Arial"/>
                <w:sz w:val="14"/>
                <w:szCs w:val="14"/>
                <w:b w:val="1"/>
                <w:bCs w:val="1"/>
                <w:color w:val="auto"/>
              </w:rPr>
              <w:t>2014</w:t>
            </w:r>
          </w:p>
        </w:tc>
        <w:tc>
          <w:tcPr>
            <w:tcW w:w="7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89"/>
              </w:rPr>
              <w:t>2013</w:t>
            </w:r>
          </w:p>
        </w:tc>
        <w:tc>
          <w:tcPr>
            <w:tcW w:w="146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Change</w:t>
            </w:r>
          </w:p>
        </w:tc>
        <w:tc>
          <w:tcPr>
            <w:tcW w:w="1560" w:type="dxa"/>
            <w:vAlign w:val="bottom"/>
            <w:tcBorders>
              <w:bottom w:val="single" w:sz="8" w:color="auto"/>
            </w:tcBorders>
          </w:tcPr>
          <w:p>
            <w:pPr>
              <w:jc w:val="right"/>
              <w:ind w:right="759"/>
              <w:spacing w:after="0"/>
              <w:rPr>
                <w:sz w:val="20"/>
                <w:szCs w:val="20"/>
                <w:color w:val="auto"/>
              </w:rPr>
            </w:pPr>
            <w:r>
              <w:rPr>
                <w:rFonts w:ascii="Arial" w:cs="Arial" w:eastAsia="Arial" w:hAnsi="Arial"/>
                <w:sz w:val="14"/>
                <w:szCs w:val="14"/>
                <w:b w:val="1"/>
                <w:bCs w:val="1"/>
                <w:color w:val="auto"/>
              </w:rPr>
              <w:t>2014</w:t>
            </w:r>
          </w:p>
        </w:tc>
        <w:tc>
          <w:tcPr>
            <w:tcW w:w="8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2013</w:t>
            </w:r>
          </w:p>
        </w:tc>
        <w:tc>
          <w:tcPr>
            <w:tcW w:w="13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Change</w:t>
            </w: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Gold</w:t>
            </w:r>
          </w:p>
        </w:tc>
        <w:tc>
          <w:tcPr>
            <w:tcW w:w="164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8"/>
                <w:szCs w:val="18"/>
                <w:color w:val="auto"/>
              </w:rPr>
              <w:t>175</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277</w:t>
            </w:r>
          </w:p>
        </w:tc>
        <w:tc>
          <w:tcPr>
            <w:tcW w:w="146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(37)%</w:t>
            </w:r>
          </w:p>
        </w:tc>
        <w:tc>
          <w:tcPr>
            <w:tcW w:w="156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8"/>
                <w:szCs w:val="18"/>
                <w:color w:val="auto"/>
              </w:rPr>
              <w:t>191</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262</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Silver</w:t>
            </w:r>
          </w:p>
        </w:tc>
        <w:tc>
          <w:tcPr>
            <w:tcW w:w="1640" w:type="dxa"/>
            <w:vAlign w:val="bottom"/>
          </w:tcPr>
          <w:p>
            <w:pPr>
              <w:jc w:val="right"/>
              <w:ind w:right="539"/>
              <w:spacing w:after="0"/>
              <w:rPr>
                <w:sz w:val="20"/>
                <w:szCs w:val="20"/>
                <w:color w:val="auto"/>
              </w:rPr>
            </w:pPr>
            <w:r>
              <w:rPr>
                <w:rFonts w:ascii="Arial" w:cs="Arial" w:eastAsia="Arial" w:hAnsi="Arial"/>
                <w:sz w:val="18"/>
                <w:szCs w:val="18"/>
                <w:color w:val="auto"/>
              </w:rPr>
              <w:t>67</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83</w:t>
            </w:r>
          </w:p>
        </w:tc>
        <w:tc>
          <w:tcPr>
            <w:tcW w:w="1460" w:type="dxa"/>
            <w:vAlign w:val="bottom"/>
          </w:tcPr>
          <w:p>
            <w:pPr>
              <w:ind w:left="880"/>
              <w:spacing w:after="0"/>
              <w:rPr>
                <w:sz w:val="20"/>
                <w:szCs w:val="20"/>
                <w:color w:val="auto"/>
              </w:rPr>
            </w:pPr>
            <w:r>
              <w:rPr>
                <w:rFonts w:ascii="Arial" w:cs="Arial" w:eastAsia="Arial" w:hAnsi="Arial"/>
                <w:sz w:val="18"/>
                <w:szCs w:val="18"/>
                <w:color w:val="auto"/>
              </w:rPr>
              <w:t>(19)</w:t>
            </w:r>
          </w:p>
        </w:tc>
        <w:tc>
          <w:tcPr>
            <w:tcW w:w="1560" w:type="dxa"/>
            <w:vAlign w:val="bottom"/>
          </w:tcPr>
          <w:p>
            <w:pPr>
              <w:jc w:val="right"/>
              <w:ind w:right="459"/>
              <w:spacing w:after="0"/>
              <w:rPr>
                <w:sz w:val="20"/>
                <w:szCs w:val="20"/>
                <w:color w:val="auto"/>
              </w:rPr>
            </w:pPr>
            <w:r>
              <w:rPr>
                <w:rFonts w:ascii="Arial" w:cs="Arial" w:eastAsia="Arial" w:hAnsi="Arial"/>
                <w:sz w:val="18"/>
                <w:szCs w:val="18"/>
                <w:color w:val="auto"/>
              </w:rPr>
              <w:t>66</w:t>
            </w: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72</w:t>
            </w:r>
          </w:p>
        </w:tc>
        <w:tc>
          <w:tcPr>
            <w:tcW w:w="1360" w:type="dxa"/>
            <w:vAlign w:val="bottom"/>
          </w:tcPr>
          <w:p>
            <w:pPr>
              <w:jc w:val="right"/>
              <w:ind w:right="94"/>
              <w:spacing w:after="0"/>
              <w:rPr>
                <w:sz w:val="20"/>
                <w:szCs w:val="20"/>
                <w:color w:val="auto"/>
              </w:rPr>
            </w:pPr>
            <w:r>
              <w:rPr>
                <w:rFonts w:ascii="Arial" w:cs="Arial" w:eastAsia="Arial" w:hAnsi="Arial"/>
                <w:sz w:val="18"/>
                <w:szCs w:val="18"/>
                <w:color w:val="auto"/>
              </w:rPr>
              <w:t>(9)</w:t>
            </w:r>
          </w:p>
        </w:tc>
      </w:tr>
      <w:tr>
        <w:trPr>
          <w:trHeight w:val="27"/>
        </w:trPr>
        <w:tc>
          <w:tcPr>
            <w:tcW w:w="38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3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Copper</w:t>
            </w:r>
          </w:p>
        </w:tc>
        <w:tc>
          <w:tcPr>
            <w:tcW w:w="1640" w:type="dxa"/>
            <w:vAlign w:val="bottom"/>
            <w:shd w:val="clear" w:color="auto" w:fill="CCEEFF"/>
          </w:tcPr>
          <w:p>
            <w:pPr>
              <w:jc w:val="right"/>
              <w:ind w:right="539"/>
              <w:spacing w:after="0"/>
              <w:rPr>
                <w:sz w:val="20"/>
                <w:szCs w:val="20"/>
                <w:color w:val="auto"/>
              </w:rPr>
            </w:pPr>
            <w:r>
              <w:rPr>
                <w:rFonts w:ascii="Arial" w:cs="Arial" w:eastAsia="Arial" w:hAnsi="Arial"/>
                <w:sz w:val="18"/>
                <w:szCs w:val="18"/>
                <w:color w:val="auto"/>
              </w:rPr>
              <w:t>60</w:t>
            </w:r>
          </w:p>
        </w:tc>
        <w:tc>
          <w:tcPr>
            <w:tcW w:w="7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89</w:t>
            </w:r>
          </w:p>
        </w:tc>
        <w:tc>
          <w:tcPr>
            <w:tcW w:w="14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(32)</w:t>
            </w:r>
          </w:p>
        </w:tc>
        <w:tc>
          <w:tcPr>
            <w:tcW w:w="1560" w:type="dxa"/>
            <w:vAlign w:val="bottom"/>
            <w:shd w:val="clear" w:color="auto" w:fill="CCEEFF"/>
          </w:tcPr>
          <w:p>
            <w:pPr>
              <w:jc w:val="right"/>
              <w:ind w:right="459"/>
              <w:spacing w:after="0"/>
              <w:rPr>
                <w:sz w:val="20"/>
                <w:szCs w:val="20"/>
                <w:color w:val="auto"/>
              </w:rPr>
            </w:pPr>
            <w:r>
              <w:rPr>
                <w:rFonts w:ascii="Arial" w:cs="Arial" w:eastAsia="Arial" w:hAnsi="Arial"/>
                <w:sz w:val="18"/>
                <w:szCs w:val="18"/>
                <w:color w:val="auto"/>
              </w:rPr>
              <w:t>61</w:t>
            </w:r>
          </w:p>
        </w:tc>
        <w:tc>
          <w:tcPr>
            <w:tcW w:w="8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78</w:t>
            </w:r>
          </w:p>
        </w:tc>
        <w:tc>
          <w:tcPr>
            <w:tcW w:w="13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(22)</w:t>
            </w:r>
          </w:p>
        </w:tc>
      </w:tr>
      <w:tr>
        <w:trPr>
          <w:trHeight w:val="27"/>
        </w:trPr>
        <w:tc>
          <w:tcPr>
            <w:tcW w:w="388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Overall metal contract volumes decreased in the second quarter and first six months of 2014 when compared with the same periods of 2013 due to decreases in contract volumes resulting from lower metals price volatility. In early 2013, short periods of high volatility were caused by improved macroeconomic data. In addition, demand for gold continued to slow due to lower economic growth rates in India and China, which are both large consumers of gold.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Average Rate per Contract</w:t>
      </w:r>
    </w:p>
    <w:p>
      <w:pPr>
        <w:spacing w:after="0" w:line="22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average rate per contract remained flat in the second quarter of 2014 and decreased slightly in the first six months of 2014 when compared with the same periods in 2013. The impacts due to higher fees associated with transaction fee pricing changes that were implemented at the beginning of 2014 were offset by a decrease due to shifts in relative mix of product volume. Interest rate product volume, when measured as a percentage of total volume, increased by 5% and 4% in the second quarter and first six months of 2014, respectively, while nearly all other product lines decreased. Interest rate contracts have a lower average rate per contract compared with other product lines. In addition, increases in incentives and discounts on our energy contracts as well as increases in tier discounts on Eurodollar products also resulted in decreases in the average rate per contracts in the second quarter and first six months of 2014 when compared with the same periods in 2013.</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Revenue</w:t>
      </w:r>
    </w:p>
    <w:p>
      <w:pPr>
        <w:spacing w:after="0" w:line="225"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We bill a substantial portion of our clearing and transaction fees directly to our clearing firms. The majority of clearing and transaction fees received from clearing firms represent charges for trades executed and cleared on behalf of their customers. One firm represented 12% of our clearing and transaction fees revenue in the first six months of 2014. Should a clearing firm withdraw, we believe that the customer portion of the firm’s trading activity would likely transfer to another clearing firm of the exchange. Therefore, we do not believe we are exposed to significant risk from the ongoing loss of revenue received from or through a particular clearing firm.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Sources of Revenue</w:t>
      </w:r>
    </w:p>
    <w:p>
      <w:pPr>
        <w:spacing w:after="0" w:line="2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increases in market data and information services revenues in the second quarter and first six months of 2014 when compared with the same periods in 2013 were attributable to increases in fees for basic real-time market data service to $85 per month in 2014 from $70 per month in 2013. The increases were partially offset by declines in market data subscriber counts resulting from continued cost-cutting initiatives at customer firms as well as utilization of a legacy incentive program.</w:t>
      </w:r>
    </w:p>
    <w:p>
      <w:pPr>
        <w:spacing w:after="0" w:line="187"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The two largest resellers of our market data represented approximately 41% of our market data and information services revenue in the first six months of 2014. Despite this concentration, we consider exposure to significant risk of revenue loss to be minimal. In the event that one of these vendors no longer subscribes to our market data, we believe the majority of that vendor’s customers would likely subscribe to our market data through another reseller. Additionally, several of our largest</w:t>
      </w:r>
    </w:p>
    <w:p>
      <w:pPr>
        <w:sectPr>
          <w:pgSz w:w="11900" w:h="16838" w:orient="portrait"/>
          <w:cols w:equalWidth="0" w:num="1">
            <w:col w:w="11420"/>
          </w:cols>
          <w:pgMar w:left="240" w:top="125" w:right="23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25" w:right="2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institutional customers that utilize services from our two largest resellers report usage and remit payment of their fees directly to us.</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the second quarter of 2013, we recognized $5.1 million of proceeds from business interruption insurance claim related to Hurricane Sandy, which resulted in decreases in other revenues in the second quarter and first six months of 2014 when compared with the same periods in 2013. In the fourth quarter of 2013, we sold the NYMEX building, which resulted in decreases in rental income of $2.2 million and $4.5 million in the second quarter and first six months of 2014, respectively, when compared with the same periods in 2013. In the first six months of 2014 when compared with the same period in 2013, the decreases in other revenues were also attributable to $8.7 million in fees recognized upon delivery of services under our technology agreement with BM&amp;FBOVESPA S.A. (BM&amp;FBOVESPA) in the first quarter of 2013.</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7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80" w:type="dxa"/>
            <w:vAlign w:val="bottom"/>
            <w:gridSpan w:val="4"/>
          </w:tcPr>
          <w:p>
            <w:pPr>
              <w:jc w:val="right"/>
              <w:ind w:right="512"/>
              <w:spacing w:after="0"/>
              <w:rPr>
                <w:sz w:val="20"/>
                <w:szCs w:val="20"/>
                <w:color w:val="auto"/>
              </w:rPr>
            </w:pPr>
            <w:r>
              <w:rPr>
                <w:rFonts w:ascii="Arial" w:cs="Arial" w:eastAsia="Arial" w:hAnsi="Arial"/>
                <w:sz w:val="14"/>
                <w:szCs w:val="14"/>
                <w:b w:val="1"/>
                <w:bCs w:val="1"/>
                <w:color w:val="auto"/>
              </w:rPr>
              <w:t>Six Months Ended</w:t>
            </w:r>
          </w:p>
        </w:tc>
        <w:tc>
          <w:tcPr>
            <w:tcW w:w="1360" w:type="dxa"/>
            <w:vAlign w:val="bottom"/>
          </w:tcPr>
          <w:p>
            <w:pPr>
              <w:spacing w:after="0"/>
              <w:rPr>
                <w:sz w:val="14"/>
                <w:szCs w:val="14"/>
                <w:color w:val="auto"/>
              </w:rPr>
            </w:pPr>
          </w:p>
        </w:tc>
      </w:tr>
      <w:tr>
        <w:trPr>
          <w:trHeight w:val="192"/>
        </w:trPr>
        <w:tc>
          <w:tcPr>
            <w:tcW w:w="39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6"/>
                <w:szCs w:val="16"/>
                <w:color w:val="auto"/>
              </w:rPr>
            </w:pPr>
          </w:p>
        </w:tc>
        <w:tc>
          <w:tcPr>
            <w:tcW w:w="14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3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w w:val="83"/>
              </w:rPr>
              <w:t>2013</w:t>
            </w:r>
          </w:p>
        </w:tc>
        <w:tc>
          <w:tcPr>
            <w:tcW w:w="14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Change</w:t>
            </w: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2013</w:t>
            </w:r>
          </w:p>
        </w:tc>
        <w:tc>
          <w:tcPr>
            <w:tcW w:w="13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Change</w:t>
            </w: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 and benefits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139.7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128.9</w:t>
            </w:r>
          </w:p>
        </w:tc>
        <w:tc>
          <w:tcPr>
            <w:tcW w:w="14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8 %</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275.2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258.3</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Communications</w:t>
            </w:r>
          </w:p>
        </w:tc>
        <w:tc>
          <w:tcPr>
            <w:tcW w:w="26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8.6</w:t>
            </w:r>
          </w:p>
        </w:tc>
        <w:tc>
          <w:tcPr>
            <w:tcW w:w="1460" w:type="dxa"/>
            <w:vAlign w:val="bottom"/>
          </w:tcPr>
          <w:p>
            <w:pPr>
              <w:jc w:val="right"/>
              <w:ind w:right="192"/>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17.5</w:t>
            </w:r>
          </w:p>
        </w:tc>
        <w:tc>
          <w:tcPr>
            <w:tcW w:w="1360" w:type="dxa"/>
            <w:vAlign w:val="bottom"/>
          </w:tcPr>
          <w:p>
            <w:pPr>
              <w:jc w:val="right"/>
              <w:ind w:right="72"/>
              <w:spacing w:after="0"/>
              <w:rPr>
                <w:sz w:val="20"/>
                <w:szCs w:val="20"/>
                <w:color w:val="auto"/>
              </w:rPr>
            </w:pPr>
            <w:r>
              <w:rPr>
                <w:rFonts w:ascii="Arial" w:cs="Arial" w:eastAsia="Arial" w:hAnsi="Arial"/>
                <w:sz w:val="18"/>
                <w:szCs w:val="18"/>
                <w:color w:val="auto"/>
              </w:rPr>
              <w:t>(6)</w:t>
            </w:r>
          </w:p>
        </w:tc>
      </w:tr>
      <w:tr>
        <w:trPr>
          <w:trHeight w:val="27"/>
        </w:trPr>
        <w:tc>
          <w:tcPr>
            <w:tcW w:w="3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 support services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w:t>
            </w:r>
          </w:p>
        </w:tc>
        <w:tc>
          <w:tcPr>
            <w:tcW w:w="1460" w:type="dxa"/>
            <w:vAlign w:val="bottom"/>
            <w:tcBorders>
              <w:bottom w:val="single" w:sz="8" w:color="CCEEFF"/>
            </w:tcBorders>
            <w:shd w:val="clear" w:color="auto" w:fill="CCEEFF"/>
          </w:tcPr>
          <w:p>
            <w:pPr>
              <w:jc w:val="right"/>
              <w:ind w:right="252"/>
              <w:spacing w:after="0"/>
              <w:rPr>
                <w:sz w:val="20"/>
                <w:szCs w:val="20"/>
                <w:color w:val="auto"/>
              </w:rPr>
            </w:pPr>
            <w:r>
              <w:rPr>
                <w:rFonts w:ascii="Arial" w:cs="Arial" w:eastAsia="Arial" w:hAnsi="Arial"/>
                <w:sz w:val="18"/>
                <w:szCs w:val="18"/>
                <w:color w:val="auto"/>
              </w:rPr>
              <w:t>5</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26.2</w:t>
            </w:r>
          </w:p>
        </w:tc>
        <w:tc>
          <w:tcPr>
            <w:tcW w:w="13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9</w:t>
            </w: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Professional fees and outside services</w:t>
            </w:r>
          </w:p>
        </w:tc>
        <w:tc>
          <w:tcPr>
            <w:tcW w:w="26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27.9</w:t>
            </w:r>
          </w:p>
        </w:tc>
        <w:tc>
          <w:tcPr>
            <w:tcW w:w="1460" w:type="dxa"/>
            <w:vAlign w:val="bottom"/>
          </w:tcPr>
          <w:p>
            <w:pPr>
              <w:jc w:val="right"/>
              <w:ind w:right="252"/>
              <w:spacing w:after="0"/>
              <w:rPr>
                <w:sz w:val="20"/>
                <w:szCs w:val="20"/>
                <w:color w:val="auto"/>
              </w:rPr>
            </w:pPr>
            <w:r>
              <w:rPr>
                <w:rFonts w:ascii="Arial" w:cs="Arial" w:eastAsia="Arial" w:hAnsi="Arial"/>
                <w:sz w:val="18"/>
                <w:szCs w:val="18"/>
                <w:color w:val="auto"/>
              </w:rPr>
              <w:t>35</w:t>
            </w: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67.1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49.8</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35</w:t>
            </w:r>
          </w:p>
        </w:tc>
      </w:tr>
      <w:tr>
        <w:trPr>
          <w:trHeight w:val="27"/>
        </w:trPr>
        <w:tc>
          <w:tcPr>
            <w:tcW w:w="3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purchased intangibles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25.9</w:t>
            </w:r>
          </w:p>
        </w:tc>
        <w:tc>
          <w:tcPr>
            <w:tcW w:w="146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(2)</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51.8</w:t>
            </w:r>
          </w:p>
        </w:tc>
        <w:tc>
          <w:tcPr>
            <w:tcW w:w="13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w:t>
            </w: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33.2</w:t>
            </w:r>
          </w:p>
        </w:tc>
        <w:tc>
          <w:tcPr>
            <w:tcW w:w="1460" w:type="dxa"/>
            <w:vAlign w:val="bottom"/>
          </w:tcPr>
          <w:p>
            <w:pPr>
              <w:jc w:val="right"/>
              <w:ind w:right="252"/>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68.4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65.8</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4</w:t>
            </w:r>
          </w:p>
        </w:tc>
      </w:tr>
      <w:tr>
        <w:trPr>
          <w:trHeight w:val="27"/>
        </w:trPr>
        <w:tc>
          <w:tcPr>
            <w:tcW w:w="3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Occupancy and building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19.0</w:t>
            </w:r>
          </w:p>
        </w:tc>
        <w:tc>
          <w:tcPr>
            <w:tcW w:w="1460" w:type="dxa"/>
            <w:vAlign w:val="bottom"/>
            <w:tcBorders>
              <w:bottom w:val="single" w:sz="8" w:color="CCEEFF"/>
            </w:tcBorders>
            <w:shd w:val="clear" w:color="auto" w:fill="CCEEFF"/>
          </w:tcPr>
          <w:p>
            <w:pPr>
              <w:jc w:val="right"/>
              <w:ind w:right="252"/>
              <w:spacing w:after="0"/>
              <w:rPr>
                <w:sz w:val="20"/>
                <w:szCs w:val="20"/>
                <w:color w:val="auto"/>
              </w:rPr>
            </w:pPr>
            <w:r>
              <w:rPr>
                <w:rFonts w:ascii="Arial" w:cs="Arial" w:eastAsia="Arial" w:hAnsi="Arial"/>
                <w:sz w:val="18"/>
                <w:szCs w:val="18"/>
                <w:color w:val="auto"/>
              </w:rPr>
              <w:t>22</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37.5</w:t>
            </w:r>
          </w:p>
        </w:tc>
        <w:tc>
          <w:tcPr>
            <w:tcW w:w="13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24</w:t>
            </w: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Licensing and other fee agreements</w:t>
            </w:r>
          </w:p>
        </w:tc>
        <w:tc>
          <w:tcPr>
            <w:tcW w:w="26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26.9</w:t>
            </w:r>
          </w:p>
        </w:tc>
        <w:tc>
          <w:tcPr>
            <w:tcW w:w="1460" w:type="dxa"/>
            <w:vAlign w:val="bottom"/>
          </w:tcPr>
          <w:p>
            <w:pPr>
              <w:jc w:val="right"/>
              <w:ind w:right="192"/>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48.1</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14</w:t>
            </w:r>
          </w:p>
        </w:tc>
      </w:tr>
      <w:tr>
        <w:trPr>
          <w:trHeight w:val="27"/>
        </w:trPr>
        <w:tc>
          <w:tcPr>
            <w:tcW w:w="3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24.1</w:t>
            </w:r>
          </w:p>
        </w:tc>
        <w:tc>
          <w:tcPr>
            <w:tcW w:w="146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(54)</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66.4</w:t>
            </w:r>
          </w:p>
        </w:tc>
        <w:tc>
          <w:tcPr>
            <w:tcW w:w="13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(47)</w:t>
            </w:r>
          </w:p>
        </w:tc>
      </w:tr>
      <w:tr>
        <w:trPr>
          <w:trHeight w:val="257"/>
        </w:trPr>
        <w:tc>
          <w:tcPr>
            <w:tcW w:w="3920" w:type="dxa"/>
            <w:vAlign w:val="bottom"/>
          </w:tcPr>
          <w:p>
            <w:pPr>
              <w:ind w:left="40"/>
              <w:spacing w:after="0"/>
              <w:rPr>
                <w:sz w:val="20"/>
                <w:szCs w:val="20"/>
                <w:color w:val="auto"/>
              </w:rPr>
            </w:pPr>
            <w:r>
              <w:rPr>
                <w:rFonts w:ascii="Arial" w:cs="Arial" w:eastAsia="Arial" w:hAnsi="Arial"/>
                <w:sz w:val="18"/>
                <w:szCs w:val="18"/>
                <w:color w:val="auto"/>
              </w:rPr>
              <w:t>Total Expenses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319.6</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308.3</w:t>
            </w:r>
          </w:p>
        </w:tc>
        <w:tc>
          <w:tcPr>
            <w:tcW w:w="1460" w:type="dxa"/>
            <w:vAlign w:val="bottom"/>
          </w:tcPr>
          <w:p>
            <w:pPr>
              <w:jc w:val="right"/>
              <w:ind w:right="252"/>
              <w:spacing w:after="0"/>
              <w:rPr>
                <w:sz w:val="20"/>
                <w:szCs w:val="20"/>
                <w:color w:val="auto"/>
              </w:rPr>
            </w:pPr>
            <w:r>
              <w:rPr>
                <w:rFonts w:ascii="Arial" w:cs="Arial" w:eastAsia="Arial" w:hAnsi="Arial"/>
                <w:sz w:val="18"/>
                <w:szCs w:val="18"/>
                <w:color w:val="auto"/>
              </w:rPr>
              <w:t>4</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642.5</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621.4</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3</w:t>
            </w:r>
          </w:p>
        </w:tc>
      </w:tr>
      <w:tr>
        <w:trPr>
          <w:trHeight w:val="20"/>
        </w:trPr>
        <w:tc>
          <w:tcPr>
            <w:tcW w:w="3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Operating expenses increased by $11.3 million and $21.1 million in the second quarter and first six months of 2014 when compared with the same periods in 2013. The following table shows the estimated impacts of key factors resulting in changes in operating expenses: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20" w:type="dxa"/>
            <w:vAlign w:val="bottom"/>
            <w:gridSpan w:val="4"/>
          </w:tcPr>
          <w:p>
            <w:pPr>
              <w:ind w:left="660"/>
              <w:spacing w:after="0"/>
              <w:rPr>
                <w:sz w:val="20"/>
                <w:szCs w:val="20"/>
                <w:color w:val="auto"/>
              </w:rPr>
            </w:pPr>
            <w:r>
              <w:rPr>
                <w:rFonts w:ascii="Arial" w:cs="Arial" w:eastAsia="Arial" w:hAnsi="Arial"/>
                <w:sz w:val="14"/>
                <w:szCs w:val="14"/>
                <w:b w:val="1"/>
                <w:bCs w:val="1"/>
                <w:color w:val="auto"/>
              </w:rPr>
              <w:t>Quarter Ended,</w:t>
            </w:r>
          </w:p>
        </w:tc>
        <w:tc>
          <w:tcPr>
            <w:tcW w:w="200" w:type="dxa"/>
            <w:vAlign w:val="bottom"/>
          </w:tcPr>
          <w:p>
            <w:pPr>
              <w:spacing w:after="0"/>
              <w:rPr>
                <w:sz w:val="14"/>
                <w:szCs w:val="14"/>
                <w:color w:val="auto"/>
              </w:rPr>
            </w:pPr>
          </w:p>
        </w:tc>
        <w:tc>
          <w:tcPr>
            <w:tcW w:w="2520" w:type="dxa"/>
            <w:vAlign w:val="bottom"/>
            <w:gridSpan w:val="3"/>
          </w:tcPr>
          <w:p>
            <w:pPr>
              <w:jc w:val="right"/>
              <w:ind w:right="694"/>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2"/>
        </w:trPr>
        <w:tc>
          <w:tcPr>
            <w:tcW w:w="58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3"/>
          </w:tcPr>
          <w:p>
            <w:pPr>
              <w:jc w:val="right"/>
              <w:ind w:right="834"/>
              <w:spacing w:after="0"/>
              <w:rPr>
                <w:sz w:val="20"/>
                <w:szCs w:val="20"/>
                <w:color w:val="auto"/>
              </w:rPr>
            </w:pPr>
            <w:r>
              <w:rPr>
                <w:rFonts w:ascii="Arial" w:cs="Arial" w:eastAsia="Arial" w:hAnsi="Arial"/>
                <w:sz w:val="14"/>
                <w:szCs w:val="14"/>
                <w:b w:val="1"/>
                <w:bCs w:val="1"/>
                <w:color w:val="auto"/>
              </w:rPr>
              <w:t>June 30, 2014</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3"/>
          </w:tcPr>
          <w:p>
            <w:pPr>
              <w:jc w:val="right"/>
              <w:ind w:right="834"/>
              <w:spacing w:after="0"/>
              <w:rPr>
                <w:sz w:val="20"/>
                <w:szCs w:val="20"/>
                <w:color w:val="auto"/>
              </w:rPr>
            </w:pPr>
            <w:r>
              <w:rPr>
                <w:rFonts w:ascii="Arial" w:cs="Arial" w:eastAsia="Arial" w:hAnsi="Arial"/>
                <w:sz w:val="14"/>
                <w:szCs w:val="14"/>
                <w:b w:val="1"/>
                <w:bCs w:val="1"/>
                <w:color w:val="auto"/>
              </w:rPr>
              <w:t>June 30, 2014</w:t>
            </w:r>
          </w:p>
        </w:tc>
        <w:tc>
          <w:tcPr>
            <w:tcW w:w="0" w:type="dxa"/>
            <w:vAlign w:val="bottom"/>
          </w:tcPr>
          <w:p>
            <w:pPr>
              <w:spacing w:after="0"/>
              <w:rPr>
                <w:sz w:val="1"/>
                <w:szCs w:val="1"/>
                <w:color w:val="auto"/>
              </w:rPr>
            </w:pPr>
          </w:p>
        </w:tc>
      </w:tr>
      <w:tr>
        <w:trPr>
          <w:trHeight w:val="179"/>
        </w:trPr>
        <w:tc>
          <w:tcPr>
            <w:tcW w:w="5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9"/>
              </w:rPr>
              <w:t>Amount of</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Change as a</w:t>
            </w:r>
          </w:p>
        </w:tc>
        <w:tc>
          <w:tcPr>
            <w:tcW w:w="200" w:type="dxa"/>
            <w:vAlign w:val="bottom"/>
          </w:tcPr>
          <w:p>
            <w:pPr>
              <w:spacing w:after="0"/>
              <w:rPr>
                <w:sz w:val="15"/>
                <w:szCs w:val="15"/>
                <w:color w:val="auto"/>
              </w:rPr>
            </w:pP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9"/>
              </w:rPr>
              <w:t>Amount of</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4"/>
              </w:rPr>
              <w:t>Change as a</w:t>
            </w:r>
          </w:p>
        </w:tc>
        <w:tc>
          <w:tcPr>
            <w:tcW w:w="0" w:type="dxa"/>
            <w:vAlign w:val="bottom"/>
          </w:tcPr>
          <w:p>
            <w:pPr>
              <w:spacing w:after="0"/>
              <w:rPr>
                <w:sz w:val="1"/>
                <w:szCs w:val="1"/>
                <w:color w:val="auto"/>
              </w:rPr>
            </w:pPr>
          </w:p>
        </w:tc>
      </w:tr>
      <w:tr>
        <w:trPr>
          <w:trHeight w:val="149"/>
        </w:trPr>
        <w:tc>
          <w:tcPr>
            <w:tcW w:w="5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92"/>
        </w:trPr>
        <w:tc>
          <w:tcPr>
            <w:tcW w:w="5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3"/>
              </w:rPr>
              <w:t>Change</w:t>
            </w:r>
          </w:p>
        </w:tc>
        <w:tc>
          <w:tcPr>
            <w:tcW w:w="14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89"/>
              </w:rPr>
              <w:t>Total Expenses</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9"/>
              </w:rPr>
              <w:t>Change</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Total Expenses</w:t>
            </w:r>
          </w:p>
        </w:tc>
        <w:tc>
          <w:tcPr>
            <w:tcW w:w="0" w:type="dxa"/>
            <w:vAlign w:val="bottom"/>
          </w:tcPr>
          <w:p>
            <w:pPr>
              <w:spacing w:after="0"/>
              <w:rPr>
                <w:sz w:val="1"/>
                <w:szCs w:val="1"/>
                <w:color w:val="auto"/>
              </w:rPr>
            </w:pP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Salaries, benefits and employer taxes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43"/>
        </w:trPr>
        <w:tc>
          <w:tcPr>
            <w:tcW w:w="5880" w:type="dxa"/>
            <w:vAlign w:val="bottom"/>
          </w:tcPr>
          <w:p>
            <w:pPr>
              <w:ind w:left="40"/>
              <w:spacing w:after="0"/>
              <w:rPr>
                <w:sz w:val="20"/>
                <w:szCs w:val="20"/>
                <w:color w:val="auto"/>
              </w:rPr>
            </w:pPr>
            <w:r>
              <w:rPr>
                <w:rFonts w:ascii="Arial" w:cs="Arial" w:eastAsia="Arial" w:hAnsi="Arial"/>
                <w:sz w:val="18"/>
                <w:szCs w:val="18"/>
                <w:color w:val="auto"/>
              </w:rPr>
              <w:t>Business enhancements and platform development</w:t>
            </w:r>
          </w:p>
        </w:tc>
        <w:tc>
          <w:tcPr>
            <w:tcW w:w="2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1360" w:type="dxa"/>
            <w:vAlign w:val="bottom"/>
          </w:tcPr>
          <w:p>
            <w:pPr>
              <w:jc w:val="right"/>
              <w:ind w:right="15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1"/>
                <w:szCs w:val="21"/>
                <w:color w:val="auto"/>
              </w:rPr>
            </w:pPr>
          </w:p>
        </w:tc>
        <w:tc>
          <w:tcPr>
            <w:tcW w:w="1360" w:type="dxa"/>
            <w:vAlign w:val="bottom"/>
          </w:tcPr>
          <w:p>
            <w:pPr>
              <w:jc w:val="right"/>
              <w:ind w:right="13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consideration</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5880" w:type="dxa"/>
            <w:vAlign w:val="bottom"/>
          </w:tcPr>
          <w:p>
            <w:pPr>
              <w:ind w:left="40"/>
              <w:spacing w:after="0"/>
              <w:rPr>
                <w:sz w:val="20"/>
                <w:szCs w:val="20"/>
                <w:color w:val="auto"/>
              </w:rPr>
            </w:pPr>
            <w:r>
              <w:rPr>
                <w:rFonts w:ascii="Arial" w:cs="Arial" w:eastAsia="Arial" w:hAnsi="Arial"/>
                <w:sz w:val="18"/>
                <w:szCs w:val="18"/>
                <w:color w:val="auto"/>
              </w:rPr>
              <w:t>Acquisition-related expenses</w:t>
            </w:r>
          </w:p>
        </w:tc>
        <w:tc>
          <w:tcPr>
            <w:tcW w:w="2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1360" w:type="dxa"/>
            <w:vAlign w:val="bottom"/>
          </w:tcPr>
          <w:p>
            <w:pPr>
              <w:jc w:val="right"/>
              <w:ind w:right="154"/>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1360" w:type="dxa"/>
            <w:vAlign w:val="bottom"/>
          </w:tcPr>
          <w:p>
            <w:pPr>
              <w:jc w:val="right"/>
              <w:ind w:right="13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License and other fee agreements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5880" w:type="dxa"/>
            <w:vAlign w:val="bottom"/>
          </w:tcPr>
          <w:p>
            <w:pPr>
              <w:ind w:left="40"/>
              <w:spacing w:after="0"/>
              <w:rPr>
                <w:sz w:val="20"/>
                <w:szCs w:val="20"/>
                <w:color w:val="auto"/>
              </w:rPr>
            </w:pPr>
            <w:r>
              <w:rPr>
                <w:rFonts w:ascii="Arial" w:cs="Arial" w:eastAsia="Arial" w:hAnsi="Arial"/>
                <w:sz w:val="18"/>
                <w:szCs w:val="18"/>
                <w:color w:val="auto"/>
              </w:rPr>
              <w:t>Voluntary exit incentive plan</w:t>
            </w:r>
          </w:p>
        </w:tc>
        <w:tc>
          <w:tcPr>
            <w:tcW w:w="2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1360" w:type="dxa"/>
            <w:vAlign w:val="bottom"/>
          </w:tcPr>
          <w:p>
            <w:pPr>
              <w:jc w:val="right"/>
              <w:ind w:right="154"/>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1360" w:type="dxa"/>
            <w:vAlign w:val="bottom"/>
          </w:tcPr>
          <w:p>
            <w:pPr>
              <w:jc w:val="right"/>
              <w:ind w:right="13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Bonus expense</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880" w:type="dxa"/>
            <w:vAlign w:val="bottom"/>
          </w:tcPr>
          <w:p>
            <w:pPr>
              <w:ind w:left="40"/>
              <w:spacing w:after="0"/>
              <w:rPr>
                <w:sz w:val="20"/>
                <w:szCs w:val="20"/>
                <w:color w:val="auto"/>
              </w:rPr>
            </w:pPr>
            <w:r>
              <w:rPr>
                <w:rFonts w:ascii="Arial" w:cs="Arial" w:eastAsia="Arial" w:hAnsi="Arial"/>
                <w:sz w:val="18"/>
                <w:szCs w:val="18"/>
                <w:color w:val="auto"/>
              </w:rPr>
              <w:t>Litigation accruals</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1"/>
                <w:szCs w:val="21"/>
                <w:color w:val="auto"/>
              </w:rPr>
            </w:pP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MF Global bankruptcy claim</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5880" w:type="dxa"/>
            <w:vAlign w:val="bottom"/>
          </w:tcPr>
          <w:p>
            <w:pPr>
              <w:ind w:left="40"/>
              <w:spacing w:after="0"/>
              <w:rPr>
                <w:sz w:val="20"/>
                <w:szCs w:val="20"/>
                <w:color w:val="auto"/>
              </w:rPr>
            </w:pPr>
            <w:r>
              <w:rPr>
                <w:rFonts w:ascii="Arial" w:cs="Arial" w:eastAsia="Arial" w:hAnsi="Arial"/>
                <w:sz w:val="18"/>
                <w:szCs w:val="18"/>
                <w:color w:val="auto"/>
              </w:rPr>
              <w:t>Net losses (gains) on foreign currency fluctuation</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1360" w:type="dxa"/>
            <w:vAlign w:val="bottom"/>
          </w:tcPr>
          <w:p>
            <w:pPr>
              <w:jc w:val="right"/>
              <w:ind w:right="9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21"/>
                <w:szCs w:val="21"/>
                <w:color w:val="auto"/>
              </w:rPr>
            </w:pP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5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expenses, net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5880" w:type="dxa"/>
            <w:vAlign w:val="bottom"/>
          </w:tcPr>
          <w:p>
            <w:pPr>
              <w:ind w:left="40"/>
              <w:spacing w:after="0"/>
              <w:rPr>
                <w:sz w:val="20"/>
                <w:szCs w:val="20"/>
                <w:color w:val="auto"/>
              </w:rPr>
            </w:pPr>
            <w:r>
              <w:rPr>
                <w:rFonts w:ascii="Arial" w:cs="Arial" w:eastAsia="Arial" w:hAnsi="Arial"/>
                <w:sz w:val="18"/>
                <w:szCs w:val="18"/>
                <w:color w:val="auto"/>
              </w:rPr>
              <w:t>Total increase</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4 %</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7"/>
        </w:trPr>
        <w:tc>
          <w:tcPr>
            <w:tcW w:w="58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Operating expenses increased in the second quarter and first six months of 2014 when compared with the same periods in 2013 due to increases in compensation and benefits expenses, which were attributable to increases in average headcount resulting from efforts to expand our product offerings and geographic reach as well as to meet additional regulatory requirements.</w:t>
      </w:r>
    </w:p>
    <w:p>
      <w:pPr>
        <w:spacing w:after="0" w:line="1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Operating expenses also increased due to higher professional fees and depreciation and amortization expense associated with the development and continued enhancement of our product offerings and our electronic platforms.</w:t>
      </w:r>
    </w:p>
    <w:p>
      <w:pPr>
        <w:spacing w:after="0" w:line="14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 change in fair value of a contingent consideration obligation arising from an acquisition in 2010 resulted in increases in expenses in the second quarter and first six months of 2014 when compared with the same periods in 2013.</w:t>
      </w:r>
    </w:p>
    <w:p>
      <w:pPr>
        <w:sectPr>
          <w:pgSz w:w="11900" w:h="16838" w:orient="portrait"/>
          <w:cols w:equalWidth="0" w:num="1">
            <w:col w:w="11420"/>
          </w:cols>
          <w:pgMar w:left="240" w:top="125" w:right="23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5" w:right="2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 the second quarter and first six months of 2014, we recognized professional fees and other expenses related to our acquisition of Trayport and FENICS from GFI Group Inc.</w:t>
      </w:r>
    </w:p>
    <w:p>
      <w:pPr>
        <w:spacing w:after="0" w:line="170"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An increase in licensing and other fee agreements expense in the first six months of 2014 when compared with the same periods in 2013 resulted from higher volumes for interest rate swap products and certain equity contracts as well as higher fee rates on certain products.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Compensation and benefits expenses increased due to our voluntary exit incentive plan in the second quarter of 2014.</w:t>
      </w:r>
    </w:p>
    <w:p>
      <w:pPr>
        <w:spacing w:after="0" w:line="225"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Increases in overall operating expenses in the second quarter and first six months of 2014 when compared with the same periods in 2013 were partially offset by decreases in bonus expense due to performance relative to our 2014 cash earnings target when compared with 2013 performance relative to our 2013 cash earnings target.</w:t>
      </w:r>
    </w:p>
    <w:p>
      <w:pPr>
        <w:spacing w:after="0" w:line="18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 reduction in a litigation accrual due to a favorable court ruling and a denial for a rehearing in the first quarter of 2014 also contributed to a decrease in expenses in the first six months of 2014 when compared with the same period in 2013.</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In the second quarter of 2014, we recognized our claim from the MF Global bankruptcy filing in the fourth quarter of 2011 as a reduction to other expenses.</w:t>
      </w:r>
    </w:p>
    <w:p>
      <w:pPr>
        <w:spacing w:after="0" w:line="24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Additionally, the increases in overall operating expenses were partially offset by changes in net losses (gains) on foreign currency fluctuations. In the second quarter and first six months of 2014, we recognized higher net gains on foreign currency fluctuations due to favorable changes in exchange rates on foreign cash balances. In the first six months of 2013, we recognized a net loss on foreign currency fluctuations due to unfavorable changes in exchange rates on foreign cash balances. Gains and losses on foreign currency fluctuation result when subsidiaries with a U.S. dollar functional currency hold cash as well as certain other assets and liabilities denominated in foreign currencies. We expect the foreign currency gain/loss to continue to fluctuate as long as we continue to hold assets and liabilities in foreign currencies.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(Expense)</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00" w:type="dxa"/>
            <w:vAlign w:val="bottom"/>
            <w:gridSpan w:val="4"/>
          </w:tcPr>
          <w:p>
            <w:pPr>
              <w:jc w:val="right"/>
              <w:ind w:right="513"/>
              <w:spacing w:after="0"/>
              <w:rPr>
                <w:sz w:val="20"/>
                <w:szCs w:val="20"/>
                <w:color w:val="auto"/>
              </w:rPr>
            </w:pPr>
            <w:r>
              <w:rPr>
                <w:rFonts w:ascii="Arial" w:cs="Arial" w:eastAsia="Arial" w:hAnsi="Arial"/>
                <w:sz w:val="14"/>
                <w:szCs w:val="14"/>
                <w:b w:val="1"/>
                <w:bCs w:val="1"/>
                <w:color w:val="auto"/>
              </w:rPr>
              <w:t>Quarter Ended</w:t>
            </w:r>
          </w:p>
        </w:tc>
        <w:tc>
          <w:tcPr>
            <w:tcW w:w="1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00" w:type="dxa"/>
            <w:vAlign w:val="bottom"/>
            <w:gridSpan w:val="4"/>
          </w:tcPr>
          <w:p>
            <w:pPr>
              <w:jc w:val="right"/>
              <w:ind w:right="413"/>
              <w:spacing w:after="0"/>
              <w:rPr>
                <w:sz w:val="20"/>
                <w:szCs w:val="20"/>
                <w:color w:val="auto"/>
              </w:rPr>
            </w:pPr>
            <w:r>
              <w:rPr>
                <w:rFonts w:ascii="Arial" w:cs="Arial" w:eastAsia="Arial" w:hAnsi="Arial"/>
                <w:sz w:val="14"/>
                <w:szCs w:val="14"/>
                <w:b w:val="1"/>
                <w:bCs w:val="1"/>
                <w:color w:val="auto"/>
              </w:rPr>
              <w:t>Six Months Ended</w:t>
            </w:r>
          </w:p>
        </w:tc>
        <w:tc>
          <w:tcPr>
            <w:tcW w:w="1240" w:type="dxa"/>
            <w:vAlign w:val="bottom"/>
          </w:tcPr>
          <w:p>
            <w:pPr>
              <w:spacing w:after="0"/>
              <w:rPr>
                <w:sz w:val="13"/>
                <w:szCs w:val="13"/>
                <w:color w:val="auto"/>
              </w:rPr>
            </w:pPr>
          </w:p>
        </w:tc>
      </w:tr>
      <w:tr>
        <w:trPr>
          <w:trHeight w:val="192"/>
        </w:trPr>
        <w:tc>
          <w:tcPr>
            <w:tcW w:w="45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6"/>
                <w:szCs w:val="16"/>
                <w:color w:val="auto"/>
              </w:rPr>
            </w:pPr>
          </w:p>
        </w:tc>
        <w:tc>
          <w:tcPr>
            <w:tcW w:w="1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6"/>
                <w:szCs w:val="16"/>
                <w:color w:val="auto"/>
              </w:rPr>
            </w:pPr>
          </w:p>
        </w:tc>
        <w:tc>
          <w:tcPr>
            <w:tcW w:w="1240" w:type="dxa"/>
            <w:vAlign w:val="bottom"/>
          </w:tcPr>
          <w:p>
            <w:pPr>
              <w:spacing w:after="0"/>
              <w:rPr>
                <w:sz w:val="16"/>
                <w:szCs w:val="16"/>
                <w:color w:val="auto"/>
              </w:rPr>
            </w:pPr>
          </w:p>
        </w:tc>
      </w:tr>
      <w:tr>
        <w:trPr>
          <w:trHeight w:val="264"/>
        </w:trPr>
        <w:tc>
          <w:tcPr>
            <w:tcW w:w="45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2013</w:t>
            </w:r>
          </w:p>
        </w:tc>
        <w:tc>
          <w:tcPr>
            <w:tcW w:w="13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2013</w:t>
            </w:r>
          </w:p>
        </w:tc>
        <w:tc>
          <w:tcPr>
            <w:tcW w:w="12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Change</w:t>
            </w: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18.7</w:t>
            </w:r>
          </w:p>
        </w:tc>
        <w:tc>
          <w:tcPr>
            <w:tcW w:w="13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(19)%</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22.3</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Interest and other borrowing costs</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(39.2)</w:t>
            </w:r>
          </w:p>
        </w:tc>
        <w:tc>
          <w:tcPr>
            <w:tcW w:w="1340" w:type="dxa"/>
            <w:vAlign w:val="bottom"/>
          </w:tcPr>
          <w:p>
            <w:pPr>
              <w:jc w:val="right"/>
              <w:ind w:right="193"/>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(78.2)</w:t>
            </w:r>
          </w:p>
        </w:tc>
        <w:tc>
          <w:tcPr>
            <w:tcW w:w="1240" w:type="dxa"/>
            <w:vAlign w:val="bottom"/>
          </w:tcPr>
          <w:p>
            <w:pPr>
              <w:jc w:val="right"/>
              <w:ind w:right="93"/>
              <w:spacing w:after="0"/>
              <w:rPr>
                <w:sz w:val="20"/>
                <w:szCs w:val="20"/>
                <w:color w:val="auto"/>
              </w:rPr>
            </w:pPr>
            <w:r>
              <w:rPr>
                <w:rFonts w:ascii="Arial" w:cs="Arial" w:eastAsia="Arial" w:hAnsi="Arial"/>
                <w:sz w:val="18"/>
                <w:szCs w:val="18"/>
                <w:color w:val="auto"/>
              </w:rPr>
              <w:t>(21)</w:t>
            </w:r>
          </w:p>
        </w:tc>
      </w:tr>
      <w:tr>
        <w:trPr>
          <w:trHeight w:val="27"/>
        </w:trPr>
        <w:tc>
          <w:tcPr>
            <w:tcW w:w="4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Equity in net gains (losses) of unconsolidated subsidiaries</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20.2</w:t>
            </w:r>
          </w:p>
        </w:tc>
        <w:tc>
          <w:tcPr>
            <w:tcW w:w="1340" w:type="dxa"/>
            <w:vAlign w:val="bottom"/>
            <w:tcBorders>
              <w:bottom w:val="single" w:sz="8" w:color="CCEEFF"/>
            </w:tcBorders>
            <w:shd w:val="clear" w:color="auto" w:fill="CCEEFF"/>
          </w:tcPr>
          <w:p>
            <w:pPr>
              <w:jc w:val="right"/>
              <w:ind w:right="253"/>
              <w:spacing w:after="0"/>
              <w:rPr>
                <w:sz w:val="20"/>
                <w:szCs w:val="20"/>
                <w:color w:val="auto"/>
              </w:rPr>
            </w:pPr>
            <w:r>
              <w:rPr>
                <w:rFonts w:ascii="Arial" w:cs="Arial" w:eastAsia="Arial" w:hAnsi="Arial"/>
                <w:sz w:val="18"/>
                <w:szCs w:val="18"/>
                <w:color w:val="auto"/>
              </w:rPr>
              <w:t>7</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37.7</w:t>
            </w:r>
          </w:p>
        </w:tc>
        <w:tc>
          <w:tcPr>
            <w:tcW w:w="12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17</w:t>
            </w: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Other non-operating income (expense)</w:t>
            </w:r>
          </w:p>
        </w:tc>
        <w:tc>
          <w:tcPr>
            <w:tcW w:w="240" w:type="dxa"/>
            <w:vAlign w:val="bottom"/>
          </w:tcPr>
          <w:p>
            <w:pPr>
              <w:spacing w:after="0"/>
              <w:rPr>
                <w:sz w:val="21"/>
                <w:szCs w:val="21"/>
                <w:color w:val="auto"/>
              </w:rPr>
            </w:pPr>
          </w:p>
        </w:tc>
        <w:tc>
          <w:tcPr>
            <w:tcW w:w="780" w:type="dxa"/>
            <w:vAlign w:val="bottom"/>
          </w:tcPr>
          <w:p>
            <w:pPr>
              <w:jc w:val="right"/>
              <w:ind w:right="37"/>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253"/>
              <w:spacing w:after="0"/>
              <w:rPr>
                <w:sz w:val="20"/>
                <w:szCs w:val="20"/>
                <w:color w:val="auto"/>
              </w:rPr>
            </w:pPr>
            <w:r>
              <w:rPr>
                <w:rFonts w:ascii="Arial" w:cs="Arial" w:eastAsia="Arial" w:hAnsi="Arial"/>
                <w:sz w:val="18"/>
                <w:szCs w:val="18"/>
                <w:color w:val="auto"/>
              </w:rPr>
              <w:t>n.m.</w:t>
            </w:r>
          </w:p>
        </w:tc>
        <w:tc>
          <w:tcPr>
            <w:tcW w:w="240" w:type="dxa"/>
            <w:vAlign w:val="bottom"/>
          </w:tcPr>
          <w:p>
            <w:pPr>
              <w:spacing w:after="0"/>
              <w:rPr>
                <w:sz w:val="21"/>
                <w:szCs w:val="21"/>
                <w:color w:val="auto"/>
              </w:rPr>
            </w:pPr>
          </w:p>
        </w:tc>
        <w:tc>
          <w:tcPr>
            <w:tcW w:w="780" w:type="dxa"/>
            <w:vAlign w:val="bottom"/>
          </w:tcPr>
          <w:p>
            <w:pPr>
              <w:jc w:val="right"/>
              <w:ind w:right="37"/>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53"/>
              <w:spacing w:after="0"/>
              <w:rPr>
                <w:sz w:val="20"/>
                <w:szCs w:val="20"/>
                <w:color w:val="auto"/>
              </w:rPr>
            </w:pPr>
            <w:r>
              <w:rPr>
                <w:rFonts w:ascii="Arial" w:cs="Arial" w:eastAsia="Arial" w:hAnsi="Arial"/>
                <w:sz w:val="18"/>
                <w:szCs w:val="18"/>
                <w:color w:val="auto"/>
              </w:rPr>
              <w:t>n.m.</w:t>
            </w:r>
          </w:p>
        </w:tc>
      </w:tr>
      <w:tr>
        <w:trPr>
          <w:trHeight w:val="27"/>
        </w:trPr>
        <w:tc>
          <w:tcPr>
            <w:tcW w:w="45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57"/>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Non-Operating</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340" w:type="dxa"/>
            <w:vAlign w:val="bottom"/>
            <w:tcBorders>
              <w:bottom w:val="single" w:sz="8" w:color="CCEEFF"/>
            </w:tcBorders>
            <w:shd w:val="clear" w:color="auto" w:fill="CCEEFF"/>
          </w:tcPr>
          <w:p>
            <w:pPr>
              <w:jc w:val="right"/>
              <w:ind w:right="253"/>
              <w:spacing w:after="0"/>
              <w:rPr>
                <w:sz w:val="20"/>
                <w:szCs w:val="20"/>
                <w:color w:val="auto"/>
              </w:rPr>
            </w:pPr>
            <w:r>
              <w:rPr>
                <w:rFonts w:ascii="Arial" w:cs="Arial" w:eastAsia="Arial" w:hAnsi="Arial"/>
                <w:sz w:val="18"/>
                <w:szCs w:val="18"/>
                <w:color w:val="auto"/>
              </w:rPr>
              <w:t>n.m.</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2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(111)</w:t>
            </w:r>
          </w:p>
        </w:tc>
      </w:tr>
      <w:tr>
        <w:trPr>
          <w:trHeight w:val="20"/>
        </w:trPr>
        <w:tc>
          <w:tcPr>
            <w:tcW w:w="4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n.m. not meaningful</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overall decreases in investment income in the second quarter and first six months of 2014 when compared with the same periods in 2013 were largely due to decreases in dividend income from our investment in BM&amp;FBOVESPA. The decreases in overall investment income were partially offset by increases in investment income from cash performance bond and guaranty fund contributions that are reinvested. The increase in cash collateral was due to an increase in open interest as well as a shift in clearing firm collateral preference.</w:t>
      </w:r>
    </w:p>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shows the key impacts in the overall decreases in interest expense and other borrowing costs in the second quarter and first six months of 2014 when compared with the same periods in 2013:</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2260" w:type="dxa"/>
            <w:vAlign w:val="bottom"/>
            <w:gridSpan w:val="3"/>
          </w:tcPr>
          <w:p>
            <w:pPr>
              <w:jc w:val="right"/>
              <w:ind w:right="574"/>
              <w:spacing w:after="0"/>
              <w:rPr>
                <w:sz w:val="20"/>
                <w:szCs w:val="20"/>
                <w:color w:val="auto"/>
              </w:rPr>
            </w:pPr>
            <w:r>
              <w:rPr>
                <w:rFonts w:ascii="Arial" w:cs="Arial" w:eastAsia="Arial" w:hAnsi="Arial"/>
                <w:sz w:val="14"/>
                <w:szCs w:val="14"/>
                <w:b w:val="1"/>
                <w:bCs w:val="1"/>
                <w:color w:val="auto"/>
              </w:rPr>
              <w:t>Quarter Ended</w:t>
            </w: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60" w:type="dxa"/>
            <w:vAlign w:val="bottom"/>
            <w:gridSpan w:val="3"/>
          </w:tcPr>
          <w:p>
            <w:pPr>
              <w:jc w:val="right"/>
              <w:ind w:right="494"/>
              <w:spacing w:after="0"/>
              <w:rPr>
                <w:sz w:val="20"/>
                <w:szCs w:val="20"/>
                <w:color w:val="auto"/>
              </w:rPr>
            </w:pPr>
            <w:r>
              <w:rPr>
                <w:rFonts w:ascii="Arial" w:cs="Arial" w:eastAsia="Arial" w:hAnsi="Arial"/>
                <w:sz w:val="14"/>
                <w:szCs w:val="14"/>
                <w:b w:val="1"/>
                <w:bCs w:val="1"/>
                <w:color w:val="auto"/>
              </w:rPr>
              <w:t>Six Months Ended</w:t>
            </w: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92"/>
        </w:trPr>
        <w:tc>
          <w:tcPr>
            <w:tcW w:w="408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June 30,</w:t>
            </w:r>
          </w:p>
        </w:tc>
        <w:tc>
          <w:tcPr>
            <w:tcW w:w="80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June 30,</w:t>
            </w:r>
          </w:p>
        </w:tc>
        <w:tc>
          <w:tcPr>
            <w:tcW w:w="80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64"/>
        </w:trPr>
        <w:tc>
          <w:tcPr>
            <w:tcW w:w="40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2014</w:t>
            </w:r>
          </w:p>
        </w:tc>
        <w:tc>
          <w:tcPr>
            <w:tcW w:w="5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2013</w:t>
            </w: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Change</w:t>
            </w:r>
          </w:p>
        </w:tc>
        <w:tc>
          <w:tcPr>
            <w:tcW w:w="2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2014</w:t>
            </w:r>
          </w:p>
        </w:tc>
        <w:tc>
          <w:tcPr>
            <w:tcW w:w="5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2013</w:t>
            </w:r>
          </w:p>
        </w:tc>
        <w:tc>
          <w:tcPr>
            <w:tcW w:w="3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Change</w:t>
            </w:r>
          </w:p>
        </w:tc>
      </w:tr>
      <w:tr>
        <w:trPr>
          <w:trHeight w:val="228"/>
        </w:trPr>
        <w:tc>
          <w:tcPr>
            <w:tcW w:w="4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borrowings outstanding (in</w:t>
            </w:r>
          </w:p>
        </w:tc>
        <w:tc>
          <w:tcPr>
            <w:tcW w:w="8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millions)</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2,112.5</w:t>
            </w:r>
          </w:p>
        </w:tc>
        <w:tc>
          <w:tcPr>
            <w:tcW w:w="5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w w:val="99"/>
              </w:rPr>
              <w:t>2,862.5</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color w:val="auto"/>
              </w:rPr>
              <w:t>(750.0)</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2,300.0</w:t>
            </w:r>
          </w:p>
        </w:tc>
        <w:tc>
          <w:tcPr>
            <w:tcW w:w="5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w w:val="99"/>
              </w:rPr>
              <w:t>2,862.5</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(562.5)</w:t>
            </w: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Weighted average effective yield</w:t>
            </w:r>
          </w:p>
        </w:tc>
        <w:tc>
          <w:tcPr>
            <w:tcW w:w="1460" w:type="dxa"/>
            <w:vAlign w:val="bottom"/>
            <w:gridSpan w:val="2"/>
          </w:tcPr>
          <w:p>
            <w:pPr>
              <w:jc w:val="right"/>
              <w:ind w:right="339"/>
              <w:spacing w:after="0"/>
              <w:rPr>
                <w:sz w:val="20"/>
                <w:szCs w:val="20"/>
                <w:color w:val="auto"/>
              </w:rPr>
            </w:pPr>
            <w:r>
              <w:rPr>
                <w:rFonts w:ascii="Arial" w:cs="Arial" w:eastAsia="Arial" w:hAnsi="Arial"/>
                <w:sz w:val="18"/>
                <w:szCs w:val="18"/>
                <w:color w:val="auto"/>
              </w:rPr>
              <w:t>4.15%</w:t>
            </w:r>
          </w:p>
        </w:tc>
        <w:tc>
          <w:tcPr>
            <w:tcW w:w="800" w:type="dxa"/>
            <w:vAlign w:val="bottom"/>
          </w:tcPr>
          <w:p>
            <w:pPr>
              <w:jc w:val="right"/>
              <w:spacing w:after="0"/>
              <w:rPr>
                <w:sz w:val="20"/>
                <w:szCs w:val="20"/>
                <w:color w:val="auto"/>
              </w:rPr>
            </w:pPr>
            <w:r>
              <w:rPr>
                <w:rFonts w:ascii="Arial" w:cs="Arial" w:eastAsia="Arial" w:hAnsi="Arial"/>
                <w:sz w:val="18"/>
                <w:szCs w:val="18"/>
                <w:color w:val="auto"/>
              </w:rPr>
              <w:t>4.76%</w:t>
            </w:r>
          </w:p>
        </w:tc>
        <w:tc>
          <w:tcPr>
            <w:tcW w:w="360" w:type="dxa"/>
            <w:vAlign w:val="bottom"/>
          </w:tcPr>
          <w:p>
            <w:pPr>
              <w:spacing w:after="0"/>
              <w:rPr>
                <w:sz w:val="21"/>
                <w:szCs w:val="21"/>
                <w:color w:val="auto"/>
              </w:rPr>
            </w:pP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(0.61)%</w:t>
            </w:r>
          </w:p>
        </w:tc>
        <w:tc>
          <w:tcPr>
            <w:tcW w:w="240" w:type="dxa"/>
            <w:vAlign w:val="bottom"/>
          </w:tcPr>
          <w:p>
            <w:pPr>
              <w:spacing w:after="0"/>
              <w:rPr>
                <w:sz w:val="21"/>
                <w:szCs w:val="21"/>
                <w:color w:val="auto"/>
              </w:rPr>
            </w:pPr>
          </w:p>
        </w:tc>
        <w:tc>
          <w:tcPr>
            <w:tcW w:w="1260" w:type="dxa"/>
            <w:vAlign w:val="bottom"/>
            <w:gridSpan w:val="2"/>
          </w:tcPr>
          <w:p>
            <w:pPr>
              <w:jc w:val="right"/>
              <w:ind w:right="359"/>
              <w:spacing w:after="0"/>
              <w:rPr>
                <w:sz w:val="20"/>
                <w:szCs w:val="20"/>
                <w:color w:val="auto"/>
              </w:rPr>
            </w:pPr>
            <w:r>
              <w:rPr>
                <w:rFonts w:ascii="Arial" w:cs="Arial" w:eastAsia="Arial" w:hAnsi="Arial"/>
                <w:sz w:val="18"/>
                <w:szCs w:val="18"/>
                <w:color w:val="auto"/>
              </w:rPr>
              <w:t>4.27%</w:t>
            </w:r>
          </w:p>
        </w:tc>
        <w:tc>
          <w:tcPr>
            <w:tcW w:w="800" w:type="dxa"/>
            <w:vAlign w:val="bottom"/>
          </w:tcPr>
          <w:p>
            <w:pPr>
              <w:jc w:val="right"/>
              <w:spacing w:after="0"/>
              <w:rPr>
                <w:sz w:val="20"/>
                <w:szCs w:val="20"/>
                <w:color w:val="auto"/>
              </w:rPr>
            </w:pPr>
            <w:r>
              <w:rPr>
                <w:rFonts w:ascii="Arial" w:cs="Arial" w:eastAsia="Arial" w:hAnsi="Arial"/>
                <w:sz w:val="18"/>
                <w:szCs w:val="18"/>
                <w:color w:val="auto"/>
              </w:rPr>
              <w:t>4.78%</w:t>
            </w:r>
          </w:p>
        </w:tc>
        <w:tc>
          <w:tcPr>
            <w:tcW w:w="3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(0.51)%</w:t>
            </w:r>
          </w:p>
        </w:tc>
      </w:tr>
      <w:tr>
        <w:trPr>
          <w:trHeight w:val="27"/>
        </w:trPr>
        <w:tc>
          <w:tcPr>
            <w:tcW w:w="4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0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Average cost of borrowings </w:t>
            </w:r>
            <w:r>
              <w:rPr>
                <w:rFonts w:ascii="Arial" w:cs="Arial" w:eastAsia="Arial" w:hAnsi="Arial"/>
                <w:sz w:val="25"/>
                <w:szCs w:val="25"/>
                <w:color w:val="auto"/>
                <w:vertAlign w:val="superscript"/>
              </w:rPr>
              <w:t>(1)</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58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4.95</w:t>
            </w:r>
          </w:p>
        </w:tc>
        <w:tc>
          <w:tcPr>
            <w:tcW w:w="3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(0.63)</w:t>
            </w:r>
          </w:p>
        </w:tc>
        <w:tc>
          <w:tcPr>
            <w:tcW w:w="24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58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4.96</w:t>
            </w:r>
          </w:p>
        </w:tc>
        <w:tc>
          <w:tcPr>
            <w:tcW w:w="3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(0.52)</w:t>
            </w:r>
          </w:p>
        </w:tc>
      </w:tr>
    </w:tbl>
    <w:p>
      <w:pPr>
        <w:spacing w:after="0" w:line="202" w:lineRule="exact"/>
        <w:rPr>
          <w:sz w:val="20"/>
          <w:szCs w:val="20"/>
          <w:color w:val="auto"/>
        </w:rPr>
      </w:pPr>
    </w:p>
    <w:p>
      <w:pPr>
        <w:ind w:left="660" w:right="22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Average cost of borrowings includes interest, the effective portion of interest rate hedges, discount accretion and debt issuance costs. Commitment fees on line of credit agreements are not included in the average cost of borrowing.</w:t>
      </w:r>
    </w:p>
    <w:p>
      <w:pPr>
        <w:spacing w:after="0" w:line="170" w:lineRule="exact"/>
        <w:rPr>
          <w:sz w:val="20"/>
          <w:szCs w:val="20"/>
          <w:color w:val="auto"/>
        </w:rPr>
      </w:pPr>
    </w:p>
    <w:p>
      <w:pPr>
        <w:ind w:left="60" w:right="40"/>
        <w:spacing w:after="0" w:line="277" w:lineRule="auto"/>
        <w:rPr>
          <w:sz w:val="20"/>
          <w:szCs w:val="20"/>
          <w:color w:val="auto"/>
        </w:rPr>
      </w:pPr>
      <w:r>
        <w:rPr>
          <w:rFonts w:ascii="Arial" w:cs="Arial" w:eastAsia="Arial" w:hAnsi="Arial"/>
          <w:sz w:val="18"/>
          <w:szCs w:val="18"/>
          <w:color w:val="auto"/>
        </w:rPr>
        <w:t>In the first quarter of 2014, we repaid the 5.75% fixed rate notes due February 2014. In the third quarter of 2013, we repaid $750.0 million of 5.4% fixed rate notes due August 2013 and issued $750.0 million of 5.3% fixed rate notes due September</w:t>
      </w:r>
    </w:p>
    <w:p>
      <w:pPr>
        <w:sectPr>
          <w:pgSz w:w="11900" w:h="16838" w:orient="portrait"/>
          <w:cols w:equalWidth="0" w:num="1">
            <w:col w:w="11420"/>
          </w:cols>
          <w:pgMar w:left="240" w:top="125"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25" w:right="2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jc w:val="both"/>
        <w:ind w:left="60" w:right="180"/>
        <w:spacing w:after="0" w:line="264" w:lineRule="auto"/>
        <w:rPr>
          <w:sz w:val="20"/>
          <w:szCs w:val="20"/>
          <w:color w:val="auto"/>
        </w:rPr>
      </w:pPr>
      <w:r>
        <w:rPr>
          <w:rFonts w:ascii="Arial" w:cs="Arial" w:eastAsia="Arial" w:hAnsi="Arial"/>
          <w:sz w:val="18"/>
          <w:szCs w:val="18"/>
          <w:color w:val="auto"/>
        </w:rPr>
        <w:t>2043. We entered into an interest rate swap agreement that resulted in an effective interest rate of 4.73% on the 5.3% fixed rate notes due September 2043. These factors contributed to decreases in weighted average borrowings outstanding, weighted average effective yield and average cost of borrowings in the second quarter and first six months of 2014 when compared with the same periods in 2013.</w:t>
      </w:r>
    </w:p>
    <w:p>
      <w:pPr>
        <w:spacing w:after="0" w:line="154"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Interest and other borrowing costs also include commitment fees on our line of credit agreements. Commitment fees increased in the second quarter and first six months of 2014 when compared with the same periods in 2013 due to higher fees associated with a $2.0 billion increase in our line of credit upon renewal in the fourth quarter of 2013.</w:t>
      </w:r>
    </w:p>
    <w:p>
      <w:pPr>
        <w:spacing w:after="0" w:line="154" w:lineRule="exact"/>
        <w:rPr>
          <w:sz w:val="20"/>
          <w:szCs w:val="20"/>
          <w:color w:val="auto"/>
        </w:rPr>
      </w:pPr>
    </w:p>
    <w:p>
      <w:pPr>
        <w:ind w:left="60" w:right="200"/>
        <w:spacing w:after="0" w:line="277" w:lineRule="auto"/>
        <w:rPr>
          <w:sz w:val="20"/>
          <w:szCs w:val="20"/>
          <w:color w:val="auto"/>
        </w:rPr>
      </w:pPr>
      <w:r>
        <w:rPr>
          <w:rFonts w:ascii="Arial" w:cs="Arial" w:eastAsia="Arial" w:hAnsi="Arial"/>
          <w:sz w:val="18"/>
          <w:szCs w:val="18"/>
          <w:color w:val="auto"/>
        </w:rPr>
        <w:t>Higher income generated from our S&amp;P/DJI business venture contributed to an increase in equity in net gains (losses) of unconsolidated subsidiaries in the first six months of 2014 when compared with the same period in 2013.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Provision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effective tax rates for the periods presented: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8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756"/>
              <w:spacing w:after="0"/>
              <w:rPr>
                <w:sz w:val="20"/>
                <w:szCs w:val="20"/>
                <w:color w:val="auto"/>
              </w:rPr>
            </w:pPr>
            <w:r>
              <w:rPr>
                <w:rFonts w:ascii="Arial" w:cs="Arial" w:eastAsia="Arial" w:hAnsi="Arial"/>
                <w:sz w:val="14"/>
                <w:szCs w:val="14"/>
                <w:b w:val="1"/>
                <w:bCs w:val="1"/>
                <w:color w:val="auto"/>
              </w:rPr>
              <w:t>2013</w:t>
            </w:r>
          </w:p>
        </w:tc>
        <w:tc>
          <w:tcPr>
            <w:tcW w:w="13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Change</w:t>
            </w: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Quarter Ended June 30</w:t>
            </w:r>
          </w:p>
        </w:tc>
        <w:tc>
          <w:tcPr>
            <w:tcW w:w="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37.5%</w:t>
            </w:r>
          </w:p>
        </w:tc>
        <w:tc>
          <w:tcPr>
            <w:tcW w:w="14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38.7%</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Six Months Ended June 30</w:t>
            </w:r>
          </w:p>
        </w:tc>
        <w:tc>
          <w:tcPr>
            <w:tcW w:w="860" w:type="dxa"/>
            <w:vAlign w:val="bottom"/>
          </w:tcPr>
          <w:p>
            <w:pPr>
              <w:ind w:left="20"/>
              <w:spacing w:after="0"/>
              <w:rPr>
                <w:sz w:val="20"/>
                <w:szCs w:val="20"/>
                <w:color w:val="auto"/>
              </w:rPr>
            </w:pPr>
            <w:r>
              <w:rPr>
                <w:rFonts w:ascii="Arial" w:cs="Arial" w:eastAsia="Arial" w:hAnsi="Arial"/>
                <w:sz w:val="18"/>
                <w:szCs w:val="18"/>
                <w:color w:val="auto"/>
              </w:rPr>
              <w:t>38.9</w:t>
            </w:r>
          </w:p>
        </w:tc>
        <w:tc>
          <w:tcPr>
            <w:tcW w:w="1480" w:type="dxa"/>
            <w:vAlign w:val="bottom"/>
          </w:tcPr>
          <w:p>
            <w:pPr>
              <w:ind w:left="700"/>
              <w:spacing w:after="0"/>
              <w:rPr>
                <w:sz w:val="20"/>
                <w:szCs w:val="20"/>
                <w:color w:val="auto"/>
              </w:rPr>
            </w:pPr>
            <w:r>
              <w:rPr>
                <w:rFonts w:ascii="Arial" w:cs="Arial" w:eastAsia="Arial" w:hAnsi="Arial"/>
                <w:sz w:val="18"/>
                <w:szCs w:val="18"/>
                <w:color w:val="auto"/>
              </w:rPr>
              <w:t>38.7</w:t>
            </w:r>
          </w:p>
        </w:tc>
        <w:tc>
          <w:tcPr>
            <w:tcW w:w="1300" w:type="dxa"/>
            <w:vAlign w:val="bottom"/>
          </w:tcPr>
          <w:p>
            <w:pPr>
              <w:jc w:val="right"/>
              <w:ind w:right="156"/>
              <w:spacing w:after="0"/>
              <w:rPr>
                <w:sz w:val="20"/>
                <w:szCs w:val="20"/>
                <w:color w:val="auto"/>
              </w:rPr>
            </w:pPr>
            <w:r>
              <w:rPr>
                <w:rFonts w:ascii="Arial" w:cs="Arial" w:eastAsia="Arial" w:hAnsi="Arial"/>
                <w:sz w:val="18"/>
                <w:szCs w:val="18"/>
                <w:color w:val="auto"/>
              </w:rPr>
              <w:t>0.2</w:t>
            </w:r>
          </w:p>
        </w:tc>
      </w:tr>
    </w:tbl>
    <w:p>
      <w:pPr>
        <w:spacing w:after="0" w:line="9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overall decrease in effective tax rate for the second quarter of 2014 when compared with the same period in 2013 was largely due to a benefit accrued for the domestic production activities deduction in the second quarter of 2014. The effective tax rate for the first six months of 2014 was higher than the effective tax rate for the second quarter of 2014 due to deferred tax expense recognized in the first quarter of 2014 resulting from changes in future state apportionment factors. This increase was partially offset by the benefit accrued for the domestic production activities deduction in the first six months of 2014 and the benefits recognized in the first quarter of 2014 from state audit activity.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i w:val="1"/>
          <w:iCs w:val="1"/>
          <w:u w:val="single" w:color="auto"/>
          <w:color w:val="auto"/>
        </w:rPr>
        <w:t>Sources and Uses of Cash</w:t>
      </w:r>
      <w:r>
        <w:rPr>
          <w:rFonts w:ascii="Arial" w:cs="Arial" w:eastAsia="Arial" w:hAnsi="Arial"/>
          <w:sz w:val="16"/>
          <w:szCs w:val="16"/>
          <w:i w:val="1"/>
          <w:iCs w:val="1"/>
          <w:color w:val="auto"/>
        </w:rPr>
        <w:t xml:space="preserve">. </w:t>
      </w:r>
      <w:r>
        <w:rPr>
          <w:rFonts w:ascii="Arial" w:cs="Arial" w:eastAsia="Arial" w:hAnsi="Arial"/>
          <w:sz w:val="16"/>
          <w:szCs w:val="16"/>
          <w:color w:val="auto"/>
        </w:rPr>
        <w:t>Net cash provided by operating activities decreased in the first six months of 2014 when compared with the same period of 2013.</w:t>
      </w:r>
      <w:r>
        <w:rPr>
          <w:rFonts w:ascii="Arial" w:cs="Arial" w:eastAsia="Arial" w:hAnsi="Arial"/>
          <w:sz w:val="16"/>
          <w:szCs w:val="16"/>
          <w:i w:val="1"/>
          <w:iCs w:val="1"/>
          <w:color w:val="auto"/>
        </w:rPr>
        <w:t xml:space="preserve"> </w:t>
      </w:r>
      <w:r>
        <w:rPr>
          <w:rFonts w:ascii="Arial" w:cs="Arial" w:eastAsia="Arial" w:hAnsi="Arial"/>
          <w:sz w:val="16"/>
          <w:szCs w:val="16"/>
          <w:color w:val="auto"/>
        </w:rPr>
        <w:t>The decrease in net cash provided by operating activities was largely attributable to cash collateral on hand related to our forward-starting interest rate swap contract outstanding during the first six months of 2013 as well as higher payments of accrued expenses in the first six months of 2014 when compared with the same period in 2013. The forward-starting interest rate swap contract was outstanding during the first six months of 2013 in advance of our debt offering in the third quarter of 2013. Net cash used in investing activities increased in the first six month of 2014 when compared with the same period of 2013 due to an increase in purchases of property and equipment due to efforts to consolidate our data centers. Proceeds from the sale of building property in Kansas City in the first quarter of 2014 partially offset the increase in cash used by investing activities. Cash used in financing activities was higher in the first six months of 2014 when compared with the same period in 2013. The increase in cash used was attributable to an increase in cash dividends of $0.9 billion in the first six months of 2014 when compared with the same period in 2013. The annual variable dividend from 2013 operations was paid in the first quarter of 2014. The annual variable dividend from 2012 operations was paid in the fourth quarter of 2012 due to uncertainty surrounding dividend income tax treatment beginning in 2013. The increase in cash used was also due to the repayment of the fixed rate notes due February 2014.</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Debt Instruments</w:t>
      </w:r>
      <w:r>
        <w:rPr>
          <w:rFonts w:ascii="Arial" w:cs="Arial" w:eastAsia="Arial" w:hAnsi="Arial"/>
          <w:sz w:val="18"/>
          <w:szCs w:val="18"/>
          <w:i w:val="1"/>
          <w:iCs w:val="1"/>
          <w:color w:val="auto"/>
        </w:rPr>
        <w:t xml:space="preserve">. </w:t>
      </w:r>
      <w:r>
        <w:rPr>
          <w:rFonts w:ascii="Arial" w:cs="Arial" w:eastAsia="Arial" w:hAnsi="Arial"/>
          <w:sz w:val="18"/>
          <w:szCs w:val="18"/>
          <w:color w:val="auto"/>
        </w:rPr>
        <w:t>The following table summarizes our debt outstanding as of June 30, 2014:</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i w:val="1"/>
                <w:iCs w:val="1"/>
                <w:color w:val="auto"/>
              </w:rPr>
              <w:t>(in millions)</w:t>
            </w:r>
          </w:p>
        </w:tc>
        <w:tc>
          <w:tcPr>
            <w:tcW w:w="3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7"/>
              </w:rPr>
              <w:t>Par Value</w:t>
            </w:r>
          </w:p>
        </w:tc>
      </w:tr>
      <w:tr>
        <w:trPr>
          <w:trHeight w:val="270"/>
        </w:trPr>
        <w:tc>
          <w:tcPr>
            <w:tcW w:w="74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Fixed rate notes due March 2018, stated rate of 4.40% </w:t>
            </w:r>
            <w:r>
              <w:rPr>
                <w:rFonts w:ascii="Arial" w:cs="Arial" w:eastAsia="Arial" w:hAnsi="Arial"/>
                <w:sz w:val="25"/>
                <w:szCs w:val="25"/>
                <w:color w:val="auto"/>
                <w:vertAlign w:val="superscript"/>
              </w:rPr>
              <w:t>(1)</w:t>
            </w:r>
          </w:p>
        </w:tc>
        <w:tc>
          <w:tcPr>
            <w:tcW w:w="3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612.5</w:t>
            </w:r>
          </w:p>
        </w:tc>
      </w:tr>
      <w:tr>
        <w:trPr>
          <w:trHeight w:val="270"/>
        </w:trPr>
        <w:tc>
          <w:tcPr>
            <w:tcW w:w="74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Fixed rate notes due September 2022, stated rate of 3.00% </w:t>
            </w:r>
            <w:r>
              <w:rPr>
                <w:rFonts w:ascii="Arial" w:cs="Arial" w:eastAsia="Arial" w:hAnsi="Arial"/>
                <w:sz w:val="25"/>
                <w:szCs w:val="25"/>
                <w:color w:val="auto"/>
                <w:vertAlign w:val="superscript"/>
              </w:rPr>
              <w:t>(2)</w:t>
            </w:r>
          </w:p>
        </w:tc>
        <w:tc>
          <w:tcPr>
            <w:tcW w:w="3140" w:type="dxa"/>
            <w:vAlign w:val="bottom"/>
          </w:tcPr>
          <w:p>
            <w:pPr>
              <w:spacing w:after="0"/>
              <w:rPr>
                <w:sz w:val="23"/>
                <w:szCs w:val="23"/>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750.0</w:t>
            </w:r>
          </w:p>
        </w:tc>
      </w:tr>
      <w:tr>
        <w:trPr>
          <w:trHeight w:val="270"/>
        </w:trPr>
        <w:tc>
          <w:tcPr>
            <w:tcW w:w="74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Fixed rate notes due September 2043, stated rate of 5.30% </w:t>
            </w:r>
            <w:r>
              <w:rPr>
                <w:rFonts w:ascii="Arial" w:cs="Arial" w:eastAsia="Arial" w:hAnsi="Arial"/>
                <w:sz w:val="25"/>
                <w:szCs w:val="25"/>
                <w:color w:val="auto"/>
                <w:vertAlign w:val="superscript"/>
              </w:rPr>
              <w:t>(3)</w:t>
            </w:r>
          </w:p>
        </w:tc>
        <w:tc>
          <w:tcPr>
            <w:tcW w:w="3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750.0</w:t>
            </w:r>
          </w:p>
        </w:tc>
      </w:tr>
    </w:tbl>
    <w:p>
      <w:pPr>
        <w:spacing w:after="0" w:line="202" w:lineRule="exact"/>
        <w:rPr>
          <w:sz w:val="20"/>
          <w:szCs w:val="20"/>
          <w:color w:val="auto"/>
        </w:rPr>
      </w:pPr>
    </w:p>
    <w:p>
      <w:pPr>
        <w:ind w:left="660" w:right="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February 2010, we entered into a forward-starting interest rate swap agreement that modified the interest obligation associated with these notes so that the interest payable on the notes effectively became fixed at a rate of 4.46%.</w:t>
      </w:r>
    </w:p>
    <w:p>
      <w:pPr>
        <w:spacing w:after="0" w:line="170"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August 2012, we entered into a forward-starting interest rate swap agreement that modified the interest obligation associated with these notes so that the interest payable effectively became fixed at a rate of 3.32%.</w:t>
      </w:r>
    </w:p>
    <w:p>
      <w:pPr>
        <w:spacing w:after="0" w:line="170"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August 2012, we entered into a forward-starting interest rate swap agreement that modified the interest obligation associated with these notes so that the interest payable effectively became fixed at a rate of 4.73%.</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maintain a $1.8 billion multi-currency revolving senior credit facility with various financial institutions. The proceeds from the revolving senior credit facility can be used for general corporate purposes, which includes providing liquidity for our CME clearing house in certain circumstances at CME Group's discretion and, if necessary, for maturities of commercial paper. As long as we are not in default under the senior credit facility, we have the option to increase the facility up to $2.5 billion with the consent of the agent and lenders providing the additional funds. This senior credit facility matures in January 2016. The senior credit facility is voluntarily prepayable from time to time without premium or penalty. Under the credit facility, we are required to remain in compliance with a consolidated net worth test, which is defined as our consolidated shareholders' equity as of September 30, 2012, giving effect to share repurchases made and special dividends paid during the term of the agreements (and in no event greater than $2.0 billion in aggregate), multiplied by 0.65. We currently do not have any borrowings outstanding under the credit facility.</w:t>
      </w:r>
    </w:p>
    <w:p>
      <w:pPr>
        <w:spacing w:after="0" w:line="12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maintain a 364-day multi-currency line of credit with a consortium of domestic and international banks to be used in certain situations by our CME clearing house. The line of credit provides for borrowings of up to $7.0 billion. We may use the proceeds to provide temporary liquidity in the unlikely event of a clearing firm default, in the event of a liquidity constraint or default by a depositary (custodian for our collateral), or in the event of a temporary disruption with the domestic payments system that would delay payment of settlement variation between us and our clearing firms. CME clearing firm guaranty fund contributions received in the form of cash or U.S. Treasury securities as well as the performance bond assets of a defaulting firm can be used to collateralize the facility. At June 30, 2014, guaranty funds available to collateralize the facility totaled $6.4 billion. We have the option to request an increase in the line from $7.0 billion to $10.0 billion. In addition to the 364-day multi-currency line of credit, we also have the option to use the $1.8 billion multi-currency revolving senior credit facility to provide liquidity for our clearing houses in the unlikely event of default in certain circumstances.</w:t>
      </w:r>
    </w:p>
    <w:p>
      <w:pPr>
        <w:spacing w:after="0" w:line="112"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In addition, our 364-day multi-currency line of credit contains a requirement that CME remain in compliance with a consolidated tangible net worth test, defined as CME consolidated shareholder's equity less intangible assets (as defined in the agreement) of not less than $800.0 million.</w:t>
      </w:r>
    </w:p>
    <w:p>
      <w:pPr>
        <w:spacing w:after="0" w:line="93"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indentures governing our fixed rate notes, our $1.8 billion multi-currency revolving senior credit facility and our 364-day multi-currency line of credit for $7.0 billion do not contain specific covenants that restrict the ability to pay dividends. These documents, however, do contain other customary financial and operating covenants that place restrictions on the operations of the company that could indirectly affect the ability to pay dividends.</w:t>
      </w:r>
    </w:p>
    <w:p>
      <w:pPr>
        <w:spacing w:after="0" w:line="139"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At June 30, 2014, we have excess borrowing capacity for general corporate purposes of approximately $1.8 billion under our multi-currency revolving senior credit facility.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2014, we were in compliance with the various covenant requirements of all our debt facilities.</w:t>
      </w:r>
    </w:p>
    <w:p>
      <w:pPr>
        <w:spacing w:after="0" w:line="198"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To satisfy our performance bond obligation with Singapore Exchange Limited, we may pledge CME-owned U.S. Treasury securities in lieu of, or in combination with, irrevocable letters of credit. At June 30, 2014, the letters of credit totaled $460.0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credit ratings as of June 30, 2014:</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40" w:type="dxa"/>
            <w:vAlign w:val="bottom"/>
          </w:tcPr>
          <w:p>
            <w:pPr>
              <w:spacing w:after="0"/>
              <w:rPr>
                <w:sz w:val="16"/>
                <w:szCs w:val="16"/>
                <w:color w:val="auto"/>
              </w:rPr>
            </w:pPr>
          </w:p>
        </w:tc>
        <w:tc>
          <w:tcPr>
            <w:tcW w:w="3580" w:type="dxa"/>
            <w:vAlign w:val="bottom"/>
          </w:tcPr>
          <w:p>
            <w:pPr>
              <w:ind w:left="2300"/>
              <w:spacing w:after="0"/>
              <w:rPr>
                <w:sz w:val="20"/>
                <w:szCs w:val="20"/>
                <w:color w:val="auto"/>
              </w:rPr>
            </w:pPr>
            <w:r>
              <w:rPr>
                <w:rFonts w:ascii="Arial" w:cs="Arial" w:eastAsia="Arial" w:hAnsi="Arial"/>
                <w:sz w:val="14"/>
                <w:szCs w:val="14"/>
                <w:b w:val="1"/>
                <w:bCs w:val="1"/>
                <w:color w:val="auto"/>
              </w:rPr>
              <w:t>Short-Term</w:t>
            </w: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5"/>
              </w:rPr>
              <w:t>Long-Term</w:t>
            </w:r>
          </w:p>
        </w:tc>
        <w:tc>
          <w:tcPr>
            <w:tcW w:w="1700" w:type="dxa"/>
            <w:vAlign w:val="bottom"/>
          </w:tcPr>
          <w:p>
            <w:pPr>
              <w:spacing w:after="0"/>
              <w:rPr>
                <w:sz w:val="16"/>
                <w:szCs w:val="16"/>
                <w:color w:val="auto"/>
              </w:rPr>
            </w:pPr>
          </w:p>
        </w:tc>
      </w:tr>
      <w:tr>
        <w:trPr>
          <w:trHeight w:val="209"/>
        </w:trPr>
        <w:tc>
          <w:tcPr>
            <w:tcW w:w="4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Rating Agency</w:t>
            </w:r>
          </w:p>
        </w:tc>
        <w:tc>
          <w:tcPr>
            <w:tcW w:w="3580" w:type="dxa"/>
            <w:vAlign w:val="bottom"/>
            <w:tcBorders>
              <w:bottom w:val="single" w:sz="8" w:color="auto"/>
            </w:tcBorders>
          </w:tcPr>
          <w:p>
            <w:pPr>
              <w:ind w:left="2280"/>
              <w:spacing w:after="0"/>
              <w:rPr>
                <w:sz w:val="20"/>
                <w:szCs w:val="20"/>
                <w:color w:val="auto"/>
              </w:rPr>
            </w:pPr>
            <w:r>
              <w:rPr>
                <w:rFonts w:ascii="Arial" w:cs="Arial" w:eastAsia="Arial" w:hAnsi="Arial"/>
                <w:sz w:val="14"/>
                <w:szCs w:val="14"/>
                <w:b w:val="1"/>
                <w:bCs w:val="1"/>
                <w:color w:val="auto"/>
              </w:rPr>
              <w:t>Debt Rating</w:t>
            </w: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Debt Rating</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Outlook</w:t>
            </w: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Standard &amp; Poor’s</w:t>
            </w:r>
          </w:p>
        </w:tc>
        <w:tc>
          <w:tcPr>
            <w:tcW w:w="3580" w:type="dxa"/>
            <w:vAlign w:val="bottom"/>
            <w:tcBorders>
              <w:bottom w:val="single" w:sz="8" w:color="CCEEFF"/>
            </w:tcBorders>
            <w:shd w:val="clear" w:color="auto" w:fill="CCEEFF"/>
          </w:tcPr>
          <w:p>
            <w:pPr>
              <w:jc w:val="center"/>
              <w:ind w:left="1659"/>
              <w:spacing w:after="0"/>
              <w:rPr>
                <w:sz w:val="20"/>
                <w:szCs w:val="20"/>
                <w:color w:val="auto"/>
              </w:rPr>
            </w:pPr>
            <w:r>
              <w:rPr>
                <w:rFonts w:ascii="Arial" w:cs="Arial" w:eastAsia="Arial" w:hAnsi="Arial"/>
                <w:sz w:val="18"/>
                <w:szCs w:val="18"/>
                <w:color w:val="auto"/>
                <w:w w:val="98"/>
              </w:rPr>
              <w:t>A1+</w:t>
            </w:r>
          </w:p>
        </w:tc>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AA-</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Stable</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Moody’s Investors Service</w:t>
            </w:r>
          </w:p>
        </w:tc>
        <w:tc>
          <w:tcPr>
            <w:tcW w:w="3580" w:type="dxa"/>
            <w:vAlign w:val="bottom"/>
          </w:tcPr>
          <w:p>
            <w:pPr>
              <w:jc w:val="center"/>
              <w:ind w:left="1659"/>
              <w:spacing w:after="0"/>
              <w:rPr>
                <w:sz w:val="20"/>
                <w:szCs w:val="20"/>
                <w:color w:val="auto"/>
              </w:rPr>
            </w:pPr>
            <w:r>
              <w:rPr>
                <w:rFonts w:ascii="Arial" w:cs="Arial" w:eastAsia="Arial" w:hAnsi="Arial"/>
                <w:sz w:val="18"/>
                <w:szCs w:val="18"/>
                <w:color w:val="auto"/>
                <w:w w:val="90"/>
              </w:rPr>
              <w:t>P1</w:t>
            </w:r>
          </w:p>
        </w:tc>
        <w:tc>
          <w:tcPr>
            <w:tcW w:w="1900" w:type="dxa"/>
            <w:vAlign w:val="bottom"/>
          </w:tcPr>
          <w:p>
            <w:pPr>
              <w:jc w:val="center"/>
              <w:spacing w:after="0"/>
              <w:rPr>
                <w:sz w:val="20"/>
                <w:szCs w:val="20"/>
                <w:color w:val="auto"/>
              </w:rPr>
            </w:pPr>
            <w:r>
              <w:rPr>
                <w:rFonts w:ascii="Arial" w:cs="Arial" w:eastAsia="Arial" w:hAnsi="Arial"/>
                <w:sz w:val="18"/>
                <w:szCs w:val="18"/>
                <w:color w:val="auto"/>
                <w:w w:val="93"/>
              </w:rPr>
              <w:t>Aa3</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Stable</w:t>
            </w:r>
          </w:p>
        </w:tc>
      </w:tr>
    </w:tbl>
    <w:p>
      <w:pPr>
        <w:spacing w:after="0" w:line="94"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Given our cash flow generation, our ability to pay down debt levels and our ability to refinance existing debt facilities if necessary, we expect to maintain an investment grade rating. If our ratings are downgraded below investment grade due to a change of control, we are required to make an offer to repurchase our fixed rate notes at a price equal to 101% of the principal amount, plus accrued and unpaid interest.</w:t>
      </w:r>
    </w:p>
    <w:p>
      <w:pPr>
        <w:spacing w:after="0" w:line="15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u w:val="single" w:color="auto"/>
          <w:color w:val="auto"/>
        </w:rPr>
        <w:t>Liquidity and Cash Management</w:t>
      </w:r>
      <w:r>
        <w:rPr>
          <w:rFonts w:ascii="Arial" w:cs="Arial" w:eastAsia="Arial" w:hAnsi="Arial"/>
          <w:sz w:val="18"/>
          <w:szCs w:val="18"/>
          <w:color w:val="auto"/>
        </w:rPr>
        <w:t>. Cash and cash equivalents totaled $1.0 billion at June 30, 2014 and $2.5 billion at December 31, 2013. The balance retained</w:t>
      </w:r>
      <w:r>
        <w:rPr>
          <w:rFonts w:ascii="Arial" w:cs="Arial" w:eastAsia="Arial" w:hAnsi="Arial"/>
          <w:sz w:val="18"/>
          <w:szCs w:val="18"/>
          <w:i w:val="1"/>
          <w:iCs w:val="1"/>
          <w:color w:val="auto"/>
        </w:rPr>
        <w:t xml:space="preserve"> </w:t>
      </w:r>
      <w:r>
        <w:rPr>
          <w:rFonts w:ascii="Arial" w:cs="Arial" w:eastAsia="Arial" w:hAnsi="Arial"/>
          <w:sz w:val="18"/>
          <w:szCs w:val="18"/>
          <w:color w:val="auto"/>
        </w:rPr>
        <w:t>in cash and cash equivalents is a function of anticipated or possible short-term cash needs, prevailing interest rates, our investment policy and alternative investment choices. A majority of our cash and cash equivalents balance is invested in money market mutual funds that invest only in U.S. Treasury securities or U.S. government agency securities. Our exposure to credit and liquidity risk is minimal given the nature of the investments. Cash that is not available for general corporate purposes because of regulatory requirements or other restrictions is classified as restricted cash and is included in other current assets or other assets in the consolidated balance sheets.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Net current deferred tax assets of $52.5 million and $52.3 million were included in other current assets at June 30, 2014 and December 31, 2013,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Total net current deferred tax assets are attributable to unrealized losses, stock-based compensation and accrued expenses.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Net long-term deferred tax liabilities were $7.3 billion and $7.2 billion at June 30, 2014 and December 31, 2013, respectively. Net deferred tax liabilities are principally the result of purchase accounting for intangible assets in our various mergers, including CBOT Holdings, Inc. and NYMEX Holdings, Inc.</w:t>
      </w:r>
    </w:p>
    <w:p>
      <w:pPr>
        <w:spacing w:after="0" w:line="12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Valuation allowances of $31.1 million and $47.5 million have been provided at June 30, 2014 and December 31, 2013, respectively. At June 30, 2014 and December 31, 2013, valuation allowances were related to domestic net operating losses, foreign net operating losses as well as built in capital losses for which we do not believe that we currently meet the more-likely-than-not-threshold for recognition.</w:t>
      </w:r>
    </w:p>
    <w:p>
      <w:pPr>
        <w:spacing w:after="0" w:line="18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u w:val="single" w:color="auto"/>
          <w:color w:val="auto"/>
        </w:rPr>
        <w:t>Regulatory Requirements</w:t>
      </w:r>
      <w:r>
        <w:rPr>
          <w:rFonts w:ascii="Arial" w:cs="Arial" w:eastAsia="Arial" w:hAnsi="Arial"/>
          <w:sz w:val="18"/>
          <w:szCs w:val="18"/>
          <w:i w:val="1"/>
          <w:iCs w:val="1"/>
          <w:color w:val="auto"/>
        </w:rPr>
        <w:t xml:space="preserve">. </w:t>
      </w:r>
      <w:r>
        <w:rPr>
          <w:rFonts w:ascii="Arial" w:cs="Arial" w:eastAsia="Arial" w:hAnsi="Arial"/>
          <w:sz w:val="18"/>
          <w:szCs w:val="18"/>
          <w:color w:val="auto"/>
        </w:rPr>
        <w:t>CME is regulated by the U.S. Commodity Futures Trading Commission (CFTC) as a U.S. Derivatives Clearing Organization</w:t>
      </w:r>
      <w:r>
        <w:rPr>
          <w:rFonts w:ascii="Arial" w:cs="Arial" w:eastAsia="Arial" w:hAnsi="Arial"/>
          <w:sz w:val="18"/>
          <w:szCs w:val="18"/>
          <w:i w:val="1"/>
          <w:iCs w:val="1"/>
          <w:color w:val="auto"/>
        </w:rPr>
        <w:t xml:space="preserve"> </w:t>
      </w:r>
      <w:r>
        <w:rPr>
          <w:rFonts w:ascii="Arial" w:cs="Arial" w:eastAsia="Arial" w:hAnsi="Arial"/>
          <w:sz w:val="18"/>
          <w:szCs w:val="18"/>
          <w:color w:val="auto"/>
        </w:rPr>
        <w:t>(DCO). DCOs are required to maintain capital as defined by the CFTC in an amount at least equal to one year of projected operating expenses as well as cash, liquid securities, or a line of credit at least equal to six months of projected operating expenses. CME is in compliance with the DCO financial requirements. CME was designated by the Financial Stability Oversight Council as a systemically important financial market utility under Title VIII of the Dodd-Frank Wall Street Reform and Consumer Protection Act. As a result, CME must comply with the requirements for Systemically Important Derivatives Clearing Organizations concerning financial resources and liquidity resources.</w:t>
      </w:r>
    </w:p>
    <w:p>
      <w:pPr>
        <w:spacing w:after="0" w:line="166"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CME, CBOT, NYMEX, and COMEX are regulated by the CFTC as Designated Contract Markets (DCM). DCMs are also required to maintain capital as defined by the CFTC in an amount at least equal to one year of projected operating expenses as well as cash, liquid securities, or a line of credit at least equal to six months of projected operating expenses. Our DCMs are in compliance with the DCM financial requirements.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May 2014, the Financial Accounting Standards Board issued a new standard on revenue recognition that replaces numerous, industry-specific requirements and converges U.S. accounting with International Financial Reporting Standards. The new standard introduces a framework for recognizing revenue that focuses on the transfer of control rather than risks and rewards. The new standard also requires significant additional disclosures about the nature, amount, timing and uncertainty of revenue and cash flows arising from customer contracts, including significant judgments, changes in judgments, and assets recognized from costs incurred to obtain or fulfill a contract. The new standard will become effective in the first annual period beginning after December 15, 2016. It may be adopted using one of two transition methods, which we are still evaluating along with the impact of the new standard on our consolidated financial statements.</w:t>
      </w:r>
    </w:p>
    <w:p>
      <w:pPr>
        <w:spacing w:after="0" w:line="212"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4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are subject to various market risks, including those caused by changes in interest rates, credit, foreign currency exchange rates and equity prices. There have not been material changes in our exposure to market risk since December 31, 2013. Refer to Item 7A. of CME Group’s Annual Report on Form 10-K for the year ended December 31, 2013 for additional information.</w:t>
      </w:r>
    </w:p>
    <w:p>
      <w:pPr>
        <w:spacing w:after="0" w:line="231"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48" w:lineRule="exact"/>
        <w:rPr>
          <w:sz w:val="20"/>
          <w:szCs w:val="20"/>
          <w:color w:val="auto"/>
        </w:rPr>
      </w:pPr>
    </w:p>
    <w:p>
      <w:pPr>
        <w:jc w:val="both"/>
        <w:ind w:right="20" w:firstLine="8"/>
        <w:spacing w:after="0" w:line="279" w:lineRule="auto"/>
        <w:tabs>
          <w:tab w:leader="none" w:pos="245" w:val="left"/>
        </w:tabs>
        <w:numPr>
          <w:ilvl w:val="0"/>
          <w:numId w:val="12"/>
        </w:numPr>
        <w:rPr>
          <w:rFonts w:ascii="Arial" w:cs="Arial" w:eastAsia="Arial" w:hAnsi="Arial"/>
          <w:sz w:val="17"/>
          <w:szCs w:val="17"/>
          <w:color w:val="auto"/>
        </w:rPr>
      </w:pPr>
      <w:r>
        <w:rPr>
          <w:rFonts w:ascii="Arial" w:cs="Arial" w:eastAsia="Arial" w:hAnsi="Arial"/>
          <w:sz w:val="17"/>
          <w:szCs w:val="17"/>
          <w:color w:val="auto"/>
        </w:rPr>
        <w:t>Disclosure Controls and Procedures. Our management, with the participation of our Chief Executive Officer and Chief Financial Officer, has evaluated the effectiveness of our disclosure controls and procedures (as such term is defined in Rules 13a-15(e) and 15d-15(e) under the Securities Exchange Act of 1934, as amended (the Exchange Act)) as of the end of the period covered by this report. Based on such evaluation, our Chief Executive Officer and Chief Financial Officer have concluded that, as of the end of such period, our disclosure controls and procedures are effective.</w:t>
      </w:r>
    </w:p>
    <w:p>
      <w:pPr>
        <w:spacing w:after="0" w:line="171" w:lineRule="exact"/>
        <w:rPr>
          <w:rFonts w:ascii="Arial" w:cs="Arial" w:eastAsia="Arial" w:hAnsi="Arial"/>
          <w:sz w:val="17"/>
          <w:szCs w:val="17"/>
          <w:color w:val="auto"/>
        </w:rPr>
      </w:pPr>
    </w:p>
    <w:p>
      <w:pPr>
        <w:ind w:right="60" w:firstLine="8"/>
        <w:spacing w:after="0" w:line="273" w:lineRule="auto"/>
        <w:tabs>
          <w:tab w:leader="none" w:pos="255" w:val="left"/>
        </w:tabs>
        <w:numPr>
          <w:ilvl w:val="0"/>
          <w:numId w:val="12"/>
        </w:numPr>
        <w:rPr>
          <w:rFonts w:ascii="Arial" w:cs="Arial" w:eastAsia="Arial" w:hAnsi="Arial"/>
          <w:sz w:val="17"/>
          <w:szCs w:val="17"/>
          <w:color w:val="auto"/>
        </w:rPr>
      </w:pPr>
      <w:r>
        <w:rPr>
          <w:rFonts w:ascii="Arial" w:cs="Arial" w:eastAsia="Arial" w:hAnsi="Arial"/>
          <w:sz w:val="17"/>
          <w:szCs w:val="17"/>
          <w:color w:val="auto"/>
        </w:rPr>
        <w:t>Changes in Internal Control Over Financial Reporting. As required by Rule 13a-15(d) under the Exchange Act, the company’s management, including the company’s Chief Executive Officer and Chief Financial Officer, have evaluated the company’s internal control over financial reporting (as such term is defined in Rules 13a-15(f) and 15d-15(f) under the Exchange Act) to determine whether any changes occurred during the quarter covered by this quarterly report that have materially affected, or are reasonably likely to materially affect, the company’s internal control over financial reporting. There were no changes in the company’s internal control over financial reporting during the period covered by this quarterly report that have materially affected, or are reasonably likely to materially affect,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PART II. OTHER INFORMATION</w:t>
      </w:r>
    </w:p>
    <w:p>
      <w:pPr>
        <w:spacing w:after="0" w:line="279"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5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See “Legal and Regulatory Matters” in Note 5. Contingencies to the Consolidated Financial Statements for updates to CME Group’s existing legal proceedings disclosure which is incorporated herein by reference. Note 5. Contingencies includes updates to the legal proceedings disclosed in the company’s Annual Report on Form 10-K, filed with the SEC on February 28, 2014.</w:t>
      </w:r>
    </w:p>
    <w:p>
      <w:pPr>
        <w:spacing w:after="0" w:line="231"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56"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There have been no material updates to the Risk Factors disclosure included in the company’s Annual Report on Form 10-K, filed with the SEC on February 28, 2014. In addition to the other information contained in this Quarterly Report on Form 10-Q, you should carefully consider the factors discussed in our Annual Report on Form 10-K, which are the risks that we believe are material at this time. These risks could materially and adversely affect our business, financial condition and results of operations. These risks and uncertainties are not the only ones facing us. Additional risks and uncertainties not presently known to us or that we currently believe to be immaterial may also adversely affect our business in the future.</w:t>
      </w:r>
    </w:p>
    <w:p>
      <w:pPr>
        <w:spacing w:after="0" w:line="331"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 Issuer Purchases of Equity Securities</w:t>
      </w: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3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(c) Total Number of Class A</w:t>
            </w:r>
          </w:p>
        </w:tc>
        <w:tc>
          <w:tcPr>
            <w:tcW w:w="2280" w:type="dxa"/>
            <w:vAlign w:val="bottom"/>
          </w:tcPr>
          <w:p>
            <w:pPr>
              <w:jc w:val="center"/>
              <w:ind w:right="141"/>
              <w:spacing w:after="0"/>
              <w:rPr>
                <w:sz w:val="20"/>
                <w:szCs w:val="20"/>
                <w:color w:val="auto"/>
              </w:rPr>
            </w:pPr>
            <w:r>
              <w:rPr>
                <w:rFonts w:ascii="Arial" w:cs="Arial" w:eastAsia="Arial" w:hAnsi="Arial"/>
                <w:sz w:val="14"/>
                <w:szCs w:val="14"/>
                <w:b w:val="1"/>
                <w:bCs w:val="1"/>
                <w:color w:val="auto"/>
                <w:w w:val="97"/>
              </w:rPr>
              <w:t>(d) Maximum Number (or</w:t>
            </w: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 Total Number of</w:t>
            </w:r>
          </w:p>
        </w:tc>
        <w:tc>
          <w:tcPr>
            <w:tcW w:w="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380" w:type="dxa"/>
            <w:vAlign w:val="bottom"/>
            <w:gridSpan w:val="2"/>
            <w:vMerge w:val="continue"/>
          </w:tcPr>
          <w:p>
            <w:pPr>
              <w:spacing w:after="0"/>
              <w:rPr>
                <w:sz w:val="12"/>
                <w:szCs w:val="12"/>
                <w:color w:val="auto"/>
              </w:rPr>
            </w:pPr>
          </w:p>
        </w:tc>
        <w:tc>
          <w:tcPr>
            <w:tcW w:w="2280" w:type="dxa"/>
            <w:vAlign w:val="bottom"/>
          </w:tcPr>
          <w:p>
            <w:pPr>
              <w:jc w:val="center"/>
              <w:ind w:right="161"/>
              <w:spacing w:after="0" w:line="149" w:lineRule="exact"/>
              <w:rPr>
                <w:sz w:val="20"/>
                <w:szCs w:val="20"/>
                <w:color w:val="auto"/>
              </w:rPr>
            </w:pPr>
            <w:r>
              <w:rPr>
                <w:rFonts w:ascii="Arial" w:cs="Arial" w:eastAsia="Arial" w:hAnsi="Arial"/>
                <w:sz w:val="14"/>
                <w:szCs w:val="14"/>
                <w:b w:val="1"/>
                <w:bCs w:val="1"/>
                <w:color w:val="auto"/>
                <w:w w:val="94"/>
              </w:rPr>
              <w:t>Approximate Value) that</w:t>
            </w: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500" w:type="dxa"/>
            <w:vAlign w:val="bottom"/>
            <w:vMerge w:val="restart"/>
          </w:tcPr>
          <w:p>
            <w:pPr>
              <w:jc w:val="right"/>
              <w:ind w:right="296"/>
              <w:spacing w:after="0"/>
              <w:rPr>
                <w:sz w:val="20"/>
                <w:szCs w:val="20"/>
                <w:color w:val="auto"/>
              </w:rPr>
            </w:pPr>
            <w:r>
              <w:rPr>
                <w:rFonts w:ascii="Arial" w:cs="Arial" w:eastAsia="Arial" w:hAnsi="Arial"/>
                <w:sz w:val="14"/>
                <w:szCs w:val="14"/>
                <w:b w:val="1"/>
                <w:bCs w:val="1"/>
                <w:color w:val="auto"/>
                <w:w w:val="95"/>
              </w:rPr>
              <w:t>(b) Average Price</w:t>
            </w:r>
          </w:p>
        </w:tc>
        <w:tc>
          <w:tcPr>
            <w:tcW w:w="23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Shares Purchased as</w:t>
            </w:r>
          </w:p>
        </w:tc>
        <w:tc>
          <w:tcPr>
            <w:tcW w:w="2280" w:type="dxa"/>
            <w:vAlign w:val="bottom"/>
          </w:tcPr>
          <w:p>
            <w:pPr>
              <w:jc w:val="center"/>
              <w:ind w:right="141"/>
              <w:spacing w:after="0" w:line="149" w:lineRule="exact"/>
              <w:rPr>
                <w:sz w:val="20"/>
                <w:szCs w:val="20"/>
                <w:color w:val="auto"/>
              </w:rPr>
            </w:pPr>
            <w:r>
              <w:rPr>
                <w:rFonts w:ascii="Arial" w:cs="Arial" w:eastAsia="Arial" w:hAnsi="Arial"/>
                <w:sz w:val="14"/>
                <w:szCs w:val="14"/>
                <w:b w:val="1"/>
                <w:bCs w:val="1"/>
                <w:color w:val="auto"/>
                <w:w w:val="91"/>
              </w:rPr>
              <w:t>May Yet Be Purchased</w:t>
            </w:r>
          </w:p>
        </w:tc>
        <w:tc>
          <w:tcPr>
            <w:tcW w:w="0" w:type="dxa"/>
            <w:vAlign w:val="bottom"/>
          </w:tcPr>
          <w:p>
            <w:pPr>
              <w:spacing w:after="0"/>
              <w:rPr>
                <w:sz w:val="1"/>
                <w:szCs w:val="1"/>
                <w:color w:val="auto"/>
              </w:rPr>
            </w:pPr>
          </w:p>
        </w:tc>
      </w:tr>
      <w:tr>
        <w:trPr>
          <w:trHeight w:val="149"/>
        </w:trPr>
        <w:tc>
          <w:tcPr>
            <w:tcW w:w="31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Class A</w:t>
            </w:r>
          </w:p>
        </w:tc>
        <w:tc>
          <w:tcPr>
            <w:tcW w:w="32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23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Part of Publicly Announced</w:t>
            </w:r>
          </w:p>
        </w:tc>
        <w:tc>
          <w:tcPr>
            <w:tcW w:w="2280" w:type="dxa"/>
            <w:vAlign w:val="bottom"/>
          </w:tcPr>
          <w:p>
            <w:pPr>
              <w:jc w:val="center"/>
              <w:ind w:right="161"/>
              <w:spacing w:after="0" w:line="149" w:lineRule="exact"/>
              <w:rPr>
                <w:sz w:val="20"/>
                <w:szCs w:val="20"/>
                <w:color w:val="auto"/>
              </w:rPr>
            </w:pPr>
            <w:r>
              <w:rPr>
                <w:rFonts w:ascii="Arial" w:cs="Arial" w:eastAsia="Arial" w:hAnsi="Arial"/>
                <w:sz w:val="14"/>
                <w:szCs w:val="14"/>
                <w:b w:val="1"/>
                <w:bCs w:val="1"/>
                <w:color w:val="auto"/>
                <w:w w:val="92"/>
              </w:rPr>
              <w:t>Under the Plans or Programs</w:t>
            </w:r>
          </w:p>
        </w:tc>
        <w:tc>
          <w:tcPr>
            <w:tcW w:w="0" w:type="dxa"/>
            <w:vAlign w:val="bottom"/>
          </w:tcPr>
          <w:p>
            <w:pPr>
              <w:spacing w:after="0"/>
              <w:rPr>
                <w:sz w:val="1"/>
                <w:szCs w:val="1"/>
                <w:color w:val="auto"/>
              </w:rPr>
            </w:pPr>
          </w:p>
        </w:tc>
      </w:tr>
      <w:tr>
        <w:trPr>
          <w:trHeight w:val="192"/>
        </w:trPr>
        <w:tc>
          <w:tcPr>
            <w:tcW w:w="3100" w:type="dxa"/>
            <w:vAlign w:val="bottom"/>
            <w:tcBorders>
              <w:bottom w:val="single" w:sz="8" w:color="auto"/>
            </w:tcBorders>
            <w:vMerge w:val="continue"/>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 Purchased (1)</w:t>
            </w: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Paid Per Share</w:t>
            </w:r>
          </w:p>
        </w:tc>
        <w:tc>
          <w:tcPr>
            <w:tcW w:w="23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3"/>
              </w:rPr>
              <w:t>Plans or Programs</w:t>
            </w:r>
          </w:p>
        </w:tc>
        <w:tc>
          <w:tcPr>
            <w:tcW w:w="228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April 1 to April 30</w:t>
            </w:r>
          </w:p>
        </w:tc>
        <w:tc>
          <w:tcPr>
            <w:tcW w:w="18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793</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69.13</w:t>
            </w:r>
          </w:p>
        </w:tc>
        <w:tc>
          <w:tcPr>
            <w:tcW w:w="2380" w:type="dxa"/>
            <w:vAlign w:val="bottom"/>
            <w:tcBorders>
              <w:bottom w:val="single" w:sz="8" w:color="CCEEFF"/>
            </w:tcBorders>
            <w:gridSpan w:val="2"/>
            <w:shd w:val="clear" w:color="auto" w:fill="CCEEFF"/>
          </w:tcPr>
          <w:p>
            <w:pPr>
              <w:ind w:left="1760"/>
              <w:spacing w:after="0"/>
              <w:rPr>
                <w:sz w:val="20"/>
                <w:szCs w:val="20"/>
                <w:color w:val="auto"/>
              </w:rPr>
            </w:pPr>
            <w:r>
              <w:rPr>
                <w:rFonts w:ascii="Arial" w:cs="Arial" w:eastAsia="Arial" w:hAnsi="Arial"/>
                <w:sz w:val="18"/>
                <w:szCs w:val="18"/>
                <w:color w:val="auto"/>
              </w:rPr>
              <w:t>—   $</w:t>
            </w:r>
          </w:p>
        </w:tc>
        <w:tc>
          <w:tcPr>
            <w:tcW w:w="2280" w:type="dxa"/>
            <w:vAlign w:val="bottom"/>
            <w:tcBorders>
              <w:bottom w:val="single" w:sz="8" w:color="CCEEFF"/>
            </w:tcBorders>
            <w:shd w:val="clear" w:color="auto" w:fill="CCEEFF"/>
          </w:tcPr>
          <w:p>
            <w:pPr>
              <w:ind w:left="2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May 1 to May 31</w:t>
            </w:r>
          </w:p>
        </w:tc>
        <w:tc>
          <w:tcPr>
            <w:tcW w:w="184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500" w:type="dxa"/>
            <w:vAlign w:val="bottom"/>
          </w:tcPr>
          <w:p>
            <w:pPr>
              <w:jc w:val="right"/>
              <w:ind w:right="136"/>
              <w:spacing w:after="0"/>
              <w:rPr>
                <w:sz w:val="20"/>
                <w:szCs w:val="20"/>
                <w:color w:val="auto"/>
              </w:rPr>
            </w:pPr>
            <w:r>
              <w:rPr>
                <w:rFonts w:ascii="Arial" w:cs="Arial" w:eastAsia="Arial" w:hAnsi="Arial"/>
                <w:sz w:val="18"/>
                <w:szCs w:val="18"/>
                <w:color w:val="auto"/>
              </w:rPr>
              <w:t>—</w:t>
            </w:r>
          </w:p>
        </w:tc>
        <w:tc>
          <w:tcPr>
            <w:tcW w:w="2380" w:type="dxa"/>
            <w:vAlign w:val="bottom"/>
            <w:gridSpan w:val="2"/>
          </w:tcPr>
          <w:p>
            <w:pPr>
              <w:ind w:left="1760"/>
              <w:spacing w:after="0"/>
              <w:rPr>
                <w:sz w:val="20"/>
                <w:szCs w:val="20"/>
                <w:color w:val="auto"/>
              </w:rPr>
            </w:pPr>
            <w:r>
              <w:rPr>
                <w:rFonts w:ascii="Arial" w:cs="Arial" w:eastAsia="Arial" w:hAnsi="Arial"/>
                <w:sz w:val="18"/>
                <w:szCs w:val="18"/>
                <w:color w:val="auto"/>
              </w:rPr>
              <w:t>—</w:t>
            </w:r>
          </w:p>
        </w:tc>
        <w:tc>
          <w:tcPr>
            <w:tcW w:w="2280" w:type="dxa"/>
            <w:vAlign w:val="bottom"/>
          </w:tcPr>
          <w:p>
            <w:pPr>
              <w:ind w:left="2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June 1 to June 30</w:t>
            </w:r>
          </w:p>
        </w:tc>
        <w:tc>
          <w:tcPr>
            <w:tcW w:w="18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3,040</w:t>
            </w: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71.41</w:t>
            </w:r>
          </w:p>
        </w:tc>
        <w:tc>
          <w:tcPr>
            <w:tcW w:w="2380" w:type="dxa"/>
            <w:vAlign w:val="bottom"/>
            <w:tcBorders>
              <w:bottom w:val="single" w:sz="8" w:color="CCEEFF"/>
            </w:tcBorders>
            <w:gridSpan w:val="2"/>
            <w:shd w:val="clear" w:color="auto" w:fill="CCEEFF"/>
          </w:tcPr>
          <w:p>
            <w:pPr>
              <w:ind w:left="1760"/>
              <w:spacing w:after="0"/>
              <w:rPr>
                <w:sz w:val="20"/>
                <w:szCs w:val="20"/>
                <w:color w:val="auto"/>
              </w:rPr>
            </w:pPr>
            <w:r>
              <w:rPr>
                <w:rFonts w:ascii="Arial" w:cs="Arial" w:eastAsia="Arial" w:hAnsi="Arial"/>
                <w:sz w:val="18"/>
                <w:szCs w:val="18"/>
                <w:color w:val="auto"/>
              </w:rPr>
              <w:t>—</w:t>
            </w:r>
          </w:p>
        </w:tc>
        <w:tc>
          <w:tcPr>
            <w:tcW w:w="2280" w:type="dxa"/>
            <w:vAlign w:val="bottom"/>
            <w:tcBorders>
              <w:bottom w:val="single" w:sz="8" w:color="CCEEFF"/>
            </w:tcBorders>
            <w:shd w:val="clear" w:color="auto" w:fill="CCEEFF"/>
          </w:tcPr>
          <w:p>
            <w:pPr>
              <w:ind w:left="2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100" w:type="dxa"/>
            <w:vAlign w:val="bottom"/>
          </w:tcPr>
          <w:p>
            <w:pPr>
              <w:ind w:left="40"/>
              <w:spacing w:after="0"/>
              <w:rPr>
                <w:sz w:val="20"/>
                <w:szCs w:val="20"/>
                <w:color w:val="auto"/>
              </w:rPr>
            </w:pPr>
            <w:r>
              <w:rPr>
                <w:rFonts w:ascii="Arial" w:cs="Arial" w:eastAsia="Arial" w:hAnsi="Arial"/>
                <w:sz w:val="18"/>
                <w:szCs w:val="18"/>
                <w:color w:val="auto"/>
              </w:rPr>
              <w:t>Total</w:t>
            </w:r>
          </w:p>
        </w:tc>
        <w:tc>
          <w:tcPr>
            <w:tcW w:w="184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3,833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36"/>
              <w:spacing w:after="0"/>
              <w:rPr>
                <w:sz w:val="20"/>
                <w:szCs w:val="20"/>
                <w:color w:val="auto"/>
              </w:rPr>
            </w:pPr>
            <w:r>
              <w:rPr>
                <w:rFonts w:ascii="Arial" w:cs="Arial" w:eastAsia="Arial" w:hAnsi="Arial"/>
                <w:sz w:val="18"/>
                <w:szCs w:val="18"/>
                <w:color w:val="auto"/>
              </w:rPr>
              <w:t>70.94</w:t>
            </w:r>
          </w:p>
        </w:tc>
        <w:tc>
          <w:tcPr>
            <w:tcW w:w="2040" w:type="dxa"/>
            <w:vAlign w:val="bottom"/>
            <w:tcBorders>
              <w:top w:val="single" w:sz="8" w:color="auto"/>
              <w:bottom w:val="single" w:sz="8" w:color="auto"/>
            </w:tcBorders>
          </w:tcPr>
          <w:p>
            <w:pPr>
              <w:ind w:left="17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1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Shares purchased consist of an aggregate of 3,833 shares of Class A common stock surrendered in the second quarter of 2014 to satisfy employees’ tax obligations upon the vesting of restricted stock.</w:t>
      </w:r>
    </w:p>
    <w:p>
      <w:pPr>
        <w:spacing w:after="0" w:line="200" w:lineRule="exact"/>
        <w:rPr>
          <w:sz w:val="20"/>
          <w:szCs w:val="20"/>
          <w:color w:val="auto"/>
        </w:rPr>
      </w:pPr>
    </w:p>
    <w:p>
      <w:pPr>
        <w:spacing w:after="0" w:line="237"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420"/>
          </w:cols>
          <w:pgMar w:left="240" w:top="68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688" w:right="239" w:bottom="1440" w:gutter="0" w:footer="0" w:header="0"/>
          <w:type w:val="continuous"/>
        </w:sectPr>
      </w:pPr>
    </w:p>
    <w:bookmarkStart w:id="28" w:name="page29"/>
    <w:bookmarkEnd w:id="28"/>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color w:val="0000EE"/>
                <w:w w:val="88"/>
              </w:rPr>
            </w:pPr>
            <w:hyperlink w:anchor="page1">
              <w:r>
                <w:rPr>
                  <w:rFonts w:ascii="Arial" w:cs="Arial" w:eastAsia="Arial" w:hAnsi="Arial"/>
                  <w:sz w:val="18"/>
                  <w:szCs w:val="18"/>
                  <w:color w:val="0000EE"/>
                  <w:w w:val="88"/>
                </w:rPr>
                <w:t>Table of Contents</w:t>
              </w:r>
            </w:hyperlink>
          </w:p>
        </w:tc>
        <w:tc>
          <w:tcPr>
            <w:tcW w:w="10020" w:type="dxa"/>
            <w:vAlign w:val="bottom"/>
          </w:tcPr>
          <w:p>
            <w:pPr>
              <w:spacing w:after="0"/>
              <w:rPr>
                <w:sz w:val="17"/>
                <w:szCs w:val="17"/>
                <w:color w:val="auto"/>
              </w:rPr>
            </w:pPr>
          </w:p>
        </w:tc>
      </w:tr>
      <w:tr>
        <w:trPr>
          <w:trHeight w:val="642"/>
        </w:trPr>
        <w:tc>
          <w:tcPr>
            <w:tcW w:w="1280" w:type="dxa"/>
            <w:vAlign w:val="bottom"/>
          </w:tcPr>
          <w:p>
            <w:pPr>
              <w:ind w:left="40"/>
              <w:spacing w:after="0"/>
              <w:rPr>
                <w:sz w:val="20"/>
                <w:szCs w:val="20"/>
                <w:color w:val="auto"/>
              </w:rPr>
            </w:pPr>
            <w:r>
              <w:rPr>
                <w:rFonts w:ascii="Arial" w:cs="Arial" w:eastAsia="Arial" w:hAnsi="Arial"/>
                <w:sz w:val="18"/>
                <w:szCs w:val="18"/>
                <w:b w:val="1"/>
                <w:bCs w:val="1"/>
                <w:color w:val="auto"/>
              </w:rPr>
              <w:t>ITEM 6.</w:t>
            </w:r>
          </w:p>
        </w:tc>
        <w:tc>
          <w:tcPr>
            <w:tcW w:w="10020" w:type="dxa"/>
            <w:vAlign w:val="bottom"/>
          </w:tcPr>
          <w:p>
            <w:pPr>
              <w:ind w:left="20"/>
              <w:spacing w:after="0"/>
              <w:rPr>
                <w:sz w:val="20"/>
                <w:szCs w:val="20"/>
                <w:color w:val="auto"/>
              </w:rPr>
            </w:pPr>
            <w:r>
              <w:rPr>
                <w:rFonts w:ascii="Arial" w:cs="Arial" w:eastAsia="Arial" w:hAnsi="Arial"/>
                <w:sz w:val="18"/>
                <w:szCs w:val="18"/>
                <w:b w:val="1"/>
                <w:bCs w:val="1"/>
                <w:color w:val="auto"/>
              </w:rPr>
              <w:t>EXHIBITS</w:t>
            </w:r>
          </w:p>
        </w:tc>
      </w:tr>
      <w:tr>
        <w:trPr>
          <w:trHeight w:val="769"/>
        </w:trPr>
        <w:tc>
          <w:tcPr>
            <w:tcW w:w="1280" w:type="dxa"/>
            <w:vAlign w:val="bottom"/>
          </w:tcPr>
          <w:p>
            <w:pPr>
              <w:ind w:left="40"/>
              <w:spacing w:after="0"/>
              <w:rPr>
                <w:sz w:val="20"/>
                <w:szCs w:val="20"/>
                <w:color w:val="auto"/>
              </w:rPr>
            </w:pPr>
            <w:r>
              <w:rPr>
                <w:rFonts w:ascii="Arial" w:cs="Arial" w:eastAsia="Arial" w:hAnsi="Arial"/>
                <w:sz w:val="18"/>
                <w:szCs w:val="18"/>
                <w:color w:val="auto"/>
              </w:rPr>
              <w:t>10.1*</w:t>
            </w:r>
          </w:p>
        </w:tc>
        <w:tc>
          <w:tcPr>
            <w:tcW w:w="10020" w:type="dxa"/>
            <w:vAlign w:val="bottom"/>
          </w:tcPr>
          <w:p>
            <w:pPr>
              <w:ind w:left="360"/>
              <w:spacing w:after="0"/>
              <w:rPr>
                <w:sz w:val="20"/>
                <w:szCs w:val="20"/>
                <w:color w:val="auto"/>
              </w:rPr>
            </w:pPr>
            <w:r>
              <w:rPr>
                <w:rFonts w:ascii="Arial" w:cs="Arial" w:eastAsia="Arial" w:hAnsi="Arial"/>
                <w:sz w:val="18"/>
                <w:szCs w:val="18"/>
                <w:color w:val="auto"/>
                <w:w w:val="91"/>
              </w:rPr>
              <w:t>CME Group Inc. Director Stock Plan (Amended and Restated as of May 21, 2014) (incorporated by reference to Exhibit 10.1 to CME</w:t>
            </w:r>
          </w:p>
        </w:tc>
      </w:tr>
      <w:tr>
        <w:trPr>
          <w:trHeight w:val="230"/>
        </w:trPr>
        <w:tc>
          <w:tcPr>
            <w:tcW w:w="1280" w:type="dxa"/>
            <w:vAlign w:val="bottom"/>
          </w:tcPr>
          <w:p>
            <w:pPr>
              <w:spacing w:after="0"/>
              <w:rPr>
                <w:sz w:val="20"/>
                <w:szCs w:val="20"/>
                <w:color w:val="auto"/>
              </w:rPr>
            </w:pPr>
          </w:p>
        </w:tc>
        <w:tc>
          <w:tcPr>
            <w:tcW w:w="10020" w:type="dxa"/>
            <w:vAlign w:val="bottom"/>
          </w:tcPr>
          <w:p>
            <w:pPr>
              <w:ind w:left="360"/>
              <w:spacing w:after="0"/>
              <w:rPr>
                <w:sz w:val="20"/>
                <w:szCs w:val="20"/>
                <w:color w:val="auto"/>
              </w:rPr>
            </w:pPr>
            <w:r>
              <w:rPr>
                <w:rFonts w:ascii="Arial" w:cs="Arial" w:eastAsia="Arial" w:hAnsi="Arial"/>
                <w:sz w:val="18"/>
                <w:szCs w:val="18"/>
                <w:color w:val="auto"/>
              </w:rPr>
              <w:t>Group Inc.’s Form 8-K, filed with the SEC on May 28, 2014, File No. 001-31553).</w:t>
            </w:r>
          </w:p>
        </w:tc>
      </w:tr>
      <w:tr>
        <w:trPr>
          <w:trHeight w:val="634"/>
        </w:trPr>
        <w:tc>
          <w:tcPr>
            <w:tcW w:w="1280" w:type="dxa"/>
            <w:vAlign w:val="bottom"/>
          </w:tcPr>
          <w:p>
            <w:pPr>
              <w:ind w:left="40"/>
              <w:spacing w:after="0"/>
              <w:rPr>
                <w:sz w:val="20"/>
                <w:szCs w:val="20"/>
                <w:color w:val="auto"/>
              </w:rPr>
            </w:pPr>
            <w:r>
              <w:rPr>
                <w:rFonts w:ascii="Arial" w:cs="Arial" w:eastAsia="Arial" w:hAnsi="Arial"/>
                <w:sz w:val="18"/>
                <w:szCs w:val="18"/>
                <w:color w:val="auto"/>
              </w:rPr>
              <w:t>10.2*</w:t>
            </w:r>
          </w:p>
        </w:tc>
        <w:tc>
          <w:tcPr>
            <w:tcW w:w="10020" w:type="dxa"/>
            <w:vAlign w:val="bottom"/>
          </w:tcPr>
          <w:p>
            <w:pPr>
              <w:ind w:left="360"/>
              <w:spacing w:after="0"/>
              <w:rPr>
                <w:sz w:val="20"/>
                <w:szCs w:val="20"/>
                <w:color w:val="auto"/>
              </w:rPr>
            </w:pPr>
            <w:r>
              <w:rPr>
                <w:rFonts w:ascii="Arial" w:cs="Arial" w:eastAsia="Arial" w:hAnsi="Arial"/>
                <w:sz w:val="18"/>
                <w:szCs w:val="18"/>
                <w:color w:val="auto"/>
                <w:w w:val="92"/>
              </w:rPr>
              <w:t>Amended and Restated CME Group Inc. Incentive Plan for Named Executive Officers (Amended and Restated as of May 21, 2014)</w:t>
            </w:r>
          </w:p>
        </w:tc>
      </w:tr>
      <w:tr>
        <w:trPr>
          <w:trHeight w:val="230"/>
        </w:trPr>
        <w:tc>
          <w:tcPr>
            <w:tcW w:w="1280" w:type="dxa"/>
            <w:vAlign w:val="bottom"/>
          </w:tcPr>
          <w:p>
            <w:pPr>
              <w:spacing w:after="0"/>
              <w:rPr>
                <w:sz w:val="20"/>
                <w:szCs w:val="20"/>
                <w:color w:val="auto"/>
              </w:rPr>
            </w:pPr>
          </w:p>
        </w:tc>
        <w:tc>
          <w:tcPr>
            <w:tcW w:w="10020" w:type="dxa"/>
            <w:vAlign w:val="bottom"/>
          </w:tcPr>
          <w:p>
            <w:pPr>
              <w:ind w:left="360"/>
              <w:spacing w:after="0"/>
              <w:rPr>
                <w:sz w:val="20"/>
                <w:szCs w:val="20"/>
                <w:color w:val="auto"/>
              </w:rPr>
            </w:pPr>
            <w:r>
              <w:rPr>
                <w:rFonts w:ascii="Arial" w:cs="Arial" w:eastAsia="Arial" w:hAnsi="Arial"/>
                <w:sz w:val="18"/>
                <w:szCs w:val="18"/>
                <w:color w:val="auto"/>
                <w:w w:val="92"/>
              </w:rPr>
              <w:t>(incorporated by reference to Exhibit 10.2 to CME Group Inc.’s Form 8-K, filed with the SEC on May 28, 2014, File No. 001-31553).</w:t>
            </w:r>
          </w:p>
        </w:tc>
      </w:tr>
      <w:tr>
        <w:trPr>
          <w:trHeight w:val="648"/>
        </w:trPr>
        <w:tc>
          <w:tcPr>
            <w:tcW w:w="1280" w:type="dxa"/>
            <w:vAlign w:val="bottom"/>
          </w:tcPr>
          <w:p>
            <w:pPr>
              <w:ind w:left="40"/>
              <w:spacing w:after="0"/>
              <w:rPr>
                <w:sz w:val="20"/>
                <w:szCs w:val="20"/>
                <w:color w:val="auto"/>
              </w:rPr>
            </w:pPr>
            <w:r>
              <w:rPr>
                <w:rFonts w:ascii="Arial" w:cs="Arial" w:eastAsia="Arial" w:hAnsi="Arial"/>
                <w:sz w:val="18"/>
                <w:szCs w:val="18"/>
                <w:color w:val="auto"/>
              </w:rPr>
              <w:t>31.1</w:t>
            </w:r>
          </w:p>
        </w:tc>
        <w:tc>
          <w:tcPr>
            <w:tcW w:w="10020" w:type="dxa"/>
            <w:vAlign w:val="bottom"/>
          </w:tcPr>
          <w:p>
            <w:pPr>
              <w:ind w:left="360"/>
              <w:spacing w:after="0"/>
              <w:rPr>
                <w:sz w:val="20"/>
                <w:szCs w:val="20"/>
                <w:color w:val="auto"/>
              </w:rPr>
            </w:pPr>
            <w:r>
              <w:rPr>
                <w:rFonts w:ascii="Arial" w:cs="Arial" w:eastAsia="Arial" w:hAnsi="Arial"/>
                <w:sz w:val="18"/>
                <w:szCs w:val="18"/>
                <w:color w:val="auto"/>
              </w:rPr>
              <w:t>Section 302 Certification—Phupinder S. Gill</w:t>
            </w:r>
          </w:p>
        </w:tc>
      </w:tr>
      <w:tr>
        <w:trPr>
          <w:trHeight w:val="432"/>
        </w:trPr>
        <w:tc>
          <w:tcPr>
            <w:tcW w:w="1280" w:type="dxa"/>
            <w:vAlign w:val="bottom"/>
          </w:tcPr>
          <w:p>
            <w:pPr>
              <w:ind w:left="40"/>
              <w:spacing w:after="0"/>
              <w:rPr>
                <w:sz w:val="20"/>
                <w:szCs w:val="20"/>
                <w:color w:val="auto"/>
              </w:rPr>
            </w:pPr>
            <w:r>
              <w:rPr>
                <w:rFonts w:ascii="Arial" w:cs="Arial" w:eastAsia="Arial" w:hAnsi="Arial"/>
                <w:sz w:val="18"/>
                <w:szCs w:val="18"/>
                <w:color w:val="auto"/>
              </w:rPr>
              <w:t>31.2</w:t>
            </w:r>
          </w:p>
        </w:tc>
        <w:tc>
          <w:tcPr>
            <w:tcW w:w="10020" w:type="dxa"/>
            <w:vAlign w:val="bottom"/>
          </w:tcPr>
          <w:p>
            <w:pPr>
              <w:ind w:left="360"/>
              <w:spacing w:after="0"/>
              <w:rPr>
                <w:sz w:val="20"/>
                <w:szCs w:val="20"/>
                <w:color w:val="auto"/>
              </w:rPr>
            </w:pPr>
            <w:r>
              <w:rPr>
                <w:rFonts w:ascii="Arial" w:cs="Arial" w:eastAsia="Arial" w:hAnsi="Arial"/>
                <w:sz w:val="18"/>
                <w:szCs w:val="18"/>
                <w:color w:val="auto"/>
              </w:rPr>
              <w:t>Section 302 Certification—James E. Parisi</w:t>
            </w:r>
          </w:p>
        </w:tc>
      </w:tr>
      <w:tr>
        <w:trPr>
          <w:trHeight w:val="432"/>
        </w:trPr>
        <w:tc>
          <w:tcPr>
            <w:tcW w:w="1280" w:type="dxa"/>
            <w:vAlign w:val="bottom"/>
          </w:tcPr>
          <w:p>
            <w:pPr>
              <w:ind w:left="40"/>
              <w:spacing w:after="0"/>
              <w:rPr>
                <w:sz w:val="20"/>
                <w:szCs w:val="20"/>
                <w:color w:val="auto"/>
              </w:rPr>
            </w:pPr>
            <w:r>
              <w:rPr>
                <w:rFonts w:ascii="Arial" w:cs="Arial" w:eastAsia="Arial" w:hAnsi="Arial"/>
                <w:sz w:val="18"/>
                <w:szCs w:val="18"/>
                <w:color w:val="auto"/>
              </w:rPr>
              <w:t>32.1</w:t>
            </w:r>
          </w:p>
        </w:tc>
        <w:tc>
          <w:tcPr>
            <w:tcW w:w="10020" w:type="dxa"/>
            <w:vAlign w:val="bottom"/>
          </w:tcPr>
          <w:p>
            <w:pPr>
              <w:ind w:left="360"/>
              <w:spacing w:after="0"/>
              <w:rPr>
                <w:sz w:val="20"/>
                <w:szCs w:val="20"/>
                <w:color w:val="auto"/>
              </w:rPr>
            </w:pPr>
            <w:r>
              <w:rPr>
                <w:rFonts w:ascii="Arial" w:cs="Arial" w:eastAsia="Arial" w:hAnsi="Arial"/>
                <w:sz w:val="18"/>
                <w:szCs w:val="18"/>
                <w:color w:val="auto"/>
              </w:rPr>
              <w:t>Section 906 Certification</w:t>
            </w:r>
          </w:p>
        </w:tc>
      </w:tr>
      <w:tr>
        <w:trPr>
          <w:trHeight w:val="432"/>
        </w:trPr>
        <w:tc>
          <w:tcPr>
            <w:tcW w:w="1280" w:type="dxa"/>
            <w:vAlign w:val="bottom"/>
          </w:tcPr>
          <w:p>
            <w:pPr>
              <w:ind w:left="40"/>
              <w:spacing w:after="0"/>
              <w:rPr>
                <w:sz w:val="20"/>
                <w:szCs w:val="20"/>
                <w:color w:val="auto"/>
              </w:rPr>
            </w:pPr>
            <w:r>
              <w:rPr>
                <w:rFonts w:ascii="Arial" w:cs="Arial" w:eastAsia="Arial" w:hAnsi="Arial"/>
                <w:sz w:val="18"/>
                <w:szCs w:val="18"/>
                <w:color w:val="auto"/>
              </w:rPr>
              <w:t>101.INS</w:t>
            </w:r>
          </w:p>
        </w:tc>
        <w:tc>
          <w:tcPr>
            <w:tcW w:w="10020" w:type="dxa"/>
            <w:vAlign w:val="bottom"/>
          </w:tcPr>
          <w:p>
            <w:pPr>
              <w:ind w:left="360"/>
              <w:spacing w:after="0"/>
              <w:rPr>
                <w:sz w:val="20"/>
                <w:szCs w:val="20"/>
                <w:color w:val="auto"/>
              </w:rPr>
            </w:pPr>
            <w:r>
              <w:rPr>
                <w:rFonts w:ascii="Arial" w:cs="Arial" w:eastAsia="Arial" w:hAnsi="Arial"/>
                <w:sz w:val="18"/>
                <w:szCs w:val="18"/>
                <w:color w:val="auto"/>
              </w:rPr>
              <w:t>XBRL Instance Document</w:t>
            </w:r>
          </w:p>
        </w:tc>
      </w:tr>
      <w:tr>
        <w:trPr>
          <w:trHeight w:val="432"/>
        </w:trPr>
        <w:tc>
          <w:tcPr>
            <w:tcW w:w="1280" w:type="dxa"/>
            <w:vAlign w:val="bottom"/>
          </w:tcPr>
          <w:p>
            <w:pPr>
              <w:ind w:left="40"/>
              <w:spacing w:after="0"/>
              <w:rPr>
                <w:sz w:val="20"/>
                <w:szCs w:val="20"/>
                <w:color w:val="auto"/>
              </w:rPr>
            </w:pPr>
            <w:r>
              <w:rPr>
                <w:rFonts w:ascii="Arial" w:cs="Arial" w:eastAsia="Arial" w:hAnsi="Arial"/>
                <w:sz w:val="18"/>
                <w:szCs w:val="18"/>
                <w:color w:val="auto"/>
              </w:rPr>
              <w:t>101.SCH</w:t>
            </w:r>
          </w:p>
        </w:tc>
        <w:tc>
          <w:tcPr>
            <w:tcW w:w="10020" w:type="dxa"/>
            <w:vAlign w:val="bottom"/>
          </w:tcPr>
          <w:p>
            <w:pPr>
              <w:ind w:left="36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280" w:type="dxa"/>
            <w:vAlign w:val="bottom"/>
          </w:tcPr>
          <w:p>
            <w:pPr>
              <w:ind w:left="40"/>
              <w:spacing w:after="0"/>
              <w:rPr>
                <w:sz w:val="20"/>
                <w:szCs w:val="20"/>
                <w:color w:val="auto"/>
              </w:rPr>
            </w:pPr>
            <w:r>
              <w:rPr>
                <w:rFonts w:ascii="Arial" w:cs="Arial" w:eastAsia="Arial" w:hAnsi="Arial"/>
                <w:sz w:val="18"/>
                <w:szCs w:val="18"/>
                <w:color w:val="auto"/>
              </w:rPr>
              <w:t>101.CAL</w:t>
            </w:r>
          </w:p>
        </w:tc>
        <w:tc>
          <w:tcPr>
            <w:tcW w:w="10020" w:type="dxa"/>
            <w:vAlign w:val="bottom"/>
          </w:tcPr>
          <w:p>
            <w:pPr>
              <w:ind w:left="36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1280" w:type="dxa"/>
            <w:vAlign w:val="bottom"/>
          </w:tcPr>
          <w:p>
            <w:pPr>
              <w:ind w:left="40"/>
              <w:spacing w:after="0"/>
              <w:rPr>
                <w:sz w:val="20"/>
                <w:szCs w:val="20"/>
                <w:color w:val="auto"/>
              </w:rPr>
            </w:pPr>
            <w:r>
              <w:rPr>
                <w:rFonts w:ascii="Arial" w:cs="Arial" w:eastAsia="Arial" w:hAnsi="Arial"/>
                <w:sz w:val="18"/>
                <w:szCs w:val="18"/>
                <w:color w:val="auto"/>
              </w:rPr>
              <w:t>101.DEF</w:t>
            </w:r>
          </w:p>
        </w:tc>
        <w:tc>
          <w:tcPr>
            <w:tcW w:w="10020" w:type="dxa"/>
            <w:vAlign w:val="bottom"/>
          </w:tcPr>
          <w:p>
            <w:pPr>
              <w:ind w:left="360"/>
              <w:spacing w:after="0"/>
              <w:rPr>
                <w:sz w:val="20"/>
                <w:szCs w:val="20"/>
                <w:color w:val="auto"/>
              </w:rPr>
            </w:pPr>
            <w:r>
              <w:rPr>
                <w:rFonts w:ascii="Arial" w:cs="Arial" w:eastAsia="Arial" w:hAnsi="Arial"/>
                <w:sz w:val="18"/>
                <w:szCs w:val="18"/>
                <w:color w:val="auto"/>
              </w:rPr>
              <w:t>XBRL Taxonomy Extension Definition Linkbase</w:t>
            </w:r>
          </w:p>
        </w:tc>
      </w:tr>
      <w:tr>
        <w:trPr>
          <w:trHeight w:val="432"/>
        </w:trPr>
        <w:tc>
          <w:tcPr>
            <w:tcW w:w="1280" w:type="dxa"/>
            <w:vAlign w:val="bottom"/>
          </w:tcPr>
          <w:p>
            <w:pPr>
              <w:ind w:left="40"/>
              <w:spacing w:after="0"/>
              <w:rPr>
                <w:sz w:val="20"/>
                <w:szCs w:val="20"/>
                <w:color w:val="auto"/>
              </w:rPr>
            </w:pPr>
            <w:r>
              <w:rPr>
                <w:rFonts w:ascii="Arial" w:cs="Arial" w:eastAsia="Arial" w:hAnsi="Arial"/>
                <w:sz w:val="18"/>
                <w:szCs w:val="18"/>
                <w:color w:val="auto"/>
              </w:rPr>
              <w:t>101.LAB</w:t>
            </w:r>
          </w:p>
        </w:tc>
        <w:tc>
          <w:tcPr>
            <w:tcW w:w="10020" w:type="dxa"/>
            <w:vAlign w:val="bottom"/>
          </w:tcPr>
          <w:p>
            <w:pPr>
              <w:ind w:left="360"/>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1280" w:type="dxa"/>
            <w:vAlign w:val="bottom"/>
          </w:tcPr>
          <w:p>
            <w:pPr>
              <w:ind w:left="40"/>
              <w:spacing w:after="0"/>
              <w:rPr>
                <w:sz w:val="20"/>
                <w:szCs w:val="20"/>
                <w:color w:val="auto"/>
              </w:rPr>
            </w:pPr>
            <w:r>
              <w:rPr>
                <w:rFonts w:ascii="Arial" w:cs="Arial" w:eastAsia="Arial" w:hAnsi="Arial"/>
                <w:sz w:val="18"/>
                <w:szCs w:val="18"/>
                <w:color w:val="auto"/>
              </w:rPr>
              <w:t>101.PRE</w:t>
            </w:r>
          </w:p>
        </w:tc>
        <w:tc>
          <w:tcPr>
            <w:tcW w:w="10020" w:type="dxa"/>
            <w:vAlign w:val="bottom"/>
          </w:tcPr>
          <w:p>
            <w:pPr>
              <w:ind w:left="36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or arrangement.</w:t>
      </w:r>
    </w:p>
    <w:p>
      <w:pPr>
        <w:sectPr>
          <w:pgSz w:w="11900" w:h="16838" w:orient="portrait"/>
          <w:cols w:equalWidth="0" w:num="1">
            <w:col w:w="11300"/>
          </w:cols>
          <w:pgMar w:left="240" w:top="10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300"/>
          </w:cols>
          <w:pgMar w:left="240" w:top="108" w:right="359" w:bottom="1440" w:gutter="0" w:footer="0" w:header="0"/>
          <w:type w:val="continuous"/>
        </w:sectPr>
      </w:pPr>
    </w:p>
    <w:bookmarkStart w:id="29" w:name="page30"/>
    <w:bookmarkEnd w:id="29"/>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CME Group Inc.</w:t>
      </w:r>
    </w:p>
    <w:p>
      <w:pPr>
        <w:spacing w:after="0" w:line="2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(Registrant)</w:t>
      </w:r>
    </w:p>
    <w:p>
      <w:pPr>
        <w:spacing w:after="0" w:line="373" w:lineRule="exact"/>
        <w:rPr>
          <w:sz w:val="20"/>
          <w:szCs w:val="20"/>
          <w:color w:val="auto"/>
        </w:rPr>
      </w:pPr>
    </w:p>
    <w:p>
      <w:pPr>
        <w:ind w:left="40"/>
        <w:spacing w:after="0"/>
        <w:tabs>
          <w:tab w:leader="none" w:pos="5160" w:val="left"/>
          <w:tab w:leader="none" w:pos="8060" w:val="left"/>
        </w:tabs>
        <w:rPr>
          <w:sz w:val="20"/>
          <w:szCs w:val="20"/>
          <w:color w:val="auto"/>
        </w:rPr>
      </w:pPr>
      <w:r>
        <w:rPr>
          <w:rFonts w:ascii="Arial" w:cs="Arial" w:eastAsia="Arial" w:hAnsi="Arial"/>
          <w:sz w:val="18"/>
          <w:szCs w:val="18"/>
          <w:color w:val="auto"/>
        </w:rPr>
        <w:t>Dated: August 4,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James E. Parisi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3"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Chief Financial Officer &amp; Senior Managing</w:t>
      </w:r>
    </w:p>
    <w:p>
      <w:pPr>
        <w:spacing w:after="0" w:line="27"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Director Finance</w:t>
      </w:r>
    </w:p>
    <w:p>
      <w:pPr>
        <w:spacing w:after="0" w:line="9" w:lineRule="exact"/>
        <w:rPr>
          <w:sz w:val="20"/>
          <w:szCs w:val="20"/>
          <w:color w:val="auto"/>
        </w:rPr>
      </w:pPr>
    </w:p>
    <w:p>
      <w:pPr>
        <w:jc w:val="center"/>
        <w:ind w:left="6060"/>
        <w:spacing w:after="0"/>
        <w:rPr>
          <w:sz w:val="20"/>
          <w:szCs w:val="20"/>
          <w:color w:val="auto"/>
        </w:rPr>
      </w:pPr>
      <w:r>
        <w:rPr>
          <w:rFonts w:ascii="Arial" w:cs="Arial" w:eastAsia="Arial" w:hAnsi="Arial"/>
          <w:sz w:val="18"/>
          <w:szCs w:val="18"/>
          <w:b w:val="1"/>
          <w:bCs w:val="1"/>
          <w:color w:val="auto"/>
        </w:rPr>
        <w:t>and Corporate Development</w:t>
      </w:r>
    </w:p>
    <w:p>
      <w:pPr>
        <w:spacing w:after="0" w:line="26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240" w:top="580" w:right="4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Phupinder S. Gill, certify that:</w:t>
      </w:r>
    </w:p>
    <w:p>
      <w:pPr>
        <w:spacing w:after="0" w:line="171" w:lineRule="exact"/>
        <w:rPr>
          <w:sz w:val="20"/>
          <w:szCs w:val="20"/>
          <w:color w:val="auto"/>
        </w:rPr>
      </w:pPr>
    </w:p>
    <w:p>
      <w:pPr>
        <w:ind w:left="840" w:hanging="184"/>
        <w:spacing w:after="0"/>
        <w:tabs>
          <w:tab w:leader="none" w:pos="8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report on Form 10-Q of CME Group Inc.;</w:t>
      </w:r>
    </w:p>
    <w:p>
      <w:pPr>
        <w:spacing w:after="0" w:line="171" w:lineRule="exact"/>
        <w:rPr>
          <w:rFonts w:ascii="Arial" w:cs="Arial" w:eastAsia="Arial" w:hAnsi="Arial"/>
          <w:sz w:val="18"/>
          <w:szCs w:val="18"/>
          <w:color w:val="auto"/>
        </w:rPr>
      </w:pPr>
    </w:p>
    <w:p>
      <w:pPr>
        <w:ind w:right="120" w:firstLine="656"/>
        <w:spacing w:after="0" w:line="342" w:lineRule="auto"/>
        <w:tabs>
          <w:tab w:leader="none" w:pos="828"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80" w:firstLine="656"/>
        <w:spacing w:after="0" w:line="277" w:lineRule="auto"/>
        <w:tabs>
          <w:tab w:leader="none" w:pos="828"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right="260" w:firstLine="656"/>
        <w:spacing w:after="0" w:line="264" w:lineRule="auto"/>
        <w:tabs>
          <w:tab w:leader="none" w:pos="82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ind w:right="360" w:firstLine="656"/>
        <w:spacing w:after="0" w:line="264" w:lineRule="auto"/>
        <w:tabs>
          <w:tab w:leader="none" w:pos="833"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right="20" w:firstLine="656"/>
        <w:spacing w:after="0" w:line="264" w:lineRule="auto"/>
        <w:tabs>
          <w:tab w:leader="none" w:pos="843"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880" w:firstLine="656"/>
        <w:spacing w:after="0" w:line="342" w:lineRule="auto"/>
        <w:tabs>
          <w:tab w:leader="none" w:pos="833" w:val="left"/>
        </w:tabs>
        <w:numPr>
          <w:ilvl w:val="0"/>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right="140" w:firstLine="656"/>
        <w:spacing w:after="0" w:line="264" w:lineRule="auto"/>
        <w:tabs>
          <w:tab w:leader="none" w:pos="843"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firstLine="656"/>
        <w:spacing w:after="0" w:line="277" w:lineRule="auto"/>
        <w:tabs>
          <w:tab w:leader="none" w:pos="82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16" w:lineRule="exact"/>
        <w:rPr>
          <w:sz w:val="20"/>
          <w:szCs w:val="20"/>
          <w:color w:val="auto"/>
        </w:rPr>
      </w:pPr>
    </w:p>
    <w:p>
      <w:pPr>
        <w:ind w:right="260" w:firstLine="656"/>
        <w:spacing w:after="0" w:line="277" w:lineRule="auto"/>
        <w:tabs>
          <w:tab w:leader="none" w:pos="833"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220" w:firstLine="656"/>
        <w:spacing w:after="0" w:line="277" w:lineRule="auto"/>
        <w:tabs>
          <w:tab w:leader="none" w:pos="843"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August 4, 2014</w:t>
      </w:r>
      <w:r>
        <w:rPr>
          <w:sz w:val="20"/>
          <w:szCs w:val="20"/>
          <w:color w:val="auto"/>
        </w:rPr>
        <w:tab/>
      </w:r>
      <w:r>
        <w:rPr>
          <w:rFonts w:ascii="Arial" w:cs="Arial" w:eastAsia="Arial" w:hAnsi="Arial"/>
          <w:sz w:val="16"/>
          <w:szCs w:val="16"/>
          <w:color w:val="auto"/>
        </w:rPr>
        <w:t>/s/ Phupinder S. Gill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Phupinder S. Gill</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420"/>
          </w:cols>
          <w:pgMar w:left="240" w:top="661"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James E. Parisi, certify that:</w:t>
      </w:r>
    </w:p>
    <w:p>
      <w:pPr>
        <w:spacing w:after="0" w:line="171" w:lineRule="exact"/>
        <w:rPr>
          <w:sz w:val="20"/>
          <w:szCs w:val="20"/>
          <w:color w:val="auto"/>
        </w:rPr>
      </w:pPr>
    </w:p>
    <w:p>
      <w:pPr>
        <w:ind w:left="840" w:hanging="184"/>
        <w:spacing w:after="0"/>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report on Form 10-Q of CME Group Inc.;</w:t>
      </w:r>
    </w:p>
    <w:p>
      <w:pPr>
        <w:spacing w:after="0" w:line="171" w:lineRule="exact"/>
        <w:rPr>
          <w:rFonts w:ascii="Arial" w:cs="Arial" w:eastAsia="Arial" w:hAnsi="Arial"/>
          <w:sz w:val="18"/>
          <w:szCs w:val="18"/>
          <w:color w:val="auto"/>
        </w:rPr>
      </w:pPr>
    </w:p>
    <w:p>
      <w:pPr>
        <w:ind w:right="120" w:firstLine="656"/>
        <w:spacing w:after="0" w:line="342" w:lineRule="auto"/>
        <w:tabs>
          <w:tab w:leader="none" w:pos="828"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80" w:firstLine="656"/>
        <w:spacing w:after="0" w:line="277" w:lineRule="auto"/>
        <w:tabs>
          <w:tab w:leader="none" w:pos="828"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right="260" w:firstLine="656"/>
        <w:spacing w:after="0" w:line="264" w:lineRule="auto"/>
        <w:tabs>
          <w:tab w:leader="none" w:pos="82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ind w:right="360" w:firstLine="656"/>
        <w:spacing w:after="0" w:line="264" w:lineRule="auto"/>
        <w:tabs>
          <w:tab w:leader="none" w:pos="833"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right="20" w:firstLine="656"/>
        <w:spacing w:after="0" w:line="264" w:lineRule="auto"/>
        <w:tabs>
          <w:tab w:leader="none" w:pos="843"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880" w:firstLine="656"/>
        <w:spacing w:after="0" w:line="342" w:lineRule="auto"/>
        <w:tabs>
          <w:tab w:leader="none" w:pos="833" w:val="left"/>
        </w:tabs>
        <w:numPr>
          <w:ilvl w:val="0"/>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right="140" w:firstLine="656"/>
        <w:spacing w:after="0" w:line="264" w:lineRule="auto"/>
        <w:tabs>
          <w:tab w:leader="none" w:pos="843"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firstLine="656"/>
        <w:spacing w:after="0" w:line="277" w:lineRule="auto"/>
        <w:tabs>
          <w:tab w:leader="none" w:pos="8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16" w:lineRule="exact"/>
        <w:rPr>
          <w:sz w:val="20"/>
          <w:szCs w:val="20"/>
          <w:color w:val="auto"/>
        </w:rPr>
      </w:pPr>
    </w:p>
    <w:p>
      <w:pPr>
        <w:ind w:right="260" w:firstLine="656"/>
        <w:spacing w:after="0" w:line="277" w:lineRule="auto"/>
        <w:tabs>
          <w:tab w:leader="none" w:pos="833"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220" w:firstLine="656"/>
        <w:spacing w:after="0" w:line="277" w:lineRule="auto"/>
        <w:tabs>
          <w:tab w:leader="none" w:pos="843"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0"/>
        <w:spacing w:after="0"/>
        <w:tabs>
          <w:tab w:leader="none" w:pos="5840" w:val="left"/>
        </w:tabs>
        <w:rPr>
          <w:sz w:val="20"/>
          <w:szCs w:val="20"/>
          <w:color w:val="auto"/>
        </w:rPr>
      </w:pPr>
      <w:r>
        <w:rPr>
          <w:rFonts w:ascii="Arial" w:cs="Arial" w:eastAsia="Arial" w:hAnsi="Arial"/>
          <w:sz w:val="18"/>
          <w:szCs w:val="18"/>
          <w:color w:val="auto"/>
        </w:rPr>
        <w:t>Date: August 4, 2014</w:t>
      </w:r>
      <w:r>
        <w:rPr>
          <w:sz w:val="20"/>
          <w:szCs w:val="20"/>
          <w:color w:val="auto"/>
        </w:rPr>
        <w:tab/>
      </w:r>
      <w:r>
        <w:rPr>
          <w:rFonts w:ascii="Arial" w:cs="Arial" w:eastAsia="Arial" w:hAnsi="Arial"/>
          <w:sz w:val="15"/>
          <w:szCs w:val="15"/>
          <w:color w:val="auto"/>
        </w:rPr>
        <w:t>/s/ James E. Parisi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Name: James E. Parisi</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420"/>
          </w:cols>
          <w:pgMar w:left="240" w:top="661"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76" w:lineRule="exact"/>
        <w:rPr>
          <w:sz w:val="20"/>
          <w:szCs w:val="20"/>
          <w:color w:val="auto"/>
        </w:rPr>
      </w:pPr>
    </w:p>
    <w:p>
      <w:pPr>
        <w:jc w:val="both"/>
        <w:ind w:right="180" w:firstLine="648"/>
        <w:spacing w:after="0" w:line="259" w:lineRule="auto"/>
        <w:rPr>
          <w:sz w:val="20"/>
          <w:szCs w:val="20"/>
          <w:color w:val="auto"/>
        </w:rPr>
      </w:pPr>
      <w:r>
        <w:rPr>
          <w:rFonts w:ascii="Arial" w:cs="Arial" w:eastAsia="Arial" w:hAnsi="Arial"/>
          <w:sz w:val="18"/>
          <w:szCs w:val="18"/>
          <w:color w:val="auto"/>
        </w:rPr>
        <w:t>In connection with the Quarterly Report on Form 10-Q of CME Group Inc. (the “Company”) for the quarter ended June 30, 2014 as filed with the Securities and Exchange Commission on the date hereof (the “Report”), Phupinder S. Gill, as Chief Executive Officer of the Company, and James E. Parisi, as Chief Financial Officer of the Company, each hereby certifies, pursuant to 18 U.S.C. § 1350, as adopted pursuant to § 906 of the Sarbanes-Oxley Act of 2002, that, to the best of his knowledge:</w:t>
      </w:r>
    </w:p>
    <w:p>
      <w:pPr>
        <w:spacing w:after="0" w:line="133" w:lineRule="exact"/>
        <w:rPr>
          <w:sz w:val="20"/>
          <w:szCs w:val="20"/>
          <w:color w:val="auto"/>
        </w:rPr>
      </w:pPr>
    </w:p>
    <w:p>
      <w:pPr>
        <w:ind w:left="1560" w:hanging="255"/>
        <w:spacing w:after="0"/>
        <w:tabs>
          <w:tab w:leader="none" w:pos="15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1560" w:hanging="255"/>
        <w:spacing w:after="0"/>
        <w:tabs>
          <w:tab w:leader="none" w:pos="15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 Phupinder S. Gill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Name: Phupinder S. Gill</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Title: Chief Executive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2014</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James E. Parisi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James E. Parisi</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Chief Financial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2014</w:t>
      </w:r>
    </w:p>
    <w:p>
      <w:pPr>
        <w:spacing w:after="0" w:line="171" w:lineRule="exact"/>
        <w:rPr>
          <w:sz w:val="20"/>
          <w:szCs w:val="20"/>
          <w:color w:val="auto"/>
        </w:rPr>
      </w:pPr>
    </w:p>
    <w:p>
      <w:pPr>
        <w:ind w:right="300" w:firstLine="648"/>
        <w:spacing w:after="0" w:line="308" w:lineRule="auto"/>
        <w:rPr>
          <w:sz w:val="20"/>
          <w:szCs w:val="20"/>
          <w:color w:val="auto"/>
        </w:rPr>
      </w:pPr>
      <w:r>
        <w:rPr>
          <w:rFonts w:ascii="Arial" w:cs="Arial" w:eastAsia="Arial" w:hAnsi="Arial"/>
          <w:sz w:val="17"/>
          <w:szCs w:val="17"/>
          <w:color w:val="auto"/>
        </w:rPr>
        <w:t>This certification accompanies the Report pursuant to § 906 of the Sarbanes-Oxley Act of 2002 and shall not, except to the extent required by the Sarbanes-Oxley Act of 2002, be deemed filed by the Company for purposes of §18 of the Securities Exchange Act of 1934, as amended.</w:t>
      </w:r>
    </w:p>
    <w:p>
      <w:pPr>
        <w:spacing w:after="0" w:line="93"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A signed original of this written statement required by § 906 of the Sarbanes-Oxley Act of 2002 has been provided to the Company and will be retained by the Company and furnished to the Securities and Exchange Commission or its staff upon request.</w:t>
      </w:r>
    </w:p>
    <w:sectPr>
      <w:pgSz w:w="11900" w:h="16838" w:orient="portrait"/>
      <w:cols w:equalWidth="0" w:num="1">
        <w:col w:w="11420"/>
      </w:cols>
      <w:pgMar w:left="240" w:top="66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lvl w:ilvl="1">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1)"/>
      <w:numFmt w:val="decimal"/>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1)"/>
      <w:numFmt w:val="lowerLetter"/>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1)"/>
      <w:numFmt w:val="lowerLetter"/>
      <w:start w:val="1"/>
    </w:lvl>
  </w:abstractNum>
  <w:abstractNum w:abstractNumId="15">
    <w:nsid w:val="7C83E458"/>
    <w:multiLevelType w:val="hybridMultilevel"/>
    <w:lvl w:ilvl="0">
      <w:lvlJc w:val="left"/>
      <w:lvlText w:val="%1."/>
      <w:numFmt w:val="decimal"/>
      <w:start w:val="5"/>
    </w:lvl>
  </w:abstractNum>
  <w:abstractNum w:abstractNumId="16">
    <w:nsid w:val="257130A3"/>
    <w:multiLevelType w:val="hybridMultilevel"/>
    <w:lvl w:ilvl="0">
      <w:lvlJc w:val="left"/>
      <w:lvlText w:val="%1)"/>
      <w:numFmt w:val="lowerLetter"/>
      <w:start w:val="1"/>
    </w:lvl>
  </w:abstractNum>
  <w:abstractNum w:abstractNumId="17">
    <w:nsid w:val="62BBD95A"/>
    <w:multiLevelType w:val="hybridMultilevel"/>
    <w:lvl w:ilvl="0">
      <w:lvlJc w:val="left"/>
      <w:lvlText w:val="%1."/>
      <w:numFmt w:val="decimal"/>
      <w:start w:val="1"/>
    </w:lvl>
  </w:abstractNum>
  <w:abstractNum w:abstractNumId="18">
    <w:nsid w:val="436C6125"/>
    <w:multiLevelType w:val="hybridMultilevel"/>
    <w:lvl w:ilvl="0">
      <w:lvlJc w:val="left"/>
      <w:lvlText w:val="%1)"/>
      <w:numFmt w:val="lowerLetter"/>
      <w:start w:val="1"/>
    </w:lvl>
  </w:abstractNum>
  <w:abstractNum w:abstractNumId="19">
    <w:nsid w:val="628C895D"/>
    <w:multiLevelType w:val="hybridMultilevel"/>
    <w:lvl w:ilvl="0">
      <w:lvlJc w:val="left"/>
      <w:lvlText w:val="%1."/>
      <w:numFmt w:val="decimal"/>
      <w:start w:val="5"/>
    </w:lvl>
  </w:abstractNum>
  <w:abstractNum w:abstractNumId="20">
    <w:nsid w:val="333AB105"/>
    <w:multiLevelType w:val="hybridMultilevel"/>
    <w:lvl w:ilvl="0">
      <w:lvlJc w:val="left"/>
      <w:lvlText w:val="%1)"/>
      <w:numFmt w:val="lowerLetter"/>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2019-12-07T01:47:41Z</dcterms:created>
  <dcterms:modified xsi:type="dcterms:W3CDTF">2019-12-07T01:47:41Z</dcterms:modified>
</cp:coreProperties>
</file>