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7" w:lineRule="exact"/>
        <w:rPr>
          <w:sz w:val="24"/>
          <w:szCs w:val="24"/>
          <w:color w:val="auto"/>
        </w:rPr>
      </w:pPr>
    </w:p>
    <w:p>
      <w:pPr>
        <w:ind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April 8, 2026 was as follows: 362,356,209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Consolidated Balance Sheets at March 31, 2026 and December 31, 2025</w:t>
            </w:r>
          </w:p>
        </w:tc>
        <w:tc>
          <w:tcPr>
            <w:tcW w:w="49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Ended March 31, 2026 and 2025</w:t>
            </w:r>
          </w:p>
        </w:tc>
        <w:tc>
          <w:tcPr>
            <w:tcW w:w="406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Ended March 31, 2026 and 2025</w:t>
            </w:r>
          </w:p>
        </w:tc>
        <w:tc>
          <w:tcPr>
            <w:tcW w:w="3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Ended March 31, 2026 and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Quarters Ended March 31, 2026 and 2025</w:t>
            </w:r>
          </w:p>
        </w:tc>
        <w:tc>
          <w:tcPr>
            <w:tcW w:w="3780" w:type="dxa"/>
            <w:vAlign w:val="bottom"/>
            <w:gridSpan w:val="3"/>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5"/>
          </w:tcPr>
          <w:p>
            <w:pPr>
              <w:spacing w:after="0"/>
              <w:rPr>
                <w:sz w:val="22"/>
                <w:szCs w:val="22"/>
                <w:color w:val="auto"/>
              </w:rPr>
            </w:pPr>
          </w:p>
        </w:tc>
        <w:tc>
          <w:tcPr>
            <w:tcW w:w="3460" w:type="dxa"/>
            <w:vAlign w:val="bottom"/>
            <w:gridSpan w:val="2"/>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83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7"/>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380" w:type="dxa"/>
            <w:vAlign w:val="bottom"/>
            <w:gridSpan w:val="13"/>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Unless otherwise noted, all amounts regarding contract volume and average rate per contract are for CME Group's listed futures and options on futures contracts and exclude CME Group's event contracts.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9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7"/>
          <w:szCs w:val="17"/>
          <w:color w:val="auto"/>
        </w:rPr>
        <w:t>CME Group, the Globe logo, CME, Chicago Mercantile Exchange, Globex, and E-mini are trademarks of Chicago Mercantile Exchange Inc. (CME), CBOT and Chicago Board of Trade are trademarks of Board of Trade of the City of Chicago, Inc. NYMEX, New York Mercantile Exchange and ClearPort</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are trademarks of New York Mercantile Exchange, Inc. COMEX is a trademark of Commodity Exchange, Inc. BrokerTec is a trademark of BrokerTec Americas LLC and EBS is a trademark of EBS Group Limited. Dow Jones, Dow Jones Industrial Average, S&amp;P 500 and S&amp;P are service and/or trademarks of Dow Jones Trademark Holdings LLC, Standard &amp; Poor's Financial Services LLC and S&amp;P Dow Jones Indices LLC, as the case may be, and have been licensed for use by CME. All other trademarks are the property of their respective owners.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9" w:lineRule="exact"/>
        <w:rPr>
          <w:sz w:val="20"/>
          <w:szCs w:val="20"/>
          <w:color w:val="auto"/>
        </w:rPr>
      </w:pPr>
    </w:p>
    <w:p>
      <w:pPr>
        <w:ind w:left="660" w:right="8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 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variable costs associated with CME Group's transition to the Google Cloud, and minimizing the duplicative costs of maintaining both on-premise and Google Cloud environments during the transition;</w:t>
      </w:r>
    </w:p>
    <w:p>
      <w:pPr>
        <w:spacing w:after="0" w:line="1"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resilience of our electronic platforms and the soundness of our business continuity and disaster recovery plans, including in the event of cyberattacks and cyberterrorism or as impacted by a failure of or disruption at one of our suppliers;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restrictions on our ability to offer CME Group products and services in specific geographies or to specific customers or limitations or changes in underlying/physical product flows across geographies;</w:t>
      </w:r>
    </w:p>
    <w:p>
      <w:pPr>
        <w:spacing w:after="0" w:line="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7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6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third-party providers and exposure to risk from third parties, including risks related to the performance, reliability and security of technology used by, or facilities provided by, our third-party providers and third-party providers that our clients and third-parties rely on;</w:t>
      </w:r>
    </w:p>
    <w:p>
      <w:pPr>
        <w:ind w:left="660" w:right="2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distribution partners, including independent software vendors (ISVs), futures commission merchants (FCMs), introducing brokers, broker-dealers, regulatory reporting and data distributors and platform operators, and other partners, for facilitating trading and for market data information, and potential impacts from changes in their business models and priorities;</w:t>
      </w:r>
    </w:p>
    <w:p>
      <w:pPr>
        <w:spacing w:after="0" w:line="1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 economic, social, political and market conditions, including the volatility of the capital and credit markets and the impact of economic conditions on the trading activity of our current and potential customers;</w:t>
      </w:r>
    </w:p>
    <w:p>
      <w:pPr>
        <w:spacing w:after="0" w:line="1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market data and order transaction traffic across the entire trade cycle and the ability to implement enhancements meeting our regulatory obligations and customer needs without failure or degradation of the performance of our trading and clearing systems;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and benefits from our strategy for acquisitions, investments, alliances, strategic partnerships and joint ventures;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pricing/fee level and structure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2025, filed with the Securities and Exchange Commission on February 26, 2026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$9.5 and $10.0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$6.4 and $6.5 in 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159,656.1</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165,359.3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$1,028.3 and $1,005.7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2,610.7</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10,514.7</w:t>
            </w:r>
          </w:p>
        </w:tc>
      </w:tr>
      <w:tr>
        <w:trPr>
          <w:trHeight w:val="229"/>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198,424.2</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159,656.1</w:t>
            </w: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160,296.7</w:t>
            </w:r>
          </w:p>
        </w:tc>
      </w:tr>
      <w:tr>
        <w:trPr>
          <w:trHeight w:val="230"/>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5,242.2</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169,696.0</w:t>
            </w:r>
          </w:p>
        </w:tc>
      </w:tr>
      <w:tr>
        <w:trPr>
          <w:trHeight w:val="142"/>
        </w:trPr>
        <w:tc>
          <w:tcPr>
            <w:tcW w:w="4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at March 31, 2026 and December 31, 2025;</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no shares issued and outstanding as of March 31, 2026 and 4,584 issued and outstanding as of</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March 31, 2026 and</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31, 2025; 361,790 and 358,950 shares issued and outstanding as of March 31, 2026 and</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March 31,</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22,209.5</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6,433.2</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28,728.2</w:t>
            </w: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201,993.5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198,424.2</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6"/>
                <w:szCs w:val="16"/>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359,613</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360,227</w:t>
            </w:r>
          </w:p>
        </w:tc>
      </w:tr>
    </w:tbl>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6"/>
                <w:szCs w:val="16"/>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investments: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6"/>
        </w:trPr>
        <w:tc>
          <w:tcPr>
            <w:tcW w:w="83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of net unrealized (gains) losses to interest expense and other non-operating income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8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(dollars in millions, except per share data; shares in thousands)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right="1220"/>
        <w:spacing w:after="0" w:line="276" w:lineRule="auto"/>
        <w:rPr>
          <w:sz w:val="20"/>
          <w:szCs w:val="20"/>
          <w:color w:val="auto"/>
        </w:rPr>
      </w:pPr>
      <w:r>
        <w:rPr>
          <w:rFonts w:ascii="Times New Roman" w:cs="Times New Roman" w:eastAsia="Times New Roman" w:hAnsi="Times New Roman"/>
          <w:sz w:val="18"/>
          <w:szCs w:val="18"/>
          <w:color w:val="auto"/>
        </w:rPr>
        <w:t>Balance at December 31, 2025 Net income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Dividends on common stock of $7.45 per share</w:t>
      </w:r>
    </w:p>
    <w:p>
      <w:pPr>
        <w:spacing w:after="0" w:line="23" w:lineRule="exact"/>
        <w:rPr>
          <w:sz w:val="20"/>
          <w:szCs w:val="20"/>
          <w:color w:val="auto"/>
        </w:rPr>
      </w:pPr>
    </w:p>
    <w:p>
      <w:pPr>
        <w:ind w:left="60"/>
        <w:spacing w:after="0" w:line="234" w:lineRule="auto"/>
        <w:rPr>
          <w:sz w:val="20"/>
          <w:szCs w:val="20"/>
          <w:color w:val="auto"/>
        </w:rPr>
      </w:pPr>
      <w:r>
        <w:rPr>
          <w:rFonts w:ascii="Times New Roman" w:cs="Times New Roman" w:eastAsia="Times New Roman" w:hAnsi="Times New Roman"/>
          <w:sz w:val="18"/>
          <w:szCs w:val="18"/>
          <w:color w:val="auto"/>
        </w:rPr>
        <w:t>Conversion of Series G preferred stock to Class A common stock</w:t>
      </w:r>
    </w:p>
    <w:p>
      <w:pPr>
        <w:spacing w:after="0" w:line="10" w:lineRule="exact"/>
        <w:rPr>
          <w:sz w:val="20"/>
          <w:szCs w:val="20"/>
          <w:color w:val="auto"/>
        </w:rPr>
      </w:pPr>
    </w:p>
    <w:p>
      <w:pPr>
        <w:ind w:left="60" w:right="20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6" w:lineRule="exact"/>
        <w:rPr>
          <w:sz w:val="20"/>
          <w:szCs w:val="20"/>
          <w:color w:val="auto"/>
        </w:rPr>
      </w:pPr>
    </w:p>
    <w:p>
      <w:pPr>
        <w:ind w:left="60" w:right="500"/>
        <w:spacing w:after="0" w:line="237" w:lineRule="auto"/>
        <w:rPr>
          <w:sz w:val="20"/>
          <w:szCs w:val="20"/>
          <w:color w:val="auto"/>
        </w:rPr>
      </w:pPr>
      <w:r>
        <w:rPr>
          <w:rFonts w:ascii="Times New Roman" w:cs="Times New Roman" w:eastAsia="Times New Roman" w:hAnsi="Times New Roman"/>
          <w:sz w:val="18"/>
          <w:szCs w:val="18"/>
          <w:color w:val="auto"/>
        </w:rPr>
        <w:t xml:space="preserve">Repurchase of Class A common stock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Stock-based compensation</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 Common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4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358,950</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22,213.1</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6,433.2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center"/>
              <w:ind w:left="60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28,728.2</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1,154.3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left="56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0" w:type="dxa"/>
            <w:vAlign w:val="bottom"/>
          </w:tcPr>
          <w:p>
            <w:pPr>
              <w:spacing w:after="0"/>
              <w:rPr>
                <w:sz w:val="1"/>
                <w:szCs w:val="1"/>
                <w:color w:val="auto"/>
              </w:rPr>
            </w:pPr>
          </w:p>
        </w:tc>
      </w:tr>
      <w:tr>
        <w:trPr>
          <w:trHeight w:val="418"/>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34"/>
        </w:trPr>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361,790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4,884.6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0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26,618.2</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-1602105</wp:posOffset>
            </wp:positionV>
            <wp:extent cx="709803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-1302385</wp:posOffset>
            </wp:positionV>
            <wp:extent cx="709803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-1010920</wp:posOffset>
            </wp:positionV>
            <wp:extent cx="709803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-479425</wp:posOffset>
            </wp:positionV>
            <wp:extent cx="709803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-187960</wp:posOffset>
            </wp:positionV>
            <wp:extent cx="70980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80"/>
            <w:col w:w="7660"/>
          </w:cols>
          <w:pgMar w:left="320" w:top="121" w:right="359" w:bottom="1440" w:gutter="0" w:footer="0" w:header="0"/>
          <w:type w:val="continuous"/>
        </w:sectPr>
      </w:pPr>
    </w:p>
    <w:p>
      <w:pPr>
        <w:spacing w:after="0" w:line="115" w:lineRule="exact"/>
        <w:rPr>
          <w:sz w:val="20"/>
          <w:szCs w:val="20"/>
          <w:color w:val="auto"/>
        </w:rPr>
      </w:pPr>
    </w:p>
    <w:p>
      <w:pPr>
        <w:ind w:right="80" w:firstLine="8"/>
        <w:spacing w:after="0" w:line="261"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December 2024, the board of directors approved a share repurchase program (the Share Repurchase Program), which authorizes the repurchase of up to $3.0 billion of CME Group Class A common stock at prevailing market prices. During the quarter ended March 31, 2026, 1,838,492 shares of outstanding Class A common stock were repurchased. The average price was $291.58 per share for a total of $536.1 million (excluding transaction tax). The remaining aggregate amount under the existing Share Repurchase Program is $2.2 billion. Shares are retired upon repurchase and not held as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Preferred Stock,</w:t>
      </w:r>
    </w:p>
    <w:p>
      <w:pPr>
        <w:jc w:val="center"/>
        <w:ind w:left="2560"/>
        <w:spacing w:after="0" w:line="221" w:lineRule="auto"/>
        <w:rPr>
          <w:sz w:val="20"/>
          <w:szCs w:val="20"/>
          <w:color w:val="auto"/>
        </w:rPr>
      </w:pPr>
      <w:r>
        <w:rPr>
          <w:rFonts w:ascii="Times New Roman" w:cs="Times New Roman" w:eastAsia="Times New Roman" w:hAnsi="Times New Roman"/>
          <w:sz w:val="14"/>
          <w:szCs w:val="14"/>
          <w:b w:val="1"/>
          <w:bCs w:val="1"/>
          <w:color w:val="auto"/>
        </w:rPr>
        <w:t>Common</w:t>
      </w:r>
    </w:p>
    <w:tbl>
      <w:tblPr>
        <w:tblLayout w:type="fixed"/>
        <w:tblInd w:w="3540" w:type="dxa"/>
        <w:tblCellMar>
          <w:top w:w="0" w:type="dxa"/>
          <w:left w:w="0" w:type="dxa"/>
          <w:bottom w:w="0" w:type="dxa"/>
          <w:right w:w="0" w:type="dxa"/>
        </w:tblCellMar>
      </w:tblPr>
      <w:tr>
        <w:trPr>
          <w:trHeight w:val="128"/>
        </w:trPr>
        <w:tc>
          <w:tcPr>
            <w:tcW w:w="8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040" w:type="dxa"/>
            <w:vAlign w:val="bottom"/>
          </w:tcPr>
          <w:p>
            <w:pPr>
              <w:spacing w:after="0"/>
              <w:rPr>
                <w:sz w:val="11"/>
                <w:szCs w:val="11"/>
                <w:color w:val="auto"/>
              </w:rPr>
            </w:pPr>
          </w:p>
        </w:tc>
        <w:tc>
          <w:tcPr>
            <w:tcW w:w="136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vMerge w:val="continue"/>
          </w:tcPr>
          <w:p>
            <w:pPr>
              <w:spacing w:after="0"/>
              <w:rPr>
                <w:sz w:val="12"/>
                <w:szCs w:val="12"/>
                <w:color w:val="auto"/>
              </w:rPr>
            </w:pPr>
          </w:p>
        </w:tc>
        <w:tc>
          <w:tcPr>
            <w:tcW w:w="13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60" w:right="160"/>
        <w:spacing w:after="0" w:line="234" w:lineRule="auto"/>
        <w:rPr>
          <w:sz w:val="20"/>
          <w:szCs w:val="20"/>
          <w:color w:val="auto"/>
        </w:rPr>
      </w:pPr>
      <w:r>
        <w:rPr>
          <w:rFonts w:ascii="Times New Roman" w:cs="Times New Roman" w:eastAsia="Times New Roman" w:hAnsi="Times New Roman"/>
          <w:sz w:val="18"/>
          <w:szCs w:val="18"/>
          <w:color w:val="auto"/>
        </w:rPr>
        <w:t>Dividends on common stock and preferred stock of $1.25 per share</w:t>
      </w:r>
    </w:p>
    <w:p>
      <w:pPr>
        <w:spacing w:after="0" w:line="10"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60" w:right="118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r>
      <w:tr>
        <w:trPr>
          <w:trHeight w:val="230"/>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419"/>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359,646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-1310640</wp:posOffset>
            </wp:positionV>
            <wp:extent cx="709803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-1010920</wp:posOffset>
            </wp:positionV>
            <wp:extent cx="70980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-599440</wp:posOffset>
            </wp:positionV>
            <wp:extent cx="709803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26606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-187960</wp:posOffset>
            </wp:positionV>
            <wp:extent cx="70980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280" w:space="120"/>
            <w:col w:w="7820"/>
          </w:cols>
          <w:pgMar w:left="320" w:top="121"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(0.8)</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(21.8)</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24765</wp:posOffset>
            </wp:positionV>
            <wp:extent cx="865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3.6</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866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 including costs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21,799.1</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20,312.0</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101,794.1</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120,694.5</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March 31, 2026 and December 31, 2025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2025, filed with the Securities and Exchange Commission (SEC) on February 26,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Newly Adopted Accounting Policies</w:t>
      </w:r>
      <w:r>
        <w:rPr>
          <w:rFonts w:ascii="Times New Roman" w:cs="Times New Roman" w:eastAsia="Times New Roman" w:hAnsi="Times New Roman"/>
          <w:sz w:val="18"/>
          <w:szCs w:val="18"/>
          <w:color w:val="auto"/>
        </w:rPr>
        <w:t>. In July 2025, the FASB issued an accounting standards update which provides a practical expedient when estimating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of expected credit losses on current accounts receivable and current contract assets. This update permits entities to assume that current conditions as of the balance sheet date do not change for the remaining life of the current accounts receivable and current contract assets. Therefore, entities will not need to develop reasonable and supportable forecasts of future economic conditions. The practical expedient must be applied consistently across all current accounts receivable and current contract assets. The Company adopted this standard on January 1, 2026, and has elected to apply the practical expedient. The adoption of this guidance did not have a material impact on our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quarters ended March 31, 2026 and 2025:</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96"/>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7"/>
                <w:szCs w:val="17"/>
                <w:color w:val="auto"/>
              </w:rPr>
            </w:pPr>
          </w:p>
        </w:tc>
      </w:tr>
      <w:tr>
        <w:trPr>
          <w:trHeight w:val="196"/>
        </w:trPr>
        <w:tc>
          <w:tcPr>
            <w:tcW w:w="9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9"/>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48"/>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9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29"/>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first quarter of 2026 were not materially impacted by any other factors. The balance of contract liabilities was $69.6 million and $16.7 million as of March 31, 2026 and December 31, 2025,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Performance Bonds and Guaranty Fund Contributions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March 31, 2026, CME maintained $144.3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restricted cash equivalents on the consolidated statements of cash flows.</w:t>
      </w:r>
    </w:p>
    <w:p>
      <w:pPr>
        <w:spacing w:after="0" w:line="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first quarter of 2026 and 2025, earnings from cash performance bond and guaranty fund contributions were $1,371.1 million and $873.6 million, respectively. In the first quarter of 2026 and 2025, expenses related to the distribution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earned on collateral reinvestments were $1,249.2 million and $804.8 million,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each business day (twice each business day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futures and options 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at the time of default related to futures and options on futures positions would be one half of a business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business day of changes in fair value of all open positions, before considering the clearing house's ability to access defaulting clearing firms' collateral.</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first quarter of 2026, the clearing house transferred an average of approximately $9.2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March 31, 2026 and December 31, 2025. The company does not have a history of significant losses recognized on performance bond collateral as posted by our clearing firms,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2026 and December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860" w:type="dxa"/>
            <w:vAlign w:val="bottom"/>
          </w:tcPr>
          <w:p>
            <w:pPr>
              <w:jc w:val="right"/>
              <w:ind w:right="196"/>
              <w:spacing w:after="0" w:line="122"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860" w:type="dxa"/>
            <w:vAlign w:val="bottom"/>
          </w:tcPr>
          <w:p>
            <w:pPr>
              <w:jc w:val="right"/>
              <w:ind w:right="176"/>
              <w:spacing w:after="0" w:line="122"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6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Total amortization expense for intangible assets was $56.1 million and $55.2 million for the quarters ended March 31, 2026 and 2025, respectively. During the quarter ended March 31, 2026, the net book value of amortizable intangible assets included $3.9 million of foreign currency translation for the period.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6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2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4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March 31, 2026 and December 31, 2025</w:t>
      </w:r>
      <w:r>
        <w:rPr>
          <w:rFonts w:ascii="Times New Roman" w:cs="Times New Roman" w:eastAsia="Times New Roman" w:hAnsi="Times New Roman"/>
          <w:sz w:val="16"/>
          <w:szCs w:val="16"/>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3"/>
        </w:trPr>
        <w:tc>
          <w:tcPr>
            <w:tcW w:w="39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5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9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March 31, 2026 and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 stated rate of 4.40%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r>
      <w:tr>
        <w:trPr>
          <w:trHeight w:val="229"/>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3,422.3</w:t>
            </w:r>
          </w:p>
        </w:tc>
      </w:tr>
      <w:tr>
        <w:trPr>
          <w:trHeight w:val="21"/>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right="440" w:hanging="328"/>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at March 31, 2026: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0" w:type="dxa"/>
            <w:vAlign w:val="bottom"/>
          </w:tcPr>
          <w:p>
            <w:pPr>
              <w:spacing w:after="0"/>
              <w:rPr>
                <w:sz w:val="16"/>
                <w:szCs w:val="16"/>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53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Contingencies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On April 16, 2025, the court granted the motion in part and denied the motion in part, and set the remaining claims for a jury trial. After a three week trial, on July 25, 2025, the jury returned a unanimous verdict in favor of the defendants on all counts. Plaintiffs have filed a post-trial motion seeking a new trial, and we expect the plaintiffs to appeal the verdict should the post-trial motions be denied.</w:t>
      </w:r>
    </w:p>
    <w:p>
      <w:pPr>
        <w:spacing w:after="0" w:line="6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 No accrual was required for contingent legal and regulatory matters as none were probable and estimable as of March 31, 2026 and December 31, 2025.</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12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4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00" w:type="dxa"/>
            <w:vAlign w:val="bottom"/>
          </w:tcPr>
          <w:p>
            <w:pPr>
              <w:spacing w:after="0"/>
              <w:rPr>
                <w:sz w:val="13"/>
                <w:szCs w:val="13"/>
                <w:color w:val="auto"/>
              </w:rPr>
            </w:pPr>
          </w:p>
        </w:tc>
      </w:tr>
      <w:tr>
        <w:trPr>
          <w:trHeight w:val="194"/>
        </w:trPr>
        <w:tc>
          <w:tcPr>
            <w:tcW w:w="7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7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0"/>
        </w:trPr>
        <w:tc>
          <w:tcPr>
            <w:tcW w:w="7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4"/>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00" w:type="dxa"/>
            <w:vAlign w:val="bottom"/>
          </w:tcPr>
          <w:p>
            <w:pPr>
              <w:spacing w:after="0"/>
              <w:rPr>
                <w:sz w:val="24"/>
                <w:szCs w:val="24"/>
                <w:color w:val="auto"/>
              </w:rPr>
            </w:pPr>
          </w:p>
        </w:tc>
      </w:tr>
      <w:tr>
        <w:trPr>
          <w:trHeight w:val="194"/>
        </w:trPr>
        <w:tc>
          <w:tcPr>
            <w:tcW w:w="7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6"/>
                <w:szCs w:val="16"/>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198.7</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210.3</w:t>
            </w:r>
          </w:p>
        </w:tc>
      </w:tr>
      <w:tr>
        <w:trPr>
          <w:trHeight w:val="270"/>
        </w:trPr>
        <w:tc>
          <w:tcPr>
            <w:tcW w:w="7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237.4</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284.2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6"/>
                <w:szCs w:val="16"/>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4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March 31, 2026 for operating and finance leases:</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7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40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7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40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Guarantees</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2027.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2027 unless either party provides advance notice of their intent to terminate. CME can maintain collateral in the form of irrevocable, standby letters of credit. At March 31, 2026, CME was contingently liable to SGX on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March 31, 2026 and December 31, 2025.</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firm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firms and customers must register with the company in advance and provide certain documentation in order to substantiate their eligibility. The company believes that its guarantee liability is nominal and therefore has not recorded any liability at March 31, 2026 and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115"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March 31, 2026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an impairment charge of $28.9 million related to two of its privately-held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The fair value of one of the investments was estimated to be zero at the impairment date and the fair value of the other investment was estimated to be $1.6 million at the impairment date. The company also recognized unrealized gains on investments of $4.8 million on equity investments without readily determinable fair values during the first quarter of 2026. The fair value of these investments were estimated to be $18.2 million at March 31, 2026. This fair value assessment was based on quantitative factors, including observable price changes. The fair value measurement of these investments are considered level 3 and non-recurring. These investments are included in other assets on the consolidated balance sheet.</w:t>
      </w:r>
    </w:p>
    <w:p>
      <w:pPr>
        <w:spacing w:after="0" w:line="12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fair values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380" w:type="dxa"/>
            <w:vAlign w:val="bottom"/>
          </w:tcPr>
          <w:p>
            <w:pPr>
              <w:spacing w:after="0"/>
              <w:rPr>
                <w:sz w:val="17"/>
                <w:szCs w:val="17"/>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4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496.1</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751.4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679.9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732.6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571.8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43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uses the two-class method for basic EPS and the if-converted method for diluted EPS. This reflects the Series G preferred stock’s status as participating securities until their 1:1 conversion into 4.6 million Class A common shares on March 5, 2026. Under the two-class method, undistributed or overdistributed earnings are allocated to common stock and participating securities according to their respective rights in undistributed or overdistributed earnings, as if all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the shares of the Series G preferred stock have a contractual obligation to share in profits and losses of the company. Diluted earnings per share is computed using the if-converted method for the Series G preferred stock which assumes the conversion of all preferred shares into common shares at the beginning of the period. Accordingly, net income attributable to common shareholders is adjusted to add back the dividends and undistributed or overdistributed earnings previously allocated to the preferred stock, and the weighted average number of common shares outstanding is increased by the number of shares that would have been issued upon conversion of the preferred stock as of the beginning of the period plus potentially dilutive common shares. Anti-dilutive stock awards were as follows for the periods presented: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r>
      <w:tr>
        <w:trPr>
          <w:trHeight w:val="194"/>
        </w:trPr>
        <w:tc>
          <w:tcPr>
            <w:tcW w:w="8900" w:type="dxa"/>
            <w:vAlign w:val="bottom"/>
          </w:tcPr>
          <w:p>
            <w:pPr>
              <w:spacing w:after="0"/>
              <w:rPr>
                <w:sz w:val="16"/>
                <w:szCs w:val="16"/>
                <w:color w:val="auto"/>
              </w:rPr>
            </w:pPr>
          </w:p>
        </w:tc>
        <w:tc>
          <w:tcPr>
            <w:tcW w:w="1620" w:type="dxa"/>
            <w:vAlign w:val="bottom"/>
            <w:tcBorders>
              <w:bottom w:val="single" w:sz="8" w:color="auto"/>
            </w:tcBorders>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190"/>
        </w:trPr>
        <w:tc>
          <w:tcPr>
            <w:tcW w:w="8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2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8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overdistributed earnings allocated to preferred stock</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8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 - Basic</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overdistributed earnings allocated to preferred stock</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 -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359,613</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restricted stock and performance shares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convertible preferred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360,227</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2025, filed with the SEC on February 26, 2026.</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1,642.3</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534.3</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956.2</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1,116.6</w:t>
            </w:r>
          </w:p>
        </w:tc>
        <w:tc>
          <w:tcPr>
            <w:tcW w:w="20" w:type="dxa"/>
            <w:vAlign w:val="bottom"/>
          </w:tcPr>
          <w:p>
            <w:pPr>
              <w:spacing w:after="0"/>
              <w:rPr>
                <w:sz w:val="20"/>
                <w:szCs w:val="20"/>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tcPr>
          <w:p>
            <w:pPr>
              <w:spacing w:after="0"/>
              <w:rPr>
                <w:sz w:val="23"/>
                <w:szCs w:val="23"/>
                <w:color w:val="auto"/>
              </w:rPr>
            </w:pPr>
          </w:p>
        </w:tc>
      </w:tr>
      <w:tr>
        <w:trPr>
          <w:trHeight w:val="196"/>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event contracts, the cash markets business as well as interest rate swaps.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contract volume </w:t>
            </w:r>
            <w:r>
              <w:rPr>
                <w:rFonts w:ascii="Times New Roman" w:cs="Times New Roman" w:eastAsia="Times New Roman" w:hAnsi="Times New Roman"/>
                <w:sz w:val="18"/>
                <w:szCs w:val="18"/>
                <w:i w:val="1"/>
                <w:iCs w:val="1"/>
                <w:color w:val="auto"/>
              </w:rPr>
              <w:t>(in millions)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2,210.1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13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Clearing and transaction fees </w:t>
            </w:r>
            <w:r>
              <w:rPr>
                <w:rFonts w:ascii="Times New Roman" w:cs="Times New Roman" w:eastAsia="Times New Roman" w:hAnsi="Times New Roman"/>
                <w:sz w:val="18"/>
                <w:szCs w:val="18"/>
                <w:i w:val="1"/>
                <w:iCs w:val="1"/>
                <w:color w:val="auto"/>
              </w:rPr>
              <w:t>(in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1,443.2</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0.652</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0.686</w:t>
            </w:r>
          </w:p>
        </w:tc>
        <w:tc>
          <w:tcPr>
            <w:tcW w:w="1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changes in clearing and transaction fees based on the changes in total contract volume and the change in average rate per contract for futures and options during the first quarter of 2026 when compared with the same period in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23"/>
        </w:trPr>
        <w:tc>
          <w:tcPr>
            <w:tcW w:w="10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change in total contract volume</w:t>
            </w: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10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change in average rate per contract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(59.8)</w:t>
            </w:r>
          </w:p>
        </w:tc>
      </w:tr>
      <w:tr>
        <w:trPr>
          <w:trHeight w:val="22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197.7</w:t>
            </w: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80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6"/>
        </w:trPr>
        <w:tc>
          <w:tcPr>
            <w:tcW w:w="7280" w:type="dxa"/>
            <w:vAlign w:val="bottom"/>
          </w:tcPr>
          <w:p>
            <w:pPr>
              <w:spacing w:after="0"/>
              <w:rPr>
                <w:sz w:val="17"/>
                <w:szCs w:val="17"/>
                <w:color w:val="auto"/>
              </w:rPr>
            </w:pPr>
          </w:p>
        </w:tc>
        <w:tc>
          <w:tcPr>
            <w:tcW w:w="180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7,997</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2,903</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1,958</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36,231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29,768</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33,633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27,733</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1,154</w:t>
            </w:r>
          </w:p>
        </w:tc>
        <w:tc>
          <w:tcPr>
            <w:tcW w:w="136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36,231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29,768</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360" w:type="dxa"/>
            <w:vAlign w:val="bottom"/>
          </w:tcPr>
          <w:p>
            <w:pPr>
              <w:spacing w:after="0"/>
              <w:rPr>
                <w:sz w:val="20"/>
                <w:szCs w:val="20"/>
                <w:color w:val="auto"/>
              </w:rPr>
            </w:pPr>
          </w:p>
        </w:tc>
      </w:tr>
    </w:tbl>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Market uncertainty remained high throughout the first quarter of 2026. Each of our asset classes experienced significant volatility as a result of the heightened geopolitical conflict in the Middle East, which has caused a ripple effect throughout the world economy. This resulted in uncertainty surrounding the United States Federal Reserve’s (Federal Reserve) interest rate policy decision and market volatility within the equity and foreign exchange markets. In addition, uncertainty remained high within the energy and metals markets as the Middle East conflict caused significant supply disruptions and led market participants to turn to precious metals amid this uncertainty. We believe these factors contributed to an increase in volume in the first quarter of 2026 when compared with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4,002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1,447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4,210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2,566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1,548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912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 T-Note</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893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 T-Bond</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509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527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r>
    </w:tbl>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first quarter of 2026, interest rate contract volume was higher compared with the same period in 2025 due to an increase in market volatility. We believe this was due to the heightened geopolitical conflict in the Middle East. This led to uncertainty surrounding the Federal Reserve's future interest rate policy decisions. We believe these factors contributed to higher overall interest rate volume in the first quarter of 2026 when compared with the same period in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and Cryptocurrency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and cryptocurrency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2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4,674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2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2,794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2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401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Dow futures and options</w:t>
            </w:r>
          </w:p>
        </w:tc>
        <w:tc>
          <w:tcPr>
            <w:tcW w:w="162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308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futures and options</w:t>
            </w:r>
          </w:p>
        </w:tc>
        <w:tc>
          <w:tcPr>
            <w:tcW w:w="162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168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Ether futures and options</w:t>
            </w:r>
          </w:p>
        </w:tc>
        <w:tc>
          <w:tcPr>
            <w:tcW w:w="162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r>
    </w:tbl>
    <w:p>
      <w:pPr>
        <w:spacing w:after="0" w:line="17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Equity index contract volume increased in the first quarter of 2026 when compared with the same period in 2025 due to higher overall volatility. We believe this was due to the heightened geopolitical conflict in the Middle East, which caused significant uncertainty throughout the equity markets. In addition, a market shift out of the Nasdaq-100 into the smaller cap Russell 2000 resulted in additional volume in that complex.</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cryptocurrency contract volume was higher in the first quarter of 2026 with the same period in 2025. We believe this was due to increased volatility, which resulted in a broader cryptocurrency market repricing.</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these factors contributed to higher overall equity index and cryptocurrency volumes in the first quarter of 2026 when compared with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291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210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164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133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r>
    </w:tbl>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first quarter of 2026, overall foreign exchange volume increased when compared with the same period in 2025 mainly due to the heightened geopolitical conflict in the Middle East. This led to higher Australian dollar contract volume due to uncertainty in the commodities and energy markets. In addition, increased adoption of our foreign exchange products by market participants also contributed to the increase in foreign exchange volume. We believe these factors contributed to higher overall foreign exchange contract volume in the first quarter of 2026 when compared with the same period in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6"/>
        </w:trPr>
        <w:tc>
          <w:tcPr>
            <w:tcW w:w="7520" w:type="dxa"/>
            <w:vAlign w:val="bottom"/>
          </w:tcPr>
          <w:p>
            <w:pPr>
              <w:spacing w:after="0"/>
              <w:rPr>
                <w:sz w:val="17"/>
                <w:szCs w:val="17"/>
                <w:color w:val="auto"/>
              </w:rPr>
            </w:pPr>
          </w:p>
        </w:tc>
        <w:tc>
          <w:tcPr>
            <w:tcW w:w="16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2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2,066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2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1,081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2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517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crude oil</w:t>
            </w:r>
          </w:p>
        </w:tc>
        <w:tc>
          <w:tcPr>
            <w:tcW w:w="162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301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91</w:t>
            </w:r>
          </w:p>
        </w:tc>
      </w:tr>
    </w:tbl>
    <w:p>
      <w:pPr>
        <w:spacing w:after="0" w:line="16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Energy contract volume increased in the first quarter of 2026 when compared with the same period in 2025, which we believe was due to the heightened geopolitical conflict in the Middle East. The conflict in the Middle East disrupted crucial supply chain routes, which created higher uncertainty within the crude oil markets. In addition, there was heightened price volatility within the refined products markets due to a shift in supplies as global fuel supplies were at historic lows. We believe these factors contributed to higher overall energy volume in the first quarter of 2026 compared with the same period in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6"/>
        </w:trPr>
        <w:tc>
          <w:tcPr>
            <w:tcW w:w="7520" w:type="dxa"/>
            <w:vAlign w:val="bottom"/>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588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418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297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Overall commodity contract volume increased in the first quarter of 2026 when compared with the same period in 2025. We believe the increase was due to higher overall market volatility as a result of the heightened geopolitical conflict in the Middle East, which caused disruptions within the grain market supply routes. In addition, the conflict within the Middle East also caused a greater demand for crop-based fuels as a result of crude oil pricing uncertainties. We believe these factors contributed to higher overall commodity volume in the first quarter of 2026 compared with the same period in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1,094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405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1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first quarter of 2026, overall metal contract volume increased when compared with the same period in 2025. We believe silver and gold volume increased as a result of higher price volatility due to the heightened geopolitical conflict in the Middle East. This led market participants to use silver and gold as safe-haven alternative investments amid this uncertainty. In addition, the growth in volume was due to the increased use of precious metals micro contracts by our retail client base. We believe these factors contributed to higher overall metals volume in the first quarter of 2026 compared with the same period in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average rate per contract decreased in the first quarter of 2026 when compared with the same period in 2025. The decrease was largely due to an increase in micro contract volume, specifically within equities, energy and metals, as these typically have a lower average rate per contract. This was partially offset by a change in product mix. Energy and metal contract volume increased by 3 percentage points as a percent of total volume, while other products collectively decreased by 3 percentage points. In general, energy and metals products have a higher rate per contract compared with the remaining contracts.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first quarter of 2026 include $76.6 million of transaction fees attributable to the cash markets business, compared with $71.0 million in the first quarter of 2025. This revenue includes BrokerTec Americas LLC's fixed income volume and EBS's foreign exchange volume.</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6"/>
        </w:trPr>
        <w:tc>
          <w:tcPr>
            <w:tcW w:w="7500" w:type="dxa"/>
            <w:vAlign w:val="bottom"/>
          </w:tcPr>
          <w:p>
            <w:pPr>
              <w:spacing w:after="0"/>
              <w:rPr>
                <w:sz w:val="17"/>
                <w:szCs w:val="17"/>
                <w:color w:val="auto"/>
              </w:rPr>
            </w:pPr>
          </w:p>
        </w:tc>
        <w:tc>
          <w:tcPr>
            <w:tcW w:w="162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190"/>
        </w:trPr>
        <w:tc>
          <w:tcPr>
            <w:tcW w:w="7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162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40.2</w:t>
            </w:r>
          </w:p>
        </w:tc>
        <w:tc>
          <w:tcPr>
            <w:tcW w:w="5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36.4</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r>
      <w:tr>
        <w:trPr>
          <w:trHeight w:val="45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first quarter of 2026 and 2025 were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6"/>
        </w:trPr>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3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Repo</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bl>
    <w:p>
      <w:pPr>
        <w:spacing w:after="0" w:line="19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were higher in the first quarter of 2026 when compared with the same period in 2025 due to higher overall volatility. We believe this was due to the heightened geopolitical conflict in the Middle East, which caused significant macro-economic uncertainty throughout the global economy.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at least 10% of our clearing and transaction fees in the first quarter of 2026.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Market data and information services</w:t>
      </w:r>
      <w:r>
        <w:rPr>
          <w:rFonts w:ascii="Times New Roman" w:cs="Times New Roman" w:eastAsia="Times New Roman" w:hAnsi="Times New Roman"/>
          <w:sz w:val="18"/>
          <w:szCs w:val="18"/>
          <w:color w:val="auto"/>
        </w:rPr>
        <w:t>. During the first quarter of 2026, overall market data and information services revenues increased when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same period in 2025, largely due to higher usage of certain products, increased demand by new customer segments, and price increases for certain products.</w:t>
      </w:r>
    </w:p>
    <w:p>
      <w:pPr>
        <w:spacing w:after="0" w:line="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26% of our market data and information services revenue in the first quarter of 2026.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$36.1 million in the first quarter of 2026 when compared with the same periods in 2025. The following table shows the estimated impacts of key factors resulting in the changes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17"/>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6"/>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86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separation and restructuring</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fluctuation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first quarter of 2026 when compared with the same period in 2025 were as follows:</w:t>
      </w:r>
    </w:p>
    <w:p>
      <w:pPr>
        <w:spacing w:after="0" w:line="117"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employer taxes expense was higher as a result of salary increases that went into effect during the first quarter of 2026 as well as an increase in headcount, which was primarily attributable to additional headcount in the company's international locations.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expense was higher primarily due to record volumes for certain equity products as well as the addition of multiple new products which launched subsequent to the first quarter of 2025.</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technology support services expense was primarily driven by higher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separation and restructuring expense was higher during the first quarter of 2026 as a result of a restructuring effort across multiple divisions of the company.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expense increased as a result of higher sponsorship and event costs in the first quarter of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80" w:firstLine="332"/>
        <w:spacing w:after="0" w:line="375" w:lineRule="auto"/>
        <w:tabs>
          <w:tab w:leader="none" w:pos="6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expense was higher primarily due to a gain on lease contraction recognized in the first quarter of 2025. Decreases in operating expense in the first quarter of 2026 when compared with the same period in 2025 were as follows:</w:t>
      </w:r>
    </w:p>
    <w:p>
      <w:pPr>
        <w:spacing w:after="0" w:line="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a net gain of $0.9 million, compared with a net loss of $2.3 million during the same period in 2025, due to currency exchange rate fluctuations. Gains and losses from exchange rate fluctuations are recognized in the consolidated statements of net income when subsidiaries with a U.S. dollar functional currency hold certain monetary assets and liabilities denominated in foreign currencies.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36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increased in the first quarter of 2026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the same period in 2025 due to higher reinvestment balances despite decreases in the average rate of return on the reinvestment balances. In the first quarter of 2026 and 2025, earnings from cash performance bond and guaranty fund contributions were $1,371.1 million and $873.6 million, respectively. The increase was partially offset by higher net unrealized losses in the first quarter of 2026.</w:t>
      </w:r>
    </w:p>
    <w:p>
      <w:pPr>
        <w:spacing w:after="0" w:line="72"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 Dow Jones Indices LLC business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to increases in equity in net earnings (losses) of unconsolidated subsidiaries in the first quarter of 2026 when compared with 2025.</w:t>
      </w:r>
    </w:p>
    <w:p>
      <w:pPr>
        <w:spacing w:after="0" w:line="5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non-operating income (expense). </w:t>
      </w:r>
      <w:r>
        <w:rPr>
          <w:rFonts w:ascii="Times New Roman" w:cs="Times New Roman" w:eastAsia="Times New Roman" w:hAnsi="Times New Roman"/>
          <w:sz w:val="18"/>
          <w:szCs w:val="18"/>
          <w:color w:val="auto"/>
        </w:rPr>
        <w:t>We recognized higher expenses related to the distribution of interest earned on performance bond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reinvestments to the clearing firms during the first quarter of 2026 when compared with the same period in 2025. In the first quarter of 2026 and 2025, expenses related to the distribution of interest earned on collateral reinvestments were $1,249.2 million and $804.8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spacing w:after="0"/>
              <w:rPr>
                <w:sz w:val="16"/>
                <w:szCs w:val="16"/>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jc w:val="right"/>
              <w:ind w:right="7239"/>
              <w:spacing w:after="0"/>
              <w:rPr>
                <w:sz w:val="20"/>
                <w:szCs w:val="20"/>
                <w:color w:val="auto"/>
              </w:rPr>
            </w:pPr>
            <w:r>
              <w:rPr>
                <w:rFonts w:ascii="Times New Roman" w:cs="Times New Roman" w:eastAsia="Times New Roman" w:hAnsi="Times New Roman"/>
                <w:sz w:val="18"/>
                <w:szCs w:val="18"/>
                <w:color w:val="auto"/>
                <w:w w:val="99"/>
              </w:rPr>
              <w:t>Quarter ended March 31</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7"/>
              </w:rPr>
              <w:t>23.6 %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bl>
    <w:p>
      <w:pPr>
        <w:spacing w:after="0" w:line="157" w:lineRule="exact"/>
        <w:rPr>
          <w:sz w:val="20"/>
          <w:szCs w:val="20"/>
          <w:color w:val="auto"/>
        </w:rPr>
      </w:pPr>
    </w:p>
    <w:p>
      <w:pPr>
        <w:ind w:right="1580"/>
        <w:spacing w:after="0" w:line="374" w:lineRule="auto"/>
        <w:rPr>
          <w:sz w:val="20"/>
          <w:szCs w:val="20"/>
          <w:color w:val="auto"/>
        </w:rPr>
      </w:pPr>
      <w:r>
        <w:rPr>
          <w:rFonts w:ascii="Times New Roman" w:cs="Times New Roman" w:eastAsia="Times New Roman" w:hAnsi="Times New Roman"/>
          <w:sz w:val="18"/>
          <w:szCs w:val="18"/>
          <w:color w:val="auto"/>
        </w:rPr>
        <w:t xml:space="preserve">The overall effective tax rates remained relatively consistent in the first quarter of 2026 when compared with the same period in 2025. </w:t>
      </w:r>
      <w:r>
        <w:rPr>
          <w:rFonts w:ascii="Times New Roman" w:cs="Times New Roman" w:eastAsia="Times New Roman" w:hAnsi="Times New Roman"/>
          <w:sz w:val="18"/>
          <w:szCs w:val="18"/>
          <w:b w:val="1"/>
          <w:bCs w:val="1"/>
          <w:color w:val="auto"/>
        </w:rPr>
        <w:t>Liquidity and Capital Resources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quarter of 2026 when compared with the same period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largely due to an increase in trading volume and higher interest earned on reinvestment of collateral, net of distributions. Cash used in investing activities remained relatively consistent in the first quarter of 2026 when compared with the same period in 2025. Cash provided by financing activities was lower during the first quarter of 2026 when compared with the same period in 2025 due to a smaller increase in cash performance bonds and guaranty fund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March 31,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2030, stated rate of 4.40%</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(1)</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10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April 2030.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2024, giving effect to share repurchases made and special dividends paid during the term of the agreement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March 31, 2026, guaranty fund contributions available to collateralize the facility totaled $10.8 billion. We have the option to increase the line from $7.0 billion to $10.0 billion with the consent of the agent and lenders providing the additional funds.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March 31, 2026, we have excess borrowing capacity for general corporate purposes of approximately $2.3 billion under our multi-currency revolving senior credit facility.</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March 31, 2026, the letters of credit totaled $400.0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excluding restricted cash and restricted cash equivalents, totaled $2.4 billion and $4.4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March 31, 2026 and December 31, 2025,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 Cash performance bonds and guarantee fund contribution assets are deemed to be restricted cash and restricted cash equivalents.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maintain a share repurchase program under which we are authorized to repurchase up to $3.0 billion of our outstanding Class A common stock, par value $0.01 per share (the common stock), from time to time through open market transactions, block trades, privately negotiated purchase transactions or other purchase techniques and may include purchases effected pursuant to one or more trading plans established pursuant to Rule 10b5-1 under the Exchange Act. The timing of any repurchases and the number of shares repurchased under the share repurchase program are within our discretion and may be affected by various factors, including general market and economic conditions; the market price of the common stock; CME Group’s earnings, financial condition, capital requirements and levels of indebtedness; legal requirements; and other considerations. The share repurchase program has no expiration date, does not obligate us to acquire any particular amount of common stock and may be modified, suspended or terminated at any time. As of March 31, 2026, the maximum remaining value of shares to be repurchased was $2.2 billion.</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w:t>
      </w:r>
    </w:p>
    <w:p>
      <w:pPr>
        <w:spacing w:after="0" w:line="5"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is not required to lock up customer funds as would otherwise be required under Exchange Act Rule 15c3-3.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2025. Refer to Item 7A. of CME Group’s Annual Report on Form 10-K for the year ended December 31, 2025, filed with the SEC on February 26, 2026, for additional information.</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firstLine="8"/>
        <w:spacing w:after="0" w:line="261"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March 31, 2026,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2025, filed with the SEC on February 26, 2026.</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2025, filed with the SEC on February 26, 2026.</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9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Purchased</w:t>
            </w:r>
          </w:p>
        </w:tc>
        <w:tc>
          <w:tcPr>
            <w:tcW w:w="260" w:type="dxa"/>
            <w:vAlign w:val="bottom"/>
          </w:tcPr>
          <w:p>
            <w:pPr>
              <w:spacing w:after="0"/>
              <w:rPr>
                <w:sz w:val="12"/>
                <w:szCs w:val="12"/>
                <w:color w:val="auto"/>
              </w:rPr>
            </w:pPr>
          </w:p>
        </w:tc>
        <w:tc>
          <w:tcPr>
            <w:tcW w:w="19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2200" w:type="dxa"/>
            <w:vAlign w:val="bottom"/>
            <w:gridSpan w:val="2"/>
          </w:tcPr>
          <w:p>
            <w:pPr>
              <w:jc w:val="center"/>
              <w:ind w:left="39"/>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 Units) that May Yet</w:t>
            </w: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1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1"/>
                <w:szCs w:val="11"/>
                <w:color w:val="auto"/>
              </w:rPr>
            </w:pPr>
          </w:p>
        </w:tc>
        <w:tc>
          <w:tcPr>
            <w:tcW w:w="194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46"/>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940" w:type="dxa"/>
            <w:vAlign w:val="bottom"/>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 Programs (in</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(or Units) Purchased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9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Plans or Programs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61"/>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millions) </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to January 31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275.09</w:t>
            </w: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872,432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2,495.9</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to February 28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301.19</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398,655</w:t>
            </w:r>
          </w:p>
        </w:tc>
        <w:tc>
          <w:tcPr>
            <w:tcW w:w="260" w:type="dxa"/>
            <w:vAlign w:val="bottom"/>
          </w:tcPr>
          <w:p>
            <w:pPr>
              <w:spacing w:after="0"/>
              <w:rPr>
                <w:sz w:val="19"/>
                <w:szCs w:val="19"/>
                <w:color w:val="auto"/>
              </w:rPr>
            </w:pPr>
          </w:p>
        </w:tc>
        <w:tc>
          <w:tcPr>
            <w:tcW w:w="19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2,375.8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to March 31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310.31</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567,405</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2,199.8</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1,909,176</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1,838,492</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60" w:hanging="328"/>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Group maintains a share repurchase program under which CME Group is authorized to repurchase up to $3.0 billion of its outstanding Class A common stock, par value $0.01 per share (the common stock) as announced on December 5, 2024. The share repurchase program has no expiration date.</w:t>
      </w:r>
    </w:p>
    <w:p>
      <w:pPr>
        <w:spacing w:after="0" w:line="6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514 shares of Class A common stock surrendered to satisfy employees' tax obligations upon the vesting of restricted stock.</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70,170 shares of Class A common stock surrendered to satisfy employee's tax obligations upon the vesting of restricted stock.</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includes an aggregate of 70,684 shares of Class A common stock surrendered to satisfy employee tax obligations upon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of the company adopted or terminated a "Rule 10b5-1 trading arrangement" or "non-Rule 10b-5 trading arrangement" as such terms are defined in Item 408(a) of Regulation S-K.</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7420" w:type="dxa"/>
            <w:vAlign w:val="bottom"/>
            <w:gridSpan w:val="1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Fourth Amended and Restated Certificate of Incorporation of CME Group Inc., as amended</w:t>
              </w:r>
            </w:hyperlink>
          </w:p>
        </w:tc>
      </w:tr>
      <w:tr>
        <w:trPr>
          <w:trHeight w:val="169"/>
        </w:trPr>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2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(incorporated by reference to Exhibit 3.2 to CME Group Inc.'s Current Report on Form 8-K,</w:t>
              </w:r>
            </w:hyperlink>
          </w:p>
        </w:tc>
        <w:tc>
          <w:tcPr>
            <w:tcW w:w="800" w:type="dxa"/>
            <w:vAlign w:val="bottom"/>
            <w:gridSpan w:val="4"/>
          </w:tcPr>
          <w:p>
            <w:pPr>
              <w:ind w:left="80"/>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filed with</w:t>
              </w:r>
            </w:hyperlink>
          </w:p>
        </w:tc>
      </w:tr>
      <w:tr>
        <w:trPr>
          <w:trHeight w:val="156"/>
        </w:trPr>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SEC on November 4, 2021).</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7420" w:type="dxa"/>
            <w:vAlign w:val="bottom"/>
            <w:gridSpan w:val="10"/>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Seventeenth Amended and Restated Bylaws of CME Group Inc. (incorporated by reference to Exhibit</w:t>
              </w:r>
            </w:hyperlink>
          </w:p>
        </w:tc>
      </w:tr>
      <w:tr>
        <w:trPr>
          <w:trHeight w:val="169"/>
        </w:trPr>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CME Group Inc.’s Current Report on Form 8-K, filed with the SEC on December 9, 2022).</w:t>
              </w:r>
            </w:hyperlink>
          </w:p>
        </w:tc>
        <w:tc>
          <w:tcPr>
            <w:tcW w:w="320" w:type="dxa"/>
            <w:vAlign w:val="bottom"/>
            <w:tcBorders>
              <w:top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24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Certification—Terrence A. Duffy</w:t>
            </w:r>
          </w:p>
        </w:tc>
        <w:tc>
          <w:tcPr>
            <w:tcW w:w="4100" w:type="dxa"/>
            <w:vAlign w:val="bottom"/>
            <w:gridSpan w:val="5"/>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24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Certification—Lynne Fitzpatrick</w:t>
            </w:r>
          </w:p>
        </w:tc>
        <w:tc>
          <w:tcPr>
            <w:tcW w:w="4140" w:type="dxa"/>
            <w:vAlign w:val="bottom"/>
            <w:gridSpan w:val="6"/>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906</w:t>
            </w:r>
          </w:p>
        </w:tc>
        <w:tc>
          <w:tcPr>
            <w:tcW w:w="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Certification</w:t>
            </w:r>
          </w:p>
        </w:tc>
        <w:tc>
          <w:tcPr>
            <w:tcW w:w="5600" w:type="dxa"/>
            <w:vAlign w:val="bottom"/>
            <w:gridSpan w:val="8"/>
          </w:tcPr>
          <w:p>
            <w:pPr>
              <w:spacing w:after="0"/>
              <w:rPr>
                <w:sz w:val="24"/>
                <w:szCs w:val="24"/>
                <w:color w:val="auto"/>
              </w:rPr>
            </w:pPr>
          </w:p>
        </w:tc>
      </w:tr>
    </w:tbl>
    <w:p>
      <w:pPr>
        <w:spacing w:after="0" w:line="130" w:lineRule="exact"/>
        <w:rPr>
          <w:sz w:val="20"/>
          <w:szCs w:val="20"/>
          <w:color w:val="auto"/>
        </w:rPr>
      </w:pPr>
    </w:p>
    <w:p>
      <w:pPr>
        <w:ind w:left="1260" w:right="2620" w:hanging="1234"/>
        <w:spacing w:after="0" w:line="22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March 31, 2026, formatted in Inline XBRL (Xtensible Business Reporting Language):</w:t>
      </w:r>
    </w:p>
    <w:p>
      <w:pPr>
        <w:spacing w:after="0" w:line="1" w:lineRule="exact"/>
        <w:rPr>
          <w:rFonts w:ascii="Times New Roman" w:cs="Times New Roman" w:eastAsia="Times New Roman" w:hAnsi="Times New Roman"/>
          <w:sz w:val="18"/>
          <w:szCs w:val="18"/>
          <w:color w:val="auto"/>
        </w:rPr>
      </w:pPr>
    </w:p>
    <w:p>
      <w:pPr>
        <w:ind w:left="1260" w:right="244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Cover Page Interactive Data File included in the Inline XBRL Document Set for Exhibit 101.</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April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Senior Managing Director, President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21"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24, 2026</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24, 2026</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Financial Officer</w:t>
            </w:r>
          </w:p>
        </w:tc>
      </w:tr>
    </w:tbl>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March 31, 2026 as filed with the Securities and Exchange Commission on the date hereof (the “Report”), Terrence A. Duffy, as Chief Executive Officer of the Company, and Lynne Fitzpatrick, as President and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0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6" Type="http://schemas.openxmlformats.org/officeDocument/2006/relationships/hyperlink" Target="https://www.sec.gov/Archives/edgar/data/1156375/000119312521319504/d204323dex32.htm" TargetMode="External"/><Relationship Id="rId57" Type="http://schemas.openxmlformats.org/officeDocument/2006/relationships/hyperlink" Target="https://www.sec.gov/Archives/edgar/data/1156375/000119312522301477/d41238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2026-04-24T14:01:26Z</dcterms:created>
  <dcterms:modified xsi:type="dcterms:W3CDTF">2026-04-24T14:01:26Z</dcterms:modified>
</cp:coreProperties>
</file>