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OR -</w:t>
      </w:r>
    </w:p>
    <w:p>
      <w:pPr>
        <w:spacing w:after="0" w:line="176" w:lineRule="exact"/>
        <w:rPr>
          <w:sz w:val="24"/>
          <w:szCs w:val="24"/>
          <w:color w:val="auto"/>
        </w:rPr>
      </w:pPr>
    </w:p>
    <w:p>
      <w:pPr>
        <w:ind w:left="720" w:right="1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001-31553</w:t>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520" w:type="dxa"/>
            <w:vAlign w:val="bottom"/>
          </w:tcPr>
          <w:p>
            <w:pPr>
              <w:jc w:val="center"/>
              <w:ind w:right="301"/>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39"/>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3520" w:type="dxa"/>
            <w:vAlign w:val="bottom"/>
          </w:tcPr>
          <w:p>
            <w:pPr>
              <w:jc w:val="center"/>
              <w:ind w:right="301"/>
              <w:spacing w:after="0"/>
              <w:rPr>
                <w:sz w:val="20"/>
                <w:szCs w:val="20"/>
                <w:color w:val="auto"/>
              </w:rPr>
            </w:pPr>
            <w:r>
              <w:rPr>
                <w:rFonts w:ascii="Arial" w:cs="Arial" w:eastAsia="Arial" w:hAnsi="Arial"/>
                <w:sz w:val="14"/>
                <w:szCs w:val="14"/>
                <w:b w:val="1"/>
                <w:bCs w:val="1"/>
                <w:color w:val="auto"/>
                <w:w w:val="92"/>
              </w:rPr>
              <w:t>(State or other jurisdiction of</w:t>
            </w:r>
          </w:p>
        </w:tc>
        <w:tc>
          <w:tcPr>
            <w:tcW w:w="454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20" w:type="dxa"/>
            <w:vAlign w:val="bottom"/>
          </w:tcPr>
          <w:p>
            <w:pPr>
              <w:jc w:val="center"/>
              <w:ind w:right="301"/>
              <w:spacing w:after="0"/>
              <w:rPr>
                <w:sz w:val="20"/>
                <w:szCs w:val="20"/>
                <w:color w:val="auto"/>
              </w:rPr>
            </w:pPr>
            <w:r>
              <w:rPr>
                <w:rFonts w:ascii="Arial" w:cs="Arial" w:eastAsia="Arial" w:hAnsi="Arial"/>
                <w:sz w:val="14"/>
                <w:szCs w:val="14"/>
                <w:b w:val="1"/>
                <w:bCs w:val="1"/>
                <w:color w:val="auto"/>
                <w:w w:val="93"/>
              </w:rPr>
              <w:t>incorporation or organization)</w:t>
            </w:r>
          </w:p>
        </w:tc>
        <w:tc>
          <w:tcPr>
            <w:tcW w:w="4540" w:type="dxa"/>
            <w:vAlign w:val="bottom"/>
          </w:tcPr>
          <w:p>
            <w:pPr>
              <w:jc w:val="center"/>
              <w:ind w:left="3339"/>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3520" w:type="dxa"/>
            <w:vAlign w:val="bottom"/>
          </w:tcPr>
          <w:p>
            <w:pPr>
              <w:jc w:val="center"/>
              <w:ind w:right="301"/>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4540" w:type="dxa"/>
            <w:vAlign w:val="bottom"/>
          </w:tcPr>
          <w:p>
            <w:pPr>
              <w:jc w:val="right"/>
              <w:ind w:right="259"/>
              <w:spacing w:after="0"/>
              <w:rPr>
                <w:sz w:val="20"/>
                <w:szCs w:val="20"/>
                <w:color w:val="auto"/>
              </w:rPr>
            </w:pPr>
            <w:r>
              <w:rPr>
                <w:rFonts w:ascii="Arial" w:cs="Arial" w:eastAsia="Arial" w:hAnsi="Arial"/>
                <w:sz w:val="18"/>
                <w:szCs w:val="18"/>
                <w:b w:val="1"/>
                <w:bCs w:val="1"/>
                <w:color w:val="auto"/>
              </w:rPr>
              <w:t>60606</w:t>
            </w:r>
          </w:p>
        </w:tc>
      </w:tr>
      <w:tr>
        <w:trPr>
          <w:trHeight w:val="218"/>
        </w:trPr>
        <w:tc>
          <w:tcPr>
            <w:tcW w:w="3520" w:type="dxa"/>
            <w:vAlign w:val="bottom"/>
          </w:tcPr>
          <w:p>
            <w:pPr>
              <w:jc w:val="center"/>
              <w:ind w:right="3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40" w:type="dxa"/>
            <w:vAlign w:val="bottom"/>
          </w:tcPr>
          <w:p>
            <w:pPr>
              <w:jc w:val="center"/>
              <w:ind w:left="3339"/>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3520" w:type="dxa"/>
            <w:vAlign w:val="bottom"/>
          </w:tcPr>
          <w:p>
            <w:pPr>
              <w:spacing w:after="0"/>
              <w:rPr>
                <w:sz w:val="24"/>
                <w:szCs w:val="24"/>
                <w:color w:val="auto"/>
              </w:rPr>
            </w:pPr>
          </w:p>
        </w:tc>
        <w:tc>
          <w:tcPr>
            <w:tcW w:w="4540" w:type="dxa"/>
            <w:vAlign w:val="bottom"/>
          </w:tcPr>
          <w:p>
            <w:pPr>
              <w:jc w:val="right"/>
              <w:ind w:right="2939"/>
              <w:spacing w:after="0"/>
              <w:rPr>
                <w:sz w:val="20"/>
                <w:szCs w:val="20"/>
                <w:color w:val="auto"/>
              </w:rPr>
            </w:pPr>
            <w:r>
              <w:rPr>
                <w:rFonts w:ascii="Arial" w:cs="Arial" w:eastAsia="Arial" w:hAnsi="Arial"/>
                <w:sz w:val="18"/>
                <w:szCs w:val="18"/>
                <w:b w:val="1"/>
                <w:bCs w:val="1"/>
                <w:color w:val="auto"/>
              </w:rPr>
              <w:t>(312) 930-1000</w:t>
            </w:r>
          </w:p>
        </w:tc>
      </w:tr>
    </w:tbl>
    <w:p>
      <w:pPr>
        <w:spacing w:after="0" w:line="8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Not Applicable</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4" w:lineRule="exact"/>
        <w:rPr>
          <w:sz w:val="24"/>
          <w:szCs w:val="24"/>
          <w:color w:val="auto"/>
        </w:rPr>
      </w:pPr>
    </w:p>
    <w:p>
      <w:pPr>
        <w:ind w:left="1180"/>
        <w:spacing w:after="0"/>
        <w:tabs>
          <w:tab w:leader="none" w:pos="7780" w:val="left"/>
          <w:tab w:leader="none" w:pos="89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w:t>
        <w:tab/>
        <w:t>o</w:t>
      </w:r>
    </w:p>
    <w:p>
      <w:pPr>
        <w:spacing w:after="0" w:line="231" w:lineRule="exact"/>
        <w:rPr>
          <w:sz w:val="24"/>
          <w:szCs w:val="24"/>
          <w:color w:val="auto"/>
        </w:rPr>
      </w:pPr>
    </w:p>
    <w:p>
      <w:pPr>
        <w:ind w:left="1180"/>
        <w:spacing w:after="0"/>
        <w:tabs>
          <w:tab w:leader="none" w:pos="2520" w:val="left"/>
          <w:tab w:leader="none" w:pos="7780" w:val="left"/>
        </w:tabs>
        <w:rPr>
          <w:sz w:val="20"/>
          <w:szCs w:val="20"/>
          <w:color w:val="auto"/>
        </w:rPr>
      </w:pPr>
      <w:r>
        <w:rPr>
          <w:rFonts w:ascii="Arial" w:cs="Arial" w:eastAsia="Arial" w:hAnsi="Arial"/>
          <w:sz w:val="14"/>
          <w:szCs w:val="14"/>
          <w:color w:val="auto"/>
        </w:rPr>
        <w:t>Non-accelerated filer</w:t>
        <w:tab/>
        <w:t>o (Do not check if a smaller reporting company)</w:t>
      </w:r>
      <w:r>
        <w:rPr>
          <w:sz w:val="20"/>
          <w:szCs w:val="20"/>
          <w:color w:val="auto"/>
        </w:rPr>
        <w:tab/>
      </w:r>
      <w:r>
        <w:rPr>
          <w:rFonts w:ascii="Arial" w:cs="Arial" w:eastAsia="Arial" w:hAnsi="Arial"/>
          <w:sz w:val="13"/>
          <w:szCs w:val="13"/>
          <w:color w:val="auto"/>
        </w:rPr>
        <w:t>Smaller reporting company o</w:t>
      </w:r>
    </w:p>
    <w:p>
      <w:pPr>
        <w:spacing w:after="0" w:line="12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July 17, 2013 was as follows: 334,293,706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340"/>
          </w:cols>
          <w:pgMar w:left="240" w:top="233" w:right="319" w:bottom="1440" w:gutter="0" w:footer="0" w:header="0"/>
        </w:sect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FF"/>
            </w:tcBorders>
            <w:gridSpan w:val="10"/>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9"/>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Consolidated Balance Sheets at June 30, 2013 and December 31, </w:t>
              </w:r>
            </w:hyperlink>
            <w:r>
              <w:rPr>
                <w:rFonts w:ascii="Arial" w:cs="Arial" w:eastAsia="Arial" w:hAnsi="Arial"/>
                <w:sz w:val="16"/>
                <w:szCs w:val="16"/>
                <w:color w:val="0000FF"/>
              </w:rPr>
              <w:t>2012</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FF"/>
            </w:tcBorders>
            <w:gridSpan w:val="17"/>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 xml:space="preserve">Consolidated Statements of Income for the Quarters and Six Months Ended </w:t>
              </w:r>
            </w:hyperlink>
            <w:r>
              <w:rPr>
                <w:rFonts w:ascii="Arial" w:cs="Arial" w:eastAsia="Arial" w:hAnsi="Arial"/>
                <w:sz w:val="16"/>
                <w:szCs w:val="16"/>
                <w:color w:val="0000FF"/>
                <w:w w:val="90"/>
              </w:rPr>
              <w:t>June 30, 2013 and 2012</w:t>
            </w:r>
          </w:p>
        </w:tc>
        <w:tc>
          <w:tcPr>
            <w:tcW w:w="3420" w:type="dxa"/>
            <w:vAlign w:val="bottom"/>
            <w:gridSpan w:val="2"/>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FF"/>
            </w:tcBorders>
            <w:gridSpan w:val="18"/>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 xml:space="preserve">Consolidated Statements of Comprehensive Income for the Quarters and Six Months Ended June 30, 2013 and </w:t>
              </w:r>
            </w:hyperlink>
            <w:r>
              <w:rPr>
                <w:rFonts w:ascii="Arial" w:cs="Arial" w:eastAsia="Arial" w:hAnsi="Arial"/>
                <w:sz w:val="16"/>
                <w:szCs w:val="16"/>
                <w:color w:val="0000FF"/>
                <w:w w:val="90"/>
              </w:rPr>
              <w:t>2012</w:t>
            </w:r>
          </w:p>
        </w:tc>
        <w:tc>
          <w:tcPr>
            <w:tcW w:w="236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 xml:space="preserve">Consolidated Statements of Equity for the Six Months Ended June 30, 2013 and </w:t>
              </w:r>
            </w:hyperlink>
            <w:r>
              <w:rPr>
                <w:rFonts w:ascii="Arial" w:cs="Arial" w:eastAsia="Arial" w:hAnsi="Arial"/>
                <w:sz w:val="16"/>
                <w:szCs w:val="16"/>
                <w:color w:val="0000FF"/>
              </w:rPr>
              <w:t>2012</w:t>
            </w: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9">
              <w:r>
                <w:rPr>
                  <w:rFonts w:ascii="Arial" w:cs="Arial" w:eastAsia="Arial" w:hAnsi="Arial"/>
                  <w:sz w:val="16"/>
                  <w:szCs w:val="16"/>
                  <w:color w:val="0000FF"/>
                  <w:w w:val="90"/>
                </w:rPr>
                <w:t xml:space="preserve">Consolidated Statements of Cash Flows for the Six Months Ended </w:t>
              </w:r>
            </w:hyperlink>
            <w:r>
              <w:rPr>
                <w:rFonts w:ascii="Arial" w:cs="Arial" w:eastAsia="Arial" w:hAnsi="Arial"/>
                <w:sz w:val="16"/>
                <w:szCs w:val="16"/>
                <w:color w:val="0000FF"/>
                <w:w w:val="90"/>
              </w:rPr>
              <w:t>June 30, 2013 and 2012</w:t>
            </w:r>
          </w:p>
        </w:tc>
        <w:tc>
          <w:tcPr>
            <w:tcW w:w="4020" w:type="dxa"/>
            <w:vAlign w:val="bottom"/>
            <w:gridSpan w:val="4"/>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Unaudited Consolidated Financial Statements</w:t>
              </w:r>
            </w:hyperlink>
          </w:p>
        </w:tc>
        <w:tc>
          <w:tcPr>
            <w:tcW w:w="5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19</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6"/>
                <w:szCs w:val="16"/>
                <w:b w:val="1"/>
                <w:bCs w:val="1"/>
                <w:color w:val="0000FF"/>
              </w:rPr>
            </w:pPr>
            <w:hyperlink w:anchor="page18">
              <w:r>
                <w:rPr>
                  <w:rFonts w:ascii="Arial" w:cs="Arial" w:eastAsia="Arial" w:hAnsi="Arial"/>
                  <w:sz w:val="16"/>
                  <w:szCs w:val="16"/>
                  <w:b w:val="1"/>
                  <w:bCs w:val="1"/>
                  <w:color w:val="0000FF"/>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rFonts w:ascii="Arial" w:cs="Arial" w:eastAsia="Arial" w:hAnsi="Arial"/>
                <w:sz w:val="16"/>
                <w:szCs w:val="16"/>
                <w:b w:val="1"/>
                <w:bCs w:val="1"/>
                <w:color w:val="0000FF"/>
                <w:w w:val="92"/>
              </w:rPr>
            </w:pPr>
            <w:hyperlink w:anchor="page29">
              <w:r>
                <w:rPr>
                  <w:rFonts w:ascii="Arial" w:cs="Arial" w:eastAsia="Arial" w:hAnsi="Arial"/>
                  <w:sz w:val="16"/>
                  <w:szCs w:val="16"/>
                  <w:b w:val="1"/>
                  <w:bCs w:val="1"/>
                  <w:color w:val="0000FF"/>
                  <w:w w:val="92"/>
                </w:rPr>
                <w:t>Quantitative and Qualitative Disclosures About Market Risk</w:t>
              </w:r>
            </w:hyperlink>
          </w:p>
        </w:tc>
        <w:tc>
          <w:tcPr>
            <w:tcW w:w="1940" w:type="dxa"/>
            <w:vAlign w:val="bottom"/>
            <w:tcBorders>
              <w:top w:val="single" w:sz="8" w:color="0000FF"/>
            </w:tcBorders>
            <w:gridSpan w:val="4"/>
          </w:tcPr>
          <w:p>
            <w:pPr>
              <w:spacing w:after="0"/>
              <w:rPr>
                <w:sz w:val="24"/>
                <w:szCs w:val="24"/>
                <w:color w:val="auto"/>
              </w:rPr>
            </w:pPr>
          </w:p>
        </w:tc>
        <w:tc>
          <w:tcPr>
            <w:tcW w:w="376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FF"/>
            </w:tcBorders>
            <w:gridSpan w:val="8"/>
          </w:tcPr>
          <w:p>
            <w:pPr>
              <w:spacing w:after="0"/>
              <w:rPr>
                <w:rFonts w:ascii="Arial" w:cs="Arial" w:eastAsia="Arial" w:hAnsi="Arial"/>
                <w:sz w:val="16"/>
                <w:szCs w:val="16"/>
                <w:b w:val="1"/>
                <w:bCs w:val="1"/>
                <w:color w:val="0000FF"/>
                <w:w w:val="88"/>
              </w:rPr>
            </w:pPr>
            <w:hyperlink w:anchor="page29">
              <w:r>
                <w:rPr>
                  <w:rFonts w:ascii="Arial" w:cs="Arial" w:eastAsia="Arial" w:hAnsi="Arial"/>
                  <w:sz w:val="16"/>
                  <w:szCs w:val="16"/>
                  <w:b w:val="1"/>
                  <w:bCs w:val="1"/>
                  <w:color w:val="0000FF"/>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FF"/>
              <w:bottom w:val="single" w:sz="8" w:color="0000FF"/>
            </w:tcBorders>
            <w:gridSpan w:val="4"/>
          </w:tcPr>
          <w:p>
            <w:pPr>
              <w:spacing w:after="0"/>
              <w:rPr>
                <w:rFonts w:ascii="Arial" w:cs="Arial" w:eastAsia="Arial" w:hAnsi="Arial"/>
                <w:sz w:val="16"/>
                <w:szCs w:val="16"/>
                <w:b w:val="1"/>
                <w:bCs w:val="1"/>
                <w:color w:val="0000FF"/>
                <w:w w:val="87"/>
              </w:rPr>
            </w:pPr>
            <w:hyperlink w:anchor="page29">
              <w:r>
                <w:rPr>
                  <w:rFonts w:ascii="Arial" w:cs="Arial" w:eastAsia="Arial" w:hAnsi="Arial"/>
                  <w:sz w:val="16"/>
                  <w:szCs w:val="16"/>
                  <w:b w:val="1"/>
                  <w:bCs w:val="1"/>
                  <w:color w:val="0000FF"/>
                  <w:w w:val="87"/>
                </w:rPr>
                <w:t>Legal Proceedings</w:t>
              </w:r>
            </w:hyperlink>
          </w:p>
        </w:tc>
        <w:tc>
          <w:tcPr>
            <w:tcW w:w="300" w:type="dxa"/>
            <w:vAlign w:val="bottom"/>
            <w:tcBorders>
              <w:top w:val="single" w:sz="8" w:color="0000FF"/>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FF"/>
            </w:tcBorders>
            <w:gridSpan w:val="3"/>
          </w:tcPr>
          <w:p>
            <w:pPr>
              <w:spacing w:after="0"/>
              <w:rPr>
                <w:rFonts w:ascii="Arial" w:cs="Arial" w:eastAsia="Arial" w:hAnsi="Arial"/>
                <w:sz w:val="16"/>
                <w:szCs w:val="16"/>
                <w:b w:val="1"/>
                <w:bCs w:val="1"/>
                <w:color w:val="0000FF"/>
                <w:w w:val="89"/>
              </w:rPr>
            </w:pPr>
            <w:hyperlink w:anchor="page29">
              <w:r>
                <w:rPr>
                  <w:rFonts w:ascii="Arial" w:cs="Arial" w:eastAsia="Arial" w:hAnsi="Arial"/>
                  <w:sz w:val="16"/>
                  <w:szCs w:val="16"/>
                  <w:b w:val="1"/>
                  <w:bCs w:val="1"/>
                  <w:color w:val="0000FF"/>
                  <w:w w:val="8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9"/>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FF"/>
            </w:tcBorders>
            <w:gridSpan w:val="11"/>
          </w:tcPr>
          <w:p>
            <w:pPr>
              <w:spacing w:after="0"/>
              <w:rPr>
                <w:rFonts w:ascii="Arial" w:cs="Arial" w:eastAsia="Arial" w:hAnsi="Arial"/>
                <w:sz w:val="16"/>
                <w:szCs w:val="16"/>
                <w:b w:val="1"/>
                <w:bCs w:val="1"/>
                <w:color w:val="0000FF"/>
              </w:rPr>
            </w:pPr>
            <w:hyperlink w:anchor="page30">
              <w:r>
                <w:rPr>
                  <w:rFonts w:ascii="Arial" w:cs="Arial" w:eastAsia="Arial" w:hAnsi="Arial"/>
                  <w:sz w:val="16"/>
                  <w:szCs w:val="16"/>
                  <w:b w:val="1"/>
                  <w:bCs w:val="1"/>
                  <w:color w:val="0000FF"/>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FF"/>
            </w:tcBorders>
            <w:gridSpan w:val="7"/>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FF"/>
            </w:tcBorders>
            <w:gridSpan w:val="2"/>
          </w:tcPr>
          <w:p>
            <w:pPr>
              <w:spacing w:after="0"/>
              <w:rPr>
                <w:rFonts w:ascii="Arial" w:cs="Arial" w:eastAsia="Arial" w:hAnsi="Arial"/>
                <w:sz w:val="16"/>
                <w:szCs w:val="16"/>
                <w:b w:val="1"/>
                <w:bCs w:val="1"/>
                <w:color w:val="0000FF"/>
                <w:w w:val="97"/>
              </w:rPr>
            </w:pPr>
            <w:hyperlink w:anchor="page32">
              <w:r>
                <w:rPr>
                  <w:rFonts w:ascii="Arial" w:cs="Arial" w:eastAsia="Arial" w:hAnsi="Arial"/>
                  <w:sz w:val="16"/>
                  <w:szCs w:val="16"/>
                  <w:b w:val="1"/>
                  <w:bCs w:val="1"/>
                  <w:color w:val="0000FF"/>
                  <w:w w:val="97"/>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54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Unless otherwise indicated, references to CME Group Inc. (CME Group) products include references to exchange-traded and cleared-only products on one of its regulated exchanges: Chicago Mercantile Exchange Inc. (CME), Board of Trade of the City of Chicago, Inc. (CBOT), New York Mercantile Exchange, Inc. (NYMEX), Commodity Exchange, Inc. (COMEX) and The Board of Trade of Kansas City, Missouri, Inc. (KCBT). Products listed on these exchanges and cleared through CME are subject to the rules and regulations of the particular exchange and the applicable rulebook should be consulted. Unless otherwise indicated, references to NYMEX include its subsidiary, COMEX.</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CME credit default swaps, CME interest rate swaps and CME Clearing Europe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is a trademark of CME Group Inc. The Globe logo, CME, Chicago Mercantile Exchange, Globex, E-mini, Green Exchange, The Green Exchange and Design, and GreenX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keep pace with rapid technological developments, including our ability to complete the development, implementation and maintenance of the enhanced functionality required by our customers while ensuring that such technology is not vulnerable to security risks;</w:t>
      </w:r>
    </w:p>
    <w:p>
      <w:pPr>
        <w:spacing w:after="0" w:line="38" w:lineRule="exact"/>
        <w:rPr>
          <w:rFonts w:ascii="Arial" w:cs="Arial" w:eastAsia="Arial" w:hAnsi="Arial"/>
          <w:sz w:val="17"/>
          <w:szCs w:val="17"/>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including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62"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1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2013 and Item 1A. of this Quarterly Report on Form 10-Q.</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56.6</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$1.3 and $0.8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204.3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8,717.9</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$661.2 and $640.4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2,853.7</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7,566.9</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$70.1 and $73.0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41.7</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240.7</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16,192.9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7,616.9</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7,413.3</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17,357.5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80.8</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8120" w:type="dxa"/>
            <w:vAlign w:val="bottom"/>
            <w:gridSpan w:val="2"/>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Preferred stock, $0.01 par value, 10,000 shares authorized as of June 30, 2013 and December 31, 2012;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none issued or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332,601 and 331,832 shares issued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June 30, 2013 and December 31, 2012, respectively</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17,213.1</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21,419.1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1,264.7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266.2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64.1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511.5</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332,341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331,078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332,148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330,946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334,073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332,162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333,739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332,009</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7"/>
              </w:rPr>
              <w:t>Amortization of effective portion of loss on cash flow hedges included in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loss included in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522.4</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7"/>
              </w:rPr>
              <w:t>Less: comprehensive income (loss) attributable to redeemable non-controlling</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514.2</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stock of $0.90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and gain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to Index Services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purchase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w w:val="99"/>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2013</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332,601</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17,456.2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4,239.2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21,848.6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21,854.6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330,653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$1.49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Balance at June 30, 2012</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331,252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21,620.0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519.7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contribution of Dow Jones Index index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sale of Credit Market Analysis Ltd.</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business ventures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129"/>
        </w:trPr>
        <w:tc>
          <w:tcPr>
            <w:tcW w:w="85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non-controlling interest in CME Group Index Holdings LLC</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r>
      <w:tr>
        <w:trPr>
          <w:trHeight w:val="129"/>
        </w:trPr>
        <w:tc>
          <w:tcPr>
            <w:tcW w:w="85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1,042.3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 in S&amp;P/Dow Jones Indices LLC</w:t>
            </w: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878.4</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85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852"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The Board of Trade of Kansas City, Missouri, Inc. (KCBT), and their respective subsidiaries (collectively, the exchange).</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2013 and December 31, 2012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2012, filed with the Securities and Exchange Commission (SEC) on February 28,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2013, the company purchased the non-controlling interest in CME Group Index Holdings LLC (Index Holdings) for $80.0 million. Prior to the purchase, the company maintained a 24.4% interest in S&amp;P/Dow Jones Indices LLC (S&amp;P/DJI). As a result of the purchase of the non-controlling interest, the company's interest in S&amp;P/DJI increased to 27%. The company also recognized a $180.0 million tax benefit through additional paid-in capital. The tax benefit was due to a reduction in deferred tax liabilities related to the tax basis in Index Holdings. The company also recognized a $2.3 million gain through additional paid-in capital related to the purchase of the non-controlling interest.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2013 and December 31, 2012: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2,323.5</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2,893.8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2,351.9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2,403.7</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(CBOT Holdings), NYMEX Holdings, Inc. (NYMEX Holdings) and The Board of Trade of Kansas City, Missouri, Inc. (KCBT).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Total amortization expense for intangible assets was $25.9 million and $31.3 million for the quarters ended June 30, 2013 and 2012, respectively. Total amortization expense for intangible assets was $51.8 million and $64.1 million for the first six months of 2013 and 2012, respectively. As of June 30, 2013, the future estimated amortization expense related to amortizable intangible assets is expected to be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2013</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2014</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101.5</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2016</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97.9</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96.5</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1,806.4</w:t>
            </w:r>
          </w:p>
        </w:tc>
      </w:tr>
      <w:tr>
        <w:trPr>
          <w:trHeight w:val="567"/>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June 30, 2013 and December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stated rate of 5.40%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June 30, 2013 and December 31, 2012:</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2015</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612.5</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750.0</w:t>
            </w:r>
          </w:p>
        </w:tc>
      </w:tr>
    </w:tbl>
    <w:p>
      <w:pPr>
        <w:spacing w:after="0" w:line="2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fair values of the fixed rate notes due 2013, 2014 and 2022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9. At June 30, 2013, the fair values of the fixed rate notes by maturity date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751.9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3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770.6</w:t>
            </w:r>
          </w:p>
        </w:tc>
      </w:tr>
      <w:tr>
        <w:trPr>
          <w:trHeight w:val="27"/>
        </w:trPr>
        <w:tc>
          <w:tcPr>
            <w:tcW w:w="69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658.3</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33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710.4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Investments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2012, the company entered into two forward-starting interest rate swap contracts, with an aggregate notional value of $1.5 billion, to hedge the risk of changes in underlying benchmark interest rates associated with the expected issuances of fixed-rate debt. One of these swap contracts was settled in conjunction with the issuance of fixed rate debt in September 2012. The hedge was considered highly effective. The effective portion is included in other comprehensive income and is being amortized over the term of the debt.</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t>The fair value and location of outstanding derivative instruments in the consolidated balance sheets as of June 30, 2013 and December 31, 2012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1239"/>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6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December 31, 2012</w:t>
            </w:r>
          </w:p>
        </w:tc>
      </w:tr>
      <w:tr>
        <w:trPr>
          <w:trHeight w:val="237"/>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56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current assets (other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44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 of derivative instruments on the consolidated statements of income as well as accumulated other comprehensive income (OCI) within the consolidated statements of comprehensive income and consolidated statements of shareholders' equity for the six months ended June 30, 2013 and 2012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Gains (Losses)</w:t>
            </w:r>
          </w:p>
        </w:tc>
        <w:tc>
          <w:tcPr>
            <w:tcW w:w="2960" w:type="dxa"/>
            <w:vAlign w:val="bottom"/>
            <w:gridSpan w:val="4"/>
          </w:tcPr>
          <w:p>
            <w:pPr>
              <w:jc w:val="center"/>
              <w:ind w:left="603"/>
              <w:spacing w:after="0"/>
              <w:rPr>
                <w:sz w:val="20"/>
                <w:szCs w:val="20"/>
                <w:color w:val="auto"/>
              </w:rPr>
            </w:pPr>
            <w:r>
              <w:rPr>
                <w:rFonts w:ascii="Arial" w:cs="Arial" w:eastAsia="Arial" w:hAnsi="Arial"/>
                <w:sz w:val="14"/>
                <w:szCs w:val="14"/>
                <w:b w:val="1"/>
                <w:bCs w:val="1"/>
                <w:color w:val="auto"/>
                <w:w w:val="90"/>
              </w:rPr>
              <w:t>Gains (Losses) Reclassified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154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r>
      <w:tr>
        <w:trPr>
          <w:trHeight w:val="219"/>
        </w:trPr>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85.3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1200" w:type="dxa"/>
            <w:vAlign w:val="bottom"/>
            <w:shd w:val="clear" w:color="auto" w:fill="CCEEFF"/>
          </w:tcPr>
          <w:p>
            <w:pPr>
              <w:jc w:val="right"/>
              <w:ind w:right="38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right="260"/>
        <w:spacing w:after="0" w:line="324" w:lineRule="auto"/>
        <w:rPr>
          <w:sz w:val="20"/>
          <w:szCs w:val="20"/>
          <w:color w:val="auto"/>
        </w:rPr>
      </w:pPr>
      <w:r>
        <w:rPr>
          <w:rFonts w:ascii="Arial" w:cs="Arial" w:eastAsia="Arial" w:hAnsi="Arial"/>
          <w:sz w:val="18"/>
          <w:szCs w:val="18"/>
          <w:color w:val="auto"/>
        </w:rPr>
        <w:t>At June 30, 2013, the company expects to reclassify $2.9 million of losses on derivative instruments from accumulated other comprehensive income to net income as additional interest expense during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2013, the USPTO rejected all claims in the patent, which decision remains subject to appeal. Based on its investigation to date and advice from legal counsel, the company believes this suit is without merit and intends to defend itself vigorously against these charges.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2009, Realtime Data LLC (Realtime) filed a complaint against CME Group and other exchanges in the Eastern District of Texas alleging willful infringement of four patents relating to the company's market data and information services,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In 2011, the case was transferred to the Southern District of New York. Two of the original four patents were dropped from the case by Realtime. In 2012, the court entered judgment in CME's favor based on invalidity and non-infringement, which is being appealed. The USPTO is conducting a parallel review of the four patents that remain at issue. Based on its investigation to date and advice from legal counsel, the company believes this suit is without merit and intends to defend itself vigorously against these charges.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re-examinations by the USPTO in the Fifth Market, Garber and Realtime matters, including any appeals thereof, to result in a determination of the validity of the patents at issue which we expect will have an impact on the merits of the matters. Given the uncertainty of the potential outcome of the re-examinations as well as other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The class action</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92"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complaint alleges that CME violated the Commodity Exchange Act (CEA), aided and abetted violations of the CEA by other defendants, and aided and abetted a breach of fiduciary duty by certain officers and directors of MF Global. The class complaint also alleges that CME Group aided and abetted CME's violation of the CEA. The complaint does not allege the amount of damages sought, but rather seeks compensatory and exemplary damages to be determined at trial. Based on the initial analysis of the class complaint, the company believes that it has strong legal and factual defenses to the claims. Given that this matter is in the very early stage, at this time the company is unable to estimate the reasonably possible loss or range of reasonably possible loss in the unlikely event it was found to be liable in this matter.</w:t>
      </w:r>
    </w:p>
    <w:p>
      <w:pPr>
        <w:spacing w:after="0" w:line="1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February 2013, the CFTC filed suit against NYMEX and two former employees alleging disclosure of confidential customer information in violation of the CEA. Based on the initial review of the complaint, the company believes that it has strong factual and legal defenses to the claim.</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June 30, 2013 and December 31, 2012, the company had accrued $13.3 million and $13.2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Guarantees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Limited (CMECE) mark-to-market open positions for most products at least twice a</w:t>
      </w:r>
      <w:r>
        <w:rPr>
          <w:rFonts w:ascii="Arial" w:cs="Arial" w:eastAsia="Arial" w:hAnsi="Arial"/>
          <w:sz w:val="16"/>
          <w:szCs w:val="16"/>
          <w:i w:val="1"/>
          <w:iCs w:val="1"/>
          <w:color w:val="auto"/>
        </w:rPr>
        <w:t xml:space="preserve"> </w:t>
      </w:r>
      <w:r>
        <w:rPr>
          <w:rFonts w:ascii="Arial" w:cs="Arial" w:eastAsia="Arial" w:hAnsi="Arial"/>
          <w:sz w:val="16"/>
          <w:szCs w:val="16"/>
          <w:color w:val="auto"/>
        </w:rPr>
        <w:t>day. Based 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CME's and CMECE’s guarantee would be one half day of changes in fair value of all open positions, before considering CME's and CMECE’s ability to access defaulting clearing firms’ performance bond and guaranty fund balances as well as other available resources. During the first six months of 2013, CME and CMECE transferred an average of approximately $2.4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June 30, 2013.</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2013.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June 30, 2013, CME was contingently liable to SGX on irrevocable letters of credit totaling $360.0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9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April 2012, the company established the Family Farmer and Rancher Protection Fund (the Fund). The Fund</w:t>
      </w:r>
      <w:r>
        <w:rPr>
          <w:rFonts w:ascii="Arial" w:cs="Arial" w:eastAsia="Arial" w:hAnsi="Arial"/>
          <w:sz w:val="16"/>
          <w:szCs w:val="16"/>
          <w:i w:val="1"/>
          <w:iCs w:val="1"/>
          <w:color w:val="auto"/>
        </w:rPr>
        <w:t xml:space="preserve"> </w:t>
      </w:r>
      <w:r>
        <w:rPr>
          <w:rFonts w:ascii="Arial" w:cs="Arial" w:eastAsia="Arial" w:hAnsi="Arial"/>
          <w:sz w:val="16"/>
          <w:szCs w:val="16"/>
          <w:color w:val="auto"/>
        </w:rPr>
        <w:t>is designed to provide payments, up to certain maximum levels, to family farmers, ranchers and other agricultural industry participants who use CME Group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June 30, 2013.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following tables present changes in the accumulated balances for each component of other comprehensive income, including current period other comprehensive income and reclassifications out of accumulated other comprehensive income, net of tax and after non-controlling interests: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2012</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2012, the company recognized an $18.4 million foreign currency translation loss related to the sale of Credit Market Analysis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(CMA) within other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and investments in publicly traded mutual funds with quoted market prices. If quoted prices are not available to determine fair value, the company uses other inputs that are directly observable.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probability of payout ranging from 91% to 100%. Significant increases or decreases in any of those inputs in isolation would result in a significantly higher or lower fair value.</w:t>
      </w:r>
    </w:p>
    <w:p>
      <w:pPr>
        <w:spacing w:after="0" w:line="1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June 30, 2013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 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were no transfers of assets between level 1 and level 2 during the first six months of 2013. The following is a reconciliation of liabilities valued at fair value on a recurring basis using significant unobservable inputs (level 3) during the first six months of 2013. There were no assets classified as level 3 during the first six months of 2013.</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Unrealized changes in fair value:</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June 30, 2013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assets or liabilities valued at fair value on a nonrecurring basis using significant unobservable inputs (level 3) during the first six months of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332,341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330,946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334,073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332,162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333,739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332,009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August 2013, the company repaid the $750.0 million fixed rate notes due August 2013.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2012.</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References in this discussion and analysis to “we,” “us” and “our” are to CME Group and its consolidated subsidiaries, collectively. References to “exchange” are to Chicago Mercantile Exchange Inc. (CME), Board of Trade of the City of Chicago, Inc. (CBOT), New York Mercantile Exchange, Inc. (NYMEX), Commodity Exchange, Inc. (COMEX), and The Board of Trade of Kansas City, Missouri, Inc. (KCBT), collectively, unless otherwise noted.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2012</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816.1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795.9</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3 %</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1,534.7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1,570.5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308.3</w:t>
            </w:r>
          </w:p>
        </w:tc>
        <w:tc>
          <w:tcPr>
            <w:tcW w:w="48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326.7</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621.4</w:t>
            </w:r>
          </w:p>
        </w:tc>
        <w:tc>
          <w:tcPr>
            <w:tcW w:w="4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650.1</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41.5</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(18.2)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23.7</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(177)</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311.2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244.9</w:t>
            </w:r>
          </w:p>
        </w:tc>
        <w:tc>
          <w:tcPr>
            <w:tcW w:w="1420" w:type="dxa"/>
            <w:vAlign w:val="bottom"/>
          </w:tcPr>
          <w:p>
            <w:pPr>
              <w:jc w:val="right"/>
              <w:ind w:right="253"/>
              <w:spacing w:after="0"/>
              <w:rPr>
                <w:sz w:val="20"/>
                <w:szCs w:val="20"/>
                <w:color w:val="auto"/>
              </w:rPr>
            </w:pPr>
            <w:r>
              <w:rPr>
                <w:rFonts w:ascii="Arial" w:cs="Arial" w:eastAsia="Arial" w:hAnsi="Arial"/>
                <w:sz w:val="18"/>
                <w:szCs w:val="18"/>
                <w:color w:val="auto"/>
              </w:rPr>
              <w:t>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547.0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511.5</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7</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common share attributable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0.93</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0.74</w:t>
            </w:r>
          </w:p>
        </w:tc>
        <w:tc>
          <w:tcPr>
            <w:tcW w:w="14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1.64</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768.8</w:t>
            </w:r>
          </w:p>
        </w:tc>
        <w:tc>
          <w:tcPr>
            <w:tcW w:w="4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657.8</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17</w:t>
            </w:r>
          </w:p>
        </w:tc>
      </w:tr>
    </w:tbl>
    <w:p>
      <w:pPr>
        <w:spacing w:after="0" w:line="121" w:lineRule="exact"/>
        <w:rPr>
          <w:sz w:val="20"/>
          <w:szCs w:val="20"/>
          <w:color w:val="auto"/>
        </w:rPr>
      </w:pPr>
    </w:p>
    <w:p>
      <w:pPr>
        <w:ind w:left="660" w:right="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second quarter of 2013 compared with the same period in 2012, the overall increase in revenues was attributable to an increase in clearing and transaction fees resulting from higher contract volumes. The increase was partially offset by a decline in market data and information services revenue resulting from the de-consolidation of our index business that was contributed to S&amp;P/Dow Jones Indices LLC (S&amp;P/DJI), a new business venture with The McGraw-Hill Companies Inc. (McGraw), and the sale of Credit Market Analysis Ltd. (CMA) to McGraw. The overall decrease in revenues in the first six months of 2013 when compared with the same period in 2012 resulted from a decline in market data and information services revenue due to the de-consolidation of our index business and the sale of CMA partially offset by an increase in clearing and transaction fees revenue resulting from higher contract volumes.</w:t>
      </w:r>
    </w:p>
    <w:p>
      <w:pPr>
        <w:spacing w:after="0" w:line="177" w:lineRule="exact"/>
        <w:rPr>
          <w:rFonts w:ascii="Arial" w:cs="Arial" w:eastAsia="Arial" w:hAnsi="Arial"/>
          <w:sz w:val="17"/>
          <w:szCs w:val="17"/>
          <w:color w:val="auto"/>
        </w:rPr>
      </w:pPr>
    </w:p>
    <w:p>
      <w:pPr>
        <w:ind w:left="660" w:right="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overall decreases in expenses in the second quarter and first six months of 2013 when compared with the same periods in 2012 were largely due to the declines in expenses resulting from the de-consolidation of our index business contributed to S&amp;P/DJI and the sale of CMA. The overall decrease in expenses in the first six months of 2013 was partially offset by an increase in currency fluctuation losses resulting from unfavorable changes in exchange rates on certain foreign cash balances. Additionally, an increase in bonus expense related to improved performance relative to our cash earnings target partially offset the decrease in overall expenses in the second quarter and first six months of 2013.</w:t>
      </w:r>
    </w:p>
    <w:p>
      <w:pPr>
        <w:spacing w:after="0" w:line="158"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declines in non-operating income in the second quarter and first six months of 2013 when compared with the same periods in 2012 were attributable to the gain recognized in the second quarter of 2012 related to the de-consolidation of our index business that was contributed to S&amp;P/DJI and the sale of CMA to McGraw. The declines in non-operating income were partially offset by the increase in income from our investment in S&amp;P/DJI.</w:t>
      </w:r>
    </w:p>
    <w:p>
      <w:pPr>
        <w:spacing w:after="0" w:line="186"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decrease in the effective tax rate in the second quarter and first six months of 2013 was due to the establishment of deferred tax liabilities associated with the closing of our venture with McGraw in the second quarter of 2012. The decrease was partially offset by non-recurring reductions to tax expense in the second quarter of 2012 related to the closing of the business venture and the sale of CMA.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ind w:left="660" w:right="4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cash flows from operating activities in the first six months of 2013 when compared with the same period in 2012 was due to an increase in cash collateral on hand related to our forward-starting interest rate swap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643.6</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110.8</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225.0</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21</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795.9</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1,534.7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1,570.5</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volume includes contracts that are traded on our exchange and cleared through our clearing house as well as cleared-only CME ClearPort contracts. Volume is measured in round turns, which is considered a completed transaction that involves a purchase and an offsetting sale of a contract. Average rate per contract is determined by dividing total clearing and transaction fees revenue by total contract volume. All amounts in the following tables exclude our CME credit default swap, CME interest rate swap and all CME Clearing Europe contracts.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916.7</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792.1</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1,667.2</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685.6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642.9</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1,275.6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1,262.1</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0.812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0.765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0.812</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r>
      <w:tr>
        <w:trPr>
          <w:trHeight w:val="27"/>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changes in total contract volume and changes in average rate per contract during the second quarter and first six months of 2013 when compared with the same periods in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changes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changes in revenue attributable to changes in each is only an approximation.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Overall clearing and transaction fees revenues include revenues from our cleared-only CME interest rate swap and credit default swap contracts. In the second quarter and first six months of 2013 when compared with the same periods of 2012, clearing and transaction fees generated from our CME cleared over-the-counter interest rate and credit default swap contracts increased by $5.8 million and $7.1 million, respectively. The increases in revenues were largely attributable to the first and second phases of the over-the-counter clearing mandate required by the Dodd-Frank Wall Street Reform and Consumer Protection Act in March and June 2013.</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 summarizes average daily contract volume. Contract volume can be influenced by many factors, including political and economic factors, the regulatory environment and market competition. The overall increases in contract volume in the second quarter and first six months of 2013 when compared with the same periods of 2012 were largely attributable to higher interest rate contract volume in May and June 2013 resulting from changing market expectations regarding the Federal Reserve's continued zero interest rate policy and its intention to exit the quantitative easing strategy. Average daily contract volume amounts exclude our CME credit default swap, CME interest rate swap and all CME Clearing Europe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6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4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13"/>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2012</w:t>
            </w: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5,136</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33 %</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5,371</w:t>
            </w:r>
          </w:p>
        </w:tc>
        <w:tc>
          <w:tcPr>
            <w:tcW w:w="12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884</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1,741</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1,846</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12,376</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16</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12,342</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18</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10,389</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1,227</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27</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7"/>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11,942</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11,849</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14,323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12,376</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12,342</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Average daily volume for agricultural commodity products includes volume for KCBT beginning on January 1,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while Eurodollar Back 32 futures include contracts with expirations after two years through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8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2012</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1,315</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1,196</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1,210</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1,035</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1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91</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890</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608</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577</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507</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(27)</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1,921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1,413</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1,811</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1,383</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921</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1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62</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868</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582</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546</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15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268</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interest rate contract volumes increased in the second quarter and first six months of 2013 when compared with the same periods in 2012 largely due to periods of high short-term and long-term interest rate volatility in May and June 2013. The high interest rate volatility was attributable to a change in market expectations regarding the Federal Reserve's intention to revisit their quantitative easing strategy and to outline an exit strategy from their plan as well as a change in expectations regarding the Federal Reserve's continued zero interest rate policy. Overall interest rate contract volume averaged 8.6 million contracts per day in June 2013.</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Short-term interest rate volatility remained low in early 2013 compared with prior periods due to the Federal Reserve's ongoing quantitative easing and zero interest rate policy. The low short-term interest rate volatility contributed to a decline in short-term interest rate contracts, including the Eurodollar Front 8 and Eurodollar option contracts, in the first six months of 2013 when compared with the same period in 2012. The decline in volume in early 2013 was partially offset by an increase in volume due to high volatility in the second quarter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2,469</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2,310</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7 %</w:t>
            </w:r>
          </w:p>
        </w:tc>
        <w:tc>
          <w:tcPr>
            <w:tcW w:w="15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2,298</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E-mini NASDAQ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256</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288</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244</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258</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increases in equity contract volumes in the second quarter and first six months of 2013 when compared with the same periods in 2012 were due to short periods of volatility. We believe the high volatility was caused by the Federal Reserve's intention to revisit their quantitative easing strategy. We believe the increases in overall equity contract volumes in the second quarter and first six months of 2013 were also due to a greater need for equity futures and options contracts resulting from an increase in assets under management in equity-based funds.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general, equity products such as the E-mini NASDAQ contracts that hedge market risks different than those of the E-mini S&amp;P 500, our most liquid equity product, do not tend to benefit from macro-level events or increased volatility to the same extent.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4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3"/>
                <w:szCs w:val="13"/>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2012</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54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296</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54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color w:val="auto"/>
              </w:rPr>
              <w:t>314</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243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163</w:t>
            </w:r>
          </w:p>
        </w:tc>
        <w:tc>
          <w:tcPr>
            <w:tcW w:w="1540" w:type="dxa"/>
            <w:vAlign w:val="bottom"/>
          </w:tcPr>
          <w:p>
            <w:pPr>
              <w:jc w:val="right"/>
              <w:ind w:right="437"/>
              <w:spacing w:after="0"/>
              <w:rPr>
                <w:sz w:val="20"/>
                <w:szCs w:val="20"/>
                <w:color w:val="auto"/>
              </w:rPr>
            </w:pPr>
            <w:r>
              <w:rPr>
                <w:rFonts w:ascii="Arial" w:cs="Arial" w:eastAsia="Arial" w:hAnsi="Arial"/>
                <w:sz w:val="18"/>
                <w:szCs w:val="18"/>
                <w:color w:val="auto"/>
              </w:rPr>
              <w:t>229</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137</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129</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14</w:t>
            </w:r>
          </w:p>
        </w:tc>
        <w:tc>
          <w:tcPr>
            <w:tcW w:w="154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color w:val="auto"/>
              </w:rPr>
              <w:t>135</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145</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48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1540" w:type="dxa"/>
            <w:vAlign w:val="bottom"/>
          </w:tcPr>
          <w:p>
            <w:pPr>
              <w:jc w:val="right"/>
              <w:ind w:right="437"/>
              <w:spacing w:after="0"/>
              <w:rPr>
                <w:sz w:val="20"/>
                <w:szCs w:val="20"/>
                <w:color w:val="auto"/>
              </w:rPr>
            </w:pPr>
            <w:r>
              <w:rPr>
                <w:rFonts w:ascii="Arial" w:cs="Arial" w:eastAsia="Arial" w:hAnsi="Arial"/>
                <w:sz w:val="18"/>
                <w:szCs w:val="18"/>
                <w:color w:val="auto"/>
              </w:rPr>
              <w:t>126</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85</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4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w:t>
            </w:r>
          </w:p>
        </w:tc>
        <w:tc>
          <w:tcPr>
            <w:tcW w:w="15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overall increases in foreign exchange contract volume in the second quarter and first six months of 2013 when compared with the same periods in 2012 were largely due to higher volatility in the Japanese yen resulting from reduced efforts by the Japanese central bank to control yen exchange rates. Additionally, increased volatility and economic uncertainty within Great Britain in early 2013 contributed to the overall increase in British pound contract volume. As volatility returned to the Japanese and British markets, market participants shifted their focus from safe haven currencies, such as the Australian and Canadian dollars, to the Japanese and British markets.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the euro contract volume in the second quarter of 2013 when compared with the same period in 2012 was due to lower volatility in early 2013 when compared with previous periods. Volatility was higher in 2012 due to concerns related to the European credit crisis.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371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365</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237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308</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(23)</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240</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280</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157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158</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108</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(18)</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106</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agricultural commodity contract volumes declined in the second quarter and first six months of 2013 when compared with the same periods in 2012. Overall contract volumes decreased as a result of lower price volatility in mid-2013 resulting from fewer weather-related events in 2013. High volatility in mid-2012 resulted from severe drought conditions in the Midwest, which impacted agricultural supply levels. The overall decreases in agricultural commodity volumes were offset by incremental wheat contract volumes resulting from the addition of KCBT's hard red winter wheat contract.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847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13 %</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799</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577</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679</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302</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315</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Energy contract volume increased in the second quarter of 2013 when compared with the same period in 2012 due to an increase in crude oil product volume resulting from improvements in infrastructure, which resulted in tightening spreads between the West Texas Intermediate (WTI) and Brent crude oil contracts.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decrease in the first six months of 2013 when compared with the same period in 2012 was largely due to a decline in natural gas contract volume resulting from lower weather-related volatility in early 2013. Crude oil contract volume remained relatively flat in first six months of 2013 when compared with the same period in 2012. The impact from infrastructure improvements and the tightening spreads between the WTI and Brent crude oil contracts in the second quarter of 2013 was offset by the impact of periods of low volatility in the first quarter of 2013 resulting from less supply uncertainty than in previous quarters.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revisions to our trading volume incentives program also contributed to increases in crude oil contract volumes in the second quarter and first six months of 2013 when compared with the same periods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2012</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277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30%</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262</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89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440" w:type="dxa"/>
            <w:vAlign w:val="bottom"/>
          </w:tcPr>
          <w:p>
            <w:pPr>
              <w:ind w:left="960"/>
              <w:spacing w:after="0"/>
              <w:rPr>
                <w:sz w:val="20"/>
                <w:szCs w:val="20"/>
                <w:color w:val="auto"/>
              </w:rPr>
            </w:pPr>
            <w:r>
              <w:rPr>
                <w:rFonts w:ascii="Arial" w:cs="Arial" w:eastAsia="Arial" w:hAnsi="Arial"/>
                <w:sz w:val="18"/>
                <w:szCs w:val="18"/>
                <w:color w:val="auto"/>
              </w:rPr>
              <w:t>13</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78</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83</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29</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72</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Total metal contract volumes increased in the second quarter and first six months of 2013 when compared with the same periods in 2012. The increases in gold and silver contract volumes were driven by short periods of high price volatility caused by improved macroeconomic data in 2013. The increase in copper contract volumes in the second quarter and first six months of 2013 when compared with the same periods in 2012 was due to increased volatility related to a downturn in the Asian economies.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average rate per contract decreased in the second quarter and first six months of 2013 when compared with the same periods in 2012 due to a shift in the relative mix of product volume. In the second quarter of 2013, interest rate product volumes, when measured as a percentage of total volume, increased by 6% while agricultural commodity products decreased by 3%, equity product volume decreased by 2%, and energy product volumes decreased by 1% when compared with the same period in 2012. In the first six months of 2013, interest rate product volumes, when measured as a percentage of total volume, increased 3%, while agricultural commodity and energy product volumes decreased by 2% each when compared with the same period in 2012. In addition, the decreases in average rate per contract in the second quarter and first six months of 2013 when compared with the same periods in 2012 resulted from increases in incentives and discounts on our energy contracts.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11% and one firm represented 10% of our clearing and transaction fees revenue in the first six months of 2013.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decreases in market data and information services revenues in the second quarter and first six months of 2013, when compared with the same periods in 2012, were attributable to the contribution of the index business to S&amp;P/DJI and the sale of CMA in the second quarter of 2012, which resulted in decreases in revenues of $25.3 million and $52.7 million, respectively. The index business contributed to S&amp;P/DJI consisted of assets that generated market data revenues. CMA was sold to McGraw as part of that transaction. In addition, the decreases in revenues in the second quarter and first six months of 2013 were due to declines in market data subscriber counts resulting from continued cost-cutting initiatives at customer firms as well as ongoing incentives.</w:t>
      </w:r>
    </w:p>
    <w:p>
      <w:pPr>
        <w:spacing w:after="0" w:line="15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52% of our market data and information services revenue in the first six months of 2013.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In the second quarter and first six months of 2013 when compared with the same periods in 2012, the increases in other revenues were attributable to $5.1 million of proceeds from business interruption insurance resulting from Hurricane Sandy, which we received in the second quarter of 2013. In the first six months of 2013, the increase in other revenues was also attributable to $8.8 million of revenue recognized upon delivery of services under our technology agreement with BM&amp;FBOVESPA S.A. (BM&amp;FBOVESPA) in the first quarter of 2013. The increase in other revenues in the first six months of 2013 was partially offset by a $6.7 million decrease in rental income resulting from our sale of two CBOT buildings in April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72.5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(31)</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326.7</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650.1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351"/>
              <w:spacing w:after="0"/>
              <w:rPr>
                <w:sz w:val="20"/>
                <w:szCs w:val="20"/>
                <w:color w:val="auto"/>
              </w:rPr>
            </w:pPr>
            <w:r>
              <w:rPr>
                <w:rFonts w:ascii="Arial" w:cs="Arial" w:eastAsia="Arial" w:hAnsi="Arial"/>
                <w:sz w:val="18"/>
                <w:szCs w:val="18"/>
                <w:color w:val="auto"/>
              </w:rPr>
              <w:t>24</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expenses decreased by $18.4 million and $28.7 million in the second quarter and first six months of 2013 when compared with the same periods in 2012. The following table shows the estimated impact of key factors resulting in the changes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54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Amount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18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DJI asset group contribution and CMA sale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separation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losses (gains) on foreign currency fluctuation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decreased in the second quarter and first six months of 2013 when compared with the same periods in 2012 largely due to the contribution of the DJI asset group and the sale of CMA. The transaction with McGraw contributed to an overall reduction in expenses, including compensation and benefits, professional fees and outside services and amortization of purchased intangibles.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Stock-based compensation decreased in the second quarter and first six months of 2013 when compared with the same periods in 2012 due to accelerated vesting of stock-based compensation associated with the transition of the former CEO of CME Group in 2012. This expense would have been recognized by the end of 2012. The decrease in stock-based compensation was also due to the impact of a lower grant in September 2012 compared with the grant in September 2011.</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 decline in employee separation costs contributed to lower expenses in the second quarter and first six months of 2013 when compared with the same periods in 2012. Additionally, our voluntary exit incentive plan announced in the second quarter of 2012 resulted in a decrease in expenses for the second quarter and first six months of 2013 when compared with the same periods in 2012.</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overall decreases in operating expenses in the second quarter and first six months of 2013 when compared with the same periods in 2012 were partially offset by increases in license and other fee agreements expenses resulting from higher equity product volumes. Additionally, expenses increased as a result of fees paid to S&amp;P/DJI in connection with a licensing agreement amended in the second quarter of 2012.</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Salary increases and rising healthcare costs contributed to a rise in salaries, benefits and employer taxes. An increase in average headcount due to efforts to globalize our business also contributed to increases in expenses in the second quarter and first six months of 2013 when compared with the same periods in 2012.</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addition, expenses increased in the first six months of 2013 when compared with the same period in 2012 due to higher foreign currency fluctuation losses resulting from unfavorable changes in exchange rates on British pound cash balances. Favorable changes in the second quarter of 2013 resulted in a net gain on foreign currency fluctuation in the second quarter of 2013 when compared with the same period in 2012.</w:t>
      </w:r>
    </w:p>
    <w:p>
      <w:pPr>
        <w:spacing w:after="0" w:line="16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Bonus expense increased in the second quarter and first six months of 2013 when compared with the same periods in 2012 due to improved performance relative to our cash earnings target in 2013 when compared with 2012 performance relative to our 2012 cash earnings target.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35</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65.2</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65.2</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increases in investment income during the second quarter and first six months of 2013 when compared with the same periods in 2012 were due to increases in dividend income from our investment in BM&amp;FBOVESPA. BM&amp;FBOVESPA declared their first quarter dividend in both February 2012 and 2013. However, the ex-dividend date, which is the basis for revenue recognition, was in the first quarter of 2012 for the 2012 dividend and in the second quarter of 2013 for the 2013 dividend.</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key impacts in the overall increases in interest expense in the second quarter and first six months of 2013 when compared with the same periods in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28"/>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2,862.5</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750.0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2,862.5</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750.0</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4.76%</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(0.51)%</w:t>
            </w:r>
          </w:p>
        </w:tc>
        <w:tc>
          <w:tcPr>
            <w:tcW w:w="1500" w:type="dxa"/>
            <w:vAlign w:val="bottom"/>
            <w:gridSpan w:val="2"/>
          </w:tcPr>
          <w:p>
            <w:pPr>
              <w:jc w:val="right"/>
              <w:ind w:right="359"/>
              <w:spacing w:after="0"/>
              <w:rPr>
                <w:sz w:val="20"/>
                <w:szCs w:val="20"/>
                <w:color w:val="auto"/>
              </w:rPr>
            </w:pPr>
            <w:r>
              <w:rPr>
                <w:rFonts w:ascii="Arial" w:cs="Arial" w:eastAsia="Arial" w:hAnsi="Arial"/>
                <w:sz w:val="18"/>
                <w:szCs w:val="18"/>
                <w:color w:val="auto"/>
              </w:rPr>
              <w:t>4.78%</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4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borrowings (1)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(0.02)</w:t>
            </w:r>
          </w:p>
        </w:tc>
      </w:tr>
      <w:tr>
        <w:trPr>
          <w:trHeight w:val="27"/>
        </w:trPr>
        <w:tc>
          <w:tcPr>
            <w:tcW w:w="4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commitment fees, discount accretion and debt issuance costs.</w:t>
      </w:r>
    </w:p>
    <w:p>
      <w:pPr>
        <w:spacing w:after="0" w:line="170" w:lineRule="exact"/>
        <w:rPr>
          <w:sz w:val="20"/>
          <w:szCs w:val="20"/>
          <w:color w:val="auto"/>
        </w:rPr>
      </w:pPr>
    </w:p>
    <w:p>
      <w:pPr>
        <w:ind w:left="60" w:right="160"/>
        <w:spacing w:after="0" w:line="257" w:lineRule="auto"/>
        <w:rPr>
          <w:sz w:val="20"/>
          <w:szCs w:val="20"/>
          <w:color w:val="auto"/>
        </w:rPr>
      </w:pPr>
      <w:r>
        <w:rPr>
          <w:rFonts w:ascii="Arial" w:cs="Arial" w:eastAsia="Arial" w:hAnsi="Arial"/>
          <w:sz w:val="18"/>
          <w:szCs w:val="18"/>
          <w:color w:val="auto"/>
        </w:rPr>
        <w:t>In September 2012, we issued $750.0 million of 3.0% fixed rate notes due September 2022, which contributed to increases in weighted average borrowings outstanding and decreases in weighted average effective yield in the second quarter and first six months of 2013 when compared with the same periods in 2012. Average cost of borrowings remained flat in the second quarter and first six months of 2013 when compared with the same periods in 2012. The impact of the September 2012 issuance on the average cost of borrowings was offset by higher commitment fees resulting from an increase in our line of credit facilities in the fourth quarter of 2012.</w:t>
      </w:r>
    </w:p>
    <w:p>
      <w:pPr>
        <w:spacing w:after="0" w:line="188"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In the second quarter and first six months of 2013, we recognized income from our S&amp;P/DJI investment, which contributed to increases in equity in net gains (losses) of unconsolidated subsidiaries, when compared with the same periods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2012, we recognized a net gain of $65.2 million related to the contribution of the DJI asset group and the sale of CMA.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169545</wp:posOffset>
            </wp:positionV>
            <wp:extent cx="1869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38.7%</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1520" w:type="dxa"/>
            <w:vAlign w:val="bottom"/>
          </w:tcPr>
          <w:p>
            <w:pPr>
              <w:ind w:left="20"/>
              <w:spacing w:after="0"/>
              <w:rPr>
                <w:sz w:val="20"/>
                <w:szCs w:val="20"/>
                <w:color w:val="auto"/>
              </w:rPr>
            </w:pPr>
            <w:r>
              <w:rPr>
                <w:rFonts w:ascii="Arial" w:cs="Arial" w:eastAsia="Arial" w:hAnsi="Arial"/>
                <w:sz w:val="18"/>
                <w:szCs w:val="18"/>
                <w:color w:val="auto"/>
              </w:rPr>
              <w:t>38.7</w:t>
            </w:r>
          </w:p>
        </w:tc>
        <w:tc>
          <w:tcPr>
            <w:tcW w:w="540" w:type="dxa"/>
            <w:vAlign w:val="bottom"/>
          </w:tcPr>
          <w:p>
            <w:pPr>
              <w:ind w:left="4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(6.3)</w:t>
            </w:r>
          </w:p>
        </w:tc>
      </w:tr>
    </w:tbl>
    <w:p>
      <w:pPr>
        <w:spacing w:after="0" w:line="121"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In the second quarter of 2012, we established deferred tax liabilities associated with the closing of our business venture with McGraw, which resulted in a $132.0 million decrease in our income tax provision in the second quarter and first six months of 2013 when compared with the same periods in 2012. The decrease in the effective tax rate in the second quarter and first six months of 2013 was partially offset by non-recurring reductions to tax expense of $36.7 million in the second quarter of 2012 related to the closing of the business venture as well as the sale of CMA.</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in the first six months of 2013 increased compared with net cash provided by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the first six months of 2012. The increase was attributable to higher cash collateral on hand related to our forward-starting interest rate swap contract. Net cash used in investing activities increased in the first six months of 2013 when compared with the same period of 2012 due to the proceeds from the sale of our building property in April 2012. Cash used in financing activities was lower in the first six months of 2013 when compared with the same period in 2012. The decrease was attributable to lower cash dividends in the first six months of 2013 when compared with the same period in 2012. The annual variable dividend from 2011 operations was paid in the first quarter of 2012. The annual variable dividend from 2012 operations was accelerated to the fourth quarter of 2012 due to uncertainty surrounding dividend income tax treatment beginning in 2013. The decrease in net cash used in financing was offset by our purchase of the non-controlling interest in CME Group Index Holdings LLC in the second quarter of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June 30, 2013:</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30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25"/>
                <w:szCs w:val="25"/>
                <w:color w:val="auto"/>
                <w:vertAlign w:val="superscript"/>
              </w:rPr>
              <w:t>(1)</w:t>
            </w:r>
          </w:p>
        </w:tc>
        <w:tc>
          <w:tcPr>
            <w:tcW w:w="30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341"/>
        </w:trPr>
        <w:tc>
          <w:tcPr>
            <w:tcW w:w="754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2022, interest equal to 3.00% </w:t>
            </w:r>
            <w:r>
              <w:rPr>
                <w:rFonts w:ascii="Arial" w:cs="Arial" w:eastAsia="Arial" w:hAnsi="Arial"/>
                <w:sz w:val="25"/>
                <w:szCs w:val="25"/>
                <w:color w:val="auto"/>
                <w:vertAlign w:val="superscript"/>
              </w:rPr>
              <w:t>(2)</w:t>
            </w:r>
          </w:p>
        </w:tc>
        <w:tc>
          <w:tcPr>
            <w:tcW w:w="302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new senior credit facility, we have the option to increase the facility up to $2.3 billion with the consent of the agent and lenders providing the additional funds. The senior credit facility matures in January 2016 except for $95.0 million of the existing commitments that expire in January 2014. The $1.8 billion multi-currency revolving senior credit facility includes a provision to issue up to $250.0 million of stand-by letters of credit. The senior credit facility is voluntarily prepayable from time to time without premium or penalty. Under our credit facility, we are required to remain in compliance with a consolidated net worth test, which is defined as our consolidated shareholders' equity as of September 30, 2012, giving effect to share repurchases made and special dividends paid during the term of the agreement (and in no event greater than $2.0 billion in aggregate), multiplied by 0.65. We currently do not have any borrowings under this credit facility.</w:t>
      </w:r>
    </w:p>
    <w:p>
      <w:pPr>
        <w:spacing w:after="0" w:line="1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a 364-day multi-currency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At June 30, 2013, guaranty funds available to collateralize the facility totaled $4.9 billion. The line of credit provides for borrowings of up to $5.0 billion. We have the option to request an increase in the line from $5.0 billion to $7.0 billion, subject to the approval of participating banks. In addition to the 364-day multi-currency line of credit, we also have the option to use the $1.8 billion multi-currency revolving senior credit facility to provide liquidity for our clearing house in the unlikely event of default in certain circumstances.</w:t>
      </w:r>
    </w:p>
    <w:p>
      <w:pPr>
        <w:spacing w:after="0" w:line="12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$625.0 million. In the event that CME elects to increase the facility, the minimum consolidated tangible net worth test would increase ratably up to $875.0 million.</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governing our fixed rate notes, our $1.8 billion multi-currency revolving senior credit facility and our 364-day multi-currency line of credit for $5.0 billion do not contain specific covenants that restrict the ability to pay dividends. These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documents, however, do contain other customary financial and operating covenants that place restrictions on the operations of the company that could indirectly affect the ability to pay dividends.</w:t>
      </w:r>
    </w:p>
    <w:p>
      <w:pPr>
        <w:spacing w:after="0" w:line="14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June 30, 2013, we have excess borrowing capacity for general corporate purposes of approximately $1.8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we were in compliance with the various covenant requirements of all our debt facilities.</w:t>
      </w:r>
    </w:p>
    <w:p>
      <w:pPr>
        <w:spacing w:after="0" w:line="19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June 30, 2013, the letters of credit totaled $360.0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June 30,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480" w:type="dxa"/>
            <w:vAlign w:val="bottom"/>
          </w:tcPr>
          <w:p>
            <w:pPr>
              <w:ind w:left="2140"/>
              <w:spacing w:after="0"/>
              <w:rPr>
                <w:sz w:val="20"/>
                <w:szCs w:val="20"/>
                <w:color w:val="auto"/>
              </w:rPr>
            </w:pPr>
            <w:r>
              <w:rPr>
                <w:rFonts w:ascii="Arial" w:cs="Arial" w:eastAsia="Arial" w:hAnsi="Arial"/>
                <w:sz w:val="14"/>
                <w:szCs w:val="14"/>
                <w:b w:val="1"/>
                <w:bCs w:val="1"/>
                <w:color w:val="auto"/>
              </w:rPr>
              <w:t>Short-Term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Pr>
          <w:p>
            <w:pPr>
              <w:spacing w:after="0"/>
              <w:rPr>
                <w:sz w:val="16"/>
                <w:szCs w:val="16"/>
                <w:color w:val="auto"/>
              </w:rPr>
            </w:pPr>
          </w:p>
        </w:tc>
      </w:tr>
      <w:tr>
        <w:trPr>
          <w:trHeight w:val="209"/>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4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Debt Rating</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480" w:type="dxa"/>
            <w:vAlign w:val="bottom"/>
            <w:tcBorders>
              <w:bottom w:val="single" w:sz="8" w:color="CCEEFF"/>
            </w:tcBorders>
            <w:shd w:val="clear" w:color="auto" w:fill="CCEEFF"/>
          </w:tcPr>
          <w:p>
            <w:pPr>
              <w:jc w:val="center"/>
              <w:ind w:left="1439"/>
              <w:spacing w:after="0"/>
              <w:rPr>
                <w:sz w:val="20"/>
                <w:szCs w:val="20"/>
                <w:color w:val="auto"/>
              </w:rPr>
            </w:pPr>
            <w:r>
              <w:rPr>
                <w:rFonts w:ascii="Arial" w:cs="Arial" w:eastAsia="Arial" w:hAnsi="Arial"/>
                <w:sz w:val="18"/>
                <w:szCs w:val="18"/>
                <w:color w:val="auto"/>
                <w:w w:val="98"/>
              </w:rPr>
              <w:t>A1+</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480" w:type="dxa"/>
            <w:vAlign w:val="bottom"/>
          </w:tcPr>
          <w:p>
            <w:pPr>
              <w:jc w:val="center"/>
              <w:ind w:left="1419"/>
              <w:spacing w:after="0"/>
              <w:rPr>
                <w:sz w:val="20"/>
                <w:szCs w:val="20"/>
                <w:color w:val="auto"/>
              </w:rPr>
            </w:pPr>
            <w:r>
              <w:rPr>
                <w:rFonts w:ascii="Arial" w:cs="Arial" w:eastAsia="Arial" w:hAnsi="Arial"/>
                <w:sz w:val="18"/>
                <w:szCs w:val="18"/>
                <w:color w:val="auto"/>
                <w:w w:val="81"/>
              </w:rPr>
              <w:t>P1</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2013, Standard &amp; Poor’s Ratings Services affirmed its ratings for CME Group as AA- and revised their outlook to stable.</w:t>
      </w:r>
    </w:p>
    <w:p>
      <w:pPr>
        <w:spacing w:after="0" w:line="18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$2.0 billion at June 30, 2013 and $1.6 billion at December 31, 2012. The balance retained</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is classified as restricted cash and is included in other current assets or other assets in the consolidated balance sheets.</w:t>
      </w:r>
    </w:p>
    <w:p>
      <w:pPr>
        <w:spacing w:after="0" w:line="13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August 7, 2013, CME Group’s board of directors declared a regular quarterly dividend of $0.45 per share payable on September 25, 2013 to the shareholders of record as of September 10, 2013.</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six months ended June 30, 2013, cash performance bonds and security deposits increased from $6.6 billion to $14.3 billion, an increase of $7.7 billion. The increase in cash collateral was due to an increase in open interest as well as a change in clearing firm collateral preference.</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current deferred tax assets of $34.1 million were included in other current assets at both June 30, 2013 and December 31, 2012. Total net current deferred tax assets are attributable to unrealized losses, stock-based compensation and accrued expenses.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long-term deferred tax liabilities were $7.2 billion and $7.4 billion at June 30, 2013 and December 31, 2012, respectively. Net deferred tax liabilities are principally the result of purchase accounting for intangible assets in our various mergers including CBOT Holdings and NYMEX Holdings.</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Valuation allowances of $47.1 million and $24.8 million have been provided at June 30, 2013 and December 31, 2012, respectively. At June 30, 2013, valuation allowances are related to domestic net operating losses, foreign net operating losses as well as basis differences on mark-to-market investments for which we do not believe that we currently meet the more-likely-than-not-threshold for recognition. At December 31, 2012, valuation allowances related to domestic and foreign net operating losses for which we do not believe that we currently meet the more-likely-than-not-threshold for recognition.</w:t>
      </w:r>
    </w:p>
    <w:p>
      <w:pPr>
        <w:spacing w:after="0" w:line="15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Commodity Futures Trading Commission (CFTC) as a U.S. Derivatives Clearing Organization (DCO).</w:t>
      </w:r>
      <w:r>
        <w:rPr>
          <w:rFonts w:ascii="Arial" w:cs="Arial" w:eastAsia="Arial" w:hAnsi="Arial"/>
          <w:sz w:val="16"/>
          <w:szCs w:val="16"/>
          <w:i w:val="1"/>
          <w:iCs w:val="1"/>
          <w:color w:val="auto"/>
        </w:rPr>
        <w:t xml:space="preserve"> </w:t>
      </w:r>
      <w:r>
        <w:rPr>
          <w:rFonts w:ascii="Arial" w:cs="Arial" w:eastAsia="Arial" w:hAnsi="Arial"/>
          <w:sz w:val="16"/>
          <w:szCs w:val="16"/>
          <w:color w:val="auto"/>
        </w:rPr>
        <w:t>DCOs are required to maintain capital as defined by the CFTC in an amount at least equal to one year of projected operating expenses as well as cash, liquid securities, or a line of credit at least equal to six months of projected operating expenses. CME is in compliance with the DCO financial requirements.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CBOT, NYMEX, COMEX and KCBT are regulated by the CFTC as Designated Contract Markets (DCM). DCMs are also required to maintain capital as defined by the CFTC in an amount at least equal to one year of projected operating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expenses as well as cash, liquid securities, or a line of credit at least equal to six months of projected operating expenses. Our DCMs are in compliance with the DCM financial requirements.</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2012 except for the risks discussed below. Refer to Item 7A. of CME Group’s Annual Report on Form 10-K for the year ended December 31, 2012 for additional information.</w:t>
      </w:r>
    </w:p>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Foreign Currency Transaction Risk. </w:t>
      </w:r>
      <w:r>
        <w:rPr>
          <w:rFonts w:ascii="Arial" w:cs="Arial" w:eastAsia="Arial" w:hAnsi="Arial"/>
          <w:sz w:val="18"/>
          <w:szCs w:val="18"/>
          <w:color w:val="auto"/>
        </w:rPr>
        <w:t>We have foreign currency transaction risk related to British pounds cash deposits held at foreign subsidiaries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a U.S. dollar functional currency. During the first six months of 2013, we recognized a $10.4 million net loss on foreign currency fluctuations related to unfavorable changes in exchange rates between the British pound and U.S. dollar. The exchange rate between the British pound and the U.S. dollar decreased from $1.62 per pound at December 31, 2012 to $1.52 per pound at June 30, 2013.</w:t>
      </w:r>
    </w:p>
    <w:p>
      <w:pPr>
        <w:spacing w:after="0" w:line="23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an update to the legal proceedings disclosure included in the company’s Annual Report on Form 10-K, filed with the SEC on February 28, 2013.</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See “Legal and Regulatory Matters” in Note 6. Contingencies to the Consolidated Financial Statements for updates to CME Group’s existing legal proceedings disclosure which is incorporated herein by reference.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2013.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64.13</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4,507</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74.09</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4,569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73.96</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4,569 shares of Class A common stock surrendered in the second quarter of 2013 to satisfy employees’ tax obligations upon the vesting of restricted stock.</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1240" w:type="dxa"/>
            <w:vAlign w:val="bottom"/>
          </w:tcPr>
          <w:p>
            <w:pPr>
              <w:spacing w:after="0"/>
              <w:rPr>
                <w:sz w:val="17"/>
                <w:szCs w:val="17"/>
                <w:color w:val="auto"/>
              </w:rPr>
            </w:pPr>
          </w:p>
        </w:tc>
        <w:tc>
          <w:tcPr>
            <w:tcW w:w="8400" w:type="dxa"/>
            <w:vAlign w:val="bottom"/>
          </w:tcPr>
          <w:p>
            <w:pPr>
              <w:spacing w:after="0"/>
              <w:rPr>
                <w:sz w:val="17"/>
                <w:szCs w:val="17"/>
                <w:color w:val="auto"/>
              </w:rPr>
            </w:pPr>
          </w:p>
        </w:tc>
      </w:tr>
      <w:tr>
        <w:trPr>
          <w:trHeight w:val="858"/>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8400" w:type="dxa"/>
            <w:vAlign w:val="bottom"/>
          </w:tcPr>
          <w:p>
            <w:pPr>
              <w:spacing w:after="0"/>
              <w:rPr>
                <w:sz w:val="24"/>
                <w:szCs w:val="24"/>
                <w:color w:val="auto"/>
              </w:rPr>
            </w:pPr>
          </w:p>
        </w:tc>
      </w:tr>
      <w:tr>
        <w:trPr>
          <w:trHeight w:val="769"/>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w w:val="91"/>
              </w:rPr>
              <w:t>Tenth Amended and Restated Bylaws of CME Group Inc. (incorporated by reference to Exhibit 3.1 to CME Group Inc.'s Current</w:t>
            </w:r>
          </w:p>
        </w:tc>
      </w:tr>
      <w:tr>
        <w:trPr>
          <w:trHeight w:val="230"/>
        </w:trPr>
        <w:tc>
          <w:tcPr>
            <w:tcW w:w="1280" w:type="dxa"/>
            <w:vAlign w:val="bottom"/>
          </w:tcPr>
          <w:p>
            <w:pPr>
              <w:spacing w:after="0"/>
              <w:rPr>
                <w:sz w:val="20"/>
                <w:szCs w:val="20"/>
                <w:color w:val="auto"/>
              </w:rPr>
            </w:pP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Report on Form 8-K, filed with the SEC on April 23, 2013, File No. 001-31553)</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40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40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840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240" w:top="108" w:right="7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August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sectPr>
      <w:pgSz w:w="11900" w:h="16838" w:orient="portrait"/>
      <w:cols w:equalWidth="0" w:num="1">
        <w:col w:w="11220"/>
      </w:cols>
      <w:pgMar w:left="2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2019-12-07T02:41:35Z</dcterms:created>
  <dcterms:modified xsi:type="dcterms:W3CDTF">2019-12-07T02:41:35Z</dcterms:modified>
</cp:coreProperties>
</file>