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97"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328"/>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63"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4">
            <w:col w:w="1260" w:space="140"/>
            <w:col w:w="80" w:space="720"/>
            <w:col w:w="5380" w:space="720"/>
            <w:col w:w="3120"/>
          </w:cols>
          <w:pgMar w:left="240" w:top="778"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540" w:space="140"/>
            <w:col w:w="220" w:space="60"/>
            <w:col w:w="140" w:space="140"/>
            <w:col w:w="180" w:space="80"/>
            <w:col w:w="3920"/>
          </w:cols>
          <w:pgMar w:left="240" w:top="778" w:right="23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28, 2013, was approximately $25.1 billion (based on the closing price per share of CME Group Inc. Class A common stock on the NASDAQ Global Select Market (NASDAQ) on such date). The number of shares outstanding of each of the registrant’s classes of common stock as of February 12, 2014 was as follows: 335,694,719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2014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CME GROUP INC.</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w w:val="99"/>
              </w:rPr>
              <w:t>ANNUAL REPORT ON FORM 10-K</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27"/>
        </w:trPr>
        <w:tc>
          <w:tcPr>
            <w:tcW w:w="148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860" w:type="dxa"/>
            <w:vAlign w:val="bottom"/>
            <w:gridSpan w:val="4"/>
          </w:tcPr>
          <w:p>
            <w:pPr>
              <w:spacing w:after="0"/>
              <w:rPr>
                <w:sz w:val="24"/>
                <w:szCs w:val="24"/>
                <w:color w:val="auto"/>
              </w:rPr>
            </w:pPr>
          </w:p>
        </w:tc>
        <w:tc>
          <w:tcPr>
            <w:tcW w:w="842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Risk Factors</w:t>
              </w:r>
            </w:hyperlink>
          </w:p>
        </w:tc>
        <w:tc>
          <w:tcPr>
            <w:tcW w:w="744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7"/>
          </w:tcPr>
          <w:p>
            <w:pPr>
              <w:spacing w:after="0"/>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Unresolved Staff Comments</w:t>
              </w:r>
            </w:hyperlink>
          </w:p>
        </w:tc>
        <w:tc>
          <w:tcPr>
            <w:tcW w:w="626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2.</w:t>
            </w:r>
          </w:p>
        </w:tc>
        <w:tc>
          <w:tcPr>
            <w:tcW w:w="760" w:type="dxa"/>
            <w:vAlign w:val="bottom"/>
            <w:gridSpan w:val="2"/>
          </w:tcPr>
          <w:p>
            <w:pPr>
              <w:spacing w:after="0"/>
              <w:rPr>
                <w:rFonts w:ascii="Arial" w:cs="Arial" w:eastAsia="Arial" w:hAnsi="Arial"/>
                <w:sz w:val="18"/>
                <w:szCs w:val="18"/>
                <w:b w:val="1"/>
                <w:bCs w:val="1"/>
                <w:color w:val="0000EE"/>
                <w:w w:val="80"/>
              </w:rPr>
            </w:pPr>
            <w:hyperlink w:anchor="page24">
              <w:r>
                <w:rPr>
                  <w:rFonts w:ascii="Arial" w:cs="Arial" w:eastAsia="Arial" w:hAnsi="Arial"/>
                  <w:sz w:val="18"/>
                  <w:szCs w:val="18"/>
                  <w:b w:val="1"/>
                  <w:bCs w:val="1"/>
                  <w:color w:val="0000EE"/>
                  <w:w w:val="80"/>
                </w:rPr>
                <w:t>Properties</w:t>
              </w:r>
            </w:hyperlink>
          </w:p>
        </w:tc>
        <w:tc>
          <w:tcPr>
            <w:tcW w:w="1400" w:type="dxa"/>
            <w:vAlign w:val="bottom"/>
            <w:gridSpan w:val="5"/>
          </w:tcPr>
          <w:p>
            <w:pPr>
              <w:spacing w:after="0"/>
              <w:rPr>
                <w:sz w:val="24"/>
                <w:szCs w:val="24"/>
                <w:color w:val="auto"/>
              </w:rPr>
            </w:pPr>
          </w:p>
        </w:tc>
        <w:tc>
          <w:tcPr>
            <w:tcW w:w="626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3.</w:t>
            </w:r>
          </w:p>
        </w:tc>
        <w:tc>
          <w:tcPr>
            <w:tcW w:w="84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5"/>
          </w:tcPr>
          <w:p>
            <w:pPr>
              <w:spacing w:after="0"/>
              <w:rPr>
                <w:rFonts w:ascii="Arial" w:cs="Arial" w:eastAsia="Arial" w:hAnsi="Arial"/>
                <w:sz w:val="18"/>
                <w:szCs w:val="18"/>
                <w:b w:val="1"/>
                <w:bCs w:val="1"/>
                <w:color w:val="0000EE"/>
                <w:w w:val="85"/>
              </w:rPr>
            </w:pPr>
            <w:hyperlink w:anchor="page25">
              <w:r>
                <w:rPr>
                  <w:rFonts w:ascii="Arial" w:cs="Arial" w:eastAsia="Arial" w:hAnsi="Arial"/>
                  <w:sz w:val="18"/>
                  <w:szCs w:val="18"/>
                  <w:b w:val="1"/>
                  <w:bCs w:val="1"/>
                  <w:color w:val="0000EE"/>
                  <w:w w:val="85"/>
                </w:rPr>
                <w:t>Mine Safety Disclosures</w:t>
              </w:r>
            </w:hyperlink>
          </w:p>
        </w:tc>
        <w:tc>
          <w:tcPr>
            <w:tcW w:w="660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PART II.</w:t>
              </w:r>
            </w:hyperlink>
          </w:p>
        </w:tc>
        <w:tc>
          <w:tcPr>
            <w:tcW w:w="780" w:type="dxa"/>
            <w:vAlign w:val="bottom"/>
            <w:gridSpan w:val="3"/>
            <w:vMerge w:val="restart"/>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00" w:type="dxa"/>
            <w:vAlign w:val="bottom"/>
            <w:gridSpan w:val="2"/>
            <w:vMerge w:val="continue"/>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372"/>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80" w:type="dxa"/>
            <w:vAlign w:val="bottom"/>
            <w:gridSpan w:val="3"/>
          </w:tcPr>
          <w:p>
            <w:pPr>
              <w:spacing w:after="0"/>
              <w:rPr>
                <w:sz w:val="24"/>
                <w:szCs w:val="24"/>
                <w:color w:val="auto"/>
              </w:rPr>
            </w:pPr>
          </w:p>
        </w:tc>
        <w:tc>
          <w:tcPr>
            <w:tcW w:w="8420" w:type="dxa"/>
            <w:vAlign w:val="bottom"/>
            <w:gridSpan w:val="18"/>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Market for Registrant’s Common Equity, Related Shareholder Matters and Issuer Purchases of Equity</w:t>
              </w:r>
            </w:hyperlink>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3"/>
              </w:rPr>
            </w:pPr>
            <w:hyperlink w:anchor="page26">
              <w:r>
                <w:rPr>
                  <w:rFonts w:ascii="Arial" w:cs="Arial" w:eastAsia="Arial" w:hAnsi="Arial"/>
                  <w:sz w:val="18"/>
                  <w:szCs w:val="18"/>
                  <w:b w:val="1"/>
                  <w:bCs w:val="1"/>
                  <w:color w:val="0000EE"/>
                  <w:w w:val="83"/>
                </w:rPr>
                <w:t>Securities</w:t>
              </w:r>
            </w:hyperlink>
          </w:p>
        </w:tc>
        <w:tc>
          <w:tcPr>
            <w:tcW w:w="7140" w:type="dxa"/>
            <w:vAlign w:val="bottom"/>
            <w:tcBorders>
              <w:top w:val="single" w:sz="8" w:color="0000EE"/>
            </w:tcBorders>
            <w:gridSpan w:val="15"/>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4"/>
          </w:tcPr>
          <w:p>
            <w:pPr>
              <w:jc w:val="right"/>
              <w:ind w:righ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5"/>
          </w:tcPr>
          <w:p>
            <w:pPr>
              <w:spacing w:after="0"/>
              <w:rPr>
                <w:rFonts w:ascii="Arial" w:cs="Arial" w:eastAsia="Arial" w:hAnsi="Arial"/>
                <w:sz w:val="18"/>
                <w:szCs w:val="18"/>
                <w:b w:val="1"/>
                <w:bCs w:val="1"/>
                <w:color w:val="0000EE"/>
                <w:w w:val="88"/>
              </w:rPr>
            </w:pPr>
            <w:hyperlink w:anchor="page29">
              <w:r>
                <w:rPr>
                  <w:rFonts w:ascii="Arial" w:cs="Arial" w:eastAsia="Arial" w:hAnsi="Arial"/>
                  <w:sz w:val="18"/>
                  <w:szCs w:val="18"/>
                  <w:b w:val="1"/>
                  <w:bCs w:val="1"/>
                  <w:color w:val="0000EE"/>
                  <w:w w:val="88"/>
                </w:rPr>
                <w:t>Selected Financial Data</w:t>
              </w:r>
            </w:hyperlink>
          </w:p>
        </w:tc>
        <w:tc>
          <w:tcPr>
            <w:tcW w:w="660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4"/>
          </w:tcPr>
          <w:p>
            <w:pPr>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Management’s Discussion and Analysis of Financial Condition and Results of Operations</w:t>
              </w:r>
            </w:hyperlink>
          </w:p>
        </w:tc>
        <w:tc>
          <w:tcPr>
            <w:tcW w:w="158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4"/>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Quantitative and Qualitative Disclosures about Market Risk</w:t>
              </w:r>
            </w:hyperlink>
          </w:p>
        </w:tc>
        <w:tc>
          <w:tcPr>
            <w:tcW w:w="158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0"/>
          </w:tcPr>
          <w:p>
            <w:pPr>
              <w:spacing w:after="0"/>
              <w:rPr>
                <w:rFonts w:ascii="Arial" w:cs="Arial" w:eastAsia="Arial" w:hAnsi="Arial"/>
                <w:sz w:val="18"/>
                <w:szCs w:val="18"/>
                <w:b w:val="1"/>
                <w:bCs w:val="1"/>
                <w:color w:val="0000EE"/>
                <w:w w:val="90"/>
              </w:rPr>
            </w:pPr>
            <w:hyperlink w:anchor="page53">
              <w:r>
                <w:rPr>
                  <w:rFonts w:ascii="Arial" w:cs="Arial" w:eastAsia="Arial" w:hAnsi="Arial"/>
                  <w:sz w:val="18"/>
                  <w:szCs w:val="18"/>
                  <w:b w:val="1"/>
                  <w:bCs w:val="1"/>
                  <w:color w:val="0000EE"/>
                  <w:w w:val="90"/>
                </w:rPr>
                <w:t>Financial Statements and Supplementary Data</w:t>
              </w:r>
            </w:hyperlink>
          </w:p>
        </w:tc>
        <w:tc>
          <w:tcPr>
            <w:tcW w:w="1020" w:type="dxa"/>
            <w:vAlign w:val="bottom"/>
            <w:gridSpan w:val="2"/>
          </w:tcPr>
          <w:p>
            <w:pPr>
              <w:spacing w:after="0"/>
              <w:rPr>
                <w:sz w:val="24"/>
                <w:szCs w:val="24"/>
                <w:color w:val="auto"/>
              </w:rPr>
            </w:pPr>
          </w:p>
        </w:tc>
        <w:tc>
          <w:tcPr>
            <w:tcW w:w="380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gridSpan w:val="15"/>
          </w:tcPr>
          <w:p>
            <w:pPr>
              <w:spacing w:after="0"/>
              <w:rPr>
                <w:rFonts w:ascii="Arial" w:cs="Arial" w:eastAsia="Arial" w:hAnsi="Arial"/>
                <w:sz w:val="18"/>
                <w:szCs w:val="18"/>
                <w:b w:val="1"/>
                <w:bCs w:val="1"/>
                <w:color w:val="0000EE"/>
                <w:w w:val="88"/>
              </w:rPr>
            </w:pPr>
            <w:hyperlink w:anchor="page87">
              <w:r>
                <w:rPr>
                  <w:rFonts w:ascii="Arial" w:cs="Arial" w:eastAsia="Arial" w:hAnsi="Arial"/>
                  <w:sz w:val="18"/>
                  <w:szCs w:val="18"/>
                  <w:b w:val="1"/>
                  <w:bCs w:val="1"/>
                  <w:color w:val="0000EE"/>
                  <w:w w:val="88"/>
                </w:rPr>
                <w:t>Changes in and Disagreements with Accountants on Accounting and Financial Disclosure</w:t>
              </w:r>
            </w:hyperlink>
          </w:p>
        </w:tc>
        <w:tc>
          <w:tcPr>
            <w:tcW w:w="156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6"/>
          </w:tcPr>
          <w:p>
            <w:pPr>
              <w:spacing w:after="0"/>
              <w:rPr>
                <w:rFonts w:ascii="Arial" w:cs="Arial" w:eastAsia="Arial" w:hAnsi="Arial"/>
                <w:sz w:val="18"/>
                <w:szCs w:val="18"/>
                <w:b w:val="1"/>
                <w:bCs w:val="1"/>
                <w:color w:val="0000EE"/>
                <w:w w:val="86"/>
              </w:rPr>
            </w:pPr>
            <w:hyperlink w:anchor="page88">
              <w:r>
                <w:rPr>
                  <w:rFonts w:ascii="Arial" w:cs="Arial" w:eastAsia="Arial" w:hAnsi="Arial"/>
                  <w:sz w:val="18"/>
                  <w:szCs w:val="18"/>
                  <w:b w:val="1"/>
                  <w:bCs w:val="1"/>
                  <w:color w:val="0000EE"/>
                  <w:w w:val="86"/>
                </w:rPr>
                <w:t>Controls and Procedures</w:t>
              </w:r>
            </w:hyperlink>
          </w:p>
        </w:tc>
        <w:tc>
          <w:tcPr>
            <w:tcW w:w="4960" w:type="dxa"/>
            <w:vAlign w:val="bottom"/>
            <w:gridSpan w:val="9"/>
          </w:tcPr>
          <w:p>
            <w:pPr>
              <w:spacing w:after="0"/>
              <w:rPr>
                <w:sz w:val="24"/>
                <w:szCs w:val="24"/>
                <w:color w:val="auto"/>
              </w:rPr>
            </w:pPr>
          </w:p>
        </w:tc>
        <w:tc>
          <w:tcPr>
            <w:tcW w:w="156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Other Information</w:t>
              </w:r>
            </w:hyperlink>
          </w:p>
        </w:tc>
        <w:tc>
          <w:tcPr>
            <w:tcW w:w="6520" w:type="dxa"/>
            <w:vAlign w:val="bottom"/>
            <w:gridSpan w:val="1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10.</w:t>
            </w:r>
          </w:p>
        </w:tc>
        <w:tc>
          <w:tcPr>
            <w:tcW w:w="760" w:type="dxa"/>
            <w:vAlign w:val="bottom"/>
            <w:gridSpan w:val="2"/>
          </w:tcPr>
          <w:p>
            <w:pPr>
              <w:spacing w:after="0"/>
              <w:rPr>
                <w:sz w:val="24"/>
                <w:szCs w:val="24"/>
                <w:color w:val="auto"/>
              </w:rPr>
            </w:pPr>
          </w:p>
        </w:tc>
        <w:tc>
          <w:tcPr>
            <w:tcW w:w="4380" w:type="dxa"/>
            <w:vAlign w:val="bottom"/>
            <w:gridSpan w:val="11"/>
          </w:tcPr>
          <w:p>
            <w:pPr>
              <w:spacing w:after="0"/>
              <w:rPr>
                <w:rFonts w:ascii="Arial" w:cs="Arial" w:eastAsia="Arial" w:hAnsi="Arial"/>
                <w:sz w:val="18"/>
                <w:szCs w:val="18"/>
                <w:b w:val="1"/>
                <w:bCs w:val="1"/>
                <w:color w:val="0000EE"/>
                <w:w w:val="90"/>
              </w:rPr>
            </w:pPr>
            <w:hyperlink w:anchor="page91">
              <w:r>
                <w:rPr>
                  <w:rFonts w:ascii="Arial" w:cs="Arial" w:eastAsia="Arial" w:hAnsi="Arial"/>
                  <w:sz w:val="18"/>
                  <w:szCs w:val="18"/>
                  <w:b w:val="1"/>
                  <w:bCs w:val="1"/>
                  <w:color w:val="0000EE"/>
                  <w:w w:val="90"/>
                </w:rPr>
                <w:t>Directors, Executive Officers and Corporate Governance</w:t>
              </w:r>
            </w:hyperlink>
          </w:p>
        </w:tc>
        <w:tc>
          <w:tcPr>
            <w:tcW w:w="404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1"/>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Executive Compensation</w:t>
              </w:r>
            </w:hyperlink>
          </w:p>
        </w:tc>
        <w:tc>
          <w:tcPr>
            <w:tcW w:w="404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8420" w:type="dxa"/>
            <w:vAlign w:val="bottom"/>
            <w:gridSpan w:val="18"/>
          </w:tcPr>
          <w:p>
            <w:pPr>
              <w:spacing w:after="0"/>
              <w:rPr>
                <w:rFonts w:ascii="Arial" w:cs="Arial" w:eastAsia="Arial" w:hAnsi="Arial"/>
                <w:sz w:val="18"/>
                <w:szCs w:val="18"/>
                <w:b w:val="1"/>
                <w:bCs w:val="1"/>
                <w:color w:val="0000EE"/>
                <w:w w:val="97"/>
              </w:rPr>
            </w:pPr>
            <w:hyperlink w:anchor="page91">
              <w:r>
                <w:rPr>
                  <w:rFonts w:ascii="Arial" w:cs="Arial" w:eastAsia="Arial" w:hAnsi="Arial"/>
                  <w:sz w:val="18"/>
                  <w:szCs w:val="18"/>
                  <w:b w:val="1"/>
                  <w:bCs w:val="1"/>
                  <w:color w:val="0000EE"/>
                  <w:w w:val="97"/>
                </w:rPr>
                <w:t>Security Ownership of Certain Beneficial Owners and Management and Related Shareholder Matters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gridSpan w:val="1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Certain Relationships, Related Transactions and Director Independence</w:t>
              </w:r>
            </w:hyperlink>
          </w:p>
        </w:tc>
        <w:tc>
          <w:tcPr>
            <w:tcW w:w="60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gridSpan w:val="13"/>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Principal Accountant Fees and Services</w:t>
              </w:r>
            </w:hyperlink>
          </w:p>
        </w:tc>
        <w:tc>
          <w:tcPr>
            <w:tcW w:w="290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760" w:type="dxa"/>
            <w:vAlign w:val="bottom"/>
            <w:gridSpan w:val="2"/>
          </w:tcPr>
          <w:p>
            <w:pPr>
              <w:spacing w:after="0"/>
              <w:rPr>
                <w:sz w:val="24"/>
                <w:szCs w:val="24"/>
                <w:color w:val="auto"/>
              </w:rPr>
            </w:pPr>
          </w:p>
        </w:tc>
        <w:tc>
          <w:tcPr>
            <w:tcW w:w="3380" w:type="dxa"/>
            <w:vAlign w:val="bottom"/>
            <w:gridSpan w:val="9"/>
          </w:tcPr>
          <w:p>
            <w:pPr>
              <w:spacing w:after="0"/>
              <w:rPr>
                <w:rFonts w:ascii="Arial" w:cs="Arial" w:eastAsia="Arial" w:hAnsi="Arial"/>
                <w:sz w:val="18"/>
                <w:szCs w:val="18"/>
                <w:b w:val="1"/>
                <w:bCs w:val="1"/>
                <w:color w:val="0000EE"/>
                <w:w w:val="89"/>
              </w:rPr>
            </w:pPr>
            <w:hyperlink w:anchor="page92">
              <w:r>
                <w:rPr>
                  <w:rFonts w:ascii="Arial" w:cs="Arial" w:eastAsia="Arial" w:hAnsi="Arial"/>
                  <w:sz w:val="18"/>
                  <w:szCs w:val="18"/>
                  <w:b w:val="1"/>
                  <w:bCs w:val="1"/>
                  <w:color w:val="0000EE"/>
                  <w:w w:val="89"/>
                </w:rPr>
                <w:t>Exhibits and Financial Statement Schedules</w:t>
              </w:r>
            </w:hyperlink>
          </w:p>
        </w:tc>
        <w:tc>
          <w:tcPr>
            <w:tcW w:w="504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Signatures</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97</w:t>
              </w:r>
            </w:hyperlink>
          </w:p>
        </w:tc>
        <w:tc>
          <w:tcPr>
            <w:tcW w:w="0" w:type="dxa"/>
            <w:vAlign w:val="bottom"/>
          </w:tcPr>
          <w:p>
            <w:pPr>
              <w:spacing w:after="0"/>
              <w:rPr>
                <w:sz w:val="1"/>
                <w:szCs w:val="1"/>
                <w:color w:val="auto"/>
              </w:rPr>
            </w:pPr>
          </w:p>
        </w:tc>
      </w:tr>
      <w:tr>
        <w:trPr>
          <w:trHeight w:val="723"/>
        </w:trPr>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11"/>
          </w:tcPr>
          <w:p>
            <w:pPr>
              <w:jc w:val="center"/>
              <w:ind w:left="39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Unless otherwise indicated, references to CME Group Inc. (CME Group)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TRAKRS, credit default swaps, interest rate swaps and CME Clearing Europe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jc w:val="both"/>
        <w:ind w:left="660" w:right="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380"/>
          </w:cols>
          <w:pgMar w:left="240" w:top="121" w:right="27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121" w:right="27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CME Group, through its futures exchanges and clearing houses, serves the risk management and investment needs of customers around the globe.</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Inc. and acquired NYMEX and COMEX. On NYMEX, customers primarily trade energy futures and options contracts, including contracts for crude oil, natural gas, heating oil and gasoline, as well as over-the-counter and off-exchange energy transactions cleared through CME ClearPort. On COMEX, customers trade metal futures and options contracts, including contracts for gold, silver and copper. We launched CME Clearing Europe in 2011 to expand our European presence and further extend the geographical reach of our clearing services. In November 2012, we acquired The Board of Trade of Kansas City, Missouri, Inc. (KCBT) and its hard red winter wheat product line. In April 2013, we purchased the non-controlling interest in CME Group Index Services from Dow Jones &amp; Company (Dow Jones) resulting in an increase in our ownership to 27% of the S&amp;P/Dow Jones Indices LLC (S&amp;P/DJI) joint venture with McGraw-Hill, originally established in 2012. As part of the formation of S&amp;P/DJI, McGraw-Hill acquired our credit derivatives market data business. In November 2013, we received regulatory approval for our multi-asset European trade repository, which supplements our U.S. trade repository launched in 2012, and in November 2013 CME received temporary registration as a swap execution facility.</w:t>
      </w:r>
    </w:p>
    <w:p>
      <w:pPr>
        <w:spacing w:after="0" w:line="172"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Our business has historically been subject to the extensive regulation of the Commodity Futures Trading Commission (CFTC). As a result of our global operations, we are also subject to the rules and regulations of the local jurisdictions in which we conduct business, including the Bank of England, the Financial Conduct Authority (FCA) and the European Securities and Markets Authority (ESMA). CME is subject to the oversight of the Securities and Exchange Commission in connection with our offering of clearing services for security-based swaps. Additionally, our U.S. clearing house has been designated as a systemically important financial market utility, which carries with it additional regulatory oversight of certain of our risk-management standards, clearing, and settlement activities by the Federal Reserve Bank.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 reports the results of its operations as one reporting segment primarily comprised of the CME, CBOT, NYMEX, COMEX and KCBT exchanges. Effective as of December 16, 2013, the transfer of operations of KCBT to CBOT was completed. The remaining operations do not meet the thresholds for reporting separate segment information. Financial information about our reporting segment is hereby incorporated by reference to "Item 6. Selected Financial Data" on page 29 and "Item 8. Financial Statements and Supplementary Data" on page 54.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offer the widest range of global benchmark products across all major asset classes, based on interest rates, equity indexes, foreign exchange, energy, agricultural commodities, metals, weather and real estate. Our products include both exchange-traded and over-the-counter derivatives. We bring buyers and sellers together through our CME Globex electronic trading platform across the globe and our open outcry trading facilities in Chicago and New York City, and provide hosting, connectivity and customer support for electronic trading through our co-location services. Our CME Direct technology offers side-by-side trading of exchange-listed and over-the-counter markets. We also provide clearing and settlement services for exchange-traded contracts, as well as for cleared over-the-counter derivatives transactions, and provide regulatory reporting solutions for market participants through our global repository services in the United States and the United Kingdom. Finally, we offer a wide range of market data services — including live quotes, delayed quotes, market reports and a comprehensive historical data service — and continue to expand into the index services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innovative ways to manage risk and offer a number of key differentiating elements that set us apart from our competitors, including: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 xml:space="preserve">Highly Liquid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listed futures markets provide an effective forum for our customers to manage their risk and meet their investment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markets. We believe that our customers choose to trade on our centralized market due to its liquidity and price transparency. Market liquidity</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or the ability of a market to absorb the execution of large purchases or sales quickly and efficiently, whereby the market recovers quickly following the execution of large orders — is key to attracting customers and contributing to a market's success.</w:t>
      </w:r>
    </w:p>
    <w:p>
      <w:pPr>
        <w:spacing w:after="0" w:line="18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i w:val="1"/>
          <w:iCs w:val="1"/>
          <w:color w:val="auto"/>
        </w:rPr>
        <w:t xml:space="preserve">Most Diverse Product Line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29%</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19</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8</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7</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the breadth and diversity of our product lines and the variety of their underlying contracts is beneficial to our overall performance when an individual product line or individual product is impacted by macroeconomic factors. Additionally, our asset classes contain various products designed to address differing risk management needs, and customers are able to achieve operational and capital efficiencies by accessing our diverse products through our platforms and our clearing houses.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products are traded through the CME Globex electronic trading platform, our open outcry auction markets in Chicago and New York City,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3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1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3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4"/>
              <w:spacing w:after="0"/>
              <w:rPr>
                <w:sz w:val="20"/>
                <w:szCs w:val="20"/>
                <w:color w:val="auto"/>
              </w:rPr>
            </w:pPr>
            <w:r>
              <w:rPr>
                <w:rFonts w:ascii="Arial" w:cs="Arial" w:eastAsia="Arial" w:hAnsi="Arial"/>
                <w:sz w:val="18"/>
                <w:szCs w:val="18"/>
                <w:color w:val="auto"/>
              </w:rPr>
              <w:t>79%</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3180" w:type="dxa"/>
            <w:vAlign w:val="bottom"/>
          </w:tcPr>
          <w:p>
            <w:pPr>
              <w:spacing w:after="0"/>
              <w:rPr>
                <w:sz w:val="21"/>
                <w:szCs w:val="21"/>
                <w:color w:val="auto"/>
              </w:rPr>
            </w:pPr>
          </w:p>
        </w:tc>
        <w:tc>
          <w:tcPr>
            <w:tcW w:w="1660" w:type="dxa"/>
            <w:vAlign w:val="bottom"/>
          </w:tcPr>
          <w:p>
            <w:pPr>
              <w:jc w:val="right"/>
              <w:ind w:right="1254"/>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4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31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254"/>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17</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Privately negotiated venue average daily volume includes both traditional block trades as well as what was historically categorized as CME ClearPort.</w:t>
      </w:r>
    </w:p>
    <w:p>
      <w:pPr>
        <w:spacing w:after="0" w:line="2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We distribute our market data over the CME market data platform directly to our electronic trading customers as part of their access to our markets, as well as to quote vendors who consolidate our market data with data from other exchanges, other third-party data providers and news sources, and then resell their consolidated data. The estimated contributions of our market data and information services products, excluding our index market data offerings, based on percentage of total revenue over the last three years, were 11% in 2013, 12% in 2012 and 10% in 2011.</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Safety and Soundness of our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understand the importance of ensuring that our customers are able to manage and contain their trading risks.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markets and the economy have evolved, we have worked to adapt our clearing services to meet the needs of our customers. We apply robust risk management standards and enforce and facilitate applicable regulatory customer protection standards for exchange-traded products and cleared over-the-counter derivatives. Clearing member firms are continually monitored and examined to assess their outstanding risk, capital adequacy and compliance with customer protection rules and regulations. We utilize a combination of risk management capabilities to assess our clearing firms and their account exposure levels for all asset classes 24 hours a day throughout the trading week. Our U.S. clearing house is operated within our CME exchange. We also operate a U.K. clearing house — CME Clearing Europe. In connection with our acquisition of KCBT, we acquired its clearing house, which was integrated in April 2013 with our U.S. clearing operations.</w:t>
      </w:r>
    </w:p>
    <w:p>
      <w:pPr>
        <w:spacing w:after="0" w:line="176"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Our integrated clearing function is designed to ensure the safety and soundness of our markets by serving as the counterparty to every trade, becoming the buyer to each seller and the seller to each buyer, and limiting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 frequently as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market conditions warrant. The CME ClearPort front-end system provides access to our flexible clearing services for the global over-the-counter market. See “Item 7A. Quantitative and Qualitative Disclosures About Market Risk,” beginning on page 50 and “Item 1A. Risk Factors,” beginning on page 14, for more information on our financial safeguards package and the associated credit risks related to our clearing services.</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 xml:space="preserve">Superior Trading Technology and Distribution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strive to provide the most flexible architecture in terms of bringing new technology, innovations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to the market. Our CME Globex electronic trading platform is accessible on a global basis nearly 24 hours a day throughout the trading week. In 2013, 86% of our contract volume was conducted electronically.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platform offers: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connection through high-speed international telecommunications hubs in key financial centers in Europe, Asia and Latin America, and hosting or global order routing to our global partner exchanges.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offer CME Direct, which is a highly-configurable trading front end that offers access to on-line trading of both exchange-traded and over-the-counter markets.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2012, we launched our service offerings for co-location at our data center facility, which houses our trading match engines for all products traded on the CME Globex electronic trading platform. The service provides the lowest latency connection for our customers. The offering is made available to all customers on equal terms. We derived 2% of our revenues from our co-location business in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i w:val="1"/>
          <w:iCs w:val="1"/>
          <w:color w:val="auto"/>
        </w:rPr>
        <w:t xml:space="preserve">Leading Core Business Innovation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continue to enhance our customer relations to allow us to further cross-sell our products, expand on the strength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existing benchmark products, launch new products and deepen open interest in our core futures offerings. Over the last five years, our key product launches included Ultra-long Bond Treasury futures and options, Weekly Treasury options, numerous Eurodollar mid-curve options, weekly and short-dated agricultural options, end of month equity options and a deliverable interest rate swap futures product. During the year, we also experienced multiple volume records across our core product portfolio. We plan to continue to invest in expanded sales and marketing capabilities and tools to broaden customer participation and to simplify the customer experience in order to increase their use of our offerings and reduce their regulatory burdens.</w:t>
      </w:r>
    </w:p>
    <w:p>
      <w:pPr>
        <w:spacing w:after="0" w:line="1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Globalizing our Company and our Business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expand and diversify our customer base worldwide and offer customers around the world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broadly diversified portfolio of benchmark products. We have expanded our product suite with the launch of a number of regionally specific products, including deliverable Chinese Renminbi futures and Chinese Steel Rebar swap futures, which help us appeal to risk management needs unique to a particular geography. We continue to believe that we have significant opportunity to expand the participation of our non-U.S. customer base in our markets. We are focusing on core growth in global markets because we believe that Asia, Latin America, and other emerging markets will experience superior economic and financial markets growth over the next decade compared with the more mature North American and European markets. In addition, we plan to expand our presence in major financial centers, such as in Europe and Asia, grow our commodities business outside the U.S. and penetrate emerging markets, such as China, India, Brazil and Mexico.</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further enhance our customers' trading opportunities, we have partnered with leading exchanges around the world to make their products available on or through our CME Globex electronic trading platform. These strategic relationships allow us to accelerate our market penetration, expand our customer reach, lower barriers of access to global benchmarks and develop product sales channels with local brokers. These relationships are also designed to allow the customers of our partner exchanges to access our products and markets.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Through CME Clearing Europe, our U.K. clearing house, we have built on our European presence and further extended the geographical reach of our clearing services. CME Clearing Europe offers clearing services for over-the-counter derivative products, including interest rates, energy, agriculture, freight and precious metals.</w:t>
      </w:r>
    </w:p>
    <w:p>
      <w:pPr>
        <w:spacing w:after="0" w:line="4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2012, we applied for regulatory approval to create CME Europe Limited, a London-based, FCA-supervised derivatives exchange. Pending approval, product offerings will range across multiple asset classes beginning with foreign exchange. We believe CME Europe will leverage the central counterparty model of CME Clearing Europe and allow us to more closely align</w:t>
      </w:r>
    </w:p>
    <w:p>
      <w:pPr>
        <w:sectPr>
          <w:pgSz w:w="11900" w:h="16838" w:orient="portrait"/>
          <w:cols w:equalWidth="0" w:num="1">
            <w:col w:w="11400"/>
          </w:cols>
          <w:pgMar w:left="240" w:top="121" w:right="25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with our regional customers in both listed and over-the-counter markets, and will provide additional opportunities to our expanding non-U.S. customer base.</w:t>
      </w:r>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 xml:space="preserve">Expanding our Existing Customer Base and Enhancing our Product and Services Offerings to Meet its Risk Management Needs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plan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by targeting cross asset sales across client segments, driving international sales and generating new client participation across all regions. We have a long history of customer value and responsiveness and believe our products and services make us well positioned to help our customers adapt and comply with new regulations, while enabling them to efficiently manage their risks. With the ongoing implementation of regulatory reform, we expect capital efficiencies and smooth transitions to centralized clearing to continue to be important for our global client base.</w:t>
      </w:r>
    </w:p>
    <w:p>
      <w:pPr>
        <w:spacing w:after="0" w:line="16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Extending our Capabilities and Business in the Over-the-Counter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a comprehensive multi-asset class clearing solution to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maximum operational ease and the capital efficiency that comes with connecting to our clearing houses. Our over-the-counter offerings provide participants the extensive counterparty credit risk reduction and transparency of our clearing services while preserving the prevailing execution processes, technology platforms and business structures currently in use in the marketplace. We offer clearing services for cleared over-the-counter derivatives in interest rate swaps, credit default swaps, foreign exchange and commodities. We continue to focus on new customer onboarding for swaps clearing services, expanding our over-the-counter product offerings and working with the buy- and sell-sides to meet their needs for real-time clearing, risk management and data reporting as the marketplace moves from a compliance phase to an optimization phase. In 2013, the three phases of the clearing mandate of the Dodd-Frank Wall Street Reform and Consumer Protection Act (Dodd-Frank) were implemented in the United States. During the year, we cleared over-the-counter transactions with a notional value of more than $15.3 trillion, and open interest as of December 31, 2013, was $9.1 trillion. Our CME ClearPort platform offers access to an array of clearing services with the capacity to clear and report transactions in multiple asset classes.</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Establishing Ourselves as the Leading Exchange Company Provider of Information Products and Index Services and Enhancing our Intellectual Property Portfolio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a variety of market data services for the futures, equities and the over-the-counter markets. Our joint venture with McGraw-Hill combines the world class capabilities of S&amp;P Indices and Dow Jones Indices, and well positions us to serve global institutional and retail customers and allows us to continue to be innovative with product development and co-branding across asset classes. As part of the joint venture, we acquired a long-term, ownership-linked, exclusive license to list futures and options on futures based on the S&amp;P 500 Index and certain other S&amp;P indexes. We also continue to expand our existing intellectual property portfolio for our technology, products and services offerings.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offer equity index futures and options on key benchmarks, including S&amp;P, NASDAQ, Dow Jones and Nikkei indexes. These products are listed by us subject to license agreements with the applicable owners of the indexes, some of which are exclusive. In connection with our joint venture with McGraw-Hill, we entered into a new license agreement (S&amp;P License Agreement), which superseded our prior licensing arrangements and was assigned to the joint venture.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later of (i) December 31, 2017 or (ii)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through 2019. Copies of our S&amp;P, Dow Jones and NASDAQ license arrangements have been filed as material contracts. We pay the applicable third party per trade fees based on contract volume under the terms of these licensing agreements.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a result of the well-publicized issues relating to the credibility of the London Interbank Offered Rate (LIBOR), the U.K. Treasury awarded NYSE Euronext (now IntercontinentalExchange Group, Inc. following its merger) administration rights over the LIBOR contract. The transfer of the administration from the British Bankers' Association (BBA) was completed in early 2014. Our pre-existing license and membership agreement with the BBA organization for the use of LIBOR to settle several of our interest rate products, including our Eurodollar contract, remains in effect following the transition.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agreements with S&amp;P, Dow Jones and NASDAQ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or NASDAQ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Generally, we have historically experienced relatively higher contract volume during the first and second quarters and sequentially lower contract volume in the third and fourth quarters. However, such seasonality also may be impacted by general market conditions or other events. During 2013, 25% of our consolidated revenues were recognized in the first quarter, 28% in the second quarter, 24% in the third quarter and 23% in the fourth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31,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governments and central banks. Our customers can connect to our CME Globex electronic trading platform from access points across the globe. Customers may be members of one or more of our CME, CBOT, NYMEX or COMEX exchanges. Rights to directly access our markets will depend upon the nature of the customer, such as whether the individual is a member of one of our exchanges or has executed an agreement with us for direct access.</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Trading rights and privileges are exchange-specific. Trading on our open outcry trading floors is conducted exclusively by our members. Membership on one of our futures exchanges also enables a customer to trade specific products at reduced rates and lower fees. Under the terms of the organizational documents of our exchanges, our members have certain rights that relate primarily to trading right protections, certain trading fee protections and certain membership benefit protections. In 2013, 80% of our contract volume was conducted by our members and KCBT permit holders. In connection with the transfer of KCBT's operations to CBOT in 2013, the rights of permit holders were extinguished.</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majority of clearing and transaction fees received from clearing firms represents charges for trades executed and cleared on behalf of their customers. One firm represented 11% and one firm represented 10% of our clearing and transaction fees revenue for 2013. In the event a clearing firm were to withdraw, our experience indicates that the customer portion of the firm's trading activity would likely transfer to another clearing firm of the exchange.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changes in the financial services industry driven primarily by Dodd-Frank.</w:t>
      </w:r>
    </w:p>
    <w:p>
      <w:pPr>
        <w:spacing w:after="0" w:line="170" w:lineRule="exact"/>
        <w:rPr>
          <w:sz w:val="20"/>
          <w:szCs w:val="20"/>
          <w:color w:val="auto"/>
        </w:rPr>
      </w:pPr>
    </w:p>
    <w:p>
      <w:pPr>
        <w:ind w:right="460"/>
        <w:spacing w:after="0" w:line="402" w:lineRule="auto"/>
        <w:rPr>
          <w:sz w:val="20"/>
          <w:szCs w:val="20"/>
          <w:color w:val="auto"/>
        </w:rPr>
      </w:pPr>
      <w:r>
        <w:rPr>
          <w:rFonts w:ascii="Arial" w:cs="Arial" w:eastAsia="Arial" w:hAnsi="Arial"/>
          <w:sz w:val="18"/>
          <w:szCs w:val="18"/>
          <w:color w:val="auto"/>
        </w:rPr>
        <w:t xml:space="preserve">Please also refer to the discussion below and in the “Risk Factors” section beginning on page 14 for a description of competitive risks and uncertainties. </w:t>
      </w:r>
      <w:r>
        <w:rPr>
          <w:rFonts w:ascii="Arial" w:cs="Arial" w:eastAsia="Arial" w:hAnsi="Arial"/>
          <w:sz w:val="18"/>
          <w:szCs w:val="18"/>
          <w:b w:val="1"/>
          <w:bCs w:val="1"/>
          <w:i w:val="1"/>
          <w:iCs w:val="1"/>
          <w:color w:val="auto"/>
        </w:rPr>
        <w:t>Competition in our Derivatives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maintain liquidity and low transaction costs, and implement customer protections designed to ensure the integrity of our market and the confidence of our customers.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competitors include, among other entities, exchanges such as IntercontinentalExchange Group, Inc. (ICE Group); the Hong Kong Exchanges and Clearing Limited; and Deutsche Börse AG. In addition, competition in our industry is dynamic and recent developments and alliances may result in a growing number of well-capitalized trading service providers that compete with all or a portion of our business.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also face competition from the over-the-counter marketplace, spot markets, securities exchanges and other venues offering "look-alike" or close substitutes for our listed contracts.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the development of swap execution facilities and the mandated trading and/or clearing requirement for certain products may lead to the creation of platforms that promote competitive substitutes for our privately negotiated and exchange-traded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we face a number of competitors in our transaction processing and other business services. In the past few years, there has been increased competition in the provision of clearing services and we expect competition to continue to increase in connection with the continued implementation of and compliance with Dodd-Frank.</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competitors in the clearing services space include, among others, companies such as ICE Group, LCH.SwapClear and Deutsche Börse AG. In light of Dodd-Frank's clearing mandate and other reforms of the financial services industry, we believe that other exchanges and infrastructure providers also may undertake to provide clearing services.</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believe competition in the transaction processing and business services market is based on, among other things, the fees charged for the services provided; quality and reliability of the services; creditworthiness of the clearing house; timely delivery of the services; reputation; offering breadth; confidentiality of positions and information security protective measures; and the value of providing customers with capital efficiencies.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which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exceed the impact of any loss in trading volume of our comparable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are primarily subject to the jurisdiction of the regulatory agencies in the United States and the United Kingdom. We also are subject to varying levels of regulation by foreign jurisdictions that permit our exchanges and other businesses to offer our products and services to their citizens.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14 for a description of regulatory and legislative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States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operation of futures exchanges and our U.S. clearing house is subject to extensive regulation by the CFTC which requires that our exchange subsidiaries satisfy the requirements of certain core principles relating to the operation and oversight of our markets and our clearing house. The CFTC carries out the regulation of the futures markets in accordance with the provisions</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of the Commodity Exchange Act as amended by, among others, the Commodity Futures Modernization Act and Dodd-Frank. The CFTC is subject to reauthorization every five years, which is currently in process. Following the enactment of Dodd-Frank, the CFTC has moved from a principles-based to a more prescriptive regulatory approach over most aspects of our trading and clearing operations.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2013, the CFTC, the SEC, the Department of Treasury, the Board of Governors of the Federal Reserve and other regulators continued to engage in extensive rulemaking to implement Dodd-Frank. Over the past three years, a number of regulations implementing Dodd-Frank were finalized, including rules relating to the implementation of mandatory clearing of certain over-the-counter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 new regulations provide opportunities for our business which we continue to explore. However, portions of Dodd-Frank remain subject to further rulemaking, and such final regulations could include provisions that negatively impact our business.</w:t>
      </w:r>
    </w:p>
    <w:p>
      <w:pPr>
        <w:spacing w:after="0" w:line="18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Our U.S. clearing house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Federal Reserve Bank and the CFTC.</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U.S. swap data repository service and swap execution facility are also subject to the requirements of the Commodity Exchange Act and the regulations of the CFTC.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Kingdom and the European Union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United Kingdom, the government approved a re-organization of its regulatory framework under which the Financial Services Authority was dissolved and its oversight responsibilities were transitioned in 2013 primarily to the Bank of England and the FCA. As a result, in the United Kingdom our operations are subject to multiple regulators: the Bank of England; the FCA and ESMA. CME Clearing (our U.S. clearing house) will be subject to certain conditions and reporting obligations as a result of its recognition by ESMA. The European Union also is undergoing similar change, establishing multiple supervisory authorities for financial services, including ESMA. Multiple directives and regulations such as the amendments to Markets in Financial Instruments Directive (MiFID II) and changes to the Markets in Financial Instruments Regulation (MiFIR); the Capital Requirements Regulations IV and the Market Abuse Directive, have been proposed with provisions similar to those contained in Dodd-Frank.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225" w:lineRule="exact"/>
        <w:rPr>
          <w:sz w:val="20"/>
          <w:szCs w:val="20"/>
          <w:color w:val="auto"/>
        </w:rPr>
      </w:pPr>
    </w:p>
    <w:p>
      <w:pPr>
        <w:ind w:left="660" w:right="22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Regulations implementing the core principles for designated contract markets, including any changes to the rules implementing the competitive execution requirements of Core Principle 9</w:t>
      </w:r>
      <w:r>
        <w:rPr>
          <w:rFonts w:ascii="Arial" w:cs="Arial" w:eastAsia="Arial" w:hAnsi="Arial"/>
          <w:sz w:val="16"/>
          <w:szCs w:val="16"/>
          <w:i w:val="1"/>
          <w:iCs w:val="1"/>
          <w:color w:val="auto"/>
        </w:rPr>
        <w:t>.</w:t>
      </w:r>
      <w:r>
        <w:rPr>
          <w:rFonts w:ascii="Arial" w:cs="Arial" w:eastAsia="Arial" w:hAnsi="Arial"/>
          <w:sz w:val="16"/>
          <w:szCs w:val="16"/>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pacing w:after="0" w:line="146"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comparable trading venues in foreign jurisdictions are not subject to equivalent limitations. In November 2013, the CFTC re-proposed its position limits rule for comment replacing the rule that had been vacated by the U.S. District Court.</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Rules respecting capital charges under Basel III with respect to clearing members of central counterparties. There is a risk that these new standards may impose overly burdensome capital requirements on our clearing members and customers.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criteria necessary to be deemed a qualifying central counterparty (QCCP). A failure to be deemed a QCCP by banking regulators in the U.S., E.U. or otherwise may result in our clearing members and customers being subject to more stringent capital requirements thus creating a disincentive to use our markets.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MiFID II and MiFIR on non-E.U. clearing houses with customers based in Europe.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derivatives contracts, which would impose a significant increase in tax rates applicable to certain market participants, and could result in a decrease in their trading activity.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a transaction tax or user fee in the U.S. or E.U. which could discourage institutions and individuals from using our markets or products or encourage them to trade in another less costly jurisdiction.</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measures to further protect customer funds at the futures commission merchant level, and to restore confidence in the derivatives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legislation in the E.U. impacting how benchmark index prices are formed, including new requirements for price submitters, price aggregators and markets that list contracts that reference index prices.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Concerns that legislators will prohibit or restrict exclusive licenses for benchmark indexes, which might impact the profitability of several of our most popular contracts.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implementation of rules regarding enhanced liquidity management standards for systemically important derivatives clearing organizations and any potential limitation on the use of U.S. Treasury securities as collateral. Significant limitations on the use of U.S. Treasury securities as collateral could result in increased costs to us and our clearing firms.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had approximately 2,730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Leadership Team and Executive Officers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Set forth below is the company's Senior Leadership Team, including those individuals designated executive officers of the company, as of the date of this filing.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Terrence A. Duffy, 55. </w:t>
      </w:r>
      <w:r>
        <w:rPr>
          <w:rFonts w:ascii="Arial" w:cs="Arial" w:eastAsia="Arial" w:hAnsi="Arial"/>
          <w:sz w:val="18"/>
          <w:szCs w:val="18"/>
          <w:color w:val="auto"/>
        </w:rPr>
        <w:t>Mr. Duffy has served as our Executive Chairman and President since May 2012. Mr. Duffy previously served as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from 2006 and has been a member of our board of directors since 1995. He also served as President of TDA Trading, Inc. from 1981 to 2002 and has been a member of our CME exchange since 1981. Mr. Duffy has been designated as an executive officer.</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Phupinder S. Gill, 53. </w:t>
      </w:r>
      <w:r>
        <w:rPr>
          <w:rFonts w:ascii="Arial" w:cs="Arial" w:eastAsia="Arial" w:hAnsi="Arial"/>
          <w:sz w:val="18"/>
          <w:szCs w:val="18"/>
          <w:color w:val="auto"/>
        </w:rPr>
        <w:t>Mr. Gill has served as our Chief Executive Officer and a member of our board of directors since May 2012. Previously, 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President from 2007 to May 2012. Mr. Gill joined us in 1988 and since then has held various positions of increasing responsibility within the organization, including President and Chief Operating Officer, and Managing Director and President of CME Clearing and GFX Corporation. Mr. Gill has been designated as an executive officer.</w:t>
      </w:r>
    </w:p>
    <w:p>
      <w:pPr>
        <w:spacing w:after="0" w:line="7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 xml:space="preserve">Kathleen M. Cronin, 50. </w:t>
      </w:r>
      <w:r>
        <w:rPr>
          <w:rFonts w:ascii="Arial" w:cs="Arial" w:eastAsia="Arial" w:hAnsi="Arial"/>
          <w:sz w:val="16"/>
          <w:szCs w:val="16"/>
          <w:color w:val="auto"/>
        </w:rPr>
        <w:t>Ms. Cronin has served as our Senior Managing Director, General Counsel and Corporate Secretary since 2003. Previously she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Corporate Secretary and Acting General Counsel from 2002 through 2003. Prior to joining us, Ms. Cronin was a corporate attorney at Skadden, Arps, Slate, Meagher &amp; Flom from 1989 through 1995 and from 1997 through 2002. Ms. Cronin has been designated as an executive officer.</w:t>
      </w:r>
    </w:p>
    <w:p>
      <w:pPr>
        <w:spacing w:after="0" w:line="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Bryan T. Durkin, 53. </w:t>
      </w:r>
      <w:r>
        <w:rPr>
          <w:rFonts w:ascii="Arial" w:cs="Arial" w:eastAsia="Arial" w:hAnsi="Arial"/>
          <w:sz w:val="18"/>
          <w:szCs w:val="18"/>
          <w:color w:val="auto"/>
        </w:rPr>
        <w:t>Mr. Durkin has served as our Chief Operating Officer since 2007. He also held the title of Managing Director,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2010 to July 2012. Mr. Durkin joined us in connection with the CBOT merger and he previously held a variety of leadership roles with CBOT from 1982 to 2007, most recently as Executive Vice President and Chief Operating Officer. Mr. Durkin also serves as our representative on the board of Bursa Malaysia Derivatives Berhad. Mr. Durkin has been designated as an executive officer.</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Ali Hackett, 57. </w:t>
      </w:r>
      <w:r>
        <w:rPr>
          <w:rFonts w:ascii="Arial" w:cs="Arial" w:eastAsia="Arial" w:hAnsi="Arial"/>
          <w:sz w:val="18"/>
          <w:szCs w:val="18"/>
          <w:color w:val="auto"/>
        </w:rPr>
        <w:t>Ms. Hackett has served as Senior Managing Director, Client Development and Sales since February 2014. Previously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Client Development and Sales since joining the company in 2010. Prior to joining CME Group, Ms. Hackett spent a nearly 20-year career at Citigroup, where she most recently served as Managing Director, Co-Head of Global Prime Finance.</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 xml:space="preserve">Julie Holzrichter, 45. </w:t>
      </w:r>
      <w:r>
        <w:rPr>
          <w:rFonts w:ascii="Arial" w:cs="Arial" w:eastAsia="Arial" w:hAnsi="Arial"/>
          <w:sz w:val="17"/>
          <w:szCs w:val="17"/>
          <w:color w:val="auto"/>
        </w:rPr>
        <w:t>Ms. Holzrichter has served as Senior Managing Director, Global Operations since 2007. Ms. Holzrichter rejoined us in 2006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CME Globex Services and Technology Integration. Ms. Holzrichter previously held positions of increasing responsibility in our organization from 1986 to 2003 in trading operations. Ms. Holzrichter has been designated as an executive officer.</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William Knottenbelt, 53. </w:t>
      </w:r>
      <w:r>
        <w:rPr>
          <w:rFonts w:ascii="Arial" w:cs="Arial" w:eastAsia="Arial" w:hAnsi="Arial"/>
          <w:sz w:val="18"/>
          <w:szCs w:val="18"/>
          <w:color w:val="auto"/>
        </w:rPr>
        <w:t>Mr. Knottenbelt has served as Senior Managing Director, Europe, Middle East and Africa (EMEA) of CME Group since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Previously, Mr. Knottenbelt served as Managing Director, EMEA since joining the company in 2011. Prior to joining CME Group, Mr. Knottenbelt most recently served as Global Head of Futures for the Royal Bank of Scotland (RBS) where he built out the global reach and product offering of RBS futures.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Kevin Kometer, 49.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 Mr. Kometer has been designated as an executive officer.</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Julien Le Noble, 41. </w:t>
      </w:r>
      <w:r>
        <w:rPr>
          <w:rFonts w:ascii="Arial" w:cs="Arial" w:eastAsia="Arial" w:hAnsi="Arial"/>
          <w:sz w:val="18"/>
          <w:szCs w:val="18"/>
          <w:color w:val="auto"/>
        </w:rPr>
        <w:t>Mr. Le Noble has served as Senior Managing Director, Asia Pacific of CME Group since February 2014. Previously, Mr. Le Noble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Managing Director, Asia Pacific since joining the company in 2011. Before joining CME Group, Mr. Le Noble served as CEO and Representative Director, Japan and Head of Equities, Asia Pacific for Newedge, where he led the firm's Japanese business development and sales efforts for its Tokyo-based subsidiary.</w:t>
      </w:r>
    </w:p>
    <w:p>
      <w:pPr>
        <w:spacing w:after="0" w:line="7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 xml:space="preserve">James E. Parisi, 49. </w:t>
      </w:r>
      <w:r>
        <w:rPr>
          <w:rFonts w:ascii="Arial" w:cs="Arial" w:eastAsia="Arial" w:hAnsi="Arial"/>
          <w:sz w:val="18"/>
          <w:szCs w:val="18"/>
          <w:color w:val="auto"/>
        </w:rPr>
        <w:t>Mr. Parisi has served as our Chief Financial Officer since 2004. Mr. Parisi joined us in 1988 and has held positions of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within the organization, including Managing Director &amp; Treasurer and Director, Planning &amp; Finance. Mr. Parisi has been designated as an executive officer.</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47.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 Ms. Piell has been designated as an executive officer.</w:t>
      </w:r>
    </w:p>
    <w:p>
      <w:pPr>
        <w:spacing w:after="0" w:line="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 xml:space="preserve">James V. Pieper, 47. </w:t>
      </w:r>
      <w:r>
        <w:rPr>
          <w:rFonts w:ascii="Arial" w:cs="Arial" w:eastAsia="Arial" w:hAnsi="Arial"/>
          <w:sz w:val="16"/>
          <w:szCs w:val="16"/>
          <w:color w:val="auto"/>
        </w:rPr>
        <w:t>Mr. Pieper has served as our Managing Director and Chief Accounting Officer since 2010. Previously, Mr. Pieper served as Director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Controller since 2006 and as Associate Director and Assistant Controller from 2004 to 2006. Mr. Pieper has been designated as an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John W. Pietrowicz, 49. </w:t>
      </w:r>
      <w:r>
        <w:rPr>
          <w:rFonts w:ascii="Arial" w:cs="Arial" w:eastAsia="Arial" w:hAnsi="Arial"/>
          <w:sz w:val="17"/>
          <w:szCs w:val="17"/>
          <w:color w:val="auto"/>
        </w:rPr>
        <w:t>Mr. Pietrowicz has served as our Senior Managing Director, Business Development and Corporate Finance since 2010.</w:t>
      </w:r>
    </w:p>
    <w:p>
      <w:pPr>
        <w:spacing w:after="0" w:line="35"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Mr. Pietrowicz joined us in 2003 and since then has held various positions of increasing responsibility, including his most recent position of Managing Director and Deputy Chief Financial Officer from 2009 to 2010 and Managing Director, Corporate Finance and Treasury from 2006 to 2009.</w:t>
      </w:r>
    </w:p>
    <w:p>
      <w:pPr>
        <w:spacing w:after="0" w:line="3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Linda Rich, 50. </w:t>
      </w:r>
      <w:r>
        <w:rPr>
          <w:rFonts w:ascii="Arial" w:cs="Arial" w:eastAsia="Arial" w:hAnsi="Arial"/>
          <w:sz w:val="16"/>
          <w:szCs w:val="16"/>
          <w:color w:val="auto"/>
        </w:rPr>
        <w:t>Ms. Rich has served as our Senior Managing Director, Government Relations and Legislative Affairs since April 2012. Prior to assuming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role, Ms. Rich served as Managing Director, Government Relations and Legislative Affairs since joining us in 2010. Before joining the company, Ms. Rich served as Senior Vice President, Government Relations for NYSE Euronext. Her background also includes serving as senior counsel to the U.S. House of Representatives Committee on Financial Services and as counsel to the U.S. House of Representatives Committee on Commerce.</w:t>
      </w:r>
    </w:p>
    <w:p>
      <w:pPr>
        <w:spacing w:after="0" w:line="4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 xml:space="preserve">Derek Sammann, 45. </w:t>
      </w:r>
      <w:r>
        <w:rPr>
          <w:rFonts w:ascii="Arial" w:cs="Arial" w:eastAsia="Arial" w:hAnsi="Arial"/>
          <w:sz w:val="17"/>
          <w:szCs w:val="17"/>
          <w:color w:val="auto"/>
        </w:rPr>
        <w:t>Mr. Sammann has served as our Senior Managing Director, Financial Products and Services since 2009. He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Head of Foreign Exchange Products since joining us in 2006. Prior to joining us, Mr. Sammann served as Managing Director, Global Head of FX Options and Structured Products at Calyon Corporate and Investment Bank in London from 1997 to 2006.</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Kimberly S. Taylor, 52. </w:t>
      </w:r>
      <w:r>
        <w:rPr>
          <w:rFonts w:ascii="Arial" w:cs="Arial" w:eastAsia="Arial" w:hAnsi="Arial"/>
          <w:sz w:val="18"/>
          <w:szCs w:val="18"/>
          <w:color w:val="auto"/>
        </w:rPr>
        <w:t>Ms. Taylor has served as our President, CME Clearing since 2004 and as Managing Director, Risk Management in the Clearing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House Division from 1998 to 2003. Ms. Taylor has held a variety of positions in the clearing house, including Vice President and Senior Director. She joined us in 1989. Ms. Taylor has been designated as an executive officer.</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 xml:space="preserve">Sean Tully, 50. </w:t>
      </w:r>
      <w:r>
        <w:rPr>
          <w:rFonts w:ascii="Arial" w:cs="Arial" w:eastAsia="Arial" w:hAnsi="Arial"/>
          <w:sz w:val="16"/>
          <w:szCs w:val="16"/>
          <w:color w:val="auto"/>
        </w:rPr>
        <w:t>Mr. Tully has served as Senior Managing Director, Interest Rates and OTC Products of CME Group since February 2014. Previously,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w:t>
      </w:r>
    </w:p>
    <w:p>
      <w:pPr>
        <w:spacing w:after="0" w:line="39"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b w:val="1"/>
          <w:bCs w:val="1"/>
          <w:i w:val="1"/>
          <w:iCs w:val="1"/>
          <w:color w:val="auto"/>
        </w:rPr>
        <w:t xml:space="preserve">Kendal Vroman, 42. </w:t>
      </w:r>
      <w:r>
        <w:rPr>
          <w:rFonts w:ascii="Arial" w:cs="Arial" w:eastAsia="Arial" w:hAnsi="Arial"/>
          <w:sz w:val="17"/>
          <w:szCs w:val="17"/>
          <w:color w:val="auto"/>
        </w:rPr>
        <w:t>Mr. Vroman has served as our Senior Managing Director, Commodity Products &amp; Services and OTC Solutions since October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he served as our Senior Managing Director, Commodity and Information Products &amp; Services since 2010 and as Managing Director and Chief Corporate Development Officer from 2008 to 2010. Mr. Vroman joined us in 2001 and since then has held positions of increasing responsibility, including most recently as Managing Director, Corporate Development and Managing Director, Information and Technology Services.</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Scot E. Warren, 50. </w:t>
      </w:r>
      <w:r>
        <w:rPr>
          <w:rFonts w:ascii="Arial" w:cs="Arial" w:eastAsia="Arial" w:hAnsi="Arial"/>
          <w:sz w:val="17"/>
          <w:szCs w:val="17"/>
          <w:color w:val="auto"/>
        </w:rPr>
        <w:t>Mr. Warren has served as our Senior Managing Director, Equity Index Products and Index Services since 2010. Mr. Warren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Managing Director, Equity Products since joining us in 2007. Prior to that, Mr. Warren worked for Goldman Sachs as its Vice President, Manager Trading and Business Analysis Team. Prior to Goldman Sachs, Mr. Warren managed equity and option execution and clearing businesses for ABN Amro in Chicago and was a Senior Consultant for Arthur Andersen &amp; Co. for financial services firms.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Julie Winkler, 39. </w:t>
      </w:r>
      <w:r>
        <w:rPr>
          <w:rFonts w:ascii="Arial" w:cs="Arial" w:eastAsia="Arial" w:hAnsi="Arial"/>
          <w:sz w:val="18"/>
          <w:szCs w:val="18"/>
          <w:color w:val="auto"/>
        </w:rPr>
        <w:t>Ms. Winkler has served as Senior Managing Director, Research and Product Development of CME Group since February 2014.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served as Managing Director, Research and Product Development since 2007.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Robert Zagotta, 49. </w:t>
      </w:r>
      <w:r>
        <w:rPr>
          <w:rFonts w:ascii="Arial" w:cs="Arial" w:eastAsia="Arial" w:hAnsi="Arial"/>
          <w:sz w:val="18"/>
          <w:szCs w:val="18"/>
          <w:color w:val="auto"/>
        </w:rPr>
        <w:t>Mr. Zagotta has served as Senior Managing Director, Products and Services of CME Group since July 2012. Prior to joining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Mr. Zagotta most recently served as Executive Vice President, Business Strategy and Execution for Project Leadership Associates (PLA) from 2007 to July 2012, where he worked with CME Group on a number of strategic consulting assignments. Before joining PLA, Mr. Zagotta was CEO and Co-Founder of Fourth Floor Consulting, which was acquired by PLA, and a Senior Manager at PricewaterhouseCoopers. Mr. Zagotta has been designated as an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CME Group has not historically tracked revenues based upon geographic location. Beginning in September 2011, we began tracking trading volume based on the country of origin of the transaction as disclosed to us by the customer. Prior to September 2011, we tracked trading volume based on the time of the execution of the trade and whether it occurred during traditional U.S. trading hours or through our international telecommunication hubs.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2013 and 2012, we estimate that approximately 22% and 21% of our electronic trading volume originated from outside of the United States. The following table shows the percentage of our total contract volume on our Globex electronic trading platform generated during non-U.S. hours and through our international hubs for the last three years.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2012</w:t>
            </w: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during non-U.S. hours</w:t>
            </w:r>
          </w:p>
        </w:tc>
        <w:tc>
          <w:tcPr>
            <w:tcW w:w="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16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Trading through telecommunication hubs</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640" w:type="dxa"/>
            <w:vAlign w:val="bottom"/>
          </w:tcPr>
          <w:p>
            <w:pPr>
              <w:jc w:val="right"/>
              <w:ind w:right="296"/>
              <w:spacing w:after="0"/>
              <w:rPr>
                <w:sz w:val="20"/>
                <w:szCs w:val="20"/>
                <w:color w:val="auto"/>
              </w:rPr>
            </w:pPr>
            <w:r>
              <w:rPr>
                <w:rFonts w:ascii="Arial" w:cs="Arial" w:eastAsia="Arial" w:hAnsi="Arial"/>
                <w:sz w:val="18"/>
                <w:szCs w:val="18"/>
                <w:color w:val="auto"/>
              </w:rPr>
              <w:t>15%</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Our website is </w:t>
      </w:r>
      <w:r>
        <w:rPr>
          <w:rFonts w:ascii="Arial" w:cs="Arial" w:eastAsia="Arial" w:hAnsi="Arial"/>
          <w:sz w:val="16"/>
          <w:szCs w:val="16"/>
          <w:i w:val="1"/>
          <w:iCs w:val="1"/>
          <w:color w:val="auto"/>
        </w:rPr>
        <w:t>www.cmegroup.com</w:t>
      </w:r>
      <w:r>
        <w:rPr>
          <w:rFonts w:ascii="Arial" w:cs="Arial" w:eastAsia="Arial" w:hAnsi="Arial"/>
          <w:sz w:val="16"/>
          <w:szCs w:val="16"/>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which are beyond our control and which could significantly reduce our contract volumes and make our financial results more volatile.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price levels, contract volumes and volatility in the derivatives markets and in underlying equity, foreign exchange, interest rate and commodity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shifts in global or regional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disturbance of 2008 may or may not recur in the future, and our business will be affected by future economic uncertainties which may result in decreased trading volume and a more difficult business environment for us. Material decreases in trading volume would have a material adverse effect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primarily subject to the jurisdiction of the regulatory agencies in the United States and the United Kingdom. We also are subject to varying levels of regulation by foreign jurisdictions that permit our exchanges to offer our products and services to their citizens.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the global financial crisis that began in 2008, the United States and numerous other governments have undertaken reviews of the existing legal framework governing financial markets and have either passed new laws and regulations, or are in the process of debating or enacting new laws and regulations that will impact our business. While certain of these changes may have a positive impact on our business, some of these changes could adversely affect our business, including areas of regulatory focus discussed under "Item 1 – Business – Regulatory Matters" beginning on page 10. Compliance with regulations may require us and our customers to dedicate significant financial and operational resources that could result in some participants leaving our markets or decreasing their trading activity, which would negatively affect our profitability. We have incurred and expect to continue to incur significant additional costs to comply with the extensive regulations that apply to our business. 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9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jc w:val="both"/>
        <w:ind w:right="440"/>
        <w:spacing w:after="0" w:line="327"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clearing houses seek to offer customers, intermediaries and clearing firms universal access in order to maximize the efficient use of capital, exercise appropriate oversight of value at risk and maintain operating leverage from clearing activities.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If these legislative or regulatory changes are adopted, our revenues and profits could be adversely affected.</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financial condition and operating results will be materially harmed.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portions of Dodd-Frank and the regulatory structure being implemented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under a different and possibly less stringent regulatory regime. We face competition from other futures, securities and securities option exchanges; over-the-counter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see "Item 1 – Business – Competition" beginning on page 9 for additional information on the competitive environment and its potential impact on our business.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success of our business depends, in part, on our ability to maintain and increase our contract volume. To do so, we must maintain and expand our product offerings, our customer base and our trade execution and clearing facilities. Our success also depends on our ability to offer competitive prices and services in an increasingly price-sensitive business. For example, in recent years, some of our competitors have engaged in aggressive pricing strategies, such as lowering the fees that they charge for taking liquidity and increasing liquidity payments or rebates. We cannot provide assurances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The majority of clearing and transaction fees received from clearing firms represent charges for trades executed and cleared on behalf of their customers. One firm represented 11% and one firm represented 10% of our clearing and transaction fees revenue for 2013. Should a clearing firm withdraw, our experience indicates that the customer portion of the firm's trading activity would likely transfer to another clearing firm of the exchange. However, there is the possibility we would lose a portion of the customer business.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Furthermore, declines in contract volume due to loss of customers may negatively impact market liquidity, which could lead to further loss of contract volume.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and/or direct actions brought by the SEC and the CFTC. These risks include, among others, potential liability from disputes over terms of a trade, the claim that a system failure or delay caused monetary</w:t>
      </w:r>
    </w:p>
    <w:p>
      <w:pPr>
        <w:sectPr>
          <w:pgSz w:w="11900" w:h="16838" w:orient="portrait"/>
          <w:cols w:equalWidth="0" w:num="1">
            <w:col w:w="11380"/>
          </w:cols>
          <w:pgMar w:left="240" w:top="122" w:right="279" w:bottom="1440" w:gutter="0" w:footer="0" w:header="0"/>
        </w:sect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122" w:right="27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losses to a customer, that we entered into an unauthorized transaction, that we provided materially false or misleading statements in connection with a transaction or that we failed to effectively carryout our regulatory oversight responsibilities.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w:t>
      </w:r>
    </w:p>
    <w:p>
      <w:pPr>
        <w:spacing w:after="0" w:line="13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places us at greater risk than other public companies for a cyber attack and other cyber security risks. Our networks and those of our third-party service providers may be vulnerable to security risks, which could result in wrongful use of our information or cause interruptions in our operations that cause us to lose customers and contract volume, and result in substantial liabilities. We also could be required to incur significant expense to protect our systems and/or investigate any alleged attack.</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regard the secure transmission of confidential information and the ability to continuously transact and clear on our electronic trading platforms as critical elements of our operations. Our networks and those of our third-party service providers and our customers may be vulnerable to unauthorized access, fraud, computer viruses, denial of service attacks, terrorism, firewall or encryption failures and other security problems. Groups have targeted the financial services industry and our role in the global marketplace places us at greater risk than other public companies for a cyber attack and other information security risks. In July 2013, we were the victim of a cyber intrusion. Although we maintain sophisticated systems, teams and processes to prevent such incidents, and took significant actions to address the incident, we learned that certain customer information was compromised. We incurred expenses of $16.0 million related to our response to the event. Any future alleged incidents could result in substantial costs and liability to us and diversions of our resources, and may distract the attention of management from the ongoing operation of our business.</w:t>
      </w:r>
    </w:p>
    <w:p>
      <w:pPr>
        <w:spacing w:after="0" w:line="1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Additionally, our role as a leading derivatives marketplace and the operation of our CME Globex electronic trading platform may place us at greater risk for misappropriation of our intellectual property. For example, in 2012, a former employee of CME Group pled guilty to theft of our trade secrets. Other persons who circumvent security measures could wrongfully use our information or cause interruptions or malfunctions in our operations.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global information security program, we employ resources to monitor and protect our environment and infrastructure against such cyber attacks and the potential misappropriation of our intellectual property assets. However, these measures may prove insufficient depending upon the attack or threat posed, which could result in system failures and delays, loss of customers and lower contract volume, and negatively affect our competitive advantage and result in substantial costs and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18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match fees of our competitors;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do not successfully enhance our electronic trading platform, or our current or potential customers do not adopt it, our revenues and profits will be adversely affected. 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dominated by electronic trading.</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third-party providers, may fail or operate slowly, causing one or more of the following to occur:</w:t>
      </w:r>
    </w:p>
    <w:p>
      <w:pPr>
        <w:spacing w:after="0" w:line="14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 For</w:t>
      </w:r>
    </w:p>
    <w:p>
      <w:pPr>
        <w:sectPr>
          <w:pgSz w:w="11900" w:h="16838" w:orient="portrait"/>
          <w:cols w:equalWidth="0" w:num="1">
            <w:col w:w="11420"/>
          </w:cols>
          <w:pgMar w:left="240" w:top="122" w:right="239" w:bottom="622"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622"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example, our co-location facility hosts a significant portion of our customers' infrastructure. While we have undertaken measures to secure such facility and to implement disaster recovery measures, if we were to experience an outage at that location it could have a significant impact on our revenues and reputation.</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 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2"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we execute our business strategy. Our goal is to design our systems to handle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w:t>
      </w:r>
    </w:p>
    <w:p>
      <w:pPr>
        <w:ind w:right="200"/>
        <w:spacing w:after="0" w:line="295" w:lineRule="auto"/>
        <w:rPr>
          <w:sz w:val="20"/>
          <w:szCs w:val="20"/>
          <w:color w:val="auto"/>
        </w:rPr>
      </w:pPr>
      <w:r>
        <w:rPr>
          <w:rFonts w:ascii="Arial" w:cs="Arial" w:eastAsia="Arial" w:hAnsi="Arial"/>
          <w:sz w:val="16"/>
          <w:szCs w:val="16"/>
          <w:color w:val="auto"/>
        </w:rPr>
        <w:t>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our third party clearing firms and, consequently, a diminishment in their financial resources could adversely affect us.</w:t>
      </w:r>
    </w:p>
    <w:p>
      <w:pPr>
        <w:spacing w:after="0" w:line="17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Firms in the financial industry have experienced significant uncertainty and negative conditions as a result of the continued fallout from the financial crisis of 2008. We could be adversely impacted by the financial distress or failure of one or more of our clearing firms.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part of our growth initiatives, we have expanded our clearing services to swaps in addition to standard futures and options on futures products. The process for setting margins and establishing other financial safeguards for swaps differs from our historical practices. Although we believe that we have carefully analyzed the process for setting margins and establishing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financial safeguards for swaps, there is no guarantee that our procedures will adequately protect the clearing house in the event of a clearing member default during extreme market conditions.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we have hired experienced management to oversee the operations of CME Clearing Europe established in 2011, as an organization we have limited experience operating a clearing house outside of the United States.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up to $98 million) to provide payments, up to certain maximum levels, to qualified family farmers, ranchers and other agricultural industry participants who use our products and who suffer losses to their segregated account balances if their clearing firm member becomes insolvent.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foreign sovereign debt, and subject them to established haircuts based on the type of collateral and maturity. There is no guarantee the collateral will maintain its value. To 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products.</w:t>
      </w:r>
    </w:p>
    <w:p>
      <w:pPr>
        <w:spacing w:after="0" w:line="165" w:lineRule="exact"/>
        <w:rPr>
          <w:sz w:val="20"/>
          <w:szCs w:val="20"/>
          <w:color w:val="auto"/>
        </w:rPr>
      </w:pPr>
    </w:p>
    <w:p>
      <w:pPr>
        <w:jc w:val="both"/>
        <w:ind w:right="8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 party price reporting agencies form the basis for many of our products from which we derive a significant portion of our volume and revenue. Recent regulatory scrutiny into such benchmarks could have a negative impact on our ability to offer such products.</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significantly dependent on the contract volume of products which are based on intellectual property rights of indexes derived from third-party price reporting agencies, including our benchmark Eurodollar contract, which is based on LIBOR. To comply with CFTC core principles, we must be able to demonstrate that our products may not be readily subject to manipulation. Our inability to offer products based on these indexes could have a negative impact on our contract volume and revenues.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or a significant change in how market participants trade and use market data.</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sell our market data to individuals, trading institutions and other organizations that use our information services to participate in our markets and/or monitor general economic conditions. Excluding our index market data offerings, revenues from our market data and information services represented 11% and 12% of our total revenues, during the years ended December 31, 2013 and 2012, respectively. A decrease in overall contract volume may lead to a decreased demand for our market data. For example, in both 2013 and 2012, we experienced a decrease in the average number of market data devices due to the continued economic uncertainty, continued high unemployment levels in the financial services sector and aggressive cost cutting initiatives at customer firms and legacy incentive programs tied to trading terminals. In 2013, we announced a series of policy changes and price increases effective over 2014 and 2015 that should result in increased market data and information services revenue. However, we cannot guarantee that the changes or increased cost will not result in a reduction of the total number of paid subscriptions as users review their business needs for our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over-the-counter initiatives will be successful.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goal is to provide a comprehensive multi-asset class clearing solution to the marketplace for maximum operational ease and the capital efficiency that comes with connecting to our clearing houses. We offer clearing services for cleared over-the-counter derivatives, including interest rate swaps, credit default swaps, foreign exchange and commodities. Our strategy also includes extending our over-the-counter services into other asset classes, as well as enhancing our CME ClearPort functionality to support additional products. While we believe the implementation of Dodd-Frank creates new opportunities for us to expand our over-the-counter offerings, the current regulatory environment for trading and clearing these products remains uncertain. We cannot be certain that we will be able to operate profitably under the new legislation. For example, provisions within Dodd-Frank include changes to the CFTC's core principles, specifically Core Principle 9, which could require us to make modifications to the manner in which certain of our contracts trade and/or require that such products be de-listed as futures and re-listed as swaps. Also, numerous capital changes and provisions in Basel III may result in uncleared, bilateral over-the-counter derivatives being less expensive than cleared derivatives. In addition, a number of market participants and exchanges have developed competing platforms and products, including new swap execution facilities. We cannot be certain that we will be able to compete effectively or that our initiatives will be successful.</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growth initiatives we have made or will make in the future,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global operations involves special challenges that we may not be able to meet, which could adversely affect our financial results.</w:t>
      </w:r>
    </w:p>
    <w:p>
      <w:pPr>
        <w:spacing w:after="0" w:line="24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plan to continue to expand our global operations, including through CME Clearing Europe, the launch of CME Europe; our European trade repository;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2013, the CFTC filed suit against NYMEX and two former employees alleging disclosure of confidential customer information in violation of the Commodity Exchange Act. Based on our initial review of the complaint, we believe that we have strong factual and legal defenses to the claim.</w:t>
      </w:r>
    </w:p>
    <w:p>
      <w:pPr>
        <w:spacing w:after="0" w:line="18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recent years. Misconduct by our employees and agents, including employees of GFX Corporation, our wholly-owned subsidiary that engages in proprietary trading to generate liquidity,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2012 a former employee of CME Group pled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2013, we had approximately $2.9 billion of total indebtedness, of which $750.0 million was paid down in February 2014, and we had excess borrowing capacity for general corporate purposes under our existing facilities of approximately $1.8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and clearing house also are required to maintain capital as defined by the CFTC equal to at least twelve months of their applicable projected 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BM&amp;FBOVESPA subjects us to investment and currency risk.</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own an interest in BM&amp;FBOVESPA representing approximately 5% of its outstanding shares, which had a fair value of $473.1 million as of December 31, 2013. As an exchange, its ability to maintain or expand its contract volume and operate its business is subject to the same types of risks to which we are subject. Additionally, its stock is valued in Brazilian real, which subjects us to currency risk. There is no guarantee that our investment in BM&amp;FBOVESPA will be profitable.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writedowns and could have a material adverse impact on our results of operations and shareholders' equity.</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our acquisitions and investments, including our mergers with CBOT Holdings and NYMEX Holdings, we have recorded goodwill and identifiable intangible assets. We assess goodwill and intangible assets for impairment by applying a fair value test looking at historical performance, capital requirements and projected cash flows on an annual basis or more frequently if indicators of impairment arise. In the past, we have recorded impairment charges in connection with some of our investments, including our investment in BM&amp;FBOVESPA. We may continue to experience future events that result in impairments. The risk of impairment losses may increase to the extent our market capitalization and earnings decline.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historically experienced relatively higher contract volume during the first and second quarters and sequentially lower contract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than for trades executed on the trading floor.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would be adversely affected.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Seventeen of our board members own trading rights or are officers or directors of firms that own trading rights on our exchanges. As members, these individuals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Seventeen of our directors own or are officers or directors of firms that own trading rights on our exchanges. We are dependent on the revenues from the trading and clearing activities of our members. In 2013, 80% of our contract volume was derived from our members. This dependence may give them substantial influence over how we operate our business.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members have been granted special rights, which protect their trading privileges, require that we maintain open outcry trading until volumes are not significant and, in the case of our Class B shareholders, provide them with special board representation.</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also are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global headquarters are located in Chicago, Illinois, at 20 South Wacker Drive. The following is a description of our key locations and facilities. In November 2013, we sold the NYMEX building located at One North End and entered into a lease-back arrangement. In January 2014, we sold our interests in the building we acquired in connection with the acquisition of KCBT.</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r>
      <w:tr>
        <w:trPr>
          <w:trHeight w:val="222"/>
        </w:trPr>
        <w:tc>
          <w:tcPr>
            <w:tcW w:w="3240" w:type="dxa"/>
            <w:vAlign w:val="bottom"/>
            <w:tcBorders>
              <w:left w:val="single" w:sz="8" w:color="auto"/>
              <w:right w:val="single" w:sz="8" w:color="auto"/>
            </w:tcBorders>
            <w:shd w:val="clear" w:color="auto" w:fill="CCEEFF"/>
          </w:tcPr>
          <w:p>
            <w:pPr>
              <w:spacing w:after="0"/>
              <w:rPr>
                <w:sz w:val="19"/>
                <w:szCs w:val="19"/>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2022</w:t>
            </w:r>
            <w:r>
              <w:rPr>
                <w:rFonts w:ascii="Arial" w:cs="Arial" w:eastAsia="Arial" w:hAnsi="Arial"/>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490,000</w:t>
            </w:r>
          </w:p>
        </w:tc>
      </w:tr>
      <w:tr>
        <w:trPr>
          <w:trHeight w:val="222"/>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Chicago trading floor and office</w:t>
            </w:r>
          </w:p>
        </w:tc>
        <w:tc>
          <w:tcPr>
            <w:tcW w:w="12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Chicago trading floor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 trading floor,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 and business continuity</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2028</w:t>
            </w:r>
            <w:r>
              <w:rPr>
                <w:rFonts w:ascii="Arial" w:cs="Arial" w:eastAsia="Arial" w:hAnsi="Arial"/>
                <w:sz w:val="25"/>
                <w:szCs w:val="25"/>
                <w:color w:val="auto"/>
                <w:vertAlign w:val="superscript"/>
              </w:rPr>
              <w:t>(4)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r>
      <w:tr>
        <w:trPr>
          <w:trHeight w:val="237"/>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New Change London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2026</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Annex Data Center</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continuity</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Remote Data Center</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continuity</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2017</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Data Center 3</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37"/>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Business continuity and co-location</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430,000</w:t>
            </w:r>
          </w:p>
        </w:tc>
      </w:tr>
      <w:tr>
        <w:trPr>
          <w:trHeight w:val="20"/>
        </w:trPr>
        <w:tc>
          <w:tcPr>
            <w:tcW w:w="3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Size represents the amount of space leased or owned by us unless otherwise noted.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lease expires in 2022 with two consecutive options to extend the term for seven and ten years, respectively.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lease expires in 2027 and contains options to extend the term and expand the premises.</w:t>
      </w:r>
    </w:p>
    <w:p>
      <w:pPr>
        <w:spacing w:after="0" w:line="9" w:lineRule="exact"/>
        <w:rPr>
          <w:rFonts w:ascii="Arial" w:cs="Arial" w:eastAsia="Arial" w:hAnsi="Arial"/>
          <w:sz w:val="18"/>
          <w:szCs w:val="18"/>
          <w:color w:val="auto"/>
        </w:rPr>
      </w:pPr>
    </w:p>
    <w:p>
      <w:pPr>
        <w:ind w:left="660" w:right="6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initial lease expires in 2028 and contains options to extend the term and expand the premises. In 2016 and 2019, the premises will be reduced to 240,000 and 225,000 square feet, respectively.</w:t>
      </w:r>
    </w:p>
    <w:p>
      <w:pPr>
        <w:spacing w:after="0" w:line="13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See “Legal and Regulatory Matters” in Note 13. Contingencies to the Consolidated Financial Statements beginning on page 79 for CME Group’s legal proceedings disclosure which is incorporated herein by reference.</w:t>
      </w:r>
    </w:p>
    <w:p>
      <w:pPr>
        <w:spacing w:after="0" w:line="3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12, 2014, there were approximately 2,970 holders of record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63.14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51.34</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45.20</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77.28</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58.53</w:t>
            </w:r>
          </w:p>
        </w:tc>
        <w:tc>
          <w:tcPr>
            <w:tcW w:w="20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58.24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50.70</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77.61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70.47</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49.83</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84.64</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72.04</w:t>
            </w:r>
          </w:p>
        </w:tc>
        <w:tc>
          <w:tcPr>
            <w:tcW w:w="20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57.89</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50.12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Class B shares and the associated trading rights are bought and sold or leased through our shareholder relations and membership services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12, 2014, there were approximately 1,650 holders of record of our Class B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Dividend per Share</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8,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9, 2012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June 10, 2013</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Pr>
          <w:p>
            <w:pPr>
              <w:ind w:left="120"/>
              <w:spacing w:after="0"/>
              <w:rPr>
                <w:sz w:val="20"/>
                <w:szCs w:val="20"/>
                <w:color w:val="auto"/>
              </w:rPr>
            </w:pPr>
            <w:r>
              <w:rPr>
                <w:rFonts w:ascii="Arial" w:cs="Arial" w:eastAsia="Arial" w:hAnsi="Arial"/>
                <w:sz w:val="18"/>
                <w:szCs w:val="18"/>
                <w:color w:val="auto"/>
              </w:rPr>
              <w:t>March 9, 2012</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0.60</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10, 2013</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8, 2012</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December 10, 2013</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0.45</w:t>
            </w:r>
          </w:p>
        </w:tc>
        <w:tc>
          <w:tcPr>
            <w:tcW w:w="2840" w:type="dxa"/>
            <w:vAlign w:val="bottom"/>
          </w:tcPr>
          <w:p>
            <w:pPr>
              <w:ind w:left="120"/>
              <w:spacing w:after="0"/>
              <w:rPr>
                <w:sz w:val="20"/>
                <w:szCs w:val="20"/>
                <w:color w:val="auto"/>
              </w:rPr>
            </w:pPr>
            <w:r>
              <w:rPr>
                <w:rFonts w:ascii="Arial" w:cs="Arial" w:eastAsia="Arial" w:hAnsi="Arial"/>
                <w:sz w:val="18"/>
                <w:szCs w:val="18"/>
                <w:color w:val="auto"/>
              </w:rPr>
              <w:t>September 10, 2012</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0.45</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27, 2013</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December 10, 2012</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17, 2012</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according to our annual dividend policy, which remains at approximately 50% of the prior year's cash earnings. The decision to declare a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5, 2014, the board of directors declared a regular quarterly dividend of $0.47 per share. The dividend will be payable on March 25, 2014, to shareholders of record on March 10, 2014. Assuming no changes in the number of shares outstanding, the total first quarter dividend payment will be approximately $156.9 million. The board of directors also declared an additional, annual variable dividend of $2.60 per share on December 11, 2013 paid on January 14, 2014 to the shareholders of record on December 27, 2013. In general, the amount of the annual variable dividend will be determined at the end of each year, and the level will increase or decrease from year to year based on operating results, potential merger and acquisition activity, and other forms of capital return including regular dividends and share buybacks during the prior year. The annual variable dividend related to 2012 operations was accelerated to the fourth quarter of 2012 due to uncertainty surrounding dividend income tax treatment beginning in 2013.</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indentures governing our fixed rate notes, our 364-day clearing house credit facility for $7.0 billion and our $1.8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6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example, under our senior credit facility, we are required to remain in compliance with a consolidated net worth test, defined as our consolidated shareholders’ equity as of September 30, 2012 after giving effect to actual share repurchases made and special dividends paid (including annual variable dividends), but only up to the amount of such repurchases and dividends publicly announced and made or paid after September 30, 2012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$800.0 million.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The following graph and table compares the cumulative five-year total return provided shareholders on our Class A common stock relative to the cumulative total returns of the S&amp;P 500 index and our customized peer group. The peer group includes CBOE Holdings, Inc., IntercontinentalExchange Group, Inc. and The Nasdaq OMX Group Inc. In November 2013, IntercontinentalExchange, Inc. and NYSE Euronext merged to form IntercontinentalExchange Group, Inc. An investment of $100 (with reinvestment of all dividends) is assumed to have been made in our Class A common stock, in the peer group and the S&amp;P 500 index on December 31, 2008 and its relative performance is tracked through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109220</wp:posOffset>
            </wp:positionV>
            <wp:extent cx="5848985" cy="4871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87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164.29</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159.80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137.54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225.58</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5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126.46</w:t>
            </w:r>
          </w:p>
        </w:tc>
        <w:tc>
          <w:tcPr>
            <w:tcW w:w="4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145.51</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148.59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172.37</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228.19</w:t>
            </w:r>
          </w:p>
        </w:tc>
      </w:tr>
      <w:tr>
        <w:trPr>
          <w:trHeight w:val="27"/>
        </w:trPr>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110.83</w:t>
            </w:r>
          </w:p>
        </w:tc>
        <w:tc>
          <w:tcPr>
            <w:tcW w:w="4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122.68</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127.41</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133.79</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235.92</w:t>
            </w:r>
          </w:p>
        </w:tc>
      </w:tr>
      <w:tr>
        <w:trPr>
          <w:trHeight w:val="27"/>
        </w:trPr>
        <w:tc>
          <w:tcPr>
            <w:tcW w:w="24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past three years there have not been any unregistered sale of equity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(c) Total Number of</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Total Number</w:t>
            </w:r>
          </w:p>
        </w:tc>
        <w:tc>
          <w:tcPr>
            <w:tcW w:w="280" w:type="dxa"/>
            <w:vAlign w:val="bottom"/>
          </w:tcPr>
          <w:p>
            <w:pPr>
              <w:spacing w:after="0"/>
              <w:rPr>
                <w:sz w:val="12"/>
                <w:szCs w:val="12"/>
                <w:color w:val="auto"/>
              </w:rPr>
            </w:pPr>
          </w:p>
        </w:tc>
        <w:tc>
          <w:tcPr>
            <w:tcW w:w="14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(b) Average Price</w:t>
            </w: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80" w:type="dxa"/>
            <w:vAlign w:val="bottom"/>
          </w:tcPr>
          <w:p>
            <w:pPr>
              <w:spacing w:after="0"/>
              <w:rPr>
                <w:sz w:val="12"/>
                <w:szCs w:val="12"/>
                <w:color w:val="auto"/>
              </w:rPr>
            </w:pPr>
          </w:p>
        </w:tc>
        <w:tc>
          <w:tcPr>
            <w:tcW w:w="14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Paid Per Share (or</w:t>
            </w:r>
          </w:p>
        </w:tc>
        <w:tc>
          <w:tcPr>
            <w:tcW w:w="16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74.80</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12,936</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81.51</w:t>
            </w:r>
          </w:p>
        </w:tc>
        <w:tc>
          <w:tcPr>
            <w:tcW w:w="16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13,026</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purchased consist of an aggregate of 13,026 shares of Class A common stock surrendered to satisfy employee tax obligations upon the vesting of restricted stock.</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18, 2010, the Board of Trade of the City of Chicago, Inc. (CBOT) acquired a 90% ownership interest in CME Group Index Services LLC (Index Services), a business venture with Dow Jones &amp; Company (Dow Jones). In June 2012, the company contributed certain Dow Jones Index assets and liabilities (DJI asset group) owned by Index Services to S&amp;P/Dow Jones Indices LLC (S&amp;P/DJI), a new business venture with The McGraw-Hill Companies Inc. (McGraw) and acquired a 24.4% interest in S&amp;P/DJI. As part of the transaction with McGraw, the company also sold Credit Market Analysis Ltd. to McGraw. CBOT acquired The Board of Trade of Kansas City, Missouri, Inc. (KCBT), on November 30, 2012. In April 2013, the company acquired the remaining 10% non-controlling interest in Index Services. As a result of the purchase of the non-controlling interest, the company's interest in S&amp;P/DJI increased to 27%.</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data includes the financial results of CMA through June 30, 2012 and the financial results of KCBT beginning November 30, 2012. Assets and liabilities contributed or sold as part of the transaction with McGraw are excluded from the following data beginning on June 30, 2012, while the financial results of the company's 24.4% interest in S&amp;P/DJI are included in the following data beginning on June 30, 2012. The financial results of the company's increased ownership interest in S&amp;P/DJI to 27% interest are included as of April 2013.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2,936.3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2,914.6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3,280.6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3,003.7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2,612.8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1,637.0</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2,021.1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1,831.1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1,601.0</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1,936.5</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1,437.5</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976.8</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896.3</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1,812.3</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951.4</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825.8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2.94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5.45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0.92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54,277.8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38,863.2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40,758.7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35,046.1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35,651.0</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749.9</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2,107.2</w:t>
            </w:r>
          </w:p>
        </w:tc>
        <w:tc>
          <w:tcPr>
            <w:tcW w:w="3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2,106.8</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2,106.8</w:t>
            </w:r>
          </w:p>
        </w:tc>
        <w:tc>
          <w:tcPr>
            <w:tcW w:w="4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2,104.8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2,014.7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21,154.8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21,419.1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21,552.0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20,060.1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19,301.0</w:t>
            </w:r>
          </w:p>
        </w:tc>
      </w:tr>
      <w:tr>
        <w:trPr>
          <w:trHeight w:val="56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812"/>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2013 volume data includes the average daily volume for KCBT products beginning January 1, 2013. All amounts exclude our interest rate swaps, credit default swaps, CME Clearing Europe and TRAKRS contracts.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notional value)</w:t>
            </w:r>
          </w:p>
        </w:tc>
        <w:tc>
          <w:tcPr>
            <w:tcW w:w="16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Product Lines: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5,903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Equity</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0"/>
        </w:trPr>
        <w:tc>
          <w:tcPr>
            <w:tcW w:w="34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Metal</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10,826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12,546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Data:</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Notional Value (in trillions)</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3,161,477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2,890,036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3,386,716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3,078,149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2,584,891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83,726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69,894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78,102</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agricultural commodity product line does not include the agricultural commodity contract volume for KCBT in 2012. The average daily volume for KCBT's agricultural commodity contracts was 16,100 during December 2012.</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Privately negotiated venue average daily volume includes both traditional block trades as well as what was historically categorized as CME ClearPort.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50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2013, 2012 and 2011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In March 2010, the Board of Trade of the City of Chicago, Inc. (CBOT) acquired a 90% ownership interest in CME Group Index Services LLC (Index Services), a business venture with Dow Jones &amp; Company (Dow Jones). The discussion and analysis that follow includes the financial results of Index Services beginning March 19, 2010. In April 2013, CBOT purchased the remaining 10% non-controlling interest in Index Services.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2012, CBOT contributed certain assets and liabilities (DJI asset group) owned by Index Services to S&amp;P/Dow Jones Indices LLC (S&amp;P/DJI), a new business venture with The McGraw-Hill Companies Inc. (McGraw). In addition, Credit Market Analysis Ltd. (CMA) was sold to McGraw as part of this transaction. The discussion and analysis that follows excludes the assets and liabilities disposed as part of this transaction with McGraw beginning June 30, 2012.</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November 2012, CBOT acquired The Board of Trade of Kansas City, Missouri, Inc. (KCBT), including its wholly-owned clearing house, Kansas City Board of Trade Clearing Corporation (KCBTCC) and its 51% controlling interest in Board of Trade Investment Company (BOTIC). The discussion and analysis that follows includes the financial results of KCBT beginning November 30, 2012.</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CBOT and New York Mercantile Exchange, Inc. (NYMEX), Commodity Exchange, Inc. (COMEX), collectively,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as well as CME Clearing Europe Limited (CMECE).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We also clear futures, options on futures and over-the-counter contracts through our two clearing organizations: CME Clearing, which is a division of CME, and CMECE. Futures contracts, options on futures contracts and over-the-counter contracts provide investors with vehicles for protecting against, and potentially profiting from, price changes in financial instruments and physical commodities.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over-the-counter contracts on a range of products including those based on interest rates, credit default, foreign exchange, agricultural commodities, energy and metals.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Most of our products are available for trading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CME and CMECE clearing houses.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clearing houses clear, settle and guarantee futures and options contract traded through our exchange, in addition to cleared over-the-counter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w:t>
      </w:r>
    </w:p>
    <w:p>
      <w:pPr>
        <w:ind w:right="200"/>
        <w:spacing w:after="0" w:line="255" w:lineRule="auto"/>
        <w:rPr>
          <w:sz w:val="20"/>
          <w:szCs w:val="20"/>
          <w:color w:val="auto"/>
        </w:rPr>
      </w:pPr>
      <w:r>
        <w:rPr>
          <w:rFonts w:ascii="Arial" w:cs="Arial" w:eastAsia="Arial" w:hAnsi="Arial"/>
          <w:sz w:val="18"/>
          <w:szCs w:val="18"/>
          <w:color w:val="auto"/>
        </w:rPr>
        <w:t>Additionally, the substitution of our clearing houses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Our customers continue to use our markets as an effective and transparent means to manage risk and meet their investment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recent economic uncertainty and volatility. In recent years,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continued zero interest rate policy and quantitative easing. We continue to maintain high quality and diverse products as well as various clearing and market data services which support our customers in any economic environment.</w:t>
      </w:r>
    </w:p>
    <w:p>
      <w:pPr>
        <w:spacing w:after="0" w:line="100"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Competitive Environment. </w:t>
      </w:r>
      <w:r>
        <w:rPr>
          <w:rFonts w:ascii="Arial" w:cs="Arial" w:eastAsia="Arial" w:hAnsi="Arial"/>
          <w:sz w:val="16"/>
          <w:szCs w:val="16"/>
          <w:color w:val="auto"/>
        </w:rPr>
        <w:t>Our industry is competitive and we continue to encounter competition in all aspects of our business. We expect competition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intensify, especially in light of recent regulatory reforms in the financial services industry. Competition is influenced by liquidity and transparency of the markets, transaction costs, breadth of product offerings including quality of new product development as well as efficient and innovative technology and connectivity. We believe we are very well situated with respect to these factors. We now face competition from other futures, securities and securities option exchanges; over-the-counter markets; clearing organizations; consortia formed by our members and large market participants;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As a result of the widespread difficulties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economy over recent years, various domestic and foreign governments have undertaken reviews of the existing legal framework governing financial markets and have either passed new laws and regulations or are in the process of enacting new laws and regulations that will apply to our business. Compliance with regulations may require us and our customers to dedicate significant financial and operational resources which could adversely affect our profitability.</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futures exchanges and our U.S. clearing house are subject to extensive regulation by the Commodity Futures Trading Commission (CFTC), which carries out the regulation of the futures markets in accordance with the provisions of the Commodity Exchange Act, the Commodity Futures Modernization Act and the Dodd-Frank Wall Street Reform and Consumer Protection Act (Dodd-Frank). Over the last three years, a number of regulations to implement Dodd-Frank were finalized. While we believe that the new regulations will provide opportunities for our business, the new regulations remain subject to additional rulemaking by various regulators. In 2013, the CFTC designated our U.S. clearing house as a systemically important derivatives clearing organization, which imposes various new procedural and substantive requirements. We have incurred and expect to continue to incur significant additional costs to comply with the provisions of Dodd-Frank and any new regulations.</w:t>
      </w:r>
    </w:p>
    <w:p>
      <w:pPr>
        <w:spacing w:after="0" w:line="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a global company with operations and locations around the world, we are also subject to laws and regulations in foreign locations where we do business. The financial services industry in Europe has recently undergone regulatory reform and a re-organization of its regulatory framework. Our European operations are now subject to several regulators, including the Bank of England, the Financial Conduct Authority (FCA) and the European Securities Market Authority (ESMA). We have incurred and expect to continue to incur significant additional costs to comply with the new regulations in Europe.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provides trading and clearing solutions across a wide range of products and asset classes. We believe that we can build on our competitive strengths by executing on the following initiatives:</w:t>
      </w:r>
    </w:p>
    <w:p>
      <w:pPr>
        <w:spacing w:after="0" w:line="35"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enhance our customer relations to allow us to further cross-sell our products, expand on the strength of our existing benchmark products, launch new products and deepen open interest in our core futures offerings;</w:t>
      </w:r>
    </w:p>
    <w:p>
      <w:pPr>
        <w:spacing w:after="0" w:line="35" w:lineRule="exact"/>
        <w:rPr>
          <w:rFonts w:ascii="Arial" w:cs="Arial" w:eastAsia="Arial" w:hAnsi="Arial"/>
          <w:sz w:val="18"/>
          <w:szCs w:val="18"/>
          <w:color w:val="auto"/>
        </w:rPr>
      </w:pPr>
    </w:p>
    <w:p>
      <w:pPr>
        <w:ind w:left="660" w:right="28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Globalize our company and business by expanding and diversifying our customer base worldwide and offer customers around the world the most broadly diversified portfolio of benchmark products, increasing our presence in major international financial centers as well as partnering with leading exchanges around the world to make their products available on or through our CME Globex electronic trading platform;</w:t>
      </w:r>
    </w:p>
    <w:p>
      <w:pPr>
        <w:spacing w:after="0" w:line="11"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existing customer base and enhance our products and services offerings to meet their risk management needs by targeting cross asset sales, driving international sales and generating new client participation across the world;</w:t>
      </w:r>
    </w:p>
    <w:p>
      <w:pPr>
        <w:spacing w:after="0" w:line="35" w:lineRule="exact"/>
        <w:rPr>
          <w:rFonts w:ascii="Arial" w:cs="Arial" w:eastAsia="Arial" w:hAnsi="Arial"/>
          <w:sz w:val="18"/>
          <w:szCs w:val="18"/>
          <w:color w:val="auto"/>
        </w:rPr>
      </w:pPr>
    </w:p>
    <w:p>
      <w:pPr>
        <w:ind w:left="660" w:right="7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Extend our capabilities and business in the over-the-counter markets by focusing on new customer onboarding for swaps clearing services, expanding our over-the-counter product offerings and working with the buy- and sell-sides to meet their needs for real-time clearing, risk management and data reporting as market participants move from a compliance phase to an optimization phase; and</w:t>
      </w:r>
    </w:p>
    <w:p>
      <w:pPr>
        <w:spacing w:after="0" w:line="30" w:lineRule="exact"/>
        <w:rPr>
          <w:rFonts w:ascii="Arial" w:cs="Arial" w:eastAsia="Arial" w:hAnsi="Arial"/>
          <w:sz w:val="17"/>
          <w:szCs w:val="17"/>
          <w:color w:val="auto"/>
        </w:rPr>
      </w:pPr>
    </w:p>
    <w:p>
      <w:pPr>
        <w:jc w:val="both"/>
        <w:ind w:left="660" w:right="3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ourselves as the leading exchange company provider of information products and index services and enhance our intellectual property portfolio. Our business venture with McGraw well-positions us to serve global institutional and retail customers and allows us to continue to be innovative with product development and co-branding across asset classes.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privately-negotiated transactions and other volume-related charges for exchange-traded and over-the counter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uncertainty.</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revenues:</w:t>
      </w:r>
    </w:p>
    <w:p>
      <w:pPr>
        <w:spacing w:after="0" w:line="14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Rate structure. </w:t>
      </w:r>
      <w:r>
        <w:rPr>
          <w:rFonts w:ascii="Arial" w:cs="Arial" w:eastAsia="Arial" w:hAnsi="Arial"/>
          <w:sz w:val="17"/>
          <w:szCs w:val="17"/>
          <w:color w:val="auto"/>
        </w:rPr>
        <w:t>Customers benefit from volume discounts and limits on fees as part of our effort to increase liquidity in certain products. We offer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programs to promote trading and clearing in various products and geographic locations. We may periodically change fees, volume discounts, limits on fees, and member discounts, perhaps significantly, based on our review of operations and the business environment.</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on futures contracts as well as cleared-only contracts on a wide-ranging set of products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rates, equities, foreign exchange, agricultural commodities, energy, metals and credit default. Rates are varied by product in order to optimize revenue on existing products and to encourage contract volume upon introduction of new products.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is an international marketplace that brings together buyers and sellers mainly through our electronic trading as well as through open</w:t>
      </w:r>
      <w:r>
        <w:rPr>
          <w:rFonts w:ascii="Arial" w:cs="Arial" w:eastAsia="Arial" w:hAnsi="Arial"/>
          <w:sz w:val="18"/>
          <w:szCs w:val="18"/>
          <w:i w:val="1"/>
          <w:iCs w:val="1"/>
          <w:color w:val="auto"/>
        </w:rPr>
        <w:t xml:space="preserve"> </w:t>
      </w:r>
      <w:r>
        <w:rPr>
          <w:rFonts w:ascii="Arial" w:cs="Arial" w:eastAsia="Arial" w:hAnsi="Arial"/>
          <w:sz w:val="18"/>
          <w:szCs w:val="18"/>
          <w:color w:val="auto"/>
        </w:rPr>
        <w:t>outcry trading and privately negotiated transactions. Any customer who is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 Privately negotiated transactions also include volume from CME ClearPort.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and building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charges to members and clearing firms that utilize our various telecommunications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and communications services. Our communication services include our co-location program as well as the connectivity charges to customers of the CME Globex platform. Our co-location services were launched in January 2012. Access fee revenue varies depending on the type of connection provided to customers.</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Other revenues. </w:t>
      </w:r>
      <w:r>
        <w:rPr>
          <w:rFonts w:ascii="Arial" w:cs="Arial" w:eastAsia="Arial" w:hAnsi="Arial"/>
          <w:sz w:val="16"/>
          <w:szCs w:val="16"/>
          <w:color w:val="auto"/>
        </w:rPr>
        <w:t>To further diversify the range of services we offer, we have entered into processing and development agreements with other exchanges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organizations. For example, we have an agreement with BM&amp;FBOVESPA S.A (BM&amp;FBOVESPA) to develop a new multi-asset class electronic trading platform for their customers. We recognize revenue under this agreement as services are provided and when developed technology is delivered.</w:t>
      </w:r>
    </w:p>
    <w:p>
      <w:pPr>
        <w:spacing w:after="0" w:line="14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Other revenues also include fees for administrating our Interest Earning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futures contracts in a fully hedged book to enhance liquidity in our electronic markets for certain products. Other revenues may also include gains on sales from operating assets. Lastly, other revenues include rent charged to third party tenants as well as ancillary charges for utilities, parking and miscellaneous services provided to tenants.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our expenses do not vary directly with changes in our contract volume. Licensing and other fee agreements and the majority of our employee bonuses do vary directly with contract volume.</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Stock-based compensation is a non-cash expense related to stock options, restricted stock and performance share grants. Stock-based compensation varies depending on the quantity and fair value of awards granted.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 The fair value of other awards is based on either the share price on the date of the grant or a model of expected future stock prices.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This expense includes fees for consulting services received on strategic and technology initiatives, temporary labor</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legal and accounting fees. This expense may fluctuate as a result of changes in services required to complete initiatives and legal proceedings.</w:t>
      </w:r>
    </w:p>
    <w:p>
      <w:pPr>
        <w:spacing w:after="0" w:line="11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includes amortization of intangible assets obtained in our mergers with CBOT Holdings,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NYMEX Holdings, Inc. as well as other asset and business acquisitions. Intangible assets subject to amortization consist primarily of clearing firm, market data and other customer relationships.</w:t>
      </w:r>
    </w:p>
    <w:p>
      <w:pPr>
        <w:spacing w:after="0" w:line="176"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12" w:lineRule="exact"/>
        <w:rPr>
          <w:sz w:val="20"/>
          <w:szCs w:val="20"/>
          <w:color w:val="auto"/>
        </w:rPr>
      </w:pPr>
    </w:p>
    <w:p>
      <w:pPr>
        <w:ind w:left="660" w:right="10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24" w:lineRule="exact"/>
        <w:rPr>
          <w:rFonts w:ascii="Arial" w:cs="Arial" w:eastAsia="Arial" w:hAnsi="Arial"/>
          <w:sz w:val="18"/>
          <w:szCs w:val="18"/>
          <w:color w:val="auto"/>
        </w:rPr>
      </w:pPr>
    </w:p>
    <w:p>
      <w:pPr>
        <w:ind w:left="660" w:right="840" w:hanging="328"/>
        <w:spacing w:after="0" w:line="29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ind w:left="660" w:right="28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and owned property including rent, maintenance, real estate taxes, utilities and other related costs. We have significant operations located in Chicago and New York City with smaller offices located throughout the world.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Licensing and other fee agreements expense includes license fees paid as a result of contract volume in equity index products, and royalty and broker rebates on energy and metals products as well as revenue sharing on over-the-counter contracts. This expense fluctuates with changes in contract volumes as well as changes in fee structures.</w:t>
      </w:r>
    </w:p>
    <w:p>
      <w:pPr>
        <w:spacing w:after="0" w:line="19"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and foreign currency transaction gains and losses resulting from changes in exchange rates on certain foreign deposits.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70" w:lineRule="exact"/>
        <w:rPr>
          <w:sz w:val="20"/>
          <w:szCs w:val="20"/>
          <w:color w:val="auto"/>
        </w:rPr>
      </w:pPr>
    </w:p>
    <w:p>
      <w:pPr>
        <w:ind w:left="660" w:right="2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income includes dividend income from our strategic equity investments; gains and losses on trading securities in our non-qualified deferred compensation plans; short-term investment of excess cash, clearing firms' cash performance bonds and guaranty fund contributions; and interest income and realized gains and losses from our marketable securities. Investment income is influenced by the amount of dividends distributed by our strategic investments, the availability of funds generated by operations; market interest rates, and changes in the levels of cash performance bonds deposited by clearing firms.</w:t>
      </w:r>
    </w:p>
    <w:p>
      <w:pPr>
        <w:spacing w:after="0" w:line="16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use derivative financial instruments for the purpose of hedging exposures to fluctuations in interest rates. Any ineffective or excluded portion of our hedges is recognized in earnings immediately as gains or losses on derivative investments.</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and other borrowing costs are associated with various short-term and long-term funding facilities. We also maintain a commercial paper program with various financial institutions.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 net gains (losses) of unconsolidated subsidiaries includes income and losses from our investments in S&amp;P/DJI, Dubai Mercantile Exchange and Bursa Malaysia Derivatives Berhad.</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income (expense) includes the net gain related to the contribution of the DJI asset group and the sale of CMA as well as gains related to our former securities lending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notes to our consolidated financial statements include disclosure of our significant accounting policies. In establishing these policies within the framework of accounting principles generally accepted in the United States, management must make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5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right="300" w:hanging="328"/>
        <w:spacing w:after="0" w:line="33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1—Inputs are unadjusted, quoted prices in active markets for identical assets or liabilities at the measurement date. Assets and liabilities carried at level 1 fair value generally include U.S. Treasury securities and investments in publicly traded mutual funds with quoted market prices.</w:t>
      </w:r>
    </w:p>
    <w:p>
      <w:pPr>
        <w:spacing w:after="0" w:line="1" w:lineRule="exact"/>
        <w:rPr>
          <w:rFonts w:ascii="Arial" w:cs="Arial" w:eastAsia="Arial" w:hAnsi="Arial"/>
          <w:sz w:val="16"/>
          <w:szCs w:val="16"/>
          <w:color w:val="auto"/>
        </w:rPr>
      </w:pPr>
    </w:p>
    <w:p>
      <w:pPr>
        <w:ind w:left="660" w:right="34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2—Inputs are either directly or indirectly observable and corroborated by market data or are based on quoted prices in markets that are not active. Assets and liabilities carried at level 2 fair value generally include asset-backed securities and certain derivatives.</w:t>
      </w:r>
    </w:p>
    <w:p>
      <w:pPr>
        <w:spacing w:after="0" w:line="11" w:lineRule="exact"/>
        <w:rPr>
          <w:rFonts w:ascii="Arial" w:cs="Arial" w:eastAsia="Arial" w:hAnsi="Arial"/>
          <w:sz w:val="17"/>
          <w:szCs w:val="17"/>
          <w:color w:val="auto"/>
        </w:rPr>
      </w:pPr>
    </w:p>
    <w:p>
      <w:pPr>
        <w:ind w:left="660" w:right="2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other assets and liabilities with inputs that require management’s judgment.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19 in the notes to the consolidated financial statements.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an annual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relies on significant assumptions about forecasts of revenue growth, operating margins and economic conditions as well as overall market and industry-specific trends.</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also review indefinite-lived intangible assets on an annual basis or more frequently when events and circumstances indicate that their carrying value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intangibles assets relies on significant assumptions about forecasts of revenue growth, operating margins and economic conditions as well as overall market and industry-specific trends.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183"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74"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computer software for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use are capitalized.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three years. Amortization of capitalized costs begins only when the software becomes ready for its intended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Financial Highlights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comparability of our operating results for the periods presented may be impacted by mergers, acquisitions and disposals of businesses and/or asset groups. Where material, these impacts are discussed in the analysis that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6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2011</w:t>
            </w:r>
          </w:p>
        </w:tc>
        <w:tc>
          <w:tcPr>
            <w:tcW w:w="17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2013-2012</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2,936.3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2,914.6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3,280.6</w:t>
            </w:r>
          </w:p>
        </w:tc>
        <w:tc>
          <w:tcPr>
            <w:tcW w:w="17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1,299.3</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1,222.6</w:t>
            </w:r>
          </w:p>
        </w:tc>
        <w:tc>
          <w:tcPr>
            <w:tcW w:w="4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1,259.5</w:t>
            </w:r>
          </w:p>
        </w:tc>
        <w:tc>
          <w:tcPr>
            <w:tcW w:w="1760" w:type="dxa"/>
            <w:vAlign w:val="bottom"/>
          </w:tcPr>
          <w:p>
            <w:pPr>
              <w:ind w:left="1220"/>
              <w:spacing w:after="0"/>
              <w:rPr>
                <w:sz w:val="20"/>
                <w:szCs w:val="20"/>
                <w:color w:val="auto"/>
              </w:rPr>
            </w:pPr>
            <w:r>
              <w:rPr>
                <w:rFonts w:ascii="Arial" w:cs="Arial" w:eastAsia="Arial" w:hAnsi="Arial"/>
                <w:sz w:val="18"/>
                <w:szCs w:val="18"/>
                <w:color w:val="auto"/>
              </w:rPr>
              <w:t>6</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w:t>
            </w:r>
          </w:p>
        </w:tc>
        <w:tc>
          <w:tcPr>
            <w:tcW w:w="1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(36.0)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(84.6)</w:t>
            </w:r>
          </w:p>
        </w:tc>
        <w:tc>
          <w:tcPr>
            <w:tcW w:w="1760" w:type="dxa"/>
            <w:vAlign w:val="bottom"/>
          </w:tcPr>
          <w:p>
            <w:pPr>
              <w:ind w:left="980"/>
              <w:spacing w:after="0"/>
              <w:rPr>
                <w:sz w:val="20"/>
                <w:szCs w:val="20"/>
                <w:color w:val="auto"/>
              </w:rPr>
            </w:pPr>
            <w:r>
              <w:rPr>
                <w:rFonts w:ascii="Arial" w:cs="Arial" w:eastAsia="Arial" w:hAnsi="Arial"/>
                <w:sz w:val="18"/>
                <w:szCs w:val="18"/>
                <w:color w:val="auto"/>
              </w:rPr>
              <w:t>n.m.</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(102)</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1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976.8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896.3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1,812.3</w:t>
            </w:r>
          </w:p>
        </w:tc>
        <w:tc>
          <w:tcPr>
            <w:tcW w:w="1760" w:type="dxa"/>
            <w:vAlign w:val="bottom"/>
          </w:tcPr>
          <w:p>
            <w:pPr>
              <w:ind w:left="1220"/>
              <w:spacing w:after="0"/>
              <w:rPr>
                <w:sz w:val="20"/>
                <w:szCs w:val="20"/>
                <w:color w:val="auto"/>
              </w:rPr>
            </w:pPr>
            <w:r>
              <w:rPr>
                <w:rFonts w:ascii="Arial" w:cs="Arial" w:eastAsia="Arial" w:hAnsi="Arial"/>
                <w:sz w:val="18"/>
                <w:szCs w:val="18"/>
                <w:color w:val="auto"/>
              </w:rPr>
              <w:t>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(51)</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2.70</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5.43</w:t>
            </w:r>
          </w:p>
        </w:tc>
        <w:tc>
          <w:tcPr>
            <w:tcW w:w="17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8</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1,280.5</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1,219.7</w:t>
            </w:r>
          </w:p>
        </w:tc>
        <w:tc>
          <w:tcPr>
            <w:tcW w:w="4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1,346.3</w:t>
            </w:r>
          </w:p>
        </w:tc>
        <w:tc>
          <w:tcPr>
            <w:tcW w:w="1760" w:type="dxa"/>
            <w:vAlign w:val="bottom"/>
          </w:tcPr>
          <w:p>
            <w:pPr>
              <w:ind w:left="1220"/>
              <w:spacing w:after="0"/>
              <w:rPr>
                <w:sz w:val="20"/>
                <w:szCs w:val="20"/>
                <w:color w:val="auto"/>
              </w:rPr>
            </w:pPr>
            <w:r>
              <w:rPr>
                <w:rFonts w:ascii="Arial" w:cs="Arial" w:eastAsia="Arial" w:hAnsi="Arial"/>
                <w:sz w:val="18"/>
                <w:szCs w:val="18"/>
                <w:color w:val="auto"/>
              </w:rPr>
              <w:t>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left="660" w:right="14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2013 when compared with 2012, the increase in total revenues was due to higher contract volume in exchange-traded and over-the-counter products. The overall increase in revenues was partially offset by a decrease in average rate per contract and a decrease in market data and information services revenue resulting from the de-consolidation of the DJI asset group and the sale of CMA in 2012. In 2012 when compared with 2011, the decrease in total revenues was attributable to lower contract volume and a decrease in market data and information services revenue as a result of the de-consolidation of the DJI asset group and the sale of CMA in 2012.</w:t>
      </w:r>
    </w:p>
    <w:p>
      <w:pPr>
        <w:spacing w:after="0" w:line="188"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increase in total expenses in 2013 when compared with 2012 was attributable to an increase in compensation and benefits expense related to an increase in salaries and headcount as well as an increase in bonus expense due to improved performance relative to our cash earnings target. Additionally, the loss on the sale of the NYMEX building and associated costs contributed to the overall increase in total expenses. The increases were partially offset by a decline in expenses associated with the DJI asset group and CMA. In 2011, we recognized expenses related to the MF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660" w:right="40"/>
        <w:spacing w:after="0" w:line="324" w:lineRule="auto"/>
        <w:rPr>
          <w:sz w:val="20"/>
          <w:szCs w:val="20"/>
          <w:color w:val="auto"/>
        </w:rPr>
      </w:pPr>
      <w:r>
        <w:rPr>
          <w:rFonts w:ascii="Arial" w:cs="Arial" w:eastAsia="Arial" w:hAnsi="Arial"/>
          <w:sz w:val="18"/>
          <w:szCs w:val="18"/>
          <w:color w:val="auto"/>
        </w:rPr>
        <w:t>Global bankruptcy, resulting in a decrease in expenses in 2012 when compared with 2011. Higher compensation and benefits expense partially offset the decrease in operating expenses in 2012 when compared with 2011.</w:t>
      </w:r>
    </w:p>
    <w:p>
      <w:pPr>
        <w:spacing w:after="0" w:line="143" w:lineRule="exact"/>
        <w:rPr>
          <w:sz w:val="20"/>
          <w:szCs w:val="20"/>
          <w:color w:val="auto"/>
        </w:rPr>
      </w:pPr>
    </w:p>
    <w:p>
      <w:pPr>
        <w:ind w:left="660" w:right="1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2012, we recognized a net gain from the contribution of the DJI asset group and the sale of CMA. We also began recognizing our proportionate share of net income from our venture with McGraw in July 2012. In addition, interest expense increased from 2011 to 2013 due to debt issuances in 2012 and 2013.</w:t>
      </w:r>
    </w:p>
    <w:p>
      <w:pPr>
        <w:spacing w:after="0" w:line="181" w:lineRule="exact"/>
        <w:rPr>
          <w:rFonts w:ascii="Arial" w:cs="Arial" w:eastAsia="Arial" w:hAnsi="Arial"/>
          <w:sz w:val="18"/>
          <w:szCs w:val="18"/>
          <w:color w:val="auto"/>
        </w:rPr>
      </w:pPr>
    </w:p>
    <w:p>
      <w:pPr>
        <w:ind w:left="660" w:right="60" w:hanging="328"/>
        <w:spacing w:after="0" w:line="29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decrease in the effective tax rate in 2013 when compared with 2012 was attributable to a benefit accrued for the domestic production activities deduction in 2013 offset by increases to reserves for uncertain tax positions and increases in deferred income tax expense due to a change in state and local apportionment factors in 2013. In 2012, we established deferred tax liabilities associated with S&amp;P/DJI, which contributed to a higher effective tax rate in 2012. In 2011, we reduced our income tax provision due to a revaluation of our deferred tax liabilities resulting from a change in state tax apportionment. This revaluation contributed to an increase in the effective tax rate in 2012 when compared with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9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2,710.9</w:t>
            </w:r>
          </w:p>
        </w:tc>
        <w:tc>
          <w:tcPr>
            <w:tcW w:w="19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427.7</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(19)</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9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92.8</w:t>
            </w:r>
          </w:p>
        </w:tc>
        <w:tc>
          <w:tcPr>
            <w:tcW w:w="1960" w:type="dxa"/>
            <w:vAlign w:val="bottom"/>
            <w:gridSpan w:val="2"/>
          </w:tcPr>
          <w:p>
            <w:pPr>
              <w:jc w:val="right"/>
              <w:ind w:right="448"/>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(28)</w:t>
            </w:r>
          </w:p>
        </w:tc>
      </w:tr>
      <w:tr>
        <w:trPr>
          <w:trHeight w:val="27"/>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3,280.6</w:t>
            </w:r>
          </w:p>
        </w:tc>
        <w:tc>
          <w:tcPr>
            <w:tcW w:w="196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table summarizes our total contract volume, revenue and average rate per contract.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Volume and average rate per contract disclosures exclude our CME interest rate swap, CME credit default swap, TRAKRS and CME Clearing Europe contracts. Unless otherwise noted, the following tables also exclude volumes for KCBT prior to January 1, 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18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3,161.5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2,890.0</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3,386.7</w:t>
            </w:r>
          </w:p>
        </w:tc>
        <w:tc>
          <w:tcPr>
            <w:tcW w:w="18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9 %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2,427.6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2,365.6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2,710.8</w:t>
            </w:r>
          </w:p>
        </w:tc>
        <w:tc>
          <w:tcPr>
            <w:tcW w:w="1840" w:type="dxa"/>
            <w:vAlign w:val="bottom"/>
          </w:tcPr>
          <w:p>
            <w:pPr>
              <w:jc w:val="right"/>
              <w:ind w:right="437"/>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(13)</w:t>
            </w:r>
          </w:p>
        </w:tc>
      </w:tr>
      <w:tr>
        <w:trPr>
          <w:trHeight w:val="27"/>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0.768</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0.819</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0.800</w:t>
            </w:r>
          </w:p>
        </w:tc>
        <w:tc>
          <w:tcPr>
            <w:tcW w:w="18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(6)</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r>
      <w:tr>
        <w:trPr>
          <w:trHeight w:val="27"/>
        </w:trPr>
        <w:tc>
          <w:tcPr>
            <w:tcW w:w="3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2013 compared with 2012, and during 2012 compared with 2011.</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Increase (decrease) due to change in average rate per contract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61.4</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clearing and transaction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Clearing and transaction fees include revenues for our cleared-only CME interest rate swap and CME credit default swap contracts. In 2013 when compared with 2012, clearing and transaction fees generated from these contracts increased by $26.1 million. The increase in revenue was largely attributable to an increase in CME interest rate swap contracts resulting from the</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over-the-counter clearing mandate required to be implemented in 2013 by the Dodd-Frank Wall Street Reform and Consumer Protection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96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6,030</w:t>
            </w:r>
          </w:p>
        </w:tc>
        <w:tc>
          <w:tcPr>
            <w:tcW w:w="1960" w:type="dxa"/>
            <w:vAlign w:val="bottom"/>
            <w:gridSpan w:val="2"/>
          </w:tcPr>
          <w:p>
            <w:pPr>
              <w:jc w:val="right"/>
              <w:ind w:right="239"/>
              <w:spacing w:after="0"/>
              <w:rPr>
                <w:sz w:val="20"/>
                <w:szCs w:val="20"/>
                <w:color w:val="auto"/>
              </w:rPr>
            </w:pPr>
            <w:r>
              <w:rPr>
                <w:rFonts w:ascii="Arial" w:cs="Arial" w:eastAsia="Arial" w:hAnsi="Arial"/>
                <w:sz w:val="18"/>
                <w:szCs w:val="18"/>
                <w:color w:val="auto"/>
              </w:rPr>
              <w:t>22 %</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9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922</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(8)</w:t>
            </w: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960" w:type="dxa"/>
            <w:vAlign w:val="bottom"/>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1,775</w:t>
            </w:r>
          </w:p>
        </w:tc>
        <w:tc>
          <w:tcPr>
            <w:tcW w:w="1960" w:type="dxa"/>
            <w:vAlign w:val="bottom"/>
            <w:gridSpan w:val="2"/>
          </w:tcPr>
          <w:p>
            <w:pPr>
              <w:jc w:val="right"/>
              <w:ind w:right="379"/>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w:t>
            </w: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9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12,546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11,423</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13,439</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10</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351"/>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10,826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11,350</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(14)</w:t>
            </w: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70"/>
        </w:trPr>
        <w:tc>
          <w:tcPr>
            <w:tcW w:w="3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(2)</w:t>
            </w:r>
          </w:p>
        </w:tc>
        <w:tc>
          <w:tcPr>
            <w:tcW w:w="8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960" w:type="dxa"/>
            <w:vAlign w:val="bottom"/>
            <w:tcBorders>
              <w:bottom w:val="single" w:sz="8" w:color="CCEEFF"/>
            </w:tcBorders>
            <w:gridSpan w:val="2"/>
          </w:tcPr>
          <w:p>
            <w:pPr>
              <w:jc w:val="right"/>
              <w:ind w:right="439"/>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(8)</w:t>
            </w:r>
          </w:p>
        </w:tc>
      </w:tr>
      <w:tr>
        <w:trPr>
          <w:trHeight w:val="23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12,546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11,423</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96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10</w:t>
            </w: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7"/>
        </w:trPr>
        <w:tc>
          <w:tcPr>
            <w:tcW w:w="3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8"/>
        <w:spacing w:after="0" w:line="277"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agricultural commodity product line does not include the agricultural commodity contract volume for KCBT in 2012. The average daily volume for KCBT's agricultural commodity contracts was 16,100 during December 2012.</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Privately negotiated venue average daily volume includes both traditional block trades as well as what was historically categorized as CME ClearPort.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average daily volume for our key interest rate products. Eurodollar front 8 contracts include contracts expiring within two years. Eurodollar back 32 contracts include contracts expiring within three to ten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0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2012</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c>
          <w:tcPr>
            <w:tcW w:w="18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1,159</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1,099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1,717</w:t>
            </w:r>
          </w:p>
        </w:tc>
        <w:tc>
          <w:tcPr>
            <w:tcW w:w="1820" w:type="dxa"/>
            <w:vAlign w:val="bottom"/>
          </w:tcPr>
          <w:p>
            <w:pPr>
              <w:jc w:val="right"/>
              <w:ind w:right="234"/>
              <w:spacing w:after="0"/>
              <w:rPr>
                <w:sz w:val="20"/>
                <w:szCs w:val="20"/>
                <w:color w:val="auto"/>
              </w:rPr>
            </w:pPr>
            <w:r>
              <w:rPr>
                <w:rFonts w:ascii="Arial" w:cs="Arial" w:eastAsia="Arial" w:hAnsi="Arial"/>
                <w:sz w:val="18"/>
                <w:szCs w:val="18"/>
                <w:color w:val="auto"/>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20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885</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579</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510</w:t>
            </w:r>
          </w:p>
        </w:tc>
        <w:tc>
          <w:tcPr>
            <w:tcW w:w="18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53</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Options</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595</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551</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767</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(28)</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10-Year</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1,619</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1,255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1,454</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29</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(14)</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20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791</w:t>
            </w:r>
          </w:p>
        </w:tc>
        <w:tc>
          <w:tcPr>
            <w:tcW w:w="15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567</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720</w:t>
            </w:r>
          </w:p>
        </w:tc>
        <w:tc>
          <w:tcPr>
            <w:tcW w:w="18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39</w:t>
            </w: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2000" w:type="dxa"/>
            <w:vAlign w:val="bottom"/>
          </w:tcPr>
          <w:p>
            <w:pPr>
              <w:jc w:val="right"/>
              <w:ind w:right="272"/>
              <w:spacing w:after="0"/>
              <w:rPr>
                <w:sz w:val="20"/>
                <w:szCs w:val="20"/>
                <w:color w:val="auto"/>
              </w:rPr>
            </w:pPr>
            <w:r>
              <w:rPr>
                <w:rFonts w:ascii="Arial" w:cs="Arial" w:eastAsia="Arial" w:hAnsi="Arial"/>
                <w:sz w:val="18"/>
                <w:szCs w:val="18"/>
                <w:color w:val="auto"/>
              </w:rPr>
              <w:t>457</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427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415</w:t>
            </w:r>
          </w:p>
        </w:tc>
        <w:tc>
          <w:tcPr>
            <w:tcW w:w="1820" w:type="dxa"/>
            <w:vAlign w:val="bottom"/>
          </w:tcPr>
          <w:p>
            <w:pPr>
              <w:jc w:val="right"/>
              <w:ind w:right="394"/>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7"/>
        </w:trPr>
        <w:tc>
          <w:tcPr>
            <w:tcW w:w="3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2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237</w:t>
            </w:r>
          </w:p>
        </w:tc>
        <w:tc>
          <w:tcPr>
            <w:tcW w:w="15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230</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297</w:t>
            </w:r>
          </w:p>
        </w:tc>
        <w:tc>
          <w:tcPr>
            <w:tcW w:w="18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7"/>
        </w:trPr>
        <w:tc>
          <w:tcPr>
            <w:tcW w:w="3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2013 when compared with 2012, overall interest rate contract volume increased largely due to an increase in contract volume for the Eurodollar back 32 futures as well as the 5-Year and 10-Year U.S. Treasury contracts. The increase in volume resulted from periods of volatility in 2013, particularly in mid and long-term interest rates. The periods of mid- and long-term interest rate volatility were attributable to changes in market expectations regarding the Federal Reserve's intention to revisit their quantitative easing strategy and to outline an exit strategy from their plan as well as a change in expectations regarding the Federal Reserve's continued zero interest rate policy.</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Short-term interest rate volatility remained low in 2013 compared with prior periods due to the Federal Reserve's ongoing zero interest rate policy. The Federal Reserve's announcement in May 2013 that tapering may occur in 2013 resulted in an increase</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short-term interest rate volatility, which contributed to a slight increase in Eurodollar Front 8 and Eurodollar options contracts in 2013 compared with 2012. The Federal Reserve's announcement had little effect on the 2-Year Treasury volumes as market participants continued to focus primarily on mid-term contracts, such as the 5-Year and 10-Year Treasury contracts.</w:t>
      </w:r>
    </w:p>
    <w:p>
      <w:pPr>
        <w:spacing w:after="0" w:line="181"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Overall interest rate contract volume decreased in 2012 when compared with 2011 due to low interest rate volatility as a result of the Federal Reserve's continued intent to maintain its zero interest rate policy. In 2012 when compared with 2011, the increase in volume in the long-term interest rate products, including the Eurodollar back 32 futures and the Treasury bond futures and options contracts, was attributable to periods of higher long-term interest rate volatility in early 2012. The Federal Reserve's announcement in January 2012 to extend its zero interest rate policy shifted market expectations regarding long-term interest rates, which resulted in periods of higher volatility in early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6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2012</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2011</w:t>
            </w: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2,119</w:t>
            </w:r>
          </w:p>
        </w:tc>
        <w:tc>
          <w:tcPr>
            <w:tcW w:w="15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2,016</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2,605</w:t>
            </w:r>
          </w:p>
        </w:tc>
        <w:tc>
          <w:tcPr>
            <w:tcW w:w="18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5 %</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5"/>
              </w:rPr>
              <w:t>(23)%</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80" w:type="dxa"/>
            <w:vAlign w:val="bottom"/>
          </w:tcPr>
          <w:p>
            <w:pPr>
              <w:jc w:val="right"/>
              <w:ind w:right="276"/>
              <w:spacing w:after="0"/>
              <w:rPr>
                <w:sz w:val="20"/>
                <w:szCs w:val="20"/>
                <w:color w:val="auto"/>
              </w:rPr>
            </w:pPr>
            <w:r>
              <w:rPr>
                <w:rFonts w:ascii="Arial" w:cs="Arial" w:eastAsia="Arial" w:hAnsi="Arial"/>
                <w:sz w:val="18"/>
                <w:szCs w:val="18"/>
                <w:color w:val="auto"/>
              </w:rPr>
              <w:t>239</w:t>
            </w:r>
          </w:p>
        </w:tc>
        <w:tc>
          <w:tcPr>
            <w:tcW w:w="1560" w:type="dxa"/>
            <w:vAlign w:val="bottom"/>
          </w:tcPr>
          <w:p>
            <w:pPr>
              <w:jc w:val="right"/>
              <w:ind w:right="276"/>
              <w:spacing w:after="0"/>
              <w:rPr>
                <w:sz w:val="20"/>
                <w:szCs w:val="20"/>
                <w:color w:val="auto"/>
              </w:rPr>
            </w:pPr>
            <w:r>
              <w:rPr>
                <w:rFonts w:ascii="Arial" w:cs="Arial" w:eastAsia="Arial" w:hAnsi="Arial"/>
                <w:sz w:val="18"/>
                <w:szCs w:val="18"/>
                <w:color w:val="auto"/>
              </w:rPr>
              <w:t>254</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301</w:t>
            </w:r>
          </w:p>
        </w:tc>
        <w:tc>
          <w:tcPr>
            <w:tcW w:w="1860" w:type="dxa"/>
            <w:vAlign w:val="bottom"/>
          </w:tcPr>
          <w:p>
            <w:pPr>
              <w:jc w:val="right"/>
              <w:ind w:right="379"/>
              <w:spacing w:after="0"/>
              <w:rPr>
                <w:sz w:val="20"/>
                <w:szCs w:val="20"/>
                <w:color w:val="auto"/>
              </w:rPr>
            </w:pPr>
            <w:r>
              <w:rPr>
                <w:rFonts w:ascii="Arial" w:cs="Arial" w:eastAsia="Arial" w:hAnsi="Arial"/>
                <w:sz w:val="18"/>
                <w:szCs w:val="18"/>
                <w:color w:val="auto"/>
              </w:rPr>
              <w:t>(6)</w:t>
            </w:r>
          </w:p>
        </w:tc>
        <w:tc>
          <w:tcPr>
            <w:tcW w:w="1420" w:type="dxa"/>
            <w:vAlign w:val="bottom"/>
          </w:tcPr>
          <w:p>
            <w:pPr>
              <w:ind w:left="940"/>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Overall equity contract volume increased in 2013 when compared with 2012 due to periods of higher volatility, as measured by the CBOE Volatility Index, in early 2013. We believe higher volatility resulted from changes in market expectations regarding the Federal Reserve's intention to revisit their quantitative easing strategy. We also believe the increase in equity contract volume in 2013 was due to a greater need for equity index futures and options contracts resulting from an increase in assets under management in equity-based funds.</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decrease in overall equity contract volume in 2012 when compared with 2011 was due to a decline in equity market volatility. We believe the decline in volatility was the result of few new developments in the macroeconomic environment within the United States and European markets. We also believe a decline in assets under management contributed to the decrease in volume in 2012 when compared with 2011.</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general, equity products such as the E-mini NASDAQ contracts that hedge market risks different than those of the E-mini S&amp;P 500, our most liquid equity product, do not tend to benefit from macro-level events or increased general market volatility to the same extent.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tcBorders>
              <w:bottom w:val="single" w:sz="8" w:color="auto"/>
            </w:tcBorders>
            <w:gridSpan w:val="2"/>
          </w:tcPr>
          <w:p>
            <w:pPr>
              <w:jc w:val="right"/>
              <w:ind w:right="83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2011</w:t>
            </w:r>
          </w:p>
        </w:tc>
        <w:tc>
          <w:tcPr>
            <w:tcW w:w="18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269</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290</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357</w:t>
            </w:r>
          </w:p>
        </w:tc>
        <w:tc>
          <w:tcPr>
            <w:tcW w:w="18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184</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99</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1880" w:type="dxa"/>
            <w:vAlign w:val="bottom"/>
          </w:tcPr>
          <w:p>
            <w:pPr>
              <w:jc w:val="right"/>
              <w:ind w:right="435"/>
              <w:spacing w:after="0"/>
              <w:rPr>
                <w:sz w:val="20"/>
                <w:szCs w:val="20"/>
                <w:color w:val="auto"/>
              </w:rPr>
            </w:pPr>
            <w:r>
              <w:rPr>
                <w:rFonts w:ascii="Arial" w:cs="Arial" w:eastAsia="Arial" w:hAnsi="Arial"/>
                <w:sz w:val="18"/>
                <w:szCs w:val="18"/>
                <w:color w:val="auto"/>
              </w:rPr>
              <w:t>86</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(16)</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123</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106</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w:t>
            </w:r>
          </w:p>
        </w:tc>
        <w:tc>
          <w:tcPr>
            <w:tcW w:w="188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8"/>
                <w:szCs w:val="18"/>
                <w:color w:val="auto"/>
              </w:rPr>
              <w:t>16</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111</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134</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126</w:t>
            </w:r>
          </w:p>
        </w:tc>
        <w:tc>
          <w:tcPr>
            <w:tcW w:w="1880" w:type="dxa"/>
            <w:vAlign w:val="bottom"/>
          </w:tcPr>
          <w:p>
            <w:pPr>
              <w:jc w:val="right"/>
              <w:ind w:right="375"/>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7</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74</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93</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w:t>
            </w:r>
          </w:p>
        </w:tc>
        <w:tc>
          <w:tcPr>
            <w:tcW w:w="18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(21)</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overall increase in foreign exchange contract volume in 2013 when compared with 2012 was attributable to an increase in Japanese yen and British pound contract volumes. The increase in Japanese yen contract volume in 2013 when compared with 2012 was largely due to higher volatility resulting from reduced efforts by the Japanese central bank to control yen exchange rates in early 2013. In addition, increased volatility and economic uncertainty within Great Britain in 2013 contributed to an overall increase in British pound contract volumes in 2013 when compared with 2012. As a result of a decrease in demand for commodity resources in China because of an economic slowdown in the Chinese market, demand decreased for currencies from countries that heavily depend on raw material exports, such as the Australian dollar and the Canadian dollar. The decrease in demand for these currencies resulted in a decrease in volume for the Austrian dollar and Canadian dollar contracts. Additionally, euro contract volume decreased due to lower volatility when compared with 2012 as a result of concerns related to the European credit crisis in 2012.</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overall decrease in foreign exchange contract volume in 2012 when compared with 2011 was attributable largely to the decline in euro contract volume. We believe trading activity in euro contracts was impacted by the lack of a directional trend in</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2012 due to uncertainty related to the health of the European Union and concern regarding additional economic stimulus provided by the Federal Reserve. The lack of a trend reduced trading in euro contracts among customers who trade based on medium- to long-term expectations. We believe the uncertainty with regard to the European Union also contributed to a decline in British pound contract volume in 2012 when compared with 2011 because the British economy is closely tied to the European Union. We believe that intervention by the Japanese central bank to control the yen foreign exchange rate beginning in mid-2011 through 2012 caused market participants to reduce their trading in Japanese yen contracts and to focus on higher yielding currencies, such as the Australian and Canadian dollars.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tcBorders>
              <w:bottom w:val="single" w:sz="8" w:color="auto"/>
            </w:tcBorders>
            <w:gridSpan w:val="2"/>
          </w:tcPr>
          <w:p>
            <w:pPr>
              <w:jc w:val="right"/>
              <w:ind w:right="83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2011</w:t>
            </w:r>
          </w:p>
        </w:tc>
        <w:tc>
          <w:tcPr>
            <w:tcW w:w="18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343</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392</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426</w:t>
            </w:r>
          </w:p>
        </w:tc>
        <w:tc>
          <w:tcPr>
            <w:tcW w:w="18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243</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278</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232</w:t>
            </w:r>
          </w:p>
        </w:tc>
        <w:tc>
          <w:tcPr>
            <w:tcW w:w="1880" w:type="dxa"/>
            <w:vAlign w:val="bottom"/>
          </w:tcPr>
          <w:p>
            <w:pPr>
              <w:jc w:val="right"/>
              <w:ind w:right="376"/>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20</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Wheat </w:t>
            </w:r>
            <w:r>
              <w:rPr>
                <w:rFonts w:ascii="Arial" w:cs="Arial" w:eastAsia="Arial" w:hAnsi="Arial"/>
                <w:sz w:val="25"/>
                <w:szCs w:val="25"/>
                <w:color w:val="auto"/>
                <w:vertAlign w:val="superscript"/>
              </w:rPr>
              <w:t>(1)</w:t>
            </w:r>
          </w:p>
        </w:tc>
        <w:tc>
          <w:tcPr>
            <w:tcW w:w="2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139</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129</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115</w:t>
            </w:r>
          </w:p>
        </w:tc>
        <w:tc>
          <w:tcPr>
            <w:tcW w:w="188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118</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105</w:t>
            </w:r>
          </w:p>
        </w:tc>
        <w:tc>
          <w:tcPr>
            <w:tcW w:w="1880" w:type="dxa"/>
            <w:vAlign w:val="bottom"/>
          </w:tcPr>
          <w:p>
            <w:pPr>
              <w:jc w:val="right"/>
              <w:ind w:right="376"/>
              <w:spacing w:after="0"/>
              <w:rPr>
                <w:sz w:val="20"/>
                <w:szCs w:val="20"/>
                <w:color w:val="auto"/>
              </w:rPr>
            </w:pPr>
            <w:r>
              <w:rPr>
                <w:rFonts w:ascii="Arial" w:cs="Arial" w:eastAsia="Arial" w:hAnsi="Arial"/>
                <w:sz w:val="18"/>
                <w:szCs w:val="18"/>
                <w:color w:val="auto"/>
              </w:rPr>
              <w:t>(15)</w:t>
            </w: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right="10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2012 wheat contract volume does not include volume for KCBT's hard red winter wheat products. The average daily volume for KCBT's agricultural commodity contracts was 16,100 during December 2012.</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overall decline in total agricultural commodity contract volume in 2013 when compared with 2012 was attributable to fewer weather-related events in 2013, which resulted in higher grain supplies and movement toward a more normal historical supply and demand environment. The overall decrease in agricultural commodity volume was partially offset by incremental wheat contract volume from the addition of KCBT's hard red winter wheat contract to our product line.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agricultural commodity contract volume in 2012 when compared with 2011 was attributable to higher volatility resulting from severe drought conditions in the Midwest and a very tight supply environment in mid-2012. We believe the increased volatility was the result of supply constraint concerns for soybean and wheat supplies. Corn volumes declined slightly in 2012 when compared with 2011. Early market expectations of excess supply in 2012 dampened corn price volatility in early 2012, which resulted in the decline in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18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785</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729</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900</w:t>
            </w:r>
          </w:p>
        </w:tc>
        <w:tc>
          <w:tcPr>
            <w:tcW w:w="18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8 %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522</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600</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533</w:t>
            </w:r>
          </w:p>
        </w:tc>
        <w:tc>
          <w:tcPr>
            <w:tcW w:w="1860" w:type="dxa"/>
            <w:vAlign w:val="bottom"/>
          </w:tcPr>
          <w:p>
            <w:pPr>
              <w:jc w:val="right"/>
              <w:ind w:right="377"/>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12</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294</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314</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275</w:t>
            </w:r>
          </w:p>
        </w:tc>
        <w:tc>
          <w:tcPr>
            <w:tcW w:w="18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(6)</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Overall energy contract volumes remained flat in 2013 when compared with 2012. An increase in crude oil contract volume was offset by a decrease in natural gas and refined products contract volume. Crude oil contract volume increased due to improvements in distribution infrastructure. We believe that revisions to our trading volume incentives program also contributed to an increase in crude oil contract volume in 2013 when compared with 2012. The decline in natural gas contract volume in 2013 when compared with 2012 was attributable to lower volatility due to an increase in domestic supplies above forecasted amounts. Additionally, natural gas contract volume declined in 2013 when compared with 2012 due to lower price volatility caused by fewer weather-related events in early 2013. The decline in refined products contract volume in 2013 when compared with 2012 was due to a decrease in demand in the underlying physical market.</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Energy contract volume decreased slightly in 2012 when compared with 2011. A decline in crude oil contract volume resulting from lower price volatility contributed to an overall decrease in energy products volume. Political unrest in the Middle East in the first quarter of 2011 resulted in changes in global supply, which contributed to higher price volatility in early 2011 relative to 2012. Additionally, lower crude oil contract volume in 2012 was partially attributable to oversupply in Cushing, Oklahoma. The decrease in crude oil contract volume was partially offset by an increase in natural gas contract volume. The increase in natural gas contract volume resulted largely from volatility around production shifts in the early part of 2012. Refined products growth was due to increased volatility caused by a growing U.S. export market as global oil markets adapted to increased supply of North American crude oil, despite refinery shutdowns.</w:t>
      </w:r>
    </w:p>
    <w:p>
      <w:pPr>
        <w:sectPr>
          <w:pgSz w:w="11900" w:h="16838" w:orient="portrait"/>
          <w:cols w:equalWidth="0" w:num="1">
            <w:col w:w="11420"/>
          </w:cols>
          <w:pgMar w:left="240" w:top="1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2012</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18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232</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212</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238</w:t>
            </w:r>
          </w:p>
        </w:tc>
        <w:tc>
          <w:tcPr>
            <w:tcW w:w="18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Copper</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68</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64</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50</w:t>
            </w:r>
          </w:p>
        </w:tc>
        <w:tc>
          <w:tcPr>
            <w:tcW w:w="1820" w:type="dxa"/>
            <w:vAlign w:val="bottom"/>
          </w:tcPr>
          <w:p>
            <w:pPr>
              <w:jc w:val="right"/>
              <w:ind w:right="397"/>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154"/>
              <w:spacing w:after="0"/>
              <w:rPr>
                <w:sz w:val="20"/>
                <w:szCs w:val="20"/>
                <w:color w:val="auto"/>
              </w:rPr>
            </w:pPr>
            <w:r>
              <w:rPr>
                <w:rFonts w:ascii="Arial" w:cs="Arial" w:eastAsia="Arial" w:hAnsi="Arial"/>
                <w:sz w:val="18"/>
                <w:szCs w:val="18"/>
                <w:color w:val="auto"/>
              </w:rPr>
              <w:t>29</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66</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60</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87</w:t>
            </w:r>
          </w:p>
        </w:tc>
        <w:tc>
          <w:tcPr>
            <w:tcW w:w="182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10</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27"/>
        </w:trPr>
        <w:tc>
          <w:tcPr>
            <w:tcW w:w="27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metal contract volume increased in 2013 when compared with 2012. The increase in metal contract volume was driven by periods of high price volatility caused by significant changes in macroeconomic market conditions and market sentiment toward gold and silver products. Improving economic conditions in the U.S., the Federal Reserve's stimulus policy, as well as a change in demand in the Asian markets contributed to an increase in copper contract volume in 2013 when compared with 2012.</w:t>
      </w:r>
    </w:p>
    <w:p>
      <w:pPr>
        <w:spacing w:after="0" w:line="18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overall decrease in metal products volume in 2012 when compared with 2011 was due to lower volatility in the precious metals markets in 2012 when compared with 2011. We believe the August 2011 announcement of the Federal Reserve's intent to maintain its zero interest rate policy and deepening Eurozone worries, which caused high volatility within other financial markets in 2011, resulted in an increased interest in precious metals as an asset class. This increased interest in 2011 resulted in relative decreases in gold and silver contract volume in 2012 when compared with 2011. This decrease was partially offset by an increase in volume for copper contracts as a result of economic growth in Asia as well as global supply constraints.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decrease in average rate per contract in 2013 when compared with 2012 was attributable to a shift in the relative mix of product volume. In 2013, interest rate product volume, when measured as a percentage of total volume, increased by 5%, while agricultural commodity product volume decreased by 2% and equity and energy product volumes decreased by 1% each when compared with 2012. Interest rate products have a lower average rate per contract compared with agricultural commodity, equity and energy products. In addition, the decrease in average rate per contract in 2013 when compared with 2012 resulted from an increase in incentives and discounts on our energy contracts.</w:t>
      </w:r>
    </w:p>
    <w:p>
      <w:pPr>
        <w:spacing w:after="0" w:line="18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average rate per contract increased in 2012 when compared with 2011 due to a shift in the relative mix of product volume. In 2012, agricultural commodity and energy product volumes, when measured as a percentage of total volume, each increased by 2% while interest rate and equity product volumes decreased by 3% and 2%, respectively. Agricultural commodity and energy products have higher fees compared with interest rate products and equity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11% and one firm represented 10% of our clearing and transaction fees revenue in 2013. Two firms each represented 12% of our clearing and transaction fees revenue in 2012. One firm represented 12% of our clearing and transaction fees revenue in 2011.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Revenue</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The declines in market data and information services revenues from 2011 to 2013 resulted from decreases 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and information services revenues from the DJI asset group and CMA. In June 2012, the DJI asset group was contributed to S&amp;P/DJI and CMA was sold. The DJI asset group and CMA generated market data revenues. In addition, the decreases in revenues were due to declines in the basic device count from 2011 to 2013 due to cost-cutting initiatives at customer firms as well as continued utilization of a legacy incentive program. The decrease in market data and information services revenue in 2012 when compared with 2011 was partially offset by an increase in our basic device service fee from $61 per month to $70 per month effective January 2012.</w:t>
      </w:r>
    </w:p>
    <w:p>
      <w:pPr>
        <w:spacing w:after="0" w:line="13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Effective January 1, 2014, users of our basic real-time market data service will pay $85 per month for each device compared with $70 per month in 2013 and 2012. In addition, we will not be granting any new market data fee waivers for terminals with trading capabilities beginning in 2014. Existing users under the waiver will be charged 50% of the standard fee beginning in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two largest resellers of our market data represented, in aggregate, 52%, 43% and 39% of our market data and information services revenue in 2013, 2012 and 2011,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Access and communication fees. </w:t>
      </w:r>
      <w:r>
        <w:rPr>
          <w:rFonts w:ascii="Arial" w:cs="Arial" w:eastAsia="Arial" w:hAnsi="Arial"/>
          <w:sz w:val="17"/>
          <w:szCs w:val="17"/>
          <w:color w:val="auto"/>
        </w:rPr>
        <w:t>We launched our co-location services in January 2012. The decrease in revenue in 2013 when compared with 2012 was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a decrease in other connection charges from customers who migrated over to our co-location program. Revenue generated from our co-location program also decreased in 2013 when compared with 2012 due to modifications to space and power requirements by customers during the first contract renewal period in early 2013. Our co-location program contributed to an increase in access and communication fees revenue in 2012 when compared with 2011. We generated incremental revenue of $47.8 million in 2012 when compared with 2011.</w:t>
      </w:r>
    </w:p>
    <w:p>
      <w:pPr>
        <w:spacing w:after="0" w:line="1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In 2013 when compared with 2012, the increase in other revenue was attributable to $8.8 million in fees recognized upon delivery of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technology agreement with BM&amp;FBOVESPA S.A. (BM&amp;FBOVESPA) in the first quarter of 2013. The increase in other revenues was also attributable to $5.1 million of insurance proceeds from business interruption resulting from Hurricane Sandy, which we received in the second quarter of 2013. The increase in other revenue in 2013 was partially offset by a $7.4 million decrease in rental income resulting from the sale of two CBOT buildings in April 2012. We also sold the NYMEX building in November 2013, which will result in a decrease in future rental income.</w:t>
      </w:r>
    </w:p>
    <w:p>
      <w:pPr>
        <w:spacing w:after="0" w:line="11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2012 when compared with 2011, the decrease in other revenue was largely due to a decline in rental income of $13.1 million resulting from the sale of the CBOT buildings. In the second quarter of 2011, we recognized a $9.8 million gain on the sale of certain Index Services assets related to one of its service offerings, which contributed to a decrease in other revenues in 2012 when compared with 2011. The initial phase to develop a new multi-asset class electronic platform for BM&amp;FBOVESPA was completed in the third quarter of 2011, which also resulted in a decrease in other revenues in 2012. The decrease in other revenues in 2012 when compared with 2011 was partially offset by additional processing services revenue from various strategic relationships.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9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475.7</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(12)</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126.1</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128.5</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84.9</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19</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54</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1,259.5</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6</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With 2012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expenses increased by $76.7 million in 2013 when compared with 2012. The following table shows the estimated impact of key factors resulting in the increase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2012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Loss on sale of NYMEX building</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breach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Marketing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DJI asset group contribution and CMA sale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Overall operating expenses increased in 2013 when compared with 2012 due to a rise in salaries, benefits and employer taxes resulting from annual salary increases and rising healthcare costs. An increase in average headcount due to efforts to expand and globalize our business also contributed to an increase in expenses in 2013 when compared with 2012.</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November 2013, CME Group sold its building in New York. The sale resulted in a loss on disposal of building assets, a write-off of lease-related intangible assets and other transaction-related costs.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Bonus expense increased due to improved performance relative to our cash earnings target in 2013 when compared with 2012 performance relative to our 2012 cash earnings target.</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An increase in licensing and other fee agreements resulted from higher volumes for interest rate swap products and certain equity contracts. The increase in licensing and other fee agreements was also due to fees incurred in connection with a licensing agreement with S&amp;P/DJI, which was amended in the second quarter of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increased due to an increase in legal and other consulting services related to a security breach in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 increased due to new branding initiatives for CME Group.</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increase in operating expenses was partially offset by a decrease in expenses due to the contribution of the DJI asset group and the sale of CMA to McGraw in June 2012. Reduced ongoing expenses resulting from the contribution of the DJI asset group and the sale of CMA included compensation and benefits, professional fees and outside services, amortization of purchased intangibles as well as other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Compared With 2011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decreased by $36.9 million in 2012 when compared with 2011. The following table shows the estimated impact of key factors resulting in the decrease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2011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Non-qualified deferred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Bonus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MF Global-related expense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60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2012 when compared with 2011, an increase in salaries, benefits and employer taxes resulted from higher salaries and rising healthcare costs. The increase was partially offset by a decrease in average headcount as a result of the contribution of the DJI asset group and the sale of CMA in the second quarter of 2012.</w:t>
      </w:r>
    </w:p>
    <w:p>
      <w:pPr>
        <w:sectPr>
          <w:pgSz w:w="11900" w:h="16838" w:orient="portrait"/>
          <w:cols w:equalWidth="0" w:num="1">
            <w:col w:w="11420"/>
          </w:cols>
          <w:pgMar w:left="240" w:top="122" w:right="239" w:bottom="1108"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108"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stock-based compensation expense was due to the accelerated vesting of stock-based compensation associated with our CEO transition in 2012 as well as the impact related to the September 2011 and 2012 grants.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 increase in our non-qualified deferred compensation liability, the impact of which does not affect net income because of an equal and offsetting change in investment income, contributed to an increase in compensation and benefits expense.</w:t>
      </w:r>
    </w:p>
    <w:p>
      <w:pPr>
        <w:spacing w:after="0" w:line="14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Bonus expense decreased due to performance relative to our 2012 cash earnings target when compared with 2011 performance relative to our 2011 cash earnings target.</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purchased intangibles declined as a result of the contribution of the DJI asset group, the sale of CMA and the disposal of certain lease-related intangible assets in the second quarter of 2012.</w:t>
      </w:r>
    </w:p>
    <w:p>
      <w:pPr>
        <w:spacing w:after="0" w:line="14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Overall expenses also decreased in 2012 when compared with 2011 due to the expenses incurred in 2011 as a result of the MF Global bankruptcy filing in the fourth quarter of 2011, which included write-offs of accounts receivable, legal fees and losses on collateral posted by GFX and held by MF Global in customer segregated funds as well as other related expenses. In 2012, we recognized a recovery on the losses incurred on collateral posted by GFX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96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b w:val="1"/>
                <w:bCs w:val="1"/>
                <w:color w:val="auto"/>
              </w:rPr>
              <w:t>2013-2012</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2012-2011</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196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16 %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8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960" w:type="dxa"/>
            <w:vAlign w:val="bottom"/>
            <w:gridSpan w:val="2"/>
          </w:tcPr>
          <w:p>
            <w:pPr>
              <w:jc w:val="right"/>
              <w:ind w:right="359"/>
              <w:spacing w:after="0"/>
              <w:rPr>
                <w:sz w:val="20"/>
                <w:szCs w:val="20"/>
                <w:color w:val="auto"/>
              </w:rPr>
            </w:pPr>
            <w:r>
              <w:rPr>
                <w:rFonts w:ascii="Arial" w:cs="Arial" w:eastAsia="Arial" w:hAnsi="Arial"/>
                <w:sz w:val="18"/>
                <w:szCs w:val="18"/>
                <w:color w:val="auto"/>
              </w:rPr>
              <w:t>(100)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96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15</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w w:val="94"/>
              </w:rPr>
              <w:t>Equity in net gains (losses) of unconsolidated</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8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960" w:type="dxa"/>
            <w:vAlign w:val="bottom"/>
            <w:gridSpan w:val="2"/>
          </w:tcPr>
          <w:p>
            <w:pPr>
              <w:jc w:val="right"/>
              <w:ind w:right="419"/>
              <w:spacing w:after="0"/>
              <w:rPr>
                <w:sz w:val="20"/>
                <w:szCs w:val="20"/>
                <w:color w:val="auto"/>
              </w:rPr>
            </w:pPr>
            <w:r>
              <w:rPr>
                <w:rFonts w:ascii="Arial" w:cs="Arial" w:eastAsia="Arial" w:hAnsi="Arial"/>
                <w:sz w:val="18"/>
                <w:szCs w:val="18"/>
                <w:color w:val="auto"/>
              </w:rPr>
              <w:t>130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(100)</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2"/>
                <w:szCs w:val="22"/>
                <w:color w:val="auto"/>
              </w:rPr>
            </w:pPr>
          </w:p>
        </w:tc>
        <w:tc>
          <w:tcPr>
            <w:tcW w:w="1840" w:type="dxa"/>
            <w:vAlign w:val="bottom"/>
          </w:tcPr>
          <w:p>
            <w:pPr>
              <w:jc w:val="right"/>
              <w:ind w:right="419"/>
              <w:spacing w:after="0"/>
              <w:rPr>
                <w:sz w:val="20"/>
                <w:szCs w:val="20"/>
                <w:color w:val="auto"/>
              </w:rPr>
            </w:pPr>
            <w:r>
              <w:rPr>
                <w:rFonts w:ascii="Arial" w:cs="Arial" w:eastAsia="Arial" w:hAnsi="Arial"/>
                <w:sz w:val="18"/>
                <w:szCs w:val="18"/>
                <w:color w:val="auto"/>
              </w:rPr>
              <w:t>n.m.</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increased in 2013 when compared with 2012 due to an increase in gains on marketable securities related to our non-qualified deferred compensation plan of $4.3 million. Gains and losses from these non-qualified deferred compensation plan securities are offset by an equal amount of compensation and benefits expense.</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increase in investment income during 2012 when compared with 2011 was attributable to an increase in gains on marketable securities related to our non-qualified deferred compensation plan of $5.7 million as well as other gains on investments. The increase in investment income was partially offset by a decrease in dividend income of $5.9 million in 2012 compared with 2011 due largely to a decrease in dividends from our investment in BM&amp;FBOVESPA.</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The following table shows the weighted average borrowings outstanding, weighted average effective yield and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borrowing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2013-2012</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 average borrowings outstanding</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2,781.3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2,344.1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2,155.8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437.2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188.3</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w:t>
            </w:r>
          </w:p>
        </w:tc>
        <w:tc>
          <w:tcPr>
            <w:tcW w:w="440" w:type="dxa"/>
            <w:vAlign w:val="bottom"/>
          </w:tcPr>
          <w:p>
            <w:pPr>
              <w:spacing w:after="0"/>
              <w:rPr>
                <w:sz w:val="21"/>
                <w:szCs w:val="21"/>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(0.38)%</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5.24</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(0.39)</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(0.17)</w:t>
            </w:r>
          </w:p>
        </w:tc>
      </w:tr>
    </w:tbl>
    <w:p>
      <w:pPr>
        <w:spacing w:after="0" w:line="67" w:lineRule="exact"/>
        <w:rPr>
          <w:sz w:val="20"/>
          <w:szCs w:val="20"/>
          <w:color w:val="auto"/>
        </w:rPr>
      </w:pPr>
    </w:p>
    <w:p>
      <w:pPr>
        <w:ind w:right="120" w:firstLine="8"/>
        <w:spacing w:after="0" w:line="30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Average cost of borrowing includes interest, the effective portion of interest rate hedges, discount accretion and debt issuance costs. Commitment fees on line of credit agreements are not included in the average cost of borrowing, which is a change in presentation from prior years.</w:t>
      </w:r>
    </w:p>
    <w:p>
      <w:pPr>
        <w:spacing w:after="0" w:line="9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September 2012, we issued $750.0 million of 3.0% fixed rate notes due September 2022. In the third quarter of 2013, we repaid $750.0 million of 5.4% fixed rate notes due August 2013 and issued $750.0 million of 5.3% fixed rate notes due September 2043. We entered into an interest rate swap agreement that resulted in an effective rate of 4.73% on the 5.3% fixed rate notes due September 2043. These factors contributed to increases in weighted average borrowings outstanding and decreases in weighted average effective yield from 2011 through 2013. The average cost of borrowing decreased in 2013 when compared with 2012 due to issuance of the fixed rate notes in September 2013. The average cost of borrowing decreased in 2012 when compared with 2011 due to the issuance of the fixed rate notes in September 2012.</w:t>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Interest and other borrowing costs also include commitment fees on our line of credit agreements. Commitment fees increased from 2011 to 2013 due to increases in line of credit facilities in the fourth quarter of 2013 and the fourth quarter of 2012 to meet increased regulatory and business requirements.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Equity in net gains (losses) of unconsolidated subsidiaries. </w:t>
      </w:r>
      <w:r>
        <w:rPr>
          <w:rFonts w:ascii="Arial" w:cs="Arial" w:eastAsia="Arial" w:hAnsi="Arial"/>
          <w:sz w:val="16"/>
          <w:szCs w:val="16"/>
          <w:color w:val="auto"/>
        </w:rPr>
        <w:t>We began recognizing income from our S&amp;P/DJI business venture in the third quarter of 2012.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Income generated from this business venture contributed to increases in equity in net gains (losses) of unconsolidated subsidiaries in 2012 and 2013.</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 2012, we recognized a net gain of $58.9 million related to the contribution of the DJI asset group and the sale of CMA.</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in 2012, we recognized a gain of $5.7 million related to the recovery of a 2008 impairment loss on a corporate debt security held in the NYMEX securities lending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18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879"/>
              <w:spacing w:after="0"/>
              <w:rPr>
                <w:sz w:val="20"/>
                <w:szCs w:val="20"/>
                <w:color w:val="auto"/>
              </w:rPr>
            </w:pPr>
            <w:r>
              <w:rPr>
                <w:rFonts w:ascii="Arial" w:cs="Arial" w:eastAsia="Arial" w:hAnsi="Arial"/>
                <w:sz w:val="14"/>
                <w:szCs w:val="14"/>
                <w:b w:val="1"/>
                <w:bCs w:val="1"/>
                <w:color w:val="auto"/>
              </w:rPr>
              <w:t>2012</w:t>
            </w: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2011</w:t>
            </w:r>
          </w:p>
        </w:tc>
        <w:tc>
          <w:tcPr>
            <w:tcW w:w="18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2013-2012</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2012-2011</w:t>
            </w:r>
          </w:p>
        </w:tc>
      </w:tr>
      <w:tr>
        <w:trPr>
          <w:trHeight w:val="243"/>
        </w:trPr>
        <w:tc>
          <w:tcPr>
            <w:tcW w:w="4340" w:type="dxa"/>
            <w:vAlign w:val="bottom"/>
            <w:shd w:val="clear" w:color="auto" w:fill="CCEEFF"/>
          </w:tcPr>
          <w:p>
            <w:pPr>
              <w:jc w:val="right"/>
              <w:ind w:right="2399"/>
              <w:spacing w:after="0"/>
              <w:rPr>
                <w:sz w:val="20"/>
                <w:szCs w:val="20"/>
                <w:color w:val="auto"/>
              </w:rPr>
            </w:pPr>
            <w:r>
              <w:rPr>
                <w:rFonts w:ascii="Arial" w:cs="Arial" w:eastAsia="Arial" w:hAnsi="Arial"/>
                <w:sz w:val="18"/>
                <w:szCs w:val="18"/>
                <w:color w:val="auto"/>
                <w:w w:val="89"/>
              </w:rPr>
              <w:t>Year ended December 31</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7"/>
              </w:rPr>
              <w:t>38.9%</w:t>
            </w:r>
          </w:p>
        </w:tc>
        <w:tc>
          <w:tcPr>
            <w:tcW w:w="16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46.5%</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6.3%</w:t>
            </w:r>
          </w:p>
        </w:tc>
        <w:tc>
          <w:tcPr>
            <w:tcW w:w="18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(7.6)%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4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2013, we recognized a benefit for the domestic production activities deduction, which contributed to a decrease in the effective tax rate in 2013 when compared with 2012. The decrease was partially offset by increases in reserves for uncertain tax positions and increases in the deferred income tax expense resulting from a change in state and local apportionment factors in the third quarter of 2013.</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2012, we established deferred income tax liabilities associated with the McGraw venture resulting in an increase in our income tax provision, which contributed to a higher effective tax rate in 2012 when compared with 2011. In 2011, we revalued our existing deferred tax liabilities resulting from a change in state tax apportionment. This revaluation contributed to an increase in the effective tax rate in 2012 when compared with 2011. Additionally, in the first quarter of 2011, we began marking to market our investment in BM&amp;FBOVESPA which resulted in a reduction in valuation allowances on unrealized capital losses previously reserved, which also contributed to a higher effective tax rate in 2012 when compared with 2011.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historically met our funding requirements with cash generated by our ongoing operations. While our cost structure is fixed in the short term, our sources of operating cash are dependent on contract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2013. These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2015-2016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2017-2018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495.6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58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liability for gross unrecognized income tax benefits, including interest and penalties, of $274.1 million for uncertain tax positions are not included in the table due to uncertainty about the date of their settlement.</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Operating leases include rent payments for office space in Chicago, New York and other smaller offices in the United States and in various foreign countries. The operating lease for our headquarters in Chicago expires in November 2022. Annual minimum rental payments under this lease range from $11.3 million to $13.5 million. We also maintain operating leases for</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 office spaces in Chicago, which expire in November 2023 and April 2027. Annual minimum rental payments under these leases range from $5.3 million to $6.2 million and $3.0 million to $4.3 million, respectively. The operating lease for our office space in New York expires in December 2028. Annual minimum rental payments under this lease range from $13.1 million to $24.7 million.</w:t>
      </w:r>
    </w:p>
    <w:p>
      <w:pPr>
        <w:spacing w:after="0" w:line="181"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Purchase obligations include minimum payments due under agreements to purchase software licenses, hardware, advertising and maintenance as well as telecommunication services. Debt obligations include repayment of the debt obligation as well as interest payments associated with the debt obligations. Other long-term liabilities include funding obligations for other post-retirement benefit plans as well as contingent consideration.</w:t>
      </w:r>
    </w:p>
    <w:p>
      <w:pPr>
        <w:spacing w:after="0" w:line="1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additional investment in our co-location program, increased system capacity and performance improvements. Each year, capital expenditures are incurred for improvements to and expansion of our offices, remote data centers, telecommunications network and other operating equipment. In 2014, we expect capital expenditures to total approximately $175.0 million. We continue to monitor our capital needs and may revise our forecasted expenditures as necessary in the future.</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intend to continue to pay a regular quarterly dividend to our shareholders, which remains at approximately 50% of the prior year's cash earnings.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5, 2014, the board of directors declared a regular quarterly dividend of $0.47 per share. The dividend will be payable on March 25, 2014 to shareholders of record on March 10, 2014. Assuming no changes in the number of shares outstanding, the first quarter dividend payment will total approximately $156.9 million. The board of directors also declared an additional, annual variable dividend of $2.60 per share on December 11, 2013 paid on January 14, 2014 to the shareholders of record on December 27, 2013. In general, the amount of the annual variable dividend will be determined by the end of each year, and the level will increase or decrease from year to year based on operating results, potential merger and acquisition activity, and other forms of capital return including regular dividends and share buybacks during the prior year. The amount available for the annual variable dividend related to 2013 operations was favorably impacted by the proceeds from the sale of the NYMEX building in 2013 and by the proceeds from our interest rate swap settlement associated with our debt issuance in September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2013-2012</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2012-2011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1,280.5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1,219.7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w:t>
            </w:r>
          </w:p>
        </w:tc>
        <w:tc>
          <w:tcPr>
            <w:tcW w:w="340" w:type="dxa"/>
            <w:vAlign w:val="bottom"/>
          </w:tcPr>
          <w:p>
            <w:pPr>
              <w:spacing w:after="0"/>
              <w:rPr>
                <w:sz w:val="19"/>
                <w:szCs w:val="19"/>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190.5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1580" w:type="dxa"/>
            <w:vAlign w:val="bottom"/>
          </w:tcPr>
          <w:p>
            <w:pPr>
              <w:jc w:val="right"/>
              <w:ind w:right="97"/>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37</w:t>
            </w: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(606.0)</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(55)</w:t>
            </w: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operating activities increased slightly in 2013 when compared with 2012. Net cash provided by operating activities was lower in 2012 due to an additional cash contribution to the CMECE guaranty fund in 2012. Cash contributed to the guaranty fund is considered restricted and was transferred from cash and cash equivalents to other assets when contributed.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2012 when compared with 2011, net cash provided by operating activities decreased as a result of lower contract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increase in cash provided by investing activities in 2013 when compared with 2012 was due largely to proceeds from the sale of a building in New York and the settlement of a derivative contract related to our debt offering in 2013. In addition, there were additional investments in business ventures in 2012. This increase was partially offset by the proceeds from the sale of two building properties in April 2012.</w:t>
      </w:r>
    </w:p>
    <w:p>
      <w:pPr>
        <w:spacing w:after="0" w:line="1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used in investing activities in 2012 was higher than cash used in 2011 due to cash paid in business combinations and increased investment in business ventures, partially offset by the receipt of proceeds from the sale of the two building properties in April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Cash used in financing activities was higher in 2013 when compared with 2012. The increase was attributable to the repayment of the fixed rate notes due August 2013. The increase in net cash used in financing activities was also due to our purchase of the non-controlling interest in CME Group Index Holdings LLC in the second quarter of 2013. The increase in cash used in financing activities was partially offset by a decrease in cash dividends of $625.2 million in 2013 when compared with the same period in 2012. There were two annual dividends paid in 2012, including the annual variable dividend from 2011 operations and the annual variable dividend from 2012 operations, which was accelerated to the fourth quarter of 2012 due to uncertainty surrounding dividend income tax treatment beginning in 2013. The annual variable dividend from 2013 operations was paid in the first quarter of 2014.</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used in financing activities was lower in 2012 when compared with 2011. The decrease in cash used was attributable to the receipt of $747.7 million in proceeds from debt issued in September 2012 in contrast with repayments of $420.5 million of debt in the first quarter of 2011. In addition, we repurchased $220.4 million of Class A common stock in 2011. The net decrease in cash used was partially offset by a $851.5 million increase in cash dividends paid in 2012 when compared with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notes due February 2014, stated rate of 5.75%</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0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341"/>
        </w:trPr>
        <w:tc>
          <w:tcPr>
            <w:tcW w:w="7380" w:type="dxa"/>
            <w:vAlign w:val="bottom"/>
          </w:tcPr>
          <w:p>
            <w:pPr>
              <w:ind w:left="40"/>
              <w:spacing w:after="0"/>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130" w:lineRule="exact"/>
        <w:rPr>
          <w:sz w:val="20"/>
          <w:szCs w:val="20"/>
          <w:color w:val="auto"/>
        </w:rPr>
      </w:pPr>
    </w:p>
    <w:p>
      <w:pPr>
        <w:ind w:left="660" w:right="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senior credit facility, we have the option to increase the facility up to $2.5 billion with the consent of the agent and lenders providing the additional funds. This senior credit facility matures in January 2016. The senior credit facility is voluntarily prepayable from time to time without premium or penalty. Under the credit facility, we are required to remain in compliance with a consolidated net worth test, which is defined as our consolidated shareholders' equity as of September 30, 2012, giving effect to share repurchases made and special dividends paid during the term of the agreements (and in no event greater than $2.0 billion in aggregate), multiplied by 0.65. We currently do not have any borrowings outstanding under the credit facility.</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a 364-day multi-currency line of credit with a consortium of domestic and international banks to be used in certain situations by our CME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U.S. Treasury securities or money market mutual funds as well as the performance bond assets of a defaulting firm can be used to collateralize the facility. At December 31, 2013, guaranty fund collateral available was $5.6 billion. The line of credit provides for borrowings of up to $7.0 billion. We have the option to request an increase in the line from $7.0 billion to $10.0 billion. In addition to the 364-day multi-currency line of credit, we also have the option to use the $1.8 billion multi-currency revolving senior credit facility to provide liquidity for our clearing houses in the unlikely event of default in certain circumstances.</w:t>
      </w:r>
    </w:p>
    <w:p>
      <w:pPr>
        <w:spacing w:after="0" w:line="16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$800.0 million.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indentures governing our fixed rate notes, our $1.8 billion multi-currency revolving senior credit facility and our 364-day multi-currency line of credit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2013, we have excess borrowing capacity for general corporate purposes of approximately $1.8 billion under our multi-currency revolving senior credit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we were in compliance with the various covenant requirements of all our debt facilities.</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7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in lieu of, or in combination with, irrevocable letters of credit. At December 31, 2013, we had pledged letters of credit totaling $395.0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Rating Agency</w:t>
            </w: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2013, we did not have any off-balance sheet arrangements as defined by the regulations of the Securities and Exchange Commission.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and cash equivalents totaled $2.5 billion at December 31, 2013 and $1.6 billion at December 31, 2012.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$3.5 million contribution in 2014 will allow us to meet our funding goal. However, the amount of the actual contribution is contingent on the actual rate of return on our plan assets during 2014 and the December 31, 2014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is regulated by the Commodity Futures Trading Commission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is in compliance with the DCO financial requirements.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Debt outstanding at December 31, 2013 consisted of fixed rate borrowings of $2.9 billion. Changes in interest rates impact the fair values of fixed-rate debt, but do not impact earnings or cash flows. We did not have any variable rate borrowings at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clearing houses act as the counterparties to all trades consummated on our exchanges as well as through third-party exchanges and over-the-counter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ensure performance, we establish and monitor financial requirements for our clearing firms. We set minimum performance bond requirements for exchange-traded and over-the-counter products, including interest rate swaps and credit default swaps. For CME and CMECE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CME and CMECE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houses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1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separate financial safeguard packages for CME Clearing member firms:</w:t>
      </w:r>
    </w:p>
    <w:p>
      <w:pPr>
        <w:spacing w:after="0" w:line="225" w:lineRule="exact"/>
        <w:rPr>
          <w:sz w:val="20"/>
          <w:szCs w:val="20"/>
          <w:color w:val="auto"/>
        </w:rPr>
      </w:pPr>
    </w:p>
    <w:p>
      <w:pPr>
        <w:ind w:left="660" w:right="4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over-the-counter credit default swap and interest rate swap contracts (base package),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financial safeguard package for cleared over-the-counter interest rate swap contracts,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financial safeguard package for cleared over-the-counter credit default swap contracts.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w:t>
      </w:r>
    </w:p>
    <w:p>
      <w:pPr>
        <w:sectPr>
          <w:pgSz w:w="11900" w:h="16838" w:orient="portrait"/>
          <w:cols w:equalWidth="0" w:num="1">
            <w:col w:w="11400"/>
          </w:cols>
          <w:pgMar w:left="240" w:top="122" w:right="25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122" w:right="25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include clearing firm guaranty fund deposits held by us in the form of cash, U.S. Treasury securities as well as select money market mutual funds approved for our Interest Earning Facility (IEF) program. Performance bond collateral of a defaulting clearing firm may also be used to secure a draw on the line. In addition to the 364-day multi-currency line of credit, we also have the option to use our $1.8 billion multi-currency revolving senior credit facility to provide liquidity for our clearing houses in the unlikely event of default.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2013, aggregate performance bond deposits for clearing firms for all three CME financial safeguard packages was $111.6 billion, including $20.0 billion of cash performance bond deposits and $3.5 billion of letters of credit. A defaulting firm's performance bond deposits can be used in the event of default of that clearing firm.</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2013 in the event of a payment default by a clearing firm for the base financial safeguard package after first utilizing the defaulting firm's available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Minimum assessment powers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8,966.5</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12,327.1</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2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CME Clearing designates $100.0 million of corporate contributions to satisfy a clearing firm default in the event that the defaulting clearing firm's guaranty contributions and performance bonds do not satisfy the deficit.</w:t>
      </w:r>
    </w:p>
    <w:p>
      <w:pPr>
        <w:ind w:left="660" w:right="12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Guaranty fund contributions of clearing firms include guaranty fund contributions required of clearing firms, but do not include any excess deposits held by us at the direction of clearing firms.</w:t>
      </w:r>
    </w:p>
    <w:p>
      <w:pPr>
        <w:ind w:left="660" w:right="40" w:hanging="652"/>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our designated corporate contribution and the non-defaulting clearing firms' guaranty fund contributions, we would assess all non-defaulting clearing members as provided in the rules governing the guaranty fund. We would assess a minimum of 275% of their existing guaranty fund requirements up to a maximum of 550% of their existing guaranty fund requirements as provided in the rules.</w:t>
      </w:r>
    </w:p>
    <w:p>
      <w:pPr>
        <w:spacing w:after="0" w:line="1" w:lineRule="exact"/>
        <w:rPr>
          <w:rFonts w:ascii="Arial" w:cs="Arial" w:eastAsia="Arial" w:hAnsi="Arial"/>
          <w:sz w:val="18"/>
          <w:szCs w:val="18"/>
          <w:color w:val="auto"/>
        </w:rPr>
      </w:pPr>
    </w:p>
    <w:p>
      <w:pPr>
        <w:ind w:left="660" w:right="300" w:hanging="652"/>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2013 in the event of a payment default by a clearing firm that clears interest rate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9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1,545.9</w:t>
            </w: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20" w:hanging="652"/>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CME Clearing designates $150.0 million of corporate contributions to satisfy a clearing firm default in the event that the defaulting clearing firm's guaranty contributions and performance bonds do not satisfy the deficit.</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80" w:hanging="652"/>
        <w:spacing w:after="0" w:line="25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our corporate contribution and the non-defaulting firms' guaranty fund contributions, we would assess all non-defaulting clearing members as provided in the rules governing the interest rate swap guaranty fund.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shows the available assets for the credit default swap financial safeguard package at December 31, 2013 in the event of a payment default by a clearing firm that clears credit default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7"/>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credit default swap contracts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64"/>
        </w:trPr>
        <w:tc>
          <w:tcPr>
            <w:tcW w:w="96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2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32" w:lineRule="exact"/>
        <w:rPr>
          <w:rFonts w:ascii="Arial" w:cs="Arial" w:eastAsia="Arial" w:hAnsi="Arial"/>
          <w:sz w:val="16"/>
          <w:szCs w:val="16"/>
          <w:color w:val="auto"/>
        </w:rPr>
      </w:pPr>
    </w:p>
    <w:p>
      <w:pPr>
        <w:ind w:left="660" w:right="80" w:hanging="652"/>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subsequent to the liquidation of the defaulting firm's performance bond collateral. In the event of a clearing firm default, if a loss continues to exist after the utilization of the assets of the defaulted firm, our corporate contribution and the non-defaulting firms' guaranty fund contributions, we would assess all non-defaulting clearing members as provided in the rules governing the credit default swap guaranty fund.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maintain a financial safeguard package for CMECE over-the-counter commodity clearing firms. In the unlikely event of default by a CMECE clearing firm, we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we would use guaranty fund contributions of $60.0 million of CMECE funds for commodity clearing firms. Each of the commodity clearing firms began contributing to the commodity guaranty fund in 2013, which totaled $3.0 million at December 31, 2013. Once the CMECE clearing firms fully contribute to the commodity guaranty fund in 2014, we would still use at least $20.0 million of CMECE funds in addition to the clearing firms' guaranty fund contributions in the event of a default of a commodity clearing firm.</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maintain a separate financial safeguard package for CMECE interest rate swap clearing firms. In the unlikely event of default by a CMECE clearing firm, we would first apply assets of the defaulting clearing firm to satisfy its payment obligations. These assets include the defaulting firm's performance bonds and guaranty fund contributions. If the default remains unsatisfied, we would apply guaranty fund contributions of $53.6 million that will be contributed by CMECE. Each of the interest rate swap clearing firms began contributing to the interest rate swap guaranty fund in 2013, which totaled $110.9 million at December 31, 2013.</w:t>
      </w:r>
    </w:p>
    <w:p>
      <w:pPr>
        <w:spacing w:after="0" w:line="18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Aggregate cash performance bond deposits for CMECE clearing firms for the over-the-counter commodity clearing firms and interest rate swap clearing firms were $63.8 million at December 31, 2013. There were no non-cash performance bonds on deposit at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foreign currency transaction risk related to changes in exchange rates on British pound cash balances held at subsidiaries with a U.S. dollar functional currency. Gains and losses on foreign currency transactions result when subsidiaries with a U.S. dollar functional currency hold cash as well as certain other assets and liabilities denominated in foreign currencies. During 2013, the exchange rate between the British pound and the U.S. dollar fluctuated from a high of $1.65 per pound to a low of $1.49 per pound. We expect the foreign currency gain/loss to continue to fluctuate as long as we continue to hold cash as well as certain assets and liabilities at those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comprehensive income, which is a component of shareholders' equity and comprehensive income. Aggregate translation gains (losses), net of tax, for 2013, 2012 and 2011 were $(0.5) million, $10.9 million and $83.3 million, respectively. In 2011, we began marking to market our investment in BM&amp;FBOVESPA. As a result, we reversed an unrealized loss of $81.7 million, net of tax, which was attributable to foreign currency translation adjustments that were recorded in accumulated other comprehensive income (loss) upon recognizing impairment on our investment in BM&amp;FBOVESPA.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Related to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also exposed to foreign currency exchange rate risk related to certain equity investments as discussed in the Equity Price Risk section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 portion of performance bond deposits is denominated in foreign currency.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certain investments in equity securities for strategic purposes. Investments subject to equity price risks are generally recorded at their fair value. Fair values for publicly-traded equity investments are based on quoted market prices. Fair values are subject to fluctuation and, consequently, the amount realized in the subsequent sale of an investment may differ significantly from its current reported value. Fluctuations in the market price of a security may result from perceived changes in the underlying economic characteristics of the issuer, the relative price of alternative investments and general market conditions.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equity investments that are subject to equity price fluctuations at December 31, 2013. Equity investments are included in other assets in our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5"/>
              </w:rPr>
              <w:t>Basis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BM&amp;FBOVESPA S.A.</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Bolsa Mexicana de Valores, S.A.B. de C.V.</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hedge against equity price risk. Equity investments are assessed for other-than-temporary impairment on a quarterly basis.</w:t>
      </w: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122" w:right="31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708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708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080" w:type="dxa"/>
            <w:vAlign w:val="bottom"/>
          </w:tcPr>
          <w:p>
            <w:pPr>
              <w:jc w:val="center"/>
              <w:ind w:left="173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tcPr>
          <w:p>
            <w:pPr>
              <w:spacing w:after="0"/>
              <w:rPr>
                <w:sz w:val="22"/>
                <w:szCs w:val="22"/>
                <w:color w:val="auto"/>
              </w:rPr>
            </w:pPr>
          </w:p>
        </w:tc>
        <w:tc>
          <w:tcPr>
            <w:tcW w:w="70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6"/>
              </w:rPr>
              <w:t>Current Assets:</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$1.2 and $0.8</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$40.0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8,717.9</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$74.0 and $73.0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0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23,311.0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7,616.9</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Long-term debt</w:t>
            </w:r>
          </w:p>
        </w:tc>
        <w:tc>
          <w:tcPr>
            <w:tcW w:w="7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7,249.7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7,413.3</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7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17,357.5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6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Preferred stock, $0.01 par value, 10,000 shares authorized as of December 31, 2013 and 2012; none issued 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outstanding</w:t>
            </w:r>
          </w:p>
        </w:tc>
        <w:tc>
          <w:tcPr>
            <w:tcW w:w="70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89"/>
              </w:rPr>
              <w:t>Class A common stock, $0.01 par value, 1,000,000 shares authorized, 333,852 and 331,832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outstanding as of December 31, 2013 and 2012,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17,504.9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17,213.1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21,419.1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7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38,863.2</w:t>
            </w:r>
          </w:p>
        </w:tc>
        <w:tc>
          <w:tcPr>
            <w:tcW w:w="0" w:type="dxa"/>
            <w:vAlign w:val="bottom"/>
          </w:tcPr>
          <w:p>
            <w:pPr>
              <w:spacing w:after="0"/>
              <w:rPr>
                <w:sz w:val="1"/>
                <w:szCs w:val="1"/>
                <w:color w:val="auto"/>
              </w:rPr>
            </w:pPr>
          </w:p>
        </w:tc>
      </w:tr>
      <w:tr>
        <w:trPr>
          <w:trHeight w:val="27"/>
        </w:trPr>
        <w:tc>
          <w:tcPr>
            <w:tcW w:w="1260" w:type="dxa"/>
            <w:vAlign w:val="bottom"/>
          </w:tcPr>
          <w:p>
            <w:pPr>
              <w:spacing w:after="0"/>
              <w:rPr>
                <w:sz w:val="2"/>
                <w:szCs w:val="2"/>
                <w:color w:val="auto"/>
              </w:rPr>
            </w:pPr>
          </w:p>
        </w:tc>
        <w:tc>
          <w:tcPr>
            <w:tcW w:w="7080" w:type="dxa"/>
            <w:vAlign w:val="bottom"/>
            <w:vMerge w:val="restart"/>
          </w:tcPr>
          <w:p>
            <w:pPr>
              <w:jc w:val="center"/>
              <w:ind w:left="17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Pr>
          <w:p>
            <w:pPr>
              <w:spacing w:after="0"/>
              <w:rPr>
                <w:sz w:val="17"/>
                <w:szCs w:val="17"/>
                <w:color w:val="auto"/>
              </w:rPr>
            </w:pPr>
          </w:p>
        </w:tc>
        <w:tc>
          <w:tcPr>
            <w:tcW w:w="7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2,460.4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332,678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332,737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334,398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332,319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333,811</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166.4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gains included in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4"/>
              </w:rPr>
              <w:t>Amortization of net actuarial (gains) losses and prior service costs included in pension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Ineffectiveness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Amortization of effective portion of net loss on cash flow hedges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loss included in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2,028.0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and</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17,278.4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0"/>
              </w:rPr>
              <w:t>$ 2,885.8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w w:val="98"/>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1,812.3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$1.12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 of Class A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exercises and 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4"/>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89"/>
              </w:rPr>
              <w:t>Shares issued under Employee Stock</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330,653</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17,115.8</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0"/>
              </w:rPr>
              <w:t>$ 4,324.6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21,552.0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$3.70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(1,227.5)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Non-controlling interest resulting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acquisition of Kansas City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Trade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Tax benefits from Index Services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partnership allocation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3"/>
              </w:rPr>
              <w:t>$ 17,216.4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$4.40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(1,475.6)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Index Services non-controlling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333,852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3"/>
              </w:rPr>
              <w:t>$ 17,508.2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3,494.6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21,154.8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978.1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MF Global accounts receivable write-off</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Gain on sale of Index Services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contribution of Dow Jones Index asset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sale of Credit Market Analysis Ltd.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of NYMEX building property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Undistributed net (gains) losses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1,346.3</w:t>
            </w:r>
          </w:p>
        </w:tc>
      </w:tr>
      <w:tr>
        <w:trPr>
          <w:trHeight w:val="169"/>
        </w:trPr>
        <w:tc>
          <w:tcPr>
            <w:tcW w:w="6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building properties, net of transaction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in business combinations, net of cash acquired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Index Services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Class A common stock, including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non-controlling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r>
      <w:tr>
        <w:trPr>
          <w:trHeight w:val="291"/>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855.2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2,469.7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612.2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816.1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investing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 in S&amp;P/Dow Jones Indices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Declaration of annual variable dividend, payable in January 2014</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Chicago Mercantile Exchange Inc. (CME), the Board of Trade of the City of Chicago, Inc. (CBOT), New York Mercantile Exchange, Inc. (NYMEX) and Commodity Exchange, Inc. (COMEX), wholly-owned subsidiaries of CME Group Inc. (CME Group), are designated contract markets for the trading of futures and options on futures contracts. CME, CBOT, NYMEX and COMEX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8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CME Group offers a wide range of products for trading and/or clearing including those based on interest rates, credit default, equities, foreign exchange, agricultural commodities, energy and metals. Trades are executed through CME Group's electronic trading platforms, open outcry and privately negotiated transactions. Through its clearing houses, CME Group offers clearing, settlement and guarantees for all products cleared through the exchange.</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2012, the company contributed certain Dow Jones Index assets and liabilities (DJI asset group) to S&amp;P/Dow Jones Indices LLC (S&amp;P/DJI), a new business venture with The McGraw-Hill Companies Inc. (McGraw). Dow Jones &amp; Company (Dow Jones) retained a 10% redeemable non-controlling interest in the DJI asset group. The company also sold Credit Market Analysis Ltd. (CMA) to McGraw in conjunction with the creation of the business venture. Assets and liabilities contributed or sold as part of this transaction are excluded from the company's consolidated financial statements and accompanying notes beginning on June 30, 2012, while the financial results of the company's 24.4% interest in the new business venture with McGraw are included in the company's consolidated financial statements and accompanying notes beginning on June 30, 2012. In April 2013, the company purchased the remaining 10% non-controlling interest in the DJI asset group from Dow Jones for $80.0 million. As a result of the purchase of the non-controlling interest, the company's interest in S&amp;P/DJI increased from 24.4% to 27%.</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CBOT acquired The Board of Trade of Kansas City, Missouri, Inc. (KCBT) and its subsidiaries, the Kansas City Board of Trade Clearing Corporation (KCBTCC) and the Board of Trade Investment Company (BOTIC), on November 30, 2012. KCBT maintains a 51% controlling interest in BOTIC, resulting in a nonredeemable non-controlling interest included in the company's consolidated statements of equity. The financial statements and accompanying notes presented in this report include the financial results of KCBT beginning on November 30, 2012. As of December 2013, KCBT is no longer regulated as a designated contract market and its operations were transferred to CBOT. In April 2013, Kansas City Board of Trade Clearing Corporation was integrated into our U.S. clearing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consolidated financial statements are prepared in accordance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and include the accounts of the company and its majority-owned subsidiaries. All intercompany transactions and balances have been eliminated.</w:t>
      </w:r>
    </w:p>
    <w:p>
      <w:pPr>
        <w:spacing w:after="0" w:line="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Financial Investments. </w:t>
      </w:r>
      <w:r>
        <w:rPr>
          <w:rFonts w:ascii="Arial" w:cs="Arial" w:eastAsia="Arial" w:hAnsi="Arial"/>
          <w:sz w:val="18"/>
          <w:szCs w:val="18"/>
          <w:color w:val="auto"/>
        </w:rPr>
        <w:t>The company maintains short-term and long-term investments, classified as available-for-sale or trading securities.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The company also maintains long-term investments accounted for under the equity method.</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Derivative Investments. </w:t>
      </w:r>
      <w:r>
        <w:rPr>
          <w:rFonts w:ascii="Arial" w:cs="Arial" w:eastAsia="Arial" w:hAnsi="Arial"/>
          <w:sz w:val="17"/>
          <w:szCs w:val="17"/>
          <w:color w:val="auto"/>
        </w:rPr>
        <w:t>The company uses derivative instruments, designated as cash flow hedges, to limit exposure to changes in interest rates.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recorded at fair value in the consolidated balance sheets. The effective portion of the changes in the fair value of cash flow hedges are deferred in accumulated other comprehensive income. Any realized gains and losses from effective hedges are classified as interest expense in the consolidated statements of income, and any ineffective or excluded portion of a hedge is recognized in earnings immediately.</w:t>
      </w:r>
    </w:p>
    <w:p>
      <w:pPr>
        <w:spacing w:after="0" w:line="5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composed of trade receivables and unbilled revenue including clearing and transaction fees and market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information services revenue. All accounts receivable are stated at cost. Exposure to losses on receivables for clearing and transaction fees and other amounts owed by clearing firms is dependent on each clearing firm's financial condition and the memberships that collateralize fees owed to the exchange. The exchange retains the right to liquidate exchange memberships to satisfy a clearing firm's receivable. The allowance for doubtful accounts is calculated based on historical losses and management's assessment of probable future collections.</w:t>
      </w:r>
    </w:p>
    <w:p>
      <w:pPr>
        <w:spacing w:after="0" w:line="6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Performance bonds and guaranty fund contributions received in the form of cash held by CME and CME Clearing Europe Limited (CMECE) may be invested overnight in U.S. Government securities and certain foreign government securities acquired through and held by a broker-dealer subsidiary of a bank, reverse repurchase agreements secured with highly rated government securities, money market funds or through CME's Interest Earning Facility (IEF) program. Any interest earned on CME investments accrues to CME and is included in investment income in the consolidated statements of income. CMECE may distribute any interest earned on CMECE investments to the clearing firms at its discretion. Because CME and CMECE have control of the cash collateral and the benefits and risks of ownership accrue to CME and CMECE, cash performance bonds and guaranty fund contributions are reflected in the consolidated balance sheets.</w:t>
      </w:r>
    </w:p>
    <w:p>
      <w:pPr>
        <w:spacing w:after="0" w:line="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contributed by CMECE to CMECE guaranty funds is classified as restricted cash and is included in other current assets and other assets in the consolidated balance sheets.</w:t>
      </w:r>
    </w:p>
    <w:p>
      <w:pPr>
        <w:spacing w:after="0" w:line="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are capitalized and amortized on a straight-line basis over the estimated useful life of the software, generally two to four years.</w:t>
      </w:r>
    </w:p>
    <w:p>
      <w:pPr>
        <w:spacing w:after="0" w:line="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All leases in which the company is the tenant are accounted for as operating leases. Landlord allowances are recorded as a reduction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rent expense on a straight-line basis over the term of the lease.</w:t>
      </w:r>
    </w:p>
    <w:p>
      <w:pPr>
        <w:spacing w:after="0" w:line="16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tests goodwill and indefinite-lived intangible assets for impairment annually and whenever events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their carrying values may not be recoverable. Goodwill represents the excess of the purchase price over the fair value of the net assets acquired in a business combination. The company may test goodwill quantitatively for impairment by comparing the carrying value of a reporting unit to its estimated fair value. Estimating the fair value of a reporting unit involves significant judgments inherent in the analysis including estimating the amount of and timing of future cash flows and the selection of appropriate discount rates and long-term growth rate assumptions. Changes in these estimates and assumptions could materially affect the determination of fair value of the reporting unit. If the carrying amount exceeds fair value, impairment is recorded. In certain circumstances, goodwill may be reviewed qualitatively for indications of impairment without utilizing valuation techniques to estimate fair value.</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evaluates the recoverability of indefinite-lived intangible assets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75"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purchase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denominated assets and liabilities are re-measured into the functional currency using period-end exchange rates.</w:t>
      </w:r>
      <w:r>
        <w:rPr>
          <w:rFonts w:ascii="Arial" w:cs="Arial" w:eastAsia="Arial" w:hAnsi="Arial"/>
          <w:sz w:val="16"/>
          <w:szCs w:val="16"/>
          <w:b w:val="1"/>
          <w:bCs w:val="1"/>
          <w:color w:val="auto"/>
        </w:rPr>
        <w:t xml:space="preserve"> </w:t>
      </w:r>
      <w:r>
        <w:rPr>
          <w:rFonts w:ascii="Arial" w:cs="Arial" w:eastAsia="Arial" w:hAnsi="Arial"/>
          <w:sz w:val="16"/>
          <w:szCs w:val="16"/>
          <w:color w:val="auto"/>
        </w:rPr>
        <w:t>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2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earned for the dissemination of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9"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360"/>
        <w:spacing w:after="0" w:line="34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various telecommunications hubs located internationally as well as networks and services in the Chicago and New York City facilities. Revenue is billed and recognized on a monthly basis.</w:t>
      </w:r>
    </w:p>
    <w:p>
      <w:pPr>
        <w:spacing w:after="0" w:line="16" w:lineRule="exact"/>
        <w:rPr>
          <w:sz w:val="20"/>
          <w:szCs w:val="20"/>
          <w:color w:val="auto"/>
        </w:rPr>
      </w:pPr>
    </w:p>
    <w:p>
      <w:pPr>
        <w:ind w:left="440" w:right="280"/>
        <w:spacing w:after="0" w:line="381" w:lineRule="auto"/>
        <w:rPr>
          <w:sz w:val="20"/>
          <w:szCs w:val="20"/>
          <w:color w:val="auto"/>
        </w:rPr>
      </w:pPr>
      <w:r>
        <w:rPr>
          <w:rFonts w:ascii="Arial" w:cs="Arial" w:eastAsia="Arial" w:hAnsi="Arial"/>
          <w:sz w:val="15"/>
          <w:szCs w:val="15"/>
          <w:i w:val="1"/>
          <w:iCs w:val="1"/>
          <w:color w:val="auto"/>
        </w:rPr>
        <w:t xml:space="preserve">Other Revenues. </w:t>
      </w:r>
      <w:r>
        <w:rPr>
          <w:rFonts w:ascii="Arial" w:cs="Arial" w:eastAsia="Arial" w:hAnsi="Arial"/>
          <w:sz w:val="15"/>
          <w:szCs w:val="15"/>
          <w:color w:val="auto"/>
        </w:rPr>
        <w:t>Other revenues include processing services revenue, which is revenue generated from various strategic relationships, as well as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fees earned under the IEF programs. For processing services revenue and IEF revenue, revenue is recognized as services are provided.</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2" w:right="29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Other revenues also included revenue from the rental of commercial space that were recognized over the lease term using the straight-line method. Under this method, revenue was recorded evenly over the entire term of occupancy for leases with scheduled rent increases or rent abatements. Allowances for construction and other tenant costs were considered lease incentives and were recorded as a reduction to rental income on a straight-line basis over the term of the lease.</w:t>
      </w:r>
    </w:p>
    <w:p>
      <w:pPr>
        <w:spacing w:after="0" w:line="79"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One firm represented 11% and one firm represented 10% of our clearing and transaction fees revenue in 2013. In 2012, two</w:t>
      </w:r>
      <w:r>
        <w:rPr>
          <w:rFonts w:ascii="Arial" w:cs="Arial" w:eastAsia="Arial" w:hAnsi="Arial"/>
          <w:sz w:val="18"/>
          <w:szCs w:val="18"/>
          <w:i w:val="1"/>
          <w:iCs w:val="1"/>
          <w:color w:val="auto"/>
        </w:rPr>
        <w:t xml:space="preserve"> </w:t>
      </w:r>
      <w:r>
        <w:rPr>
          <w:rFonts w:ascii="Arial" w:cs="Arial" w:eastAsia="Arial" w:hAnsi="Arial"/>
          <w:sz w:val="18"/>
          <w:szCs w:val="18"/>
          <w:color w:val="auto"/>
        </w:rPr>
        <w:t>firms each represented 12% of the company's clearing and transaction fees revenue. One firm represented 12% of the company's clearing and transaction fees revenue in 2011.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80"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two largest resellers of market data represented approximately 52% of market data and information services revenue in 2013, 43% in 2012, and 39% in 2011.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Share-Based Payments. </w:t>
      </w:r>
      <w:r>
        <w:rPr>
          <w:rFonts w:ascii="Arial" w:cs="Arial" w:eastAsia="Arial" w:hAnsi="Arial"/>
          <w:sz w:val="18"/>
          <w:szCs w:val="18"/>
          <w:color w:val="auto"/>
        </w:rPr>
        <w:t>The company accounts for share-based payments using a fair value method, which is based on the grant date price of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issued.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2"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CME, CBOT, NYMEX and COMEX</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The remaining operations do not meet the thresholds for reporting separate segment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89"/>
              </w:rPr>
              <w:t>2013</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6"/>
              </w:rPr>
              <w:t>2012</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and gross unrealized losses of the asset-backed security were $0.4 million and $0.4 million, respectively, at December 31, 2013. The asset-backed security was in an unrealized loss position for more than 12 months at December 31, 2013 and was deemed not to be other-than-temporarily impaired. The company does not intend to sell and is not required to sell this asset-backed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U.S. Treasury securities and asset-backed security at December 31, 2013, by contractual maturity,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The company maintains additional investments in a diverse portfolio of mutual funds related to its non-qualified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plans (note 11). The fair value of these securities was $49.6 million and $38.7 million at December 31, 2013 and 2012,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maintains two clearing houses: CME Clearing (a division of CME) and CMECE. The clearing houses clear and guarantee the settlement of contracts traded in their respective markets. In their guarantor roles, the clearing houses have precisely equal and offsetting claims to and from clearing firms on opposite sides of each contract, standing as an intermediary on every contract cleared. Clearing firm positions in the United States are held according to Commodity and Futures Trading Commission (CFTC) regulatory account segregation standards. To the extent that funds are not otherwise available to satisfy an obligation under the applicable contract, the clearing houses bear counterparty credit risk in the event that future market movements create conditions that could lead to clearing firms failing to meet their obligations to the clearing houses. The clearing houses reduce the exposure through risk management programs that include initial and ongoing financial standards for designation as a clearing firm, performance bond requirements, daily mark-to-market, mandatory guaranty fund contributions and intra-day monitoring. Each CME clearing firm is required to deposit and maintain balances in the form of cash, U.S. Government securities, certain foreign government securities, bank letters of credit or other approved investments to satisfy performance bond and guaranty fund requirements. Clearing firms that clear through CMECE are required to deposit and maintain collateral in the form of cash, certain U.S. and foreign government securities or other approved investments to satisfy performance bond and guaranty fund requirements. All non-cash deposits are marked to market and haircut on a daily basis.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and letters of credit.</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clearing houses mark-to-market open positions at least once a day (twice a day for futures and options contracts), and require payment from clearing firms whose positions have lost value and make payments to clearing firms whose positions have gained value. The clearing houses have the capability to mark-to-market more frequently as market conditions warrant.</w:t>
      </w: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 over-the-counter credit default swap and interest rate swap contracts, the maximum exposure related to CME's guarantee would be one full day of changes in fair value of all open positions, before considering CME's ability to access defaulting clearing firms' collateral. During 2013, the clearing houses transferred an average of approximately $2.4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December 31, 2013.</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performance bonds and guaranty fund contributions are included in the consolidated balance sheets, and these balances may fluctuate significantly over time due to investment choices available to clearing firms and changes in the amount of contributions required. Securities are not reflected in the consolidated financial statements and the clearing houses do not earn any interest on these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Clearing firms, at their option, may instruct CME to deposit the cash held by CME into one of the IEF programs. The total principal in the IEF programs was $19.4 billion at December 31, 2013 and $13.3 billion at December 31, 2012. The guaranty fund contributions held in one of the IEF programs may be used as collateral for CME's $7.0 billion multi-currency line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credit. The consolidated statements of income reflect management fees earned under the IEF programs of $13.9 million, $10.6 million and $11.2 million during 2013, 2012 and 2011, respectively. These fees are included in other revenues.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CME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2013.</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2013.</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over-the-counter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CME maintains separate guaranty funds to support the clearing firms that clear over-the-counter interest rate swap products and over-the-counter credit default swap products. The funds for over-the-counter interest rate swaps and credit default are independent of the base guaranty fund and are isolated to clearing firms for products in the respective asset class. Each clearing firm for cleared over-the-counter interest rate swaps and cleared over-the-counter credit default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over-the-counter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over-the-counter interest rate swap clearing firm. In the event that performance bonds, guaranty fund contributions and other assets required to support clearing membership of a defaulting clearing firm for cleared over-the-counter credit default swap contracts are inadequate to fulfill that clearing firm's outstanding financial obligation, the credit default swaps contracts guaranty fund is available to cover potential losses after first utilizing corporate contributions designated by CME to be used in the event of default of a cleared over-the-counter credit default swap clearing firm, which is equal to the greater of $50.0 million and 5% of the credit default swap guaranty fund, up to a maximum of $100.0 million.</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CME maintains a 364-day multi-currency line of credit with a consortium of domestic and international banks to be used in certain situations by CME Clearing.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U.S. Treasury securities or money market mutual funds as well as the performance bond assets of a defaulting firm can be used to collateralize the facility. The line of credit provides for borrowings of up to $7.0 billion. At December 31, 2013, guaranty fund contributions available for CME clearing firms was $5.6 billion. CME has the option to request an increase in the line from $7.0 billion to $10.0 billion, subject to the approval of participating banks. In addition to the 364-day fully secured, committed multi-currency line of credit, the company also has the option to use the $1.8 billion multi-currency revolving senior credit facility to provide liquidity for the clearing house in the unlikely event of default.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maintains a guaranty fund for CMECE over-the-counter commodity clearing firms. In the unlikely event of default by a CMECE clearing firm, the company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the company would use guaranty fund contributions of $60.0 million of CMECE funds for commodity clearing firms. Commodity clearing firms began contributing to the commodity guaranty fund in 2013 for a total of $3.0 million at December 31, 2013. Once the CMECE clearing firms fully contribute to the commodity guaranty fund in early 2014, CMECE will still use at least $20.0 million of CMECE funds in addition to the commodity clearing firms' guaranty fund contributions in the event of a default.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maintains a guaranty fund for CMECE over-the-counter interest rate swap clearing firms. In the unlikely event of default by a CMECE clearing firm, the company would first apply assets of the defaulting clearing firm to satisfy its payment obligations. These assets include the defaulting firm's performance bonds and guaranty fund contributions. If the default remains unsatisfied, the company would apply guaranty fund contributions of $53.6 million for interest rate swap clearing firms that will be contributed by CMECE. Interest rate swap clearing firms began contributing to the commodity guaranty fund in 2013 for a total of $110.9 million at December 31, 2013.</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CME is required under the Commodity Exchange Act in the United States to segregate cash and securities deposited by clearing firms on behalf of their customers. In addition, CME requires segregation of all funds deposited by its clearing firms from operating funds. CMECE holds cash and securities deposited by clearing firms in segregated accounts, and maintains distinct accounts for its own operating funds.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Cash and non-cash deposits held as performance bonds and guaranty fund contributions at fair value at December 31 for CME and CMECE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2013</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88,152.3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5,647.1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77,414.1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4,834.8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4,419.0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21,355.1</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93,066.2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81,916.7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Performance bonds and guaranty fund contributions include collateral for clearing firms for both clearing houses. Cross-margin arrangements include collateral for the cross-margin accounts with OCC and FICC. The performance bond collateral for delivery includes deposits to meet CBOT delivery requirements.</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$115.6 million and $175.9 million at December 31, 2013 and 2012, respectively. Intraday settlements may be invested on an overnight basis and are offset by an equal liability owed to clearing firms.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4,208.3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5,228.0</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512.6</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219.4</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342.8</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269.5</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1,364.4</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724.0</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Estimated useful life applies only to land improvements.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November 2013, CME Group sold its building in New York for $200.0 million resulting in a net loss of $27.1 million. At the time of the sale, the company leased back a portion of the property. The company recognized the loss as an operating expense in 2013.</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April 2012, CME Group sold two buildings in Chicago for $151.5 million resulting in a gain of $20.3 million. At the time of the sale, the company leased back a portion of the property. As a result of the leaseback, the company is recognizing the gain as a reduction in operating expenses over the fifteen-year term of the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(563.2)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2,275.6</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2,875.0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2,291.2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2,893.8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2,403.7</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2,741.2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2,853.7</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jc w:val="both"/>
        <w:ind w:left="660" w:right="60" w:hanging="652"/>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(CBOT Holdings), KCBT and NYMEX Holdings, Inc. (NYMEX Holdings).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5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part of its sale of its building in New York in November 2013, the company sold the rights to lease agreements with tenants occupying space within the building. The lease agreements, which are included in lease-related intangibles, had a net book value of $13.8 million on the date of sale.</w:t>
      </w:r>
    </w:p>
    <w:p>
      <w:pPr>
        <w:spacing w:after="0" w:line="93"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part of its sale of two buildings in Chicago in April 2012, the company sold the rights to lease agreements with tenants occupying space within the buildings. The lease agreements, which are included in lease-related intangibles, had a net book value of $14.4 million on the date of sale.</w:t>
      </w:r>
    </w:p>
    <w:p>
      <w:pPr>
        <w:sectPr>
          <w:pgSz w:w="11900" w:h="16838" w:orient="portrait"/>
          <w:cols w:equalWidth="0" w:num="1">
            <w:col w:w="11420"/>
          </w:cols>
          <w:pgMar w:left="240" w:top="122"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June 2012, the company contributed the DJI asset group to S&amp;P/DJI. Contributed intangible assets with an aggregate net book value of $336.3 million included rights to customer agreements, technology-related intellectual property and trade names. In addition, the company sold CMA-related intangible assets with a net book value of $9.4 million.</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July 2012, the company recognized $17.0 million of intangible assets related to the acquisition of Pivot, Inc., including customer relationships and technology-related intellectual property. In connection with the acquisition of KCBT in November 2012, the company acquired trading products, which are classified as indefinite-lived intangible assets, in the amount of $134.8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2013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3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 years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Lease-related intangible assets</w:t>
            </w:r>
          </w:p>
        </w:tc>
        <w:tc>
          <w:tcPr>
            <w:tcW w:w="3920" w:type="dxa"/>
            <w:vAlign w:val="bottom"/>
          </w:tcPr>
          <w:p>
            <w:pPr>
              <w:jc w:val="right"/>
              <w:spacing w:after="0"/>
              <w:rPr>
                <w:sz w:val="20"/>
                <w:szCs w:val="20"/>
                <w:color w:val="auto"/>
              </w:rPr>
            </w:pPr>
            <w:r>
              <w:rPr>
                <w:rFonts w:ascii="Arial" w:cs="Arial" w:eastAsia="Arial" w:hAnsi="Arial"/>
                <w:sz w:val="18"/>
                <w:szCs w:val="18"/>
                <w:color w:val="auto"/>
              </w:rPr>
              <w:t>24.5 years</w:t>
            </w:r>
          </w:p>
        </w:tc>
      </w:tr>
      <w:tr>
        <w:trPr>
          <w:trHeight w:val="27"/>
        </w:trPr>
        <w:tc>
          <w:tcPr>
            <w:tcW w:w="744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3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years</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3920" w:type="dxa"/>
            <w:vAlign w:val="bottom"/>
          </w:tcPr>
          <w:p>
            <w:pPr>
              <w:jc w:val="right"/>
              <w:spacing w:after="0"/>
              <w:rPr>
                <w:sz w:val="20"/>
                <w:szCs w:val="20"/>
                <w:color w:val="auto"/>
              </w:rPr>
            </w:pPr>
            <w:r>
              <w:rPr>
                <w:rFonts w:ascii="Arial" w:cs="Arial" w:eastAsia="Arial" w:hAnsi="Arial"/>
                <w:sz w:val="18"/>
                <w:szCs w:val="18"/>
                <w:color w:val="auto"/>
              </w:rPr>
              <w:t>3 years</w:t>
            </w:r>
          </w:p>
        </w:tc>
      </w:tr>
    </w:tbl>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Total amortization expense for intangible assets was $103.0 million, $116.2 million and $132.0 million for the years ended December 31, 2013, 2012 and 2011, respectively. As of December 31, 2013,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1,801.6</w:t>
            </w:r>
          </w:p>
        </w:tc>
        <w:tc>
          <w:tcPr>
            <w:tcW w:w="0" w:type="dxa"/>
            <w:vAlign w:val="bottom"/>
          </w:tcPr>
          <w:p>
            <w:pPr>
              <w:spacing w:after="0"/>
              <w:rPr>
                <w:sz w:val="1"/>
                <w:szCs w:val="1"/>
                <w:color w:val="auto"/>
              </w:rPr>
            </w:pPr>
          </w:p>
        </w:tc>
      </w:tr>
      <w:tr>
        <w:trPr>
          <w:trHeight w:val="459"/>
        </w:trPr>
        <w:tc>
          <w:tcPr>
            <w:tcW w:w="7040" w:type="dxa"/>
            <w:vAlign w:val="bottom"/>
            <w:gridSpan w:val="8"/>
          </w:tcPr>
          <w:p>
            <w:pPr>
              <w:spacing w:after="0"/>
              <w:rPr>
                <w:sz w:val="20"/>
                <w:szCs w:val="20"/>
                <w:color w:val="auto"/>
              </w:rPr>
            </w:pPr>
            <w:r>
              <w:rPr>
                <w:rFonts w:ascii="Arial" w:cs="Arial" w:eastAsia="Arial" w:hAnsi="Arial"/>
                <w:sz w:val="18"/>
                <w:szCs w:val="18"/>
                <w:color w:val="auto"/>
                <w:w w:val="94"/>
              </w:rPr>
              <w:t>Goodwill activity consisted of the following for the years ended December 31, 2013 and 2012: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7,566.9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32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5,035.7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Index Services</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7,984.0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7,566.9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2012, the company recognized goodwill in connection with the acquisitions of KCBT and Pivot, Inc. and divested goodwill allocated to the Index Services and CMA reporting units in conjunction with the formation of S&amp;P/DJI.</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24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BM&amp;FBOVESPA S.A. </w:t>
      </w:r>
      <w:r>
        <w:rPr>
          <w:rFonts w:ascii="Arial" w:cs="Arial" w:eastAsia="Arial" w:hAnsi="Arial"/>
          <w:sz w:val="18"/>
          <w:szCs w:val="18"/>
          <w:color w:val="auto"/>
        </w:rPr>
        <w:t>The company owns an approximate 5% interest in BM&amp;FBOVESPA S. A. (BM&amp;FBOVESPA). BM&amp;FBOVESPA is a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exchange in Brazil. The company accounts for its investment in BM&amp;FBOVESPA as an available-for-sale security. The fair value of the investment was $473.1 million and $690.6 million at December 31, 2013</w:t>
      </w:r>
    </w:p>
    <w:p>
      <w:pPr>
        <w:sectPr>
          <w:pgSz w:w="11900" w:h="16838" w:orient="portrait"/>
          <w:cols w:equalWidth="0" w:num="1">
            <w:col w:w="11420"/>
          </w:cols>
          <w:pgMar w:left="240" w:top="122"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and 2012, respectively. The cost basis of the investment was $356.9 million at December 31, 2013 and 2012. The company and BM&amp;FBOVESPA have entered into several agreements including co-location, licensing, order routing and technology development arrangements.</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Bolsa Mexicana de Valores, S.A.B de C.V. </w:t>
      </w:r>
      <w:r>
        <w:rPr>
          <w:rFonts w:ascii="Arial" w:cs="Arial" w:eastAsia="Arial" w:hAnsi="Arial"/>
          <w:sz w:val="18"/>
          <w:szCs w:val="18"/>
          <w:color w:val="auto"/>
        </w:rPr>
        <w:t>In March 2010, the company acquired an approximate 2% interest in Bolsa Mexicana de Valores, S.A.B. de C.V.</w:t>
      </w:r>
      <w:r>
        <w:rPr>
          <w:rFonts w:ascii="Arial" w:cs="Arial" w:eastAsia="Arial" w:hAnsi="Arial"/>
          <w:sz w:val="18"/>
          <w:szCs w:val="18"/>
          <w:b w:val="1"/>
          <w:bCs w:val="1"/>
          <w:color w:val="auto"/>
        </w:rPr>
        <w:t xml:space="preserve"> </w:t>
      </w:r>
      <w:r>
        <w:rPr>
          <w:rFonts w:ascii="Arial" w:cs="Arial" w:eastAsia="Arial" w:hAnsi="Arial"/>
          <w:sz w:val="18"/>
          <w:szCs w:val="18"/>
          <w:color w:val="auto"/>
        </w:rPr>
        <w:t>(Bolsa Mexicana), a financial exchange operator in Mexico. The company accounts for its investment in Bolsa Mexicana stock as an available-for-sale security. The fair value of the investment in Bolsa Mexicana at December 31, 2013 and 2012 was $26.8 million and $29.3 million, respectively. The cost basis of the investment was $17.3 million at December 31, 2013 and 2012. The company and Bolsa Mexicana maintain a strategic partnership that includes an order routing agreement for derivative products.</w:t>
      </w:r>
    </w:p>
    <w:p>
      <w:pPr>
        <w:spacing w:after="0" w:line="18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The company owns a 25% interest in Bursa Malaysia Derivatives Berhad (Bursa Malaysia), and accounts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Bursa Malaysia using the equity method of accounting. The company's investment in Bursa Malaysia was $28.4 million at December 31, 2013. The company and Bursa Malaysia have entered into several agreements including agreements to provide licensing, order routing and trade matching services.</w:t>
      </w:r>
    </w:p>
    <w:p>
      <w:pPr>
        <w:spacing w:after="0" w:line="14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$14.1 million at December 31, 2013. The company and DME Holdings maintain an agreement for Dubai Mercantile Exchange (DME) futures contracts to be exclusively traded on the CME Globex platform.</w:t>
      </w:r>
    </w:p>
    <w:p>
      <w:pPr>
        <w:spacing w:after="0" w:line="14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S&amp;P/DJI Indices LLC. </w:t>
      </w:r>
      <w:r>
        <w:rPr>
          <w:rFonts w:ascii="Arial" w:cs="Arial" w:eastAsia="Arial" w:hAnsi="Arial"/>
          <w:sz w:val="18"/>
          <w:szCs w:val="18"/>
          <w:color w:val="auto"/>
        </w:rPr>
        <w:t>The company owns a 27% interest in S&amp;P/DJI and accounts for its investment in S&amp;P/DJI using the equity method of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investment in S&amp;P/DJI was $948.7 million at December 31, 2013. The company has long-term exclusive licensing agreements with S&amp;P/DJI to list products based on the Standard &amp; Poor's Indices and on Dow Jones Indices.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August 2013, stated rate of 5.40%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December 31:</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391"/>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341"/>
        </w:trPr>
        <w:tc>
          <w:tcPr>
            <w:tcW w:w="8360" w:type="dxa"/>
            <w:vAlign w:val="bottom"/>
          </w:tcPr>
          <w:p>
            <w:pPr>
              <w:ind w:left="40"/>
              <w:spacing w:after="0"/>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8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660" w:right="38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2013:</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2015</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2017</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1,500.0</w:t>
            </w:r>
          </w:p>
        </w:tc>
      </w:tr>
    </w:tbl>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fixed rate notes due 2014, 2022 and 2043 were estimated using quoted market prices and are considered level 2 liabilities under the classification hierarchy for fair value measurements. The fair value of the fixed rate notes due 2018, which is considered a level 3 liability, was derived using a standard valuation model with market-based observable inputs including U.S. Treasury yields and interest rate spreads. For further information on the three-level classification hierarchy of fair value measurements, see note 19. At December 31, 2013, the fair values of the fixed rate notes by maturity date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754.0</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$612.5 million fixed rate notes due March 2018, stated rate of 4.40%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669.1</w:t>
            </w:r>
          </w:p>
        </w:tc>
      </w:tr>
      <w:tr>
        <w:trPr>
          <w:trHeight w:val="27"/>
        </w:trPr>
        <w:tc>
          <w:tcPr>
            <w:tcW w:w="7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791.4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INVESTMENTS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2012, the company entered into two forward-starting interest rate swap contracts, with an aggregate notional value of $1.5 billion, to hedge the risk of changes in underlying benchmark interest rates associated with the expected issuances of fixed rate debt. One of these swap contracts was settled in conjunction with the issuance of fixed rate debt in September 2012. The other swap contract was settled in conjunction with the issuance of the fixed rate debt in September 2013. The hedges were considered highly effective. The effective portion is included in other comprehensive income and is being amortized over the term of the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and location of outstanding derivative instruments in the consolidated balance sheet were as follows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pre-tax effect of derivative instruments on the consolidated statements of income as well as accumulated other comprehensive income (OCI) within the consolidated statements of comprehensive income and consolidated statements of shareholders' equity for the years ended December 31, 2013 and 2012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Gains (Losses)</w:t>
            </w:r>
          </w:p>
        </w:tc>
        <w:tc>
          <w:tcPr>
            <w:tcW w:w="2960" w:type="dxa"/>
            <w:vAlign w:val="bottom"/>
            <w:gridSpan w:val="6"/>
          </w:tcPr>
          <w:p>
            <w:pPr>
              <w:jc w:val="center"/>
              <w:ind w:left="603"/>
              <w:spacing w:after="0"/>
              <w:rPr>
                <w:sz w:val="20"/>
                <w:szCs w:val="20"/>
                <w:color w:val="auto"/>
              </w:rPr>
            </w:pPr>
            <w:r>
              <w:rPr>
                <w:rFonts w:ascii="Arial" w:cs="Arial" w:eastAsia="Arial" w:hAnsi="Arial"/>
                <w:sz w:val="14"/>
                <w:szCs w:val="14"/>
                <w:b w:val="1"/>
                <w:bCs w:val="1"/>
                <w:color w:val="auto"/>
                <w:w w:val="90"/>
              </w:rPr>
              <w:t>Gains (Losses) Reclassified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7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2012</w:t>
            </w:r>
          </w:p>
        </w:tc>
      </w:tr>
      <w:tr>
        <w:trPr>
          <w:trHeight w:val="219"/>
        </w:trPr>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128.8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1200" w:type="dxa"/>
            <w:vAlign w:val="bottom"/>
            <w:gridSpan w:val="3"/>
            <w:shd w:val="clear" w:color="auto" w:fill="CCEEFF"/>
          </w:tcPr>
          <w:p>
            <w:pPr>
              <w:jc w:val="right"/>
              <w:ind w:right="38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gridSpan w:val="3"/>
            <w:shd w:val="clear" w:color="auto" w:fill="CCEEFF"/>
          </w:tcPr>
          <w:p>
            <w:pPr>
              <w:jc w:val="right"/>
              <w:ind w:right="42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2013, the company expects to reclassify $1.4 million of net gains on derivative instruments from accumulated other comprehensive income to net income as a net reduction to interest expense during the next twelve months.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The company is subject to regulation under a wide variety of U.S., federal, state and foreign tax laws and regulations.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1,599.2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1,952.6</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1,601.0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1,693.4</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1,936.5</w:t>
            </w:r>
          </w:p>
        </w:tc>
      </w:tr>
      <w:tr>
        <w:trPr>
          <w:trHeight w:val="67"/>
        </w:trPr>
        <w:tc>
          <w:tcPr>
            <w:tcW w:w="65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644.0</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135.4</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37"/>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628.9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780.8</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300.2</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Income Tax Provision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622.9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122.1</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7040" w:type="dxa"/>
            <w:vAlign w:val="bottom"/>
            <w:gridSpan w:val="3"/>
          </w:tcPr>
          <w:p>
            <w:pPr>
              <w:spacing w:after="0"/>
              <w:rPr>
                <w:sz w:val="20"/>
                <w:szCs w:val="20"/>
                <w:color w:val="auto"/>
              </w:rPr>
            </w:pPr>
            <w:r>
              <w:rPr>
                <w:rFonts w:ascii="Arial" w:cs="Arial" w:eastAsia="Arial" w:hAnsi="Arial"/>
                <w:sz w:val="18"/>
                <w:szCs w:val="18"/>
                <w:color w:val="auto"/>
                <w:w w:val="92"/>
              </w:rPr>
              <w:t>Reconciliation of the statutory U.S. federal income tax rate to the effective tax rate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7"/>
        </w:trPr>
        <w:tc>
          <w:tcPr>
            <w:tcW w:w="6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6.3</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280" w:type="dxa"/>
            <w:vAlign w:val="bottom"/>
          </w:tcPr>
          <w:p>
            <w:pPr>
              <w:spacing w:after="0"/>
              <w:rPr>
                <w:sz w:val="21"/>
                <w:szCs w:val="21"/>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Deferred taxes associated with McGraw venture and CMA sale</w:t>
            </w:r>
          </w:p>
        </w:tc>
        <w:tc>
          <w:tcPr>
            <w:tcW w:w="280" w:type="dxa"/>
            <w:vAlign w:val="bottom"/>
          </w:tcPr>
          <w:p>
            <w:pPr>
              <w:spacing w:after="0"/>
              <w:rPr>
                <w:sz w:val="21"/>
                <w:szCs w:val="21"/>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2013, the effective tax rate was higher than the statutory tax rate due to changes in estimate of state and local income tax apportionment factors. The changes in estimate of state and local income tax apportionment factors significantly impacted the company’s deferred tax expense and expense related to uncertain tax positions. The increase in effective tax rate was partially offset by benefits accrued for the Section 199 Domestic Productions Activities Deduction (Section 199 deduction). The Section 199 deduction is related to certain functions performed by the company's electronic trading platforms. The benefits accrued include the 2013 estimated benefit as well as benefits accrued for prior periods in which tax returns have been filed claiming the deduction or are expected to be filed claiming the deduction.</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2012, the effective tax rate was higher than the statutory tax rate because of an increase to the income tax provision due to the establishment of deferred income tax liabilities associated with the McGraw venture.</w:t>
      </w:r>
    </w:p>
    <w:p>
      <w:pPr>
        <w:spacing w:after="0" w:line="17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In 2011, the effective tax rate was lower than the statutory tax rate because of a change in state tax apportionment which resulted in a reduction in the company's income tax provision largely due to a revaluation of its existing deferred income tax liabilities. Also in 2011, the company began marking to market its investment in BM&amp;FBOVESPA which resulted in a reduction in valuation allowances on other unrealized capital losses previously reserved.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Non-Current Deferred Income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benefit plans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on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gain on investment in BM&amp;FBOVESPA</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(7,523.6)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non-current deferred income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(7,575.7)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Non-Current Deferred Income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(7,413.3)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December 31, 2013 and 2012, the company had domestic and foreign income tax loss carry forwards of $117.3 million and $127.5 million, respectively. These amounts primarily related to losses from the acquisition of Swapstream Limited and its affiliates, the acquisition of Pivot, Inc., and losses incurred in the operation of various foreign entities. At December 31, 2013, the company also had net built-in, unrealized capital losses of $223.4 million. There were no net built-in, unrealized capital losses at December 31, 2012. At December 31, 2013 and 2012, the company determined that it was not more-likely-than-not that deferred income tax assets related to the acquisition of Swapstream Limited and its affiliates, other deferred income tax assets created from the start-up of various foreign operations and certain built-in losses will be fully realized. As a result, valuation allowances of $47.5 million and $24.8 million were recorded at December 31, 2013 and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183.3</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24.9</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r>
    </w:tbl>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does not believes it is reasonably possible that within the next twelve months, unrecognized domestic tax benefits will change by a significant amount.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2013, substantially all federal and state income tax matters had been concluded through 2007 and 2004,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181.6</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$154.8 million and $158.8 million at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121.3</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2" w:right="239" w:bottom="609" w:gutter="0" w:footer="0" w:header="0"/>
          <w:type w:val="continuous"/>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183.9</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At December 31, 2013 and 2012, the fair value of pension plan assets exceeded the projected benefit obligation by $17.9 million and $2.3 million, respectively. This excess was recorded as a non-current pension asset in other assets in the consolidated balance sheet.</w:t>
      </w:r>
    </w:p>
    <w:p>
      <w:pPr>
        <w:spacing w:after="0" w:line="14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2013 assumptions have been used to project the assets and liabilities from December 31, 2013 to December 31, 2014. The result of this projection is that estimated liabilities would exceed the fair value of the plan assets at December 31, 2014 by approximately $3.5 million. Accordingly, it is estimated that a $3.5 million contribution in 2014 will allow the company to meet its funding goal.</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13.4</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2013</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31.4%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30.8</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25.8</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30.8</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26.7</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4.7</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3.9</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16.0</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2014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pre-tax balance and activity of the prior service costs and actuarial losses for the pension plan, which are included in other comprehensive income (loss), for 2013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20" w:type="dxa"/>
            <w:vAlign w:val="bottom"/>
          </w:tcPr>
          <w:p>
            <w:pPr>
              <w:jc w:val="center"/>
              <w:ind w:left="381"/>
              <w:spacing w:after="0"/>
              <w:rPr>
                <w:sz w:val="20"/>
                <w:szCs w:val="20"/>
                <w:color w:val="auto"/>
              </w:rPr>
            </w:pPr>
            <w:r>
              <w:rPr>
                <w:rFonts w:ascii="Arial" w:cs="Arial" w:eastAsia="Arial" w:hAnsi="Arial"/>
                <w:sz w:val="14"/>
                <w:szCs w:val="14"/>
                <w:b w:val="1"/>
                <w:bCs w:val="1"/>
                <w:color w:val="auto"/>
                <w:w w:val="97"/>
              </w:rPr>
              <w:t>Prior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88"/>
              </w:rPr>
              <w:t>Service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87"/>
              </w:rPr>
              <w:t>Costs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Unrecognized net gain</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$1.1 million of actuarial loss and prior service costs from accumulated other comprehensive income (loss) into net periodic benefit costs in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2015</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2017</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2019-2023</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101.3</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$9.9 million, $8.9 million and $8.6 million in 2013, 2012 and 2011, respectively.</w:t>
      </w:r>
    </w:p>
    <w:p>
      <w:pPr>
        <w:spacing w:after="0" w:line="16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$49.6 million and $38.7 million at December 31, 2013 and 2012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retirement and benefit plan under the COMEX Members' Recognition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$0.8 million until it is fully funded. All benefits to be paid under the MRRP are based on reasonable actuarial assumptions which are based upon the amounts that are available and are expected to be available to pay benefits. Total contributions to the plan were $0.8 million for each the years 2011 through 2013. At December 31, 2013 and 2012, the obligation for the MRRP totaled $20.3 million and $22.7 million, respectively. Assets with a fair value of $19.2 million and $18.4 million have been allocated to this plan at December 31, 2013 and 2012, respectively, and are included in marketable securities and cash and cash equivalents in the consolidated balance sheets. The balances in these plans are subject to the claims of general creditors of COMEX.</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ind w:left="660" w:right="3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170" w:lineRule="exact"/>
        <w:rPr>
          <w:rFonts w:ascii="Arial" w:cs="Arial" w:eastAsia="Arial" w:hAnsi="Arial"/>
          <w:sz w:val="18"/>
          <w:szCs w:val="18"/>
          <w:color w:val="auto"/>
        </w:rPr>
      </w:pPr>
    </w:p>
    <w:p>
      <w:pPr>
        <w:ind w:left="660" w:right="74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January 2011, the company entered into an operating lease for office space in London. The initial lease term, which became effective on January 20, 2011, terminates on March 24, 2026, with an option to terminate without penalty in January 2021.</w:t>
      </w:r>
    </w:p>
    <w:p>
      <w:pPr>
        <w:spacing w:after="0" w:line="146" w:lineRule="exact"/>
        <w:rPr>
          <w:rFonts w:ascii="Arial" w:cs="Arial" w:eastAsia="Arial" w:hAnsi="Arial"/>
          <w:sz w:val="17"/>
          <w:szCs w:val="17"/>
          <w:color w:val="auto"/>
        </w:rPr>
      </w:pPr>
    </w:p>
    <w:p>
      <w:pPr>
        <w:ind w:left="660" w:right="60" w:hanging="328"/>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2017.</w:t>
      </w:r>
    </w:p>
    <w:p>
      <w:pPr>
        <w:spacing w:after="0" w:line="146" w:lineRule="exact"/>
        <w:rPr>
          <w:rFonts w:ascii="Arial" w:cs="Arial" w:eastAsia="Arial" w:hAnsi="Arial"/>
          <w:sz w:val="16"/>
          <w:szCs w:val="16"/>
          <w:color w:val="auto"/>
        </w:rPr>
      </w:pPr>
    </w:p>
    <w:p>
      <w:pPr>
        <w:ind w:left="660" w:right="20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August 2006, the company entered into an operating lease for additional office space in Chicago. The initial lease term, which became effective on August 10, 2006, terminates on November 30, 2023. The lease contains two 5-year renewal options beginning in 2023.</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263.1</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$50.5 million in 2013, $46.1 million in 2012 and $41.0 million in 2011.</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2013,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2015</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pacing w:after="0" w:line="1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 resulting in the rejection of all TRG’s claims completing the reexamination process. In January 2014, TRG appealed the decision of the USPTO. Based on its investigation to date and advice from legal counsel, the company believes this suit is without merit and intends to defend itself vigorously against these charges.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2009, Realtime Data LLC (Realtime) filed a complaint against CME Group and other exchanges alleging willful infringement of four patents which was later amended to add CBOT and NYMEX as defendants. Subsequently, two additional lawsuits were filed each adding a claim for the infringement of an additional patent. Both of these lawsuits were consolidated with the original action. Realtime is seeking a permanent injunction, enhanced damages, attorneys' fees and costs. In January 2014, the Court of Appeals for the Federal Circuit ruled in CME Group's favor and affirmed rulings of the Southern District of New York. Realtime filed a petition for a rehearing before the same panel of judges. Based on its investigation to date and advice from legal counsel, the company believes this suit is without merit and intends to defend itself vigorously against these charges.</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examinations by the USPTO in the Fifth Market and Garber matters, including any appeals thereof, to result in a determination of the validity of the patents at issue which we expect will have an impact on the merits of the matters. Given the uncertainty of the potential outcome of the re-examinations and the potential rehearing of the Realtime matter as well as other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On November 6, 2013, CME announced that it has reached an agreement in principle to resolve the class action litigation. In an agreement between the trustee and CME, CME will be allowed to assert a $29.0 million claim against MF Global based on expenses incurred by CME as a result of MF Global’s bankruptcy. In a separate agreement between CME and the customer representatives, CME has agreed to deliver $14.5 million, one-half of the distribution that it will receive from the trustee, to the customer representatives for distribution to MF Global’s former customers. The agreements are subject to court approval before they can become effective. In connection with the settlements between the company and the trustee and the customers, the company’s $550.0 million financial guarantee to the bankruptcy trustee to cover any shortfall in the bankruptcy will be extinguished. The company believes that the likelihood of payment to the trustee is very remote. As a result, the guarantee liability is estimated to be immaterial at December 31, 2013.</w:t>
      </w:r>
    </w:p>
    <w:p>
      <w:pPr>
        <w:spacing w:after="0" w:line="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February 2013, the CFTC filed suit against NYMEX and two former employees alleging disclosure of confidential customer information in violation of the Commodity Exchange Act. Based on the initial review of the complaint, the company believes that it has strong factual and legal defenses to the claim.</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2013 and 2012, the company had accrued $11.3 million and $13.2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2014.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letters of credit. At December 31, 2013, CME was contingently liable to SGX on irrevocable letters of credit totaling $395.0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the guarantee liability is immaterial and therefore has not recorded any liability at December 31, 2013.</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April 2012, the company established the Family Farmer and Rancher Protection Fund (the Fund). The Fund</w:t>
      </w:r>
      <w:r>
        <w:rPr>
          <w:rFonts w:ascii="Arial" w:cs="Arial" w:eastAsia="Arial" w:hAnsi="Arial"/>
          <w:sz w:val="17"/>
          <w:szCs w:val="17"/>
          <w:i w:val="1"/>
          <w:iCs w:val="1"/>
          <w:color w:val="auto"/>
        </w:rPr>
        <w:t xml:space="preserve"> </w:t>
      </w:r>
      <w:r>
        <w:rPr>
          <w:rFonts w:ascii="Arial" w:cs="Arial" w:eastAsia="Arial" w:hAnsi="Arial"/>
          <w:sz w:val="17"/>
          <w:szCs w:val="17"/>
          <w:color w:val="auto"/>
        </w:rPr>
        <w:t>is 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advance with the company and provide certain documentation in order to substantiate their eligibility. The company believes that its guarantee liability is immaterial and therefore has not recorded any liability at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NON-CONTROLLING INTEREST</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summarizes the changes in redeemable non-controlling interest for the years presented. Non-controlling interests that do not contain redemption features are presented in the statements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Allocation of stock-based compensation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Purchase of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2013, the company purchased the remaining 10% non-controlling interest in its business venture with Dow Jones for $80.0 million. Prior to the purchase, the company maintained a 24.4% interest in S&amp;P/DJI. As a result of the purchase of the non-controlling interest, the company's interest in S&amp;P/DJI increased to 27%. The company recognized a $165.6 million tax benefit through additional paid-in capital. The tax benefit was due to a reduction in deferred tax liabilities related to the tax basis in Index Holdings. The company also recognized a $2.3 million gain through additional paid-in capital related to the purchase of the non-controlling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333,852</w:t>
            </w:r>
          </w:p>
        </w:tc>
        <w:tc>
          <w:tcPr>
            <w:tcW w:w="1000" w:type="dxa"/>
            <w:vAlign w:val="bottom"/>
          </w:tcPr>
          <w:p>
            <w:pPr>
              <w:jc w:val="right"/>
              <w:spacing w:after="0"/>
              <w:rPr>
                <w:sz w:val="20"/>
                <w:szCs w:val="20"/>
                <w:color w:val="auto"/>
              </w:rPr>
            </w:pPr>
            <w:r>
              <w:rPr>
                <w:rFonts w:ascii="Arial" w:cs="Arial" w:eastAsia="Arial" w:hAnsi="Arial"/>
                <w:sz w:val="18"/>
                <w:szCs w:val="18"/>
                <w:color w:val="auto"/>
              </w:rPr>
              <w:t>331,832</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In May 2012, the company's board of directors declared a five-for-one split of its Class A common stock by way of a stock dividend to its Class A and Class B shareholders. The stock split was effective July 20, 2012 for all shareholders of record on July 10, 2012. As a result of the stock split, all amounts related to shares and earnings per share were retroactively restated. Since the par value of the class A common stock remained at $0.01 per share, the recorded value for class A common stock was retroactively adjusted to reflect the par value of total outstanding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the trading floors,</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Core Rights. </w:t>
      </w:r>
      <w:r>
        <w:rPr>
          <w:rFonts w:ascii="Arial" w:cs="Arial" w:eastAsia="Arial" w:hAnsi="Arial"/>
          <w:sz w:val="18"/>
          <w:szCs w:val="18"/>
          <w:color w:val="auto"/>
        </w:rPr>
        <w:t>Holders of CME Group Class B common shares have the right to approve changes in specified rights relating to the trading privileges at CME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those shares. These core rights relate primarily to trading right protections, certain trading fee protections and certain membership benefit protections. Votes on changes to these core rights are weighted</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83"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pacing w:after="0" w:line="176"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29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22.8 million shares have been granted and are outstanding or have been exercised under this plan at December 31, 2013 (note 17).</w:t>
      </w:r>
    </w:p>
    <w:p>
      <w:pPr>
        <w:spacing w:after="0" w:line="17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CBOT Holdings Long-Term Equity Incentive Plan. </w:t>
      </w:r>
      <w:r>
        <w:rPr>
          <w:rFonts w:ascii="Arial" w:cs="Arial" w:eastAsia="Arial" w:hAnsi="Arial"/>
          <w:sz w:val="18"/>
          <w:szCs w:val="18"/>
          <w:color w:val="auto"/>
        </w:rPr>
        <w:t>In connection with the merger with CBOT Holdings, CME Group assumed CBOT Holdings' 2005</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Equity Incentive Plan. Under the plan, stock-based awards may be made to certain directors, officers and other key employees or individuals. A total of 2.3 million shares have been reserved for awards under the plan. In connection with receiving shareholder approval to increase the amount of authorized shares under the Omnibus Stock Plan in May 2009, the company undertook to freeze future awards under this plan. As a result, 1.6 million shares that remained authorized for future awards under this plan were frozen.</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NYMEX Holdings Omnibus Long-Term Incentive Plan. </w:t>
      </w:r>
      <w:r>
        <w:rPr>
          <w:rFonts w:ascii="Arial" w:cs="Arial" w:eastAsia="Arial" w:hAnsi="Arial"/>
          <w:sz w:val="16"/>
          <w:szCs w:val="16"/>
          <w:color w:val="auto"/>
        </w:rPr>
        <w:t>In connection with the merger with NYMEX Holdings, CME Group assumed NYMEX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2006 Omnibus Long-Term Incentive Plan. Under the plan, stock-based awards may be made to any director, officer or employee of the company and other key individuals providing services to the company. A total of 5.0 million shares have been reserved for awards under the plan. In connection with receiving shareholder approval to increase the amount of authorized shares under the Omnibus Stock Plan in May 2009, the company undertook to freeze future awards under this plan. As a result, 3.5 million shares that remained authorized for future awards under this plan were frozen.</w:t>
      </w:r>
    </w:p>
    <w:p>
      <w:pPr>
        <w:spacing w:after="0" w:line="154"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261,000 shares have been awarded through December 31, 2013.</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177,000 shares have been purchased through December 31, 2013 (note 17).</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In May 2011, the board of directors authorized a share buyback program of up to $750.0 million of CME Group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over a 12 month period. During 2011, 4.0 million shares were purchased at an average price of $54 per share for a total cost of $220.4 million. This plan's authorization has expired.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PAYMENTS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22.8 million shares have been granted and are outstanding or have been exercised under the plan as of December 31, 2013. Awards granted before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51.3</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18.8</w:t>
            </w:r>
          </w:p>
        </w:tc>
      </w:tr>
    </w:tbl>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Excluding estimates of future forfeitures, at December 31, 2013, there was $91.8 million of total unrecognized compensation expense related to employee stock-based compensation arrangements that had not yet vested. This expense is expected to be recognized over a weighted average period of 2.1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Grant Year</w:t>
            </w:r>
          </w:p>
        </w:tc>
      </w:tr>
      <w:tr>
        <w:trPr>
          <w:trHeight w:val="264"/>
        </w:trPr>
        <w:tc>
          <w:tcPr>
            <w:tcW w:w="83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4.2%-4.5%</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40%-41%</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41%-42%</w:t>
            </w:r>
          </w:p>
        </w:tc>
      </w:tr>
      <w:tr>
        <w:trPr>
          <w:trHeight w:val="27"/>
        </w:trPr>
        <w:tc>
          <w:tcPr>
            <w:tcW w:w="8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0.8%-1.5%</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540" w:type="dxa"/>
            <w:vAlign w:val="bottom"/>
          </w:tcPr>
          <w:p>
            <w:pPr>
              <w:ind w:left="200"/>
              <w:spacing w:after="0"/>
              <w:rPr>
                <w:sz w:val="20"/>
                <w:szCs w:val="20"/>
                <w:color w:val="auto"/>
              </w:rPr>
            </w:pPr>
            <w:r>
              <w:rPr>
                <w:rFonts w:ascii="Arial" w:cs="Arial" w:eastAsia="Arial" w:hAnsi="Arial"/>
                <w:sz w:val="18"/>
                <w:szCs w:val="18"/>
                <w:color w:val="auto"/>
              </w:rPr>
              <w:t>5.0 to 6.2 years</w:t>
            </w:r>
          </w:p>
        </w:tc>
        <w:tc>
          <w:tcPr>
            <w:tcW w:w="1540" w:type="dxa"/>
            <w:vAlign w:val="bottom"/>
          </w:tcPr>
          <w:p>
            <w:pPr>
              <w:ind w:left="260"/>
              <w:spacing w:after="0"/>
              <w:rPr>
                <w:sz w:val="20"/>
                <w:szCs w:val="20"/>
                <w:color w:val="auto"/>
              </w:rPr>
            </w:pPr>
            <w:r>
              <w:rPr>
                <w:rFonts w:ascii="Arial" w:cs="Arial" w:eastAsia="Arial" w:hAnsi="Arial"/>
                <w:sz w:val="18"/>
                <w:szCs w:val="18"/>
                <w:color w:val="auto"/>
              </w:rPr>
              <w:t>5.6 to 6.2 years</w:t>
            </w: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dividend yield was calculated by dividing that year's expected dividends by the market price of the stock at the dates of grant. A weighting of implied and historical volatility was used to estimate expected future volatility. The risk-free interest rate was based on the U.S. Treasury yield in effect at the time of each grant. The expected life of options granted has been determined using the simplified method as outlined in guidance from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2013. Aggregate intrinsic value is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5,895,271</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(1,532,342)</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(171,335)</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4,191,594</w:t>
            </w: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2013</w:t>
            </w: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2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3,333,164</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weighted average grant date fair value of options granted during 2012 and 2011 was $13 and $19 per share, respectively. The total intrinsic value of options exercised during 2013, 2012 and 2011 was $35.3 million, $19.0 million and $4.2 million, respectively.</w:t>
      </w:r>
    </w:p>
    <w:p>
      <w:pPr>
        <w:spacing w:after="0" w:line="17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 2013, the company granted 799,978 shares of restricted Class A common stock and 4,984 shares of restricted stock units. Restricted common stock and restricted stock units generally have a vesting period of 2 to 4 years. The fair value related to these grants was $57.4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2013, the company also granted 143,134 performance shares. The fair value related to these grants was $10.4 million, which is recognized as compensation expense on an accelerated and straight-lined basis over the vesting period. The vesting of these shares is contingent on meeting stated performance or market conditions.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1,913,527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948,096</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(441,682)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(334,690)</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2,085,251</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2013, 2012 and 2011 was $31.9 million, $20.9 million and $11.6 million, respectively.</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2013, 2012 and 2011, a total of 18,632, 27,768 and 32,085 shares, respectively, of Class A common stock were issued to participating employees. These shares are subject to a six-month holding period. Annual expense of $0.1 million, $0.1 million and $0.2 million for the purchase discount was recognized in 2013, 2012 and 2011, respectively.</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Non-executive directors receive an annual award of Class A common stock with a value equal to $75,000. Non-executive directors may also elect to receive some or all of the cash portion of their annual stipend, up to $25,000, in shares of stock based on the closing price at the date of distribution. As a result, 27,168, 40,260 and 40,585 shares of Class A common stock were issued to non-executive directors during 2013, 2012 and 2011, respectively. These shares are not subject to any vesting restrictions. Expense of $2.1 million, $2.2 million and $2.1 million related to these stock-based payments was recognized for the years ended December 31, 2013,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84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6"/>
        </w:trPr>
        <w:tc>
          <w:tcPr>
            <w:tcW w:w="1020" w:type="dxa"/>
            <w:vAlign w:val="bottom"/>
            <w:tcBorders>
              <w:top w:val="single" w:sz="8" w:color="0000EE"/>
            </w:tcBorders>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100" w:type="dxa"/>
            <w:vAlign w:val="bottom"/>
            <w:vMerge w:val="restart"/>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25"/>
                <w:szCs w:val="25"/>
                <w:color w:val="auto"/>
                <w:vertAlign w:val="superscript"/>
              </w:rPr>
              <w:t>(1)</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gridSpan w:val="2"/>
            <w:vMerge w:val="continue"/>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at December 31, 2010</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second quarter of 2012, the company recognized an $18.4 million foreign currency translation loss related to the sale of Credit Market Analysis Ltd. (CMA) within 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of either 75% or 100%. Significant increases or decreases in any of those inputs in isolation would result in a significantly different fair value.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December 31, 2013 and 2012 were classified in their entirety based on the lowest level of input that was significant to each asset or liability's fair value measurement.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14" w:right="2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security</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at Fair Value: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There were no transfers of assets between level 1 and level 2 during 2013 and 2012. The following is a reconciliation of liabilities valued at fair value on a recurring basis using significant unobservable inputs (level 3) during 2013 and 2012. There were no assets valued at fair value on a recurring basis using significant unobservable inputs (level 3) during 2013 and 2012.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2012</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assets or liabilities valued at fair value on a nonrecurring basis using significant unobservable inputs (Level 3) during 2013 and 2012.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4,689</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976.8</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w w:val="95"/>
              </w:rPr>
              <w:t>Weighted Average Common Shares Outstanding (in thousands):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332,678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332,737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Effect of stock options and stock awards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334,398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52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Second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24"/>
                <w:szCs w:val="2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Year to Date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2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2013</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718.6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714.6</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687.0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2,936.3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405.5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400.5</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323.2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(16.2)</w:t>
            </w:r>
          </w:p>
        </w:tc>
        <w:tc>
          <w:tcPr>
            <w:tcW w:w="2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387.6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398.9</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307.0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235.8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311.2</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236.7</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193.1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0.71</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2012</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683.2</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660.9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451.2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469.2</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396.0</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375.6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(22.1)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433.4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510.7</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395.8</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353.5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166.8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0.74</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0.66</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 except for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2014, the company repaid the $750.0 million fixed rate notes due February 2014.</w:t>
      </w:r>
    </w:p>
    <w:p>
      <w:pPr>
        <w:sectPr>
          <w:pgSz w:w="11900" w:h="16838" w:orient="portrait"/>
          <w:cols w:equalWidth="0" w:num="1">
            <w:col w:w="11420"/>
          </w:cols>
          <w:pgMar w:left="240" w:top="122" w:right="239"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2" w:right="239" w:bottom="1068"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2013.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2013, our internal control over financial reporting is effective. The effectiveness of our internal control over financial reporting as of December 31, 2013 has been audited by Ernst &amp; Young LLP, an independent registered public accounting firm, as stated in the following report.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122" w:right="31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 and Subsidiaries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CME Group Inc. and subsidiaries as of December 31, 2013 and 2012, and the related consolidated statements of income, comprehensive income, shareholders' equity and cash flows for each of the three years in the period ended December 31, 2013. Our audit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subsidiaries at December 31, 2013 and 2012, and the consolidated results of their operations and their cash flows for each of the three years in the period ended December 31, 2013, in conformity with U.S. generally accepted accounting principles.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CME Group Inc. and subsidiaries’ internal control over financial reporting as of December 31, 2013, based on criteria established in Internal Control-Integrated Framework issued by the Committee of Sponsoring Organizations of the Treadway Commission (1992 framework) and our report dated February 28, 2014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 and Subsidiaries</w:t>
      </w:r>
    </w:p>
    <w:p>
      <w:pPr>
        <w:spacing w:after="0" w:line="121"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audited CME Group Inc. and subsidiaries’ internal control over financial reporting as of December 31, 2013, based on criteria established in Internal Control-Integrated Framework issued by the Committee of Sponsoring Organizations of the Treadway Commission (1992 framework) (the COSO criteria). CME Group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CME Group Inc. and subsidiaries maintained, in all material respects, effective internal control over financial reporting as of December 31, 2013, based on the COSO criteria.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CME Group Inc. and subsidiaries as of December 31, 2013 and 2012, and the related consolidated statements of income, comprehensive income, shareholders’ equity, and cash flows for each of the three years in the period end December 31, 2013 of CME Group Inc. and subsidiaries and our report dated February 28, 2014,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2013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3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written code of conduct applicable to all of our employees, including our Executive Chairman &amp; President, Chief Executive Officer, Chief Financial Officer, Chief Accounting Officer and other senior financial officers. In accordance with SEC rules and regulations, our Code of Conduct is available on our website at </w:t>
      </w:r>
      <w:r>
        <w:rPr>
          <w:rFonts w:ascii="Arial" w:cs="Arial" w:eastAsia="Arial" w:hAnsi="Arial"/>
          <w:sz w:val="17"/>
          <w:szCs w:val="17"/>
          <w:i w:val="1"/>
          <w:iCs w:val="1"/>
          <w:color w:val="auto"/>
        </w:rPr>
        <w:t>www.cmegroup.com</w:t>
      </w:r>
      <w:r>
        <w:rPr>
          <w:rFonts w:ascii="Arial" w:cs="Arial" w:eastAsia="Arial" w:hAnsi="Arial"/>
          <w:sz w:val="17"/>
          <w:szCs w:val="17"/>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21, 2014, to be filed by CME Group with the SEC pursuant to Regulation 14A within 120 days after December 31, 2013 (Proxy Statement). Additional information called for by this item is contained in Item 1 of this Annual Report on Form 10-K under the caption “Employees-Executive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121" w:right="27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2013 and 2012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2013, 2012 and 2011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2013, 2012 and 2011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2013, 2012 and 2011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2013, 2012 and 2011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against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year</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goodwill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8"/>
        </w:trPr>
        <w:tc>
          <w:tcPr>
            <w:tcW w:w="50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write-offs of doubtful accounts and reversals of deferred tax asset valuation allowances against accumulated other comprehensive income.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2" w:right="2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1048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Articles of Incorporation and Bylaws</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Fourth Amended and Restated Certificate of Incorporation of CME Group Inc. (incorporated by reference to Exhibit 3.1 to CME Group</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Inc.’s Current Report on Form 8-K, filed with the SEC on May 29, 2012, File No. 001-31553).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tcPr>
          <w:p>
            <w:pPr>
              <w:ind w:left="620"/>
              <w:spacing w:after="0"/>
              <w:rPr>
                <w:sz w:val="20"/>
                <w:szCs w:val="20"/>
                <w:color w:val="auto"/>
              </w:rPr>
            </w:pPr>
            <w:r>
              <w:rPr>
                <w:rFonts w:ascii="Arial" w:cs="Arial" w:eastAsia="Arial" w:hAnsi="Arial"/>
                <w:sz w:val="18"/>
                <w:szCs w:val="18"/>
                <w:color w:val="auto"/>
                <w:w w:val="91"/>
              </w:rPr>
              <w:t>Tenth Amended and Restated Bylaws of CME Group Inc. (incorporated by reference to Exhibit 3.1 to CME Group Inc.’s Current Report</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on Form 8-K, filed with the SEC on April 23, 2013, File No. 001-31553).</w:t>
            </w:r>
          </w:p>
        </w:tc>
      </w:tr>
      <w:tr>
        <w:trPr>
          <w:trHeight w:val="392"/>
        </w:trPr>
        <w:tc>
          <w:tcPr>
            <w:tcW w:w="86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1048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Instruments Defining the Rights of Security Holders</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Commercial Paper Dealer Agreement, dated as of August 16, 2007, among CME Group Inc., as Issuer, and Lehman Brothers Inc., as</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9"/>
              </w:rPr>
              <w:t>Dealer (subsequently assigned to Barclays Capital Inc. in connection with the bankruptcy of Lehman Brothers Holdings Inc.)</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6"/>
              </w:rPr>
              <w:t>(incorporated by reference to Exhibit 4.2 to CME Group Inc.’s Form 10-Q, filed with the SEC on November 8, 2007, File No. 000-</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33379).</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Issuing and Paying Agency Agreement, dated as of August 16, 2007, between CME Group Inc. and JPMorgan Chase Bank, National</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Association, as Issuing and Paying Agent (incorporated by reference to Exhibit 4.3 to CME Group Inc.’s Form 10-Q, filed with the SEC</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on November 8, 2007, File No. 000-33379).</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4.3</w:t>
            </w:r>
          </w:p>
        </w:tc>
        <w:tc>
          <w:tcPr>
            <w:tcW w:w="10480" w:type="dxa"/>
            <w:vAlign w:val="bottom"/>
          </w:tcPr>
          <w:p>
            <w:pPr>
              <w:ind w:left="6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Banc of America Securities</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5"/>
              </w:rPr>
              <w:t>LLC, as Dealer (incorporated by reference to Exhibit 10.1 to CME Group Inc.’s Current Report on Form 8-K, filed with the SEC on</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August 26, 2008, File No. 001-31553).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0480" w:type="dxa"/>
            <w:vAlign w:val="bottom"/>
          </w:tcPr>
          <w:p>
            <w:pPr>
              <w:ind w:left="620"/>
              <w:spacing w:after="0"/>
              <w:rPr>
                <w:sz w:val="20"/>
                <w:szCs w:val="20"/>
                <w:color w:val="auto"/>
              </w:rPr>
            </w:pPr>
            <w:r>
              <w:rPr>
                <w:rFonts w:ascii="Arial" w:cs="Arial" w:eastAsia="Arial" w:hAnsi="Arial"/>
                <w:sz w:val="18"/>
                <w:szCs w:val="18"/>
                <w:color w:val="auto"/>
                <w:w w:val="90"/>
              </w:rPr>
              <w:t>Commercial Paper Dealer Agreement, dated as of August 22, 2008, between CME Group Inc., as Issuer, and Goldman, Sachs &amp; Co., as</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Dealer (incorporated by reference to Exhibit 10.2 to CME Group Inc.’s Current Report on Form 8-K, filed with the SEC on August 26,</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2008, File No. 001-31553).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4.5</w:t>
            </w: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Indenture, dated August 12, 2008, between CME Group Inc. and U.S. Bank National Association (incorporated by reference to Exhibit</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4.6</w:t>
            </w: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Fourth Supplemental Indenture (including the form of 5.75% note due 2014), dated February 9, 2009, between CME Group Inc. and</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U.S. Bank National Association (incorporated by reference to Exhibit 4.2 to CME Group Inc.’s Current Report on Form 8-K, filed with</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the SEC on February 9, 2009, File No. 001-31553).</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4.7</w:t>
            </w: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Fifth Supplemental Indenture (including the form of 3.00% note due 2022), dated September 10, 2012, between CME Group Inc. and</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U.S. Bank National Association (incorporated by reference to Exhibit 4.2 to CME Group Inc.'s Current Report on Form 8-K, filed with</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the SEC on September 10, 2012, File No. 001-31553).</w:t>
            </w: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4.8</w:t>
            </w:r>
          </w:p>
        </w:tc>
        <w:tc>
          <w:tcPr>
            <w:tcW w:w="10480" w:type="dxa"/>
            <w:vAlign w:val="bottom"/>
          </w:tcPr>
          <w:p>
            <w:pPr>
              <w:ind w:left="620"/>
              <w:spacing w:after="0"/>
              <w:rPr>
                <w:sz w:val="20"/>
                <w:szCs w:val="20"/>
                <w:color w:val="auto"/>
              </w:rPr>
            </w:pPr>
            <w:r>
              <w:rPr>
                <w:rFonts w:ascii="Arial" w:cs="Arial" w:eastAsia="Arial" w:hAnsi="Arial"/>
                <w:sz w:val="18"/>
                <w:szCs w:val="18"/>
                <w:color w:val="auto"/>
                <w:w w:val="91"/>
              </w:rPr>
              <w:t>Sixth Supplemental Indenture (including the form of 5.300% note due 2043), dated as of September 9, 2013, between CME Group Inc.</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3"/>
              </w:rPr>
              <w:t>and U.S. Bank National Association (incorporated by reference to Exhibit 4.2 to CME Group Inc.'s Current Report on Form 8-K, filed</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with the SEC on September 9. 2013, File No. 001-31553).</w:t>
            </w:r>
          </w:p>
        </w:tc>
      </w:tr>
      <w:tr>
        <w:trPr>
          <w:trHeight w:val="472"/>
        </w:trPr>
        <w:tc>
          <w:tcPr>
            <w:tcW w:w="860" w:type="dxa"/>
            <w:vAlign w:val="bottom"/>
          </w:tcPr>
          <w:p>
            <w:pPr>
              <w:spacing w:after="0"/>
              <w:rPr>
                <w:sz w:val="20"/>
                <w:szCs w:val="20"/>
                <w:color w:val="auto"/>
              </w:rPr>
            </w:pPr>
            <w:r>
              <w:rPr>
                <w:rFonts w:ascii="Arial" w:cs="Arial" w:eastAsia="Arial" w:hAnsi="Arial"/>
                <w:sz w:val="18"/>
                <w:szCs w:val="18"/>
                <w:color w:val="auto"/>
              </w:rPr>
              <w:t>4.9</w:t>
            </w:r>
          </w:p>
        </w:tc>
        <w:tc>
          <w:tcPr>
            <w:tcW w:w="10480" w:type="dxa"/>
            <w:vAlign w:val="bottom"/>
          </w:tcPr>
          <w:p>
            <w:pPr>
              <w:ind w:left="620"/>
              <w:spacing w:after="0"/>
              <w:rPr>
                <w:sz w:val="20"/>
                <w:szCs w:val="20"/>
                <w:color w:val="auto"/>
              </w:rPr>
            </w:pPr>
            <w:r>
              <w:rPr>
                <w:rFonts w:ascii="Arial" w:cs="Arial" w:eastAsia="Arial" w:hAnsi="Arial"/>
                <w:sz w:val="18"/>
                <w:szCs w:val="18"/>
                <w:color w:val="auto"/>
                <w:w w:val="92"/>
              </w:rPr>
              <w:t>Indenture (including the form of 4.40% note due 2018), dated March 18, 2010, between CME Group Index Services LLC, CME Group</w:t>
            </w:r>
          </w:p>
        </w:tc>
      </w:tr>
      <w:tr>
        <w:trPr>
          <w:trHeight w:val="216"/>
        </w:trPr>
        <w:tc>
          <w:tcPr>
            <w:tcW w:w="860" w:type="dxa"/>
            <w:vAlign w:val="bottom"/>
          </w:tcPr>
          <w:p>
            <w:pPr>
              <w:spacing w:after="0"/>
              <w:rPr>
                <w:sz w:val="18"/>
                <w:szCs w:val="18"/>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w w:val="94"/>
              </w:rPr>
              <w:t>Inc. and U.S. Bank National Association (incorporated by reference to Exhibit 4.1 to CME Group Inc.’s Current Report on Form 8-K,</w:t>
            </w:r>
          </w:p>
        </w:tc>
      </w:tr>
      <w:tr>
        <w:trPr>
          <w:trHeight w:val="230"/>
        </w:trPr>
        <w:tc>
          <w:tcPr>
            <w:tcW w:w="860" w:type="dxa"/>
            <w:vAlign w:val="bottom"/>
          </w:tcPr>
          <w:p>
            <w:pPr>
              <w:spacing w:after="0"/>
              <w:rPr>
                <w:sz w:val="20"/>
                <w:szCs w:val="20"/>
                <w:color w:val="auto"/>
              </w:rPr>
            </w:pPr>
          </w:p>
        </w:tc>
        <w:tc>
          <w:tcPr>
            <w:tcW w:w="10480" w:type="dxa"/>
            <w:vAlign w:val="bottom"/>
          </w:tcPr>
          <w:p>
            <w:pPr>
              <w:ind w:left="620"/>
              <w:spacing w:after="0"/>
              <w:rPr>
                <w:sz w:val="20"/>
                <w:szCs w:val="20"/>
                <w:color w:val="auto"/>
              </w:rPr>
            </w:pPr>
            <w:r>
              <w:rPr>
                <w:rFonts w:ascii="Arial" w:cs="Arial" w:eastAsia="Arial" w:hAnsi="Arial"/>
                <w:sz w:val="18"/>
                <w:szCs w:val="18"/>
                <w:color w:val="auto"/>
              </w:rPr>
              <w:t>filed with the SEC on March 23, 2010, File No. 001-31553).</w:t>
            </w:r>
          </w:p>
        </w:tc>
      </w:tr>
    </w:tbl>
    <w:p>
      <w:pPr>
        <w:spacing w:after="0" w:line="377" w:lineRule="exact"/>
        <w:rPr>
          <w:sz w:val="20"/>
          <w:szCs w:val="20"/>
          <w:color w:val="auto"/>
        </w:rPr>
      </w:pPr>
    </w:p>
    <w:p>
      <w:pPr>
        <w:ind w:left="1520" w:hanging="1485"/>
        <w:spacing w:after="0"/>
        <w:tabs>
          <w:tab w:leader="none" w:pos="15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jc w:val="right"/>
              <w:ind w:right="390"/>
              <w:spacing w:after="0"/>
              <w:rPr>
                <w:sz w:val="20"/>
                <w:szCs w:val="20"/>
                <w:color w:val="auto"/>
              </w:rPr>
            </w:pPr>
            <w:r>
              <w:rPr>
                <w:rFonts w:ascii="Arial" w:cs="Arial" w:eastAsia="Arial" w:hAnsi="Arial"/>
                <w:sz w:val="18"/>
                <w:szCs w:val="18"/>
                <w:color w:val="auto"/>
                <w:w w:val="87"/>
              </w:rPr>
              <w:t>10.1(1)</w:t>
            </w:r>
          </w:p>
        </w:tc>
        <w:tc>
          <w:tcPr>
            <w:tcW w:w="10300" w:type="dxa"/>
            <w:vAlign w:val="bottom"/>
          </w:tcPr>
          <w:p>
            <w:pPr>
              <w:ind w:left="480"/>
              <w:spacing w:after="0"/>
              <w:rPr>
                <w:sz w:val="20"/>
                <w:szCs w:val="20"/>
                <w:color w:val="auto"/>
              </w:rPr>
            </w:pPr>
            <w:r>
              <w:rPr>
                <w:rFonts w:ascii="Arial" w:cs="Arial" w:eastAsia="Arial" w:hAnsi="Arial"/>
                <w:sz w:val="18"/>
                <w:szCs w:val="18"/>
                <w:color w:val="auto"/>
                <w:w w:val="93"/>
              </w:rPr>
              <w:t>CME Group Inc. Amended and Restated Omnibus Stock Plan, amended and restated effective as of May 23, 2012 (incorporated by</w:t>
            </w:r>
          </w:p>
        </w:tc>
      </w:tr>
      <w:tr>
        <w:trPr>
          <w:trHeight w:val="216"/>
        </w:trPr>
        <w:tc>
          <w:tcPr>
            <w:tcW w:w="1000" w:type="dxa"/>
            <w:vAlign w:val="bottom"/>
          </w:tcPr>
          <w:p>
            <w:pPr>
              <w:spacing w:after="0"/>
              <w:rPr>
                <w:sz w:val="18"/>
                <w:szCs w:val="18"/>
                <w:color w:val="auto"/>
              </w:rPr>
            </w:pPr>
          </w:p>
        </w:tc>
        <w:tc>
          <w:tcPr>
            <w:tcW w:w="10300" w:type="dxa"/>
            <w:vAlign w:val="bottom"/>
          </w:tcPr>
          <w:p>
            <w:pPr>
              <w:ind w:left="480"/>
              <w:spacing w:after="0"/>
              <w:rPr>
                <w:sz w:val="20"/>
                <w:szCs w:val="20"/>
                <w:color w:val="auto"/>
              </w:rPr>
            </w:pPr>
            <w:r>
              <w:rPr>
                <w:rFonts w:ascii="Arial" w:cs="Arial" w:eastAsia="Arial" w:hAnsi="Arial"/>
                <w:sz w:val="18"/>
                <w:szCs w:val="18"/>
                <w:color w:val="auto"/>
                <w:w w:val="93"/>
              </w:rPr>
              <w:t>reference to Exhibit 10.1 to CME Group Inc.’s Form 8-K, filed with the SEC on May 29, 2012, File No. 001-31553); First Amendment</w:t>
            </w:r>
          </w:p>
        </w:tc>
      </w:tr>
      <w:tr>
        <w:trPr>
          <w:trHeight w:val="216"/>
        </w:trPr>
        <w:tc>
          <w:tcPr>
            <w:tcW w:w="1000" w:type="dxa"/>
            <w:vAlign w:val="bottom"/>
          </w:tcPr>
          <w:p>
            <w:pPr>
              <w:spacing w:after="0"/>
              <w:rPr>
                <w:sz w:val="18"/>
                <w:szCs w:val="18"/>
                <w:color w:val="auto"/>
              </w:rPr>
            </w:pPr>
          </w:p>
        </w:tc>
        <w:tc>
          <w:tcPr>
            <w:tcW w:w="10300" w:type="dxa"/>
            <w:vAlign w:val="bottom"/>
          </w:tcPr>
          <w:p>
            <w:pPr>
              <w:ind w:left="480"/>
              <w:spacing w:after="0"/>
              <w:rPr>
                <w:sz w:val="20"/>
                <w:szCs w:val="20"/>
                <w:color w:val="auto"/>
              </w:rPr>
            </w:pPr>
            <w:r>
              <w:rPr>
                <w:rFonts w:ascii="Arial" w:cs="Arial" w:eastAsia="Arial" w:hAnsi="Arial"/>
                <w:sz w:val="18"/>
                <w:szCs w:val="18"/>
                <w:color w:val="auto"/>
                <w:w w:val="90"/>
              </w:rPr>
              <w:t>to the Amended and Restated Omnibus Stock Plan, effective as of December 5, 2012 (incorporated by reference to Exhibit 10.1 to CME</w:t>
            </w:r>
          </w:p>
        </w:tc>
      </w:tr>
      <w:tr>
        <w:trPr>
          <w:trHeight w:val="230"/>
        </w:trPr>
        <w:tc>
          <w:tcPr>
            <w:tcW w:w="1000" w:type="dxa"/>
            <w:vAlign w:val="bottom"/>
          </w:tcPr>
          <w:p>
            <w:pPr>
              <w:spacing w:after="0"/>
              <w:rPr>
                <w:sz w:val="20"/>
                <w:szCs w:val="20"/>
                <w:color w:val="auto"/>
              </w:rPr>
            </w:pPr>
          </w:p>
        </w:tc>
        <w:tc>
          <w:tcPr>
            <w:tcW w:w="10300" w:type="dxa"/>
            <w:vAlign w:val="bottom"/>
          </w:tcPr>
          <w:p>
            <w:pPr>
              <w:ind w:left="480"/>
              <w:spacing w:after="0"/>
              <w:rPr>
                <w:sz w:val="20"/>
                <w:szCs w:val="20"/>
                <w:color w:val="auto"/>
              </w:rPr>
            </w:pPr>
            <w:r>
              <w:rPr>
                <w:rFonts w:ascii="Arial" w:cs="Arial" w:eastAsia="Arial" w:hAnsi="Arial"/>
                <w:sz w:val="18"/>
                <w:szCs w:val="18"/>
                <w:color w:val="auto"/>
              </w:rPr>
              <w:t>Group Inc.'s Form 10-K, filed with the SEC on February 28, 2013, File No. 001-31553).</w:t>
            </w:r>
          </w:p>
        </w:tc>
      </w:tr>
      <w:tr>
        <w:trPr>
          <w:trHeight w:val="377"/>
        </w:trPr>
        <w:tc>
          <w:tcPr>
            <w:tcW w:w="1000" w:type="dxa"/>
            <w:vAlign w:val="bottom"/>
          </w:tcPr>
          <w:p>
            <w:pPr>
              <w:jc w:val="right"/>
              <w:ind w:right="390"/>
              <w:spacing w:after="0"/>
              <w:rPr>
                <w:sz w:val="20"/>
                <w:szCs w:val="20"/>
                <w:color w:val="auto"/>
              </w:rPr>
            </w:pPr>
            <w:r>
              <w:rPr>
                <w:rFonts w:ascii="Arial" w:cs="Arial" w:eastAsia="Arial" w:hAnsi="Arial"/>
                <w:sz w:val="18"/>
                <w:szCs w:val="18"/>
                <w:color w:val="auto"/>
                <w:w w:val="87"/>
              </w:rPr>
              <w:t>10.2(1)</w:t>
            </w:r>
          </w:p>
        </w:tc>
        <w:tc>
          <w:tcPr>
            <w:tcW w:w="10300" w:type="dxa"/>
            <w:vAlign w:val="bottom"/>
          </w:tcPr>
          <w:p>
            <w:pPr>
              <w:ind w:left="480"/>
              <w:spacing w:after="0"/>
              <w:rPr>
                <w:sz w:val="20"/>
                <w:szCs w:val="20"/>
                <w:color w:val="auto"/>
              </w:rPr>
            </w:pPr>
            <w:r>
              <w:rPr>
                <w:rFonts w:ascii="Arial" w:cs="Arial" w:eastAsia="Arial" w:hAnsi="Arial"/>
                <w:sz w:val="18"/>
                <w:szCs w:val="18"/>
                <w:color w:val="auto"/>
                <w:w w:val="95"/>
              </w:rPr>
              <w:t>Form of Equity Grant Letter for Executive Officers (incorporated by reference to Exhibit 10.2 to CME Group Inc.'s Form 10-K, filed</w:t>
            </w:r>
          </w:p>
        </w:tc>
      </w:tr>
      <w:tr>
        <w:trPr>
          <w:trHeight w:val="230"/>
        </w:trPr>
        <w:tc>
          <w:tcPr>
            <w:tcW w:w="1000" w:type="dxa"/>
            <w:vAlign w:val="bottom"/>
          </w:tcPr>
          <w:p>
            <w:pPr>
              <w:spacing w:after="0"/>
              <w:rPr>
                <w:sz w:val="20"/>
                <w:szCs w:val="20"/>
                <w:color w:val="auto"/>
              </w:rPr>
            </w:pPr>
          </w:p>
        </w:tc>
        <w:tc>
          <w:tcPr>
            <w:tcW w:w="10300" w:type="dxa"/>
            <w:vAlign w:val="bottom"/>
          </w:tcPr>
          <w:p>
            <w:pPr>
              <w:ind w:left="480"/>
              <w:spacing w:after="0"/>
              <w:rPr>
                <w:sz w:val="20"/>
                <w:szCs w:val="20"/>
                <w:color w:val="auto"/>
              </w:rPr>
            </w:pPr>
            <w:r>
              <w:rPr>
                <w:rFonts w:ascii="Arial" w:cs="Arial" w:eastAsia="Arial" w:hAnsi="Arial"/>
                <w:sz w:val="18"/>
                <w:szCs w:val="18"/>
                <w:color w:val="auto"/>
              </w:rPr>
              <w:t>with the SEC on February 28, 2013, File No. 001-31553).</w:t>
            </w: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40" w:top="121" w:right="27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60"/>
              <w:spacing w:after="0"/>
              <w:rPr>
                <w:sz w:val="20"/>
                <w:szCs w:val="20"/>
                <w:color w:val="auto"/>
              </w:rPr>
            </w:pPr>
            <w:r>
              <w:rPr>
                <w:rFonts w:ascii="Arial" w:cs="Arial" w:eastAsia="Arial" w:hAnsi="Arial"/>
                <w:sz w:val="14"/>
                <w:szCs w:val="14"/>
                <w:b w:val="1"/>
                <w:bCs w:val="1"/>
                <w:color w:val="auto"/>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10.3(1)</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Form of equity grant letter for performance based shares based on specific Company initiatives (incorporated by reference to Exhibit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10.7 to CME Group Inc.'s Form 10-Q, filed with the SEC on August 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Form of equity grant letter for annual grant of performance shares (incorporated by reference to Exhibit 10.4 to CME Group Inc.'s Form</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10-K, 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CME Group Inc. 2005 Director Stock Plan, amended and restated effective as of May 13, 2009 (incorporated by reference to Exhibit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10.2 to CME Group Inc.'s Current Report on Form 8-K, filed with the SEC on May 18,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Form of Equity Stipend Grant Letter for Non-Executive Directors (incorporated by reference to Exhibit 10.4 to CME Group Inc.'s Form</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10-K, filed with the SEC on February 26, 2010,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10.7(1)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CME Group Inc.'s Amended and Restated Employee Stock Purchase Plan, amended and restated as of May 23, 2012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reference to Exhibit 10.2 to CME Group Inc.'s Form 8-K, filed with the SEC on May 29, 2012, File No. 001-31553; First Amendment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the Amended and Restated Employee Stock Purchase Plan, effective as of December 5, 2012 (incorporated by reference to Exhibit 10.7</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to CME Group Inc.'s Form 10-K, filed with the SEC on February 28, 2013, File No. 001-31553).</w:t>
            </w:r>
          </w:p>
        </w:tc>
        <w:tc>
          <w:tcPr>
            <w:tcW w:w="0" w:type="dxa"/>
            <w:vAlign w:val="bottom"/>
          </w:tcPr>
          <w:p>
            <w:pPr>
              <w:spacing w:after="0"/>
              <w:rPr>
                <w:sz w:val="1"/>
                <w:szCs w:val="1"/>
                <w:color w:val="auto"/>
              </w:rPr>
            </w:pPr>
          </w:p>
        </w:tc>
      </w:tr>
      <w:tr>
        <w:trPr>
          <w:trHeight w:val="593"/>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Amended and Restated CBOT Holdings, Inc. 2005 Long-Term Equity Plan, amended and restated as of December 31, 2008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10.6 to CME Group Inc.'s Form 10-K, filed with the SEC on March 2,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Amended and Restated NYMEX Holdings, Inc. 2006 Omnibus Long-Term Incentive Plan, amended and restated as of December 31,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2008 (incorporated by reference to Exhibit 10.7 to CME Group Inc.'s Form 10-K, filed with the SEC on March 2, 2009,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Chicago Mercantile Exchange Inc. Senior Management Supplemental Deferred Savings Plan (SMSDSP) consisting of the Grandfathered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SMSDSP, amended and restated as of January 1, 2008, and the Amended and Restated 409A SMSDSP, amended and restated as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January 1, 2008 (incorporated by reference to Exhibit 10.7 to CME Group Inc.'s Form 10-K, filed with the SEC on February 28, 2008,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Amended and Restated Chicago Mercantile Exchange Inc. Directors' Deferred Compensation Plan, amended and restated as of January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1, 2009 (incorporated by reference to Exhibit 10.9 to CME Group Inc.'s Form 10-K, filed with the SEC on March 2, 2009,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Chicago Mercantile Exchange Inc. Supplemental Executive Retirement Plan consisting of the Grandfathered Supplemental Retirement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Plan, amended and restated as of January 1, 2008, and the Amended and Restated 409A Supplemental Executive Retirement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amended and restated as of January 1, 2008 (incorporated by reference to Exhibit 10.9 to CME Group Inc.'s Form 10-K, filed with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on February 28, 2008, 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Chicago Mercantile Exchange Inc. Supplemental Executive Retirement Trust; First Amendment thereto, dated September 7, 1993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by reference to Exhibit 10.5 to Chicago Mercantile Exchange Inc.'s Form S-4, filed with the SEC on February 24, 2000,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File No. 333-95561); Second Amendment to Chicago Mercantile Exchange Inc. Senior Management Supplemental Deferred Savings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Plan, executed as of April 25, 2011 (incorporated by reference to Exhibit 10.4 to CME Group Inc.'s Form 10-Q, filed with the SEC on</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5, 2011, File No. 001-31553).</w:t>
            </w:r>
          </w:p>
        </w:tc>
        <w:tc>
          <w:tcPr>
            <w:tcW w:w="0" w:type="dxa"/>
            <w:vAlign w:val="bottom"/>
          </w:tcPr>
          <w:p>
            <w:pPr>
              <w:spacing w:after="0"/>
              <w:rPr>
                <w:sz w:val="1"/>
                <w:szCs w:val="1"/>
                <w:color w:val="auto"/>
              </w:rPr>
            </w:pPr>
          </w:p>
        </w:tc>
      </w:tr>
      <w:tr>
        <w:trPr>
          <w:trHeight w:val="593"/>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Recognition and Retention Plan for Members of the COMEX Division of New York Mercantile Exchange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10.11 to NYMEX Holdings, Inc.'s Form 10-K, filed with the SEC on March 29, 2001, File No. 333-30332).</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10.15(1)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CME Group Inc. Incentive Plan for Named Executive Officers (incorporated by reference to Exhibit 10.3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CME Group Inc.'s Current Report on Form 8-K, filed with the SEC on May 18, 2009, File No. 001-31553); Amendment, effective as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February 2, 2010 (incorporated by reference to Exhibit 10.14 to CME Group Inc.'s Form 10-K, filed with the SEC on February 26, 2010,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File No. 001-31553); Second Amendment to the Amended and Restated CME Group Inc. Annual Incentive Plan for Named Executive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executed as of April 25, 2011 (incorporated by reference to Exhibit 10.5 to CME Group Inc.'s Form 10-Q, filed with the SEC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August 5, 2011, File No. 001-31553).</w:t>
            </w:r>
          </w:p>
        </w:tc>
        <w:tc>
          <w:tcPr>
            <w:tcW w:w="0" w:type="dxa"/>
            <w:vAlign w:val="bottom"/>
          </w:tcPr>
          <w:p>
            <w:pPr>
              <w:spacing w:after="0"/>
              <w:rPr>
                <w:sz w:val="1"/>
                <w:szCs w:val="1"/>
                <w:color w:val="auto"/>
              </w:rPr>
            </w:pPr>
          </w:p>
        </w:tc>
      </w:tr>
      <w:tr>
        <w:trPr>
          <w:trHeight w:val="593"/>
        </w:trPr>
        <w:tc>
          <w:tcPr>
            <w:tcW w:w="1020" w:type="dxa"/>
            <w:vAlign w:val="bottom"/>
          </w:tcPr>
          <w:p>
            <w:pPr>
              <w:ind w:left="40"/>
              <w:spacing w:after="0"/>
              <w:rPr>
                <w:sz w:val="20"/>
                <w:szCs w:val="20"/>
                <w:color w:val="auto"/>
              </w:rPr>
            </w:pPr>
            <w:r>
              <w:rPr>
                <w:rFonts w:ascii="Arial" w:cs="Arial" w:eastAsia="Arial" w:hAnsi="Arial"/>
                <w:sz w:val="18"/>
                <w:szCs w:val="18"/>
                <w:color w:val="auto"/>
                <w:w w:val="99"/>
              </w:rPr>
              <w:t>10.16(1)(2)*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CME Group Inc. Severance Plan for Eligible Executives, amended and restated effective January 1, 2013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10.17 to CME Group Inc.'s Form 10-K, 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w w:val="99"/>
              </w:rPr>
              <w:t>10.17(1)(2)*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CME Group Inc. Severance Plan, amended and restated effective January 1, 2013 (incorporated by reference to Exhibit 10.18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Group Inc.'s Form 10-K, filed with the SEC on February 28, 2013, File No. 001-31553).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14"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60"/>
              <w:spacing w:after="0"/>
              <w:rPr>
                <w:sz w:val="20"/>
                <w:szCs w:val="20"/>
                <w:color w:val="auto"/>
              </w:rPr>
            </w:pPr>
            <w:r>
              <w:rPr>
                <w:rFonts w:ascii="Arial" w:cs="Arial" w:eastAsia="Arial" w:hAnsi="Arial"/>
                <w:sz w:val="14"/>
                <w:szCs w:val="14"/>
                <w:b w:val="1"/>
                <w:bCs w:val="1"/>
                <w:color w:val="auto"/>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ind w:left="4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10.18(1)</w:t>
            </w: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Amended Agreement, effective as of February 5, 2014, between CME Group Inc. and Terrence A. Duffy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10.1 to CME Group Inc.'s Form 8-K, filed with the SEC on February 11,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10.19(1)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Amended Agreement, effective as of February 5, 2014, between CME Group Inc. and Phupinder S. Gill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10.2 to CME Group Inc.'s Form 8-K, filed with the SEC on February 11,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10.20(1)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by reference to Exhibit 10.28 to Chicago Mercantile Exchange Holdings Inc.'s Form 10-K filed with the SEC on March 6, 2006, File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No. 000-33379); Amendment, dated as of June 21, 2012 (incorporated by reference to Exhibit 10.4 to CME Group Inc.'s Form 10-Q,</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Consulting Agreement between John F. Sandner and Chicago Mercantile Exchange Holdings Inc., dated October 10,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by reference to Exhibit 10.4 to Chicago Mercantile Exchange Holdings Inc.'s Form 10-Q, filed with the SEC on November 4, 2005, File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No. 000-33379); Amendment, dated November 30, 2012 (incorporated by reference to Exhibit 10.23 to CME Group Inc.'s Form 10-K,</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10.23(3)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License Agreement, dated June 29, 2012, between Standard &amp; Poor's Financial Services LLC and Chicago Mercantile Exchange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10.6 to CME Group Inc.'s Form 10-Q, filed 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10.24(3)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Amended and Restated Index License Agreement, between CME Group Index Services LLC and the Board of Trade of the City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Chicago, Inc., effective as of July 1, 2011 (incorporated by reference to Exhibit 10.5 to CME Group Inc.'s Form 10-Q, filed with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 on August 8, 2012, File No. 001-31553).</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10.25(3)</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Securities Dealers, Inc., and Chicago Mercantile Exchange Inc. (incorporated by reference to Exhibit 10.9 to Chicago Mercantile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Holdings Inc.'s Form 10-K, filed with the SEC on March 11, 2004, File No. 001-31553), Amendment, dated April 26, 2005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10.1 to Chicago Mercantile Exchange Holdings Inc.'s Form 10-Q, filed with the SEC on August 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2005, File No. 001-31553); Amendment, dated June 22, 2005 (incorporated by reference to Exhibit 10.2 to Chicago Mercantile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Exchange Holdings Inc.'s Form 10-Q, filed with the SEC on August 4, 2005, File No. 001-31553); Amendment, dated as of June 26,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2008 (incorporated by reference to Exhibit 10.1 to CME Group Inc.'s Form 10-Q, filed with the SEC on August 7, 2008,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$1.5 Billion Credit Agreement, dated as of November 30, 2012, among CME Group Inc., certain financial institutions and other persons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party thereto as lenders, and Bank of America, N.A., as administrative agent, Barclays Bank PLC, Citibank, N.A., UBS Securities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and Wells Fargo Bank, National Association as co-syndication agents, and Merrill Lynch, Pierce, Fenner &amp; Smith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Barclays Bank PLC, UBS Securities LLC, and Wells Fargo Securities, LLC as joint lead arrangers and joint book managers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10.2 to CME Group Inc.'s Form 8-K, filed with the SEC on December 5, 2012, File No. 001-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31553); Amendment No. 1 to Credit Agreement and Joinder Agreement, dated as of November 30, 2012, including the Consolidated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Form Credit Agreement as Annex A, among CME Group Inc., certain financial institutions and other persons party thereto as lenders,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and Bank of America, N.A., as administrative agent (incorporated by reference to Exhibit 10.1 to CME Group Inc.'s Form 8-K, filed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with the SEC on December 5, 2012, File No. 001-31553); Amendment No. 2 to Credit Agreement, dated as of November 8, 2013,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among CME Group Inc, Bank of America, N.A., as administrative agent and each of the lenders which are parties thereto.*</w:t>
            </w:r>
          </w:p>
        </w:tc>
        <w:tc>
          <w:tcPr>
            <w:tcW w:w="0" w:type="dxa"/>
            <w:vAlign w:val="bottom"/>
          </w:tcPr>
          <w:p>
            <w:pPr>
              <w:spacing w:after="0"/>
              <w:rPr>
                <w:sz w:val="1"/>
                <w:szCs w:val="1"/>
                <w:color w:val="auto"/>
              </w:rPr>
            </w:pPr>
          </w:p>
        </w:tc>
      </w:tr>
      <w:tr>
        <w:trPr>
          <w:trHeight w:val="472"/>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$250,000,000 Credit Agreement, dated as of November 30, 2012, among CME Group Inc., as borrower, and the lenders party thereto,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and Bank of America, N.A., as administrative agent, Barclays Bank plc, Citibank, N.A., UBS Securities LLC, and Wells Fargo Bank,</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National Association, as co-syndication agents, and Merrill Lynch, Pierce, Fenner &amp; Smith Incorporated, Barclays Bank plc, UBS</w:t>
            </w:r>
          </w:p>
        </w:tc>
        <w:tc>
          <w:tcPr>
            <w:tcW w:w="0" w:type="dxa"/>
            <w:vAlign w:val="bottom"/>
          </w:tcPr>
          <w:p>
            <w:pPr>
              <w:spacing w:after="0"/>
              <w:rPr>
                <w:sz w:val="1"/>
                <w:szCs w:val="1"/>
                <w:color w:val="auto"/>
              </w:rPr>
            </w:pPr>
          </w:p>
        </w:tc>
      </w:tr>
    </w:tbl>
    <w:p>
      <w:pPr>
        <w:ind w:left="1520" w:right="160"/>
        <w:spacing w:after="0" w:line="261" w:lineRule="auto"/>
        <w:rPr>
          <w:sz w:val="20"/>
          <w:szCs w:val="20"/>
          <w:color w:val="auto"/>
        </w:rPr>
      </w:pPr>
      <w:r>
        <w:rPr>
          <w:rFonts w:ascii="Arial" w:cs="Arial" w:eastAsia="Arial" w:hAnsi="Arial"/>
          <w:sz w:val="18"/>
          <w:szCs w:val="18"/>
          <w:color w:val="auto"/>
        </w:rPr>
        <w:t>Securities LLC, and Wells Fargo Securities, LLC, as joint lead arrangers and joint book managers (incorporated by reference to Exhibit 10.2 to CME Group Inc.'s Form 8-K, filed with the SEC on December 5, 2012, File No. 001-31533).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9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jc w:val="center"/>
              <w:ind w:left="273"/>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gridSpan w:val="2"/>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10.28</w:t>
            </w: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364-Day Chicago Mercantile Exchange Credit Facility, dated as of November 7, 2013, among Chicago Mercantile Exchange Inc. with</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each of the banks from time to time party thereto; Bank of America, N.A., as administrative agent; Deutsche Bank Trust Company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Americas, as collateral agent; Bank of China, Chicago Branch, The Bank of Tokyo-Mitsubishi UFJ, Ltd., Citibank, N.A., BMO Harris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Bank N.A. and Barclays Bank PLC, as syndication agents; The Bank of Nova Scotia, Fifth Third Bank, Lloyds Bank PLC and Wells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Fargo Bank, National Association, as documentation agents; and Merrill Lynch, Pierce, Fenner &amp; Smith Incorporated, Bank of China,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Chicago Branch, The Bank of Tokyo-Mitsubishi UFJ, Ltd., Citibank, N.A., BMO Capital Markets Corp., and Barclays Bank PLC,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joint lead arrangers and joint book runners (incorporated by reference to Exhibit 10.1 to CME Group Inc.'s Form 8-K, filed with the SEC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November 13,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Commercial Paper Dealer Agreement, dated as of August 16, 2007, among CME Group Inc., as Issuer, and Lehman Brothers Inc.,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Dealer (subsequently assigned to Barclays Capital Inc. in connection with the bankruptcy of Lehman Brothers Holdings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by reference to Exhibit 4.1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10.30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Issuing and Paying Agency Agreement, dated as of August 16, 2007, between CME Group Inc. and JPMorgan Chase Bank, National</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Association, as Issuing and Paying Agent (incorporated by reference to Exhibit 4.2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20, 2008, between CME Group Inc., as Issuer, and Banc of America Securities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LLC, as Dealer (incorporated by reference to Exhibit 4.3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10.32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Commercial Paper Dealer Agreement, dated as of August 22, 2008, between CME Group Inc., as Issuer, and Goldman, Sachs &amp; Co., as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Dealer (incorporated by reference to Exhibit 4.4 above).</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Phupinder S. Gill.</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302—Certification of James E. Parisi.</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_______________</w:t>
            </w:r>
          </w:p>
        </w:tc>
        <w:tc>
          <w:tcPr>
            <w:tcW w:w="120" w:type="dxa"/>
            <w:vAlign w:val="bottom"/>
          </w:tcPr>
          <w:p>
            <w:pPr>
              <w:spacing w:after="0"/>
              <w:rPr>
                <w:sz w:val="21"/>
                <w:szCs w:val="21"/>
                <w:color w:val="auto"/>
              </w:rPr>
            </w:pPr>
          </w:p>
        </w:tc>
        <w:tc>
          <w:tcPr>
            <w:tcW w:w="9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Refiled to incorporate an immaterial amendment that was inadvertently excluded when the plan was originally amended and restated.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3"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28th day of February, 2014.</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80" w:type="dxa"/>
            <w:vAlign w:val="bottom"/>
            <w:gridSpan w:val="3"/>
          </w:tcPr>
          <w:p>
            <w:pPr>
              <w:ind w:left="780"/>
              <w:spacing w:after="0"/>
              <w:rPr>
                <w:sz w:val="20"/>
                <w:szCs w:val="20"/>
                <w:color w:val="auto"/>
              </w:rPr>
            </w:pPr>
            <w:r>
              <w:rPr>
                <w:rFonts w:ascii="Arial" w:cs="Arial" w:eastAsia="Arial" w:hAnsi="Arial"/>
                <w:sz w:val="18"/>
                <w:szCs w:val="18"/>
                <w:color w:val="auto"/>
              </w:rPr>
              <w:t>By:</w:t>
            </w:r>
          </w:p>
        </w:tc>
        <w:tc>
          <w:tcPr>
            <w:tcW w:w="488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P</w:t>
            </w:r>
            <w:r>
              <w:rPr>
                <w:rFonts w:ascii="Arial" w:cs="Arial" w:eastAsia="Arial" w:hAnsi="Arial"/>
                <w:sz w:val="14"/>
                <w:szCs w:val="14"/>
                <w:color w:val="auto"/>
              </w:rPr>
              <w:t>ARISI</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80" w:type="dxa"/>
            <w:vAlign w:val="bottom"/>
          </w:tcPr>
          <w:p>
            <w:pPr>
              <w:jc w:val="center"/>
              <w:ind w:left="364"/>
              <w:spacing w:after="0" w:line="147" w:lineRule="exact"/>
              <w:rPr>
                <w:sz w:val="20"/>
                <w:szCs w:val="20"/>
                <w:color w:val="auto"/>
              </w:rPr>
            </w:pPr>
            <w:r>
              <w:rPr>
                <w:rFonts w:ascii="Arial" w:cs="Arial" w:eastAsia="Arial" w:hAnsi="Arial"/>
                <w:sz w:val="14"/>
                <w:szCs w:val="14"/>
                <w:b w:val="1"/>
                <w:bCs w:val="1"/>
                <w:color w:val="auto"/>
                <w:w w:val="93"/>
              </w:rPr>
              <w:t>James E. Parisi</w:t>
            </w:r>
          </w:p>
        </w:tc>
        <w:tc>
          <w:tcPr>
            <w:tcW w:w="0" w:type="dxa"/>
            <w:vAlign w:val="bottom"/>
          </w:tcPr>
          <w:p>
            <w:pPr>
              <w:spacing w:after="0"/>
              <w:rPr>
                <w:sz w:val="1"/>
                <w:szCs w:val="1"/>
                <w:color w:val="auto"/>
              </w:rPr>
            </w:pPr>
          </w:p>
        </w:tc>
      </w:tr>
      <w:tr>
        <w:trPr>
          <w:trHeight w:val="186"/>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jc w:val="center"/>
              <w:ind w:left="34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c>
          <w:tcPr>
            <w:tcW w:w="0" w:type="dxa"/>
            <w:vAlign w:val="bottom"/>
          </w:tcPr>
          <w:p>
            <w:pPr>
              <w:spacing w:after="0"/>
              <w:rPr>
                <w:sz w:val="1"/>
                <w:szCs w:val="1"/>
                <w:color w:val="auto"/>
              </w:rPr>
            </w:pPr>
          </w:p>
        </w:tc>
      </w:tr>
      <w:tr>
        <w:trPr>
          <w:trHeight w:val="749"/>
        </w:trPr>
        <w:tc>
          <w:tcPr>
            <w:tcW w:w="1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center"/>
              <w:ind w:right="1263"/>
              <w:spacing w:after="0"/>
              <w:rPr>
                <w:sz w:val="20"/>
                <w:szCs w:val="20"/>
                <w:color w:val="auto"/>
              </w:rPr>
            </w:pPr>
            <w:r>
              <w:rPr>
                <w:rFonts w:ascii="Arial" w:cs="Arial" w:eastAsia="Arial" w:hAnsi="Arial"/>
                <w:sz w:val="14"/>
                <w:szCs w:val="14"/>
                <w:b w:val="1"/>
                <w:bCs w:val="1"/>
                <w:color w:val="auto"/>
                <w:w w:val="89"/>
              </w:rPr>
              <w:t>Signature</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64"/>
        </w:trPr>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TERRENCE A. DUFFY</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 and Director &amp; President</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4"/>
              </w:rPr>
              <w:t>Terrence A. Duffy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3080" w:type="dxa"/>
            <w:vAlign w:val="bottom"/>
            <w:gridSpan w:val="3"/>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PHUPINDER S. GILL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vMerge w:val="restart"/>
          </w:tcPr>
          <w:p>
            <w:pPr>
              <w:ind w:left="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3"/>
              </w:rPr>
              <w:t>Phupinder S. Gill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80" w:type="dxa"/>
            <w:vAlign w:val="bottom"/>
          </w:tcPr>
          <w:p>
            <w:pPr>
              <w:jc w:val="center"/>
              <w:ind w:right="903"/>
              <w:spacing w:after="0"/>
              <w:rPr>
                <w:sz w:val="20"/>
                <w:szCs w:val="20"/>
                <w:color w:val="auto"/>
              </w:rPr>
            </w:pPr>
            <w:r>
              <w:rPr>
                <w:rFonts w:ascii="Arial" w:cs="Arial" w:eastAsia="Arial" w:hAnsi="Arial"/>
                <w:sz w:val="18"/>
                <w:szCs w:val="18"/>
                <w:color w:val="auto"/>
                <w:w w:val="94"/>
              </w:rPr>
              <w:t>JAMES E. PARISI</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Senior Managing Director and Chief Financial Officer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1"/>
              </w:rPr>
              <w:t>James E. Parisi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tcPr>
          <w:p>
            <w:pPr>
              <w:jc w:val="center"/>
              <w:ind w:right="903"/>
              <w:spacing w:after="0"/>
              <w:rPr>
                <w:sz w:val="20"/>
                <w:szCs w:val="20"/>
                <w:color w:val="auto"/>
              </w:rPr>
            </w:pPr>
            <w:r>
              <w:rPr>
                <w:rFonts w:ascii="Arial" w:cs="Arial" w:eastAsia="Arial" w:hAnsi="Arial"/>
                <w:sz w:val="18"/>
                <w:szCs w:val="18"/>
                <w:color w:val="auto"/>
                <w:w w:val="92"/>
              </w:rPr>
              <w:t>JAMES V. PIEPER</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Managing Director and Chief Accounting Officer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1"/>
              </w:rPr>
              <w:t>James V. Pieper</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80" w:type="dxa"/>
            <w:vAlign w:val="bottom"/>
          </w:tcPr>
          <w:p>
            <w:pPr>
              <w:jc w:val="center"/>
              <w:ind w:right="943"/>
              <w:spacing w:after="0"/>
              <w:rPr>
                <w:sz w:val="20"/>
                <w:szCs w:val="20"/>
                <w:color w:val="auto"/>
              </w:rPr>
            </w:pPr>
            <w:r>
              <w:rPr>
                <w:rFonts w:ascii="Arial" w:cs="Arial" w:eastAsia="Arial" w:hAnsi="Arial"/>
                <w:sz w:val="18"/>
                <w:szCs w:val="18"/>
                <w:color w:val="auto"/>
                <w:w w:val="99"/>
              </w:rPr>
              <w:t>LEO MELAMED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Chairman Emeritus and Director</w:t>
            </w: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6"/>
              </w:rPr>
              <w:t>Leo Melamed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ind w:left="1620"/>
              <w:spacing w:after="0"/>
              <w:rPr>
                <w:sz w:val="20"/>
                <w:szCs w:val="20"/>
                <w:color w:val="auto"/>
              </w:rPr>
            </w:pPr>
            <w:r>
              <w:rPr>
                <w:rFonts w:ascii="Arial" w:cs="Arial" w:eastAsia="Arial" w:hAnsi="Arial"/>
                <w:sz w:val="18"/>
                <w:szCs w:val="18"/>
                <w:color w:val="auto"/>
                <w:w w:val="72"/>
              </w:rPr>
              <w:t>/</w:t>
            </w:r>
            <w:r>
              <w:rPr>
                <w:rFonts w:ascii="Arial" w:cs="Arial" w:eastAsia="Arial" w:hAnsi="Arial"/>
                <w:sz w:val="14"/>
                <w:szCs w:val="14"/>
                <w:color w:val="auto"/>
                <w:w w:val="72"/>
              </w:rPr>
              <w:t>S</w:t>
            </w:r>
            <w:r>
              <w:rPr>
                <w:rFonts w:ascii="Arial" w:cs="Arial" w:eastAsia="Arial" w:hAnsi="Arial"/>
                <w:sz w:val="18"/>
                <w:szCs w:val="18"/>
                <w:color w:val="auto"/>
                <w:w w:val="72"/>
              </w:rPr>
              <w:t>/</w:t>
            </w:r>
          </w:p>
        </w:tc>
        <w:tc>
          <w:tcPr>
            <w:tcW w:w="3080" w:type="dxa"/>
            <w:vAlign w:val="bottom"/>
            <w:gridSpan w:val="3"/>
          </w:tcPr>
          <w:p>
            <w:pPr>
              <w:ind w:left="200"/>
              <w:spacing w:after="0"/>
              <w:rPr>
                <w:sz w:val="20"/>
                <w:szCs w:val="20"/>
                <w:color w:val="auto"/>
              </w:rPr>
            </w:pPr>
            <w:r>
              <w:rPr>
                <w:rFonts w:ascii="Arial" w:cs="Arial" w:eastAsia="Arial" w:hAnsi="Arial"/>
                <w:sz w:val="18"/>
                <w:szCs w:val="18"/>
                <w:color w:val="auto"/>
              </w:rPr>
              <w:t>JEFFREY M. BERNACCHI</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4"/>
              </w:rPr>
              <w:t>Jeffrey M. Bernacchi</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gridSpan w:val="3"/>
          </w:tcPr>
          <w:p>
            <w:pPr>
              <w:ind w:left="40"/>
              <w:spacing w:after="0"/>
              <w:rPr>
                <w:sz w:val="20"/>
                <w:szCs w:val="20"/>
                <w:color w:val="auto"/>
              </w:rPr>
            </w:pPr>
            <w:r>
              <w:rPr>
                <w:rFonts w:ascii="Arial" w:cs="Arial" w:eastAsia="Arial" w:hAnsi="Arial"/>
                <w:sz w:val="18"/>
                <w:szCs w:val="18"/>
                <w:color w:val="auto"/>
              </w:rPr>
              <w:t>TIMOTHY S. BITSBERGER</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jc w:val="center"/>
              <w:ind w:right="1103"/>
              <w:spacing w:after="0"/>
              <w:rPr>
                <w:sz w:val="20"/>
                <w:szCs w:val="20"/>
                <w:color w:val="auto"/>
              </w:rPr>
            </w:pPr>
            <w:r>
              <w:rPr>
                <w:rFonts w:ascii="Arial" w:cs="Arial" w:eastAsia="Arial" w:hAnsi="Arial"/>
                <w:sz w:val="14"/>
                <w:szCs w:val="14"/>
                <w:b w:val="1"/>
                <w:bCs w:val="1"/>
                <w:color w:val="auto"/>
                <w:w w:val="93"/>
              </w:rPr>
              <w:t>Timothy S. Bitsberger</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486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2"/>
          </w:tcPr>
          <w:p>
            <w:pPr>
              <w:jc w:val="center"/>
              <w:ind w:right="1123"/>
              <w:spacing w:after="0"/>
              <w:rPr>
                <w:sz w:val="20"/>
                <w:szCs w:val="20"/>
                <w:color w:val="auto"/>
              </w:rPr>
            </w:pPr>
            <w:r>
              <w:rPr>
                <w:rFonts w:ascii="Arial" w:cs="Arial" w:eastAsia="Arial" w:hAnsi="Arial"/>
                <w:sz w:val="14"/>
                <w:szCs w:val="14"/>
                <w:b w:val="1"/>
                <w:bCs w:val="1"/>
                <w:color w:val="auto"/>
                <w:w w:val="91"/>
              </w:rPr>
              <w:t>Dennis H. Chookaszian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80" w:type="dxa"/>
            <w:vAlign w:val="bottom"/>
          </w:tcPr>
          <w:p>
            <w:pPr>
              <w:jc w:val="center"/>
              <w:ind w:right="903"/>
              <w:spacing w:after="0"/>
              <w:rPr>
                <w:sz w:val="20"/>
                <w:szCs w:val="20"/>
                <w:color w:val="auto"/>
              </w:rPr>
            </w:pPr>
            <w:r>
              <w:rPr>
                <w:rFonts w:ascii="Arial" w:cs="Arial" w:eastAsia="Arial" w:hAnsi="Arial"/>
                <w:sz w:val="18"/>
                <w:szCs w:val="18"/>
                <w:color w:val="auto"/>
                <w:w w:val="96"/>
              </w:rPr>
              <w:t>JACKIE M. CLEGG</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3"/>
              </w:rPr>
              <w:t>Jackie M. Clegg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486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A. DONALDSON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1"/>
              </w:rPr>
              <w:t>James A. Donaldson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7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2"/>
          </w:tcPr>
          <w:p>
            <w:pPr>
              <w:jc w:val="center"/>
              <w:ind w:right="763"/>
              <w:spacing w:after="0"/>
              <w:rPr>
                <w:sz w:val="20"/>
                <w:szCs w:val="20"/>
                <w:color w:val="auto"/>
              </w:rPr>
            </w:pPr>
            <w:r>
              <w:rPr>
                <w:rFonts w:ascii="Arial" w:cs="Arial" w:eastAsia="Arial" w:hAnsi="Arial"/>
                <w:sz w:val="18"/>
                <w:szCs w:val="18"/>
                <w:color w:val="auto"/>
                <w:w w:val="97"/>
              </w:rPr>
              <w:t>MARTIN J. GEPSMAN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7"/>
              </w:rPr>
              <w:t>Martin J. Gepsman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04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LARRY G. GERDES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6"/>
              </w:rPr>
              <w:t>Larry G. Gerdes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2"/>
          </w:tcPr>
          <w:p>
            <w:pPr>
              <w:jc w:val="center"/>
              <w:ind w:right="803"/>
              <w:spacing w:after="0"/>
              <w:rPr>
                <w:sz w:val="20"/>
                <w:szCs w:val="20"/>
                <w:color w:val="auto"/>
              </w:rPr>
            </w:pPr>
            <w:r>
              <w:rPr>
                <w:rFonts w:ascii="Arial" w:cs="Arial" w:eastAsia="Arial" w:hAnsi="Arial"/>
                <w:sz w:val="18"/>
                <w:szCs w:val="18"/>
                <w:color w:val="auto"/>
              </w:rPr>
              <w:t>DANIEL R. GLICKMAN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6"/>
              </w:rPr>
              <w:t>Daniel R. Glickman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17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80" w:type="dxa"/>
            <w:vAlign w:val="bottom"/>
          </w:tcPr>
          <w:p>
            <w:pPr>
              <w:jc w:val="center"/>
              <w:ind w:right="943"/>
              <w:spacing w:after="0"/>
              <w:rPr>
                <w:sz w:val="20"/>
                <w:szCs w:val="20"/>
                <w:color w:val="auto"/>
              </w:rPr>
            </w:pPr>
            <w:r>
              <w:rPr>
                <w:rFonts w:ascii="Arial" w:cs="Arial" w:eastAsia="Arial" w:hAnsi="Arial"/>
                <w:sz w:val="18"/>
                <w:szCs w:val="18"/>
                <w:color w:val="auto"/>
                <w:w w:val="94"/>
              </w:rPr>
              <w:t>J. DENNIS HASTERT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92"/>
              </w:rPr>
              <w:t>J. Dennis Hastert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8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40" w:type="dxa"/>
            <w:vAlign w:val="bottom"/>
          </w:tcPr>
          <w:p>
            <w:pPr>
              <w:spacing w:after="0"/>
              <w:rPr>
                <w:sz w:val="24"/>
                <w:szCs w:val="24"/>
                <w:color w:val="auto"/>
              </w:rPr>
            </w:pPr>
          </w:p>
        </w:tc>
        <w:tc>
          <w:tcPr>
            <w:tcW w:w="2680" w:type="dxa"/>
            <w:vAlign w:val="bottom"/>
          </w:tcPr>
          <w:p>
            <w:pPr>
              <w:jc w:val="center"/>
              <w:ind w:right="883"/>
              <w:spacing w:after="0"/>
              <w:rPr>
                <w:sz w:val="20"/>
                <w:szCs w:val="20"/>
                <w:color w:val="auto"/>
              </w:rPr>
            </w:pPr>
            <w:r>
              <w:rPr>
                <w:rFonts w:ascii="Arial" w:cs="Arial" w:eastAsia="Arial" w:hAnsi="Arial"/>
                <w:sz w:val="18"/>
                <w:szCs w:val="18"/>
                <w:color w:val="auto"/>
                <w:w w:val="92"/>
              </w:rPr>
              <w:t>BRUCE F. JOHNSON</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w w:val="89"/>
              </w:rPr>
              <w:t>Bruce F. Johnson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4860" w:type="dxa"/>
            <w:vAlign w:val="bottom"/>
            <w:gridSpan w:val="4"/>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P. MILLER II</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Pr>
          <w:p>
            <w:pPr>
              <w:jc w:val="center"/>
              <w:ind w:right="1263"/>
              <w:spacing w:after="0"/>
              <w:rPr>
                <w:sz w:val="20"/>
                <w:szCs w:val="20"/>
                <w:color w:val="auto"/>
              </w:rPr>
            </w:pPr>
            <w:r>
              <w:rPr>
                <w:rFonts w:ascii="Arial" w:cs="Arial" w:eastAsia="Arial" w:hAnsi="Arial"/>
                <w:sz w:val="14"/>
                <w:szCs w:val="14"/>
                <w:b w:val="1"/>
                <w:bCs w:val="1"/>
                <w:color w:val="auto"/>
              </w:rPr>
              <w:t>William P. Miller II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1"/>
              <w:spacing w:after="0"/>
              <w:rPr>
                <w:sz w:val="20"/>
                <w:szCs w:val="20"/>
                <w:color w:val="auto"/>
              </w:rPr>
            </w:pPr>
            <w:r>
              <w:rPr>
                <w:rFonts w:ascii="Arial" w:cs="Arial" w:eastAsia="Arial" w:hAnsi="Arial"/>
                <w:sz w:val="18"/>
                <w:szCs w:val="18"/>
                <w:color w:val="auto"/>
                <w:w w:val="93"/>
              </w:rPr>
              <w:t>JOSEPH NICIFORO</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120" w:type="dxa"/>
            <w:vAlign w:val="bottom"/>
          </w:tcPr>
          <w:p>
            <w:pPr>
              <w:spacing w:after="0"/>
              <w:rPr>
                <w:sz w:val="16"/>
                <w:szCs w:val="16"/>
                <w:color w:val="auto"/>
              </w:rPr>
            </w:pPr>
          </w:p>
        </w:tc>
        <w:tc>
          <w:tcPr>
            <w:tcW w:w="3580" w:type="dxa"/>
            <w:vAlign w:val="bottom"/>
          </w:tcPr>
          <w:p>
            <w:pPr>
              <w:jc w:val="center"/>
              <w:ind w:right="2021"/>
              <w:spacing w:after="0"/>
              <w:rPr>
                <w:sz w:val="20"/>
                <w:szCs w:val="20"/>
                <w:color w:val="auto"/>
              </w:rPr>
            </w:pPr>
            <w:r>
              <w:rPr>
                <w:rFonts w:ascii="Arial" w:cs="Arial" w:eastAsia="Arial" w:hAnsi="Arial"/>
                <w:sz w:val="14"/>
                <w:szCs w:val="14"/>
                <w:b w:val="1"/>
                <w:bCs w:val="1"/>
                <w:color w:val="auto"/>
                <w:w w:val="90"/>
              </w:rPr>
              <w:t>Joseph Niciforo</w:t>
            </w:r>
          </w:p>
        </w:tc>
        <w:tc>
          <w:tcPr>
            <w:tcW w:w="1160" w:type="dxa"/>
            <w:vAlign w:val="bottom"/>
          </w:tcPr>
          <w:p>
            <w:pPr>
              <w:spacing w:after="0"/>
              <w:rPr>
                <w:sz w:val="16"/>
                <w:szCs w:val="16"/>
                <w:color w:val="auto"/>
              </w:rPr>
            </w:pPr>
          </w:p>
        </w:tc>
      </w:tr>
      <w:tr>
        <w:trPr>
          <w:trHeight w:val="431"/>
        </w:trPr>
        <w:tc>
          <w:tcPr>
            <w:tcW w:w="2120" w:type="dxa"/>
            <w:vAlign w:val="bottom"/>
          </w:tcPr>
          <w:p>
            <w:pPr>
              <w:ind w:left="19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Pr>
          <w:p>
            <w:pPr>
              <w:jc w:val="center"/>
              <w:ind w:right="2001"/>
              <w:spacing w:after="0"/>
              <w:rPr>
                <w:sz w:val="20"/>
                <w:szCs w:val="20"/>
                <w:color w:val="auto"/>
              </w:rPr>
            </w:pPr>
            <w:r>
              <w:rPr>
                <w:rFonts w:ascii="Arial" w:cs="Arial" w:eastAsia="Arial" w:hAnsi="Arial"/>
                <w:sz w:val="18"/>
                <w:szCs w:val="18"/>
                <w:color w:val="auto"/>
                <w:w w:val="98"/>
              </w:rPr>
              <w:t>C.C. ODOM II</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120" w:type="dxa"/>
            <w:vAlign w:val="bottom"/>
          </w:tcPr>
          <w:p>
            <w:pPr>
              <w:spacing w:after="0"/>
              <w:rPr>
                <w:sz w:val="16"/>
                <w:szCs w:val="16"/>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rPr>
              <w:t>C.C. Odom II</w:t>
            </w:r>
          </w:p>
        </w:tc>
        <w:tc>
          <w:tcPr>
            <w:tcW w:w="1160" w:type="dxa"/>
            <w:vAlign w:val="bottom"/>
          </w:tcPr>
          <w:p>
            <w:pPr>
              <w:spacing w:after="0"/>
              <w:rPr>
                <w:sz w:val="16"/>
                <w:szCs w:val="16"/>
                <w:color w:val="auto"/>
              </w:rPr>
            </w:pPr>
          </w:p>
        </w:tc>
      </w:tr>
      <w:tr>
        <w:trPr>
          <w:trHeight w:val="431"/>
        </w:trPr>
        <w:tc>
          <w:tcPr>
            <w:tcW w:w="2120" w:type="dxa"/>
            <w:vAlign w:val="bottom"/>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ind w:left="180"/>
              <w:spacing w:after="0"/>
              <w:rPr>
                <w:sz w:val="20"/>
                <w:szCs w:val="20"/>
                <w:color w:val="auto"/>
              </w:rPr>
            </w:pPr>
            <w:r>
              <w:rPr>
                <w:rFonts w:ascii="Arial" w:cs="Arial" w:eastAsia="Arial" w:hAnsi="Arial"/>
                <w:sz w:val="18"/>
                <w:szCs w:val="18"/>
                <w:color w:val="auto"/>
              </w:rPr>
              <w:t>JAMES E. OLIFF</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2"/>
              </w:rPr>
              <w:t>James E. Oliff</w:t>
            </w:r>
          </w:p>
        </w:tc>
        <w:tc>
          <w:tcPr>
            <w:tcW w:w="1160" w:type="dxa"/>
            <w:vAlign w:val="bottom"/>
          </w:tcPr>
          <w:p>
            <w:pPr>
              <w:spacing w:after="0"/>
              <w:rPr>
                <w:sz w:val="20"/>
                <w:szCs w:val="20"/>
                <w:color w:val="auto"/>
              </w:rPr>
            </w:pPr>
          </w:p>
        </w:tc>
      </w:tr>
      <w:tr>
        <w:trPr>
          <w:trHeight w:val="377"/>
        </w:trPr>
        <w:tc>
          <w:tcPr>
            <w:tcW w:w="570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5"/>
              </w:rPr>
              <w:t>Ronald A. Pankau</w:t>
            </w:r>
          </w:p>
        </w:tc>
        <w:tc>
          <w:tcPr>
            <w:tcW w:w="1160" w:type="dxa"/>
            <w:vAlign w:val="bottom"/>
          </w:tcPr>
          <w:p>
            <w:pPr>
              <w:spacing w:after="0"/>
              <w:rPr>
                <w:sz w:val="20"/>
                <w:szCs w:val="20"/>
                <w:color w:val="auto"/>
              </w:rPr>
            </w:pPr>
          </w:p>
        </w:tc>
      </w:tr>
      <w:tr>
        <w:trPr>
          <w:trHeight w:val="377"/>
        </w:trPr>
        <w:tc>
          <w:tcPr>
            <w:tcW w:w="57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EDEMIR PINTO</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120" w:type="dxa"/>
            <w:vAlign w:val="bottom"/>
          </w:tcPr>
          <w:p>
            <w:pPr>
              <w:spacing w:after="0"/>
              <w:rPr>
                <w:sz w:val="16"/>
                <w:szCs w:val="16"/>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4"/>
              </w:rPr>
              <w:t>Edemir Pinto</w:t>
            </w:r>
          </w:p>
        </w:tc>
        <w:tc>
          <w:tcPr>
            <w:tcW w:w="1160" w:type="dxa"/>
            <w:vAlign w:val="bottom"/>
          </w:tcPr>
          <w:p>
            <w:pPr>
              <w:spacing w:after="0"/>
              <w:rPr>
                <w:sz w:val="16"/>
                <w:szCs w:val="16"/>
                <w:color w:val="auto"/>
              </w:rPr>
            </w:pPr>
          </w:p>
        </w:tc>
      </w:tr>
      <w:tr>
        <w:trPr>
          <w:trHeight w:val="431"/>
        </w:trPr>
        <w:tc>
          <w:tcPr>
            <w:tcW w:w="2120" w:type="dxa"/>
            <w:vAlign w:val="bottom"/>
          </w:tcPr>
          <w:p>
            <w:pPr>
              <w:ind w:left="17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spacing w:after="0"/>
              <w:rPr>
                <w:sz w:val="20"/>
                <w:szCs w:val="20"/>
                <w:color w:val="auto"/>
              </w:rPr>
            </w:pPr>
            <w:r>
              <w:rPr>
                <w:rFonts w:ascii="Arial" w:cs="Arial" w:eastAsia="Arial" w:hAnsi="Arial"/>
                <w:sz w:val="18"/>
                <w:szCs w:val="18"/>
                <w:color w:val="auto"/>
              </w:rPr>
              <w:t>ALEX J. POLLOCK</w:t>
            </w:r>
          </w:p>
        </w:tc>
        <w:tc>
          <w:tcPr>
            <w:tcW w:w="1160" w:type="dxa"/>
            <w:vAlign w:val="bottom"/>
          </w:tcPr>
          <w:p>
            <w:pPr>
              <w:ind w:left="160"/>
              <w:spacing w:after="0"/>
              <w:rPr>
                <w:sz w:val="20"/>
                <w:szCs w:val="20"/>
                <w:color w:val="auto"/>
              </w:rPr>
            </w:pPr>
            <w:r>
              <w:rPr>
                <w:rFonts w:ascii="Arial" w:cs="Arial" w:eastAsia="Arial" w:hAnsi="Arial"/>
                <w:sz w:val="18"/>
                <w:szCs w:val="18"/>
                <w:color w:val="auto"/>
                <w:w w:val="90"/>
              </w:rPr>
              <w:t>Lead 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1"/>
              </w:rPr>
              <w:t>Alex J. Pollock</w:t>
            </w:r>
          </w:p>
        </w:tc>
        <w:tc>
          <w:tcPr>
            <w:tcW w:w="1160" w:type="dxa"/>
            <w:vAlign w:val="bottom"/>
          </w:tcPr>
          <w:p>
            <w:pPr>
              <w:spacing w:after="0"/>
              <w:rPr>
                <w:sz w:val="20"/>
                <w:szCs w:val="20"/>
                <w:color w:val="auto"/>
              </w:rPr>
            </w:pPr>
          </w:p>
        </w:tc>
      </w:tr>
      <w:tr>
        <w:trPr>
          <w:trHeight w:val="377"/>
        </w:trPr>
        <w:tc>
          <w:tcPr>
            <w:tcW w:w="2120" w:type="dxa"/>
            <w:vAlign w:val="bottom"/>
          </w:tcPr>
          <w:p>
            <w:pPr>
              <w:ind w:left="1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1"/>
              <w:spacing w:after="0"/>
              <w:rPr>
                <w:sz w:val="20"/>
                <w:szCs w:val="20"/>
                <w:color w:val="auto"/>
              </w:rPr>
            </w:pPr>
            <w:r>
              <w:rPr>
                <w:rFonts w:ascii="Arial" w:cs="Arial" w:eastAsia="Arial" w:hAnsi="Arial"/>
                <w:sz w:val="18"/>
                <w:szCs w:val="18"/>
                <w:color w:val="auto"/>
                <w:w w:val="94"/>
              </w:rPr>
              <w:t>JOHN F. SANDNER</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120" w:type="dxa"/>
            <w:vAlign w:val="bottom"/>
          </w:tcPr>
          <w:p>
            <w:pPr>
              <w:spacing w:after="0"/>
              <w:rPr>
                <w:sz w:val="16"/>
                <w:szCs w:val="16"/>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2"/>
              </w:rPr>
              <w:t>John F. Sandner</w:t>
            </w:r>
          </w:p>
        </w:tc>
        <w:tc>
          <w:tcPr>
            <w:tcW w:w="1160" w:type="dxa"/>
            <w:vAlign w:val="bottom"/>
          </w:tcPr>
          <w:p>
            <w:pPr>
              <w:spacing w:after="0"/>
              <w:rPr>
                <w:sz w:val="16"/>
                <w:szCs w:val="16"/>
                <w:color w:val="auto"/>
              </w:rPr>
            </w:pPr>
          </w:p>
        </w:tc>
      </w:tr>
      <w:tr>
        <w:trPr>
          <w:trHeight w:val="431"/>
        </w:trPr>
        <w:tc>
          <w:tcPr>
            <w:tcW w:w="2120" w:type="dxa"/>
            <w:vAlign w:val="bottom"/>
          </w:tcPr>
          <w:p>
            <w:pPr>
              <w:ind w:left="19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Pr>
          <w:p>
            <w:pPr>
              <w:jc w:val="center"/>
              <w:ind w:right="1681"/>
              <w:spacing w:after="0"/>
              <w:rPr>
                <w:sz w:val="20"/>
                <w:szCs w:val="20"/>
                <w:color w:val="auto"/>
              </w:rPr>
            </w:pPr>
            <w:r>
              <w:rPr>
                <w:rFonts w:ascii="Arial" w:cs="Arial" w:eastAsia="Arial" w:hAnsi="Arial"/>
                <w:sz w:val="18"/>
                <w:szCs w:val="18"/>
                <w:color w:val="auto"/>
                <w:w w:val="93"/>
              </w:rPr>
              <w:t>TERRY L. SAVAGE</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3"/>
              </w:rPr>
              <w:t>Terry L. Savage</w:t>
            </w:r>
          </w:p>
        </w:tc>
        <w:tc>
          <w:tcPr>
            <w:tcW w:w="1160" w:type="dxa"/>
            <w:vAlign w:val="bottom"/>
          </w:tcPr>
          <w:p>
            <w:pPr>
              <w:spacing w:after="0"/>
              <w:rPr>
                <w:sz w:val="20"/>
                <w:szCs w:val="20"/>
                <w:color w:val="auto"/>
              </w:rPr>
            </w:pPr>
          </w:p>
        </w:tc>
      </w:tr>
      <w:tr>
        <w:trPr>
          <w:trHeight w:val="377"/>
        </w:trPr>
        <w:tc>
          <w:tcPr>
            <w:tcW w:w="5700" w:type="dxa"/>
            <w:vAlign w:val="bottom"/>
            <w:gridSpan w:val="2"/>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CHRISTOPHER STEWART</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4"/>
              </w:rPr>
              <w:t>Christopher Stewart</w:t>
            </w:r>
          </w:p>
        </w:tc>
        <w:tc>
          <w:tcPr>
            <w:tcW w:w="1160" w:type="dxa"/>
            <w:vAlign w:val="bottom"/>
          </w:tcPr>
          <w:p>
            <w:pPr>
              <w:spacing w:after="0"/>
              <w:rPr>
                <w:sz w:val="20"/>
                <w:szCs w:val="20"/>
                <w:color w:val="auto"/>
              </w:rPr>
            </w:pPr>
          </w:p>
        </w:tc>
      </w:tr>
      <w:tr>
        <w:trPr>
          <w:trHeight w:val="377"/>
        </w:trPr>
        <w:tc>
          <w:tcPr>
            <w:tcW w:w="2120" w:type="dxa"/>
            <w:vAlign w:val="bottom"/>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681"/>
              <w:spacing w:after="0"/>
              <w:rPr>
                <w:sz w:val="20"/>
                <w:szCs w:val="20"/>
                <w:color w:val="auto"/>
              </w:rPr>
            </w:pPr>
            <w:r>
              <w:rPr>
                <w:rFonts w:ascii="Arial" w:cs="Arial" w:eastAsia="Arial" w:hAnsi="Arial"/>
                <w:sz w:val="18"/>
                <w:szCs w:val="18"/>
                <w:color w:val="auto"/>
                <w:w w:val="97"/>
              </w:rPr>
              <w:t>DENNIS A. SUSKIND</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2"/>
              </w:rPr>
              <w:t>Dennis A. Suskind</w:t>
            </w:r>
          </w:p>
        </w:tc>
        <w:tc>
          <w:tcPr>
            <w:tcW w:w="1160" w:type="dxa"/>
            <w:vAlign w:val="bottom"/>
          </w:tcPr>
          <w:p>
            <w:pPr>
              <w:spacing w:after="0"/>
              <w:rPr>
                <w:sz w:val="20"/>
                <w:szCs w:val="20"/>
                <w:color w:val="auto"/>
              </w:rPr>
            </w:pPr>
          </w:p>
        </w:tc>
      </w:tr>
      <w:tr>
        <w:trPr>
          <w:trHeight w:val="377"/>
        </w:trPr>
        <w:tc>
          <w:tcPr>
            <w:tcW w:w="2120" w:type="dxa"/>
            <w:vAlign w:val="bottom"/>
          </w:tcPr>
          <w:p>
            <w:pPr>
              <w:ind w:left="1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721"/>
              <w:spacing w:after="0"/>
              <w:rPr>
                <w:sz w:val="20"/>
                <w:szCs w:val="20"/>
                <w:color w:val="auto"/>
              </w:rPr>
            </w:pPr>
            <w:r>
              <w:rPr>
                <w:rFonts w:ascii="Arial" w:cs="Arial" w:eastAsia="Arial" w:hAnsi="Arial"/>
                <w:sz w:val="18"/>
                <w:szCs w:val="18"/>
                <w:color w:val="auto"/>
                <w:w w:val="95"/>
              </w:rPr>
              <w:t>DAVID J. WESCOTT</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1"/>
              </w:rPr>
              <w:t>David J. Wescott</w:t>
            </w:r>
          </w:p>
        </w:tc>
        <w:tc>
          <w:tcPr>
            <w:tcW w:w="1160" w:type="dxa"/>
            <w:vAlign w:val="bottom"/>
          </w:tcPr>
          <w:p>
            <w:pPr>
              <w:spacing w:after="0"/>
              <w:rPr>
                <w:sz w:val="20"/>
                <w:szCs w:val="20"/>
                <w:color w:val="auto"/>
              </w:rPr>
            </w:pPr>
          </w:p>
        </w:tc>
      </w:tr>
      <w:tr>
        <w:trPr>
          <w:trHeight w:val="390"/>
        </w:trPr>
        <w:tc>
          <w:tcPr>
            <w:tcW w:w="57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STEVEN E. WOLLACK</w:t>
            </w:r>
          </w:p>
        </w:tc>
        <w:tc>
          <w:tcPr>
            <w:tcW w:w="116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27"/>
        </w:trPr>
        <w:tc>
          <w:tcPr>
            <w:tcW w:w="212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2120" w:type="dxa"/>
            <w:vAlign w:val="bottom"/>
          </w:tcPr>
          <w:p>
            <w:pPr>
              <w:spacing w:after="0"/>
              <w:rPr>
                <w:sz w:val="20"/>
                <w:szCs w:val="20"/>
                <w:color w:val="auto"/>
              </w:rPr>
            </w:pPr>
          </w:p>
        </w:tc>
        <w:tc>
          <w:tcPr>
            <w:tcW w:w="3580" w:type="dxa"/>
            <w:vAlign w:val="bottom"/>
          </w:tcPr>
          <w:p>
            <w:pPr>
              <w:jc w:val="center"/>
              <w:ind w:right="2041"/>
              <w:spacing w:after="0"/>
              <w:rPr>
                <w:sz w:val="20"/>
                <w:szCs w:val="20"/>
                <w:color w:val="auto"/>
              </w:rPr>
            </w:pPr>
            <w:r>
              <w:rPr>
                <w:rFonts w:ascii="Arial" w:cs="Arial" w:eastAsia="Arial" w:hAnsi="Arial"/>
                <w:sz w:val="14"/>
                <w:szCs w:val="14"/>
                <w:b w:val="1"/>
                <w:bCs w:val="1"/>
                <w:color w:val="auto"/>
                <w:w w:val="91"/>
              </w:rPr>
              <w:t>Steven E. Wollack</w:t>
            </w:r>
          </w:p>
        </w:tc>
        <w:tc>
          <w:tcPr>
            <w:tcW w:w="1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219"/>
          </w:cols>
          <w:pgMar w:left="240" w:top="121"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CME Group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SEVERANCE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Eligible Executives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January 1, 2013)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December 2013</w:t>
      </w:r>
    </w:p>
    <w:p>
      <w:pPr>
        <w:sectPr>
          <w:pgSz w:w="11900" w:h="16838" w:orient="portrait"/>
          <w:cols w:equalWidth="0" w:num="1">
            <w:col w:w="11420"/>
          </w:cols>
          <w:pgMar w:left="240" w:top="61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57"/>
        </w:trPr>
        <w:tc>
          <w:tcPr>
            <w:tcW w:w="9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180" w:type="dxa"/>
            <w:vAlign w:val="bottom"/>
          </w:tcPr>
          <w:p>
            <w:pPr>
              <w:jc w:val="right"/>
              <w:ind w:right="4440"/>
              <w:spacing w:after="0"/>
              <w:rPr>
                <w:sz w:val="20"/>
                <w:szCs w:val="20"/>
                <w:color w:val="auto"/>
              </w:rPr>
            </w:pPr>
            <w:r>
              <w:rPr>
                <w:rFonts w:ascii="Arial" w:cs="Arial" w:eastAsia="Arial" w:hAnsi="Arial"/>
                <w:sz w:val="22"/>
                <w:szCs w:val="22"/>
                <w:b w:val="1"/>
                <w:bCs w:val="1"/>
                <w:color w:val="auto"/>
              </w:rPr>
              <w:t>TABLE OF CONTENTS</w:t>
            </w:r>
          </w:p>
        </w:tc>
      </w:tr>
      <w:tr>
        <w:trPr>
          <w:trHeight w:val="286"/>
        </w:trPr>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1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9"/>
        </w:trPr>
        <w:tc>
          <w:tcPr>
            <w:tcW w:w="3240" w:type="dxa"/>
            <w:vAlign w:val="bottom"/>
            <w:gridSpan w:val="2"/>
          </w:tcPr>
          <w:p>
            <w:pPr>
              <w:jc w:val="right"/>
              <w:spacing w:after="0"/>
              <w:rPr>
                <w:sz w:val="20"/>
                <w:szCs w:val="20"/>
                <w:color w:val="auto"/>
              </w:rPr>
            </w:pPr>
            <w:r>
              <w:rPr>
                <w:rFonts w:ascii="Arial" w:cs="Arial" w:eastAsia="Arial" w:hAnsi="Arial"/>
                <w:sz w:val="20"/>
                <w:szCs w:val="20"/>
                <w:color w:val="auto"/>
                <w:w w:val="98"/>
              </w:rPr>
              <w:t>I. Purpose, Intent, and Effective Date</w:t>
            </w:r>
          </w:p>
        </w:tc>
        <w:tc>
          <w:tcPr>
            <w:tcW w:w="8180" w:type="dxa"/>
            <w:vAlign w:val="bottom"/>
          </w:tcPr>
          <w:p>
            <w:pPr>
              <w:jc w:val="right"/>
              <w:ind w:right="3620"/>
              <w:spacing w:after="0"/>
              <w:rPr>
                <w:sz w:val="20"/>
                <w:szCs w:val="20"/>
                <w:color w:val="auto"/>
              </w:rPr>
            </w:pPr>
            <w:r>
              <w:rPr>
                <w:rFonts w:ascii="Arial" w:cs="Arial" w:eastAsia="Arial" w:hAnsi="Arial"/>
                <w:sz w:val="20"/>
                <w:szCs w:val="20"/>
                <w:color w:val="auto"/>
                <w:w w:val="98"/>
              </w:rPr>
              <w:t>...............................................................................1</w:t>
            </w:r>
          </w:p>
        </w:tc>
      </w:tr>
      <w:tr>
        <w:trPr>
          <w:trHeight w:val="230"/>
        </w:trPr>
        <w:tc>
          <w:tcPr>
            <w:tcW w:w="3240" w:type="dxa"/>
            <w:vAlign w:val="bottom"/>
            <w:gridSpan w:val="2"/>
          </w:tcPr>
          <w:p>
            <w:pPr>
              <w:jc w:val="right"/>
              <w:spacing w:after="0"/>
              <w:rPr>
                <w:sz w:val="20"/>
                <w:szCs w:val="20"/>
                <w:color w:val="auto"/>
              </w:rPr>
            </w:pPr>
            <w:r>
              <w:rPr>
                <w:rFonts w:ascii="Arial" w:cs="Arial" w:eastAsia="Arial" w:hAnsi="Arial"/>
                <w:sz w:val="12"/>
                <w:szCs w:val="12"/>
                <w:color w:val="auto"/>
                <w:w w:val="70"/>
              </w:rPr>
              <w:t>II. Definitions.....................................................................................................................</w:t>
            </w:r>
          </w:p>
        </w:tc>
        <w:tc>
          <w:tcPr>
            <w:tcW w:w="8180" w:type="dxa"/>
            <w:vAlign w:val="bottom"/>
          </w:tcPr>
          <w:p>
            <w:pPr>
              <w:jc w:val="right"/>
              <w:ind w:right="362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2.1</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“Administrator”................................................................................................</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2.2</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“Cause”...........................................................................................................</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2.3</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"Code".............................................................................................................</w:t>
            </w:r>
          </w:p>
        </w:tc>
        <w:tc>
          <w:tcPr>
            <w:tcW w:w="8180" w:type="dxa"/>
            <w:vAlign w:val="bottom"/>
          </w:tcPr>
          <w:p>
            <w:pPr>
              <w:jc w:val="right"/>
              <w:ind w:right="362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2.4</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“Continuation Coverage”.................................................................................</w:t>
            </w:r>
          </w:p>
        </w:tc>
        <w:tc>
          <w:tcPr>
            <w:tcW w:w="8180" w:type="dxa"/>
            <w:vAlign w:val="bottom"/>
          </w:tcPr>
          <w:p>
            <w:pPr>
              <w:jc w:val="right"/>
              <w:ind w:right="362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2.5</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“Controlled Group”..........................................................................................</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2.6</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“Eligible Executive”.........................................................................................</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2.7</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“Employee”......................................................................................................</w:t>
            </w:r>
          </w:p>
        </w:tc>
        <w:tc>
          <w:tcPr>
            <w:tcW w:w="8180" w:type="dxa"/>
            <w:vAlign w:val="bottom"/>
          </w:tcPr>
          <w:p>
            <w:pPr>
              <w:jc w:val="right"/>
              <w:ind w:right="3600"/>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2.8</w:t>
            </w:r>
          </w:p>
        </w:tc>
        <w:tc>
          <w:tcPr>
            <w:tcW w:w="2280" w:type="dxa"/>
            <w:vAlign w:val="bottom"/>
          </w:tcPr>
          <w:p>
            <w:pPr>
              <w:jc w:val="right"/>
              <w:spacing w:after="0"/>
              <w:rPr>
                <w:sz w:val="20"/>
                <w:szCs w:val="20"/>
                <w:color w:val="auto"/>
              </w:rPr>
            </w:pPr>
            <w:r>
              <w:rPr>
                <w:rFonts w:ascii="Arial" w:cs="Arial" w:eastAsia="Arial" w:hAnsi="Arial"/>
                <w:sz w:val="9"/>
                <w:szCs w:val="9"/>
                <w:color w:val="auto"/>
                <w:w w:val="75"/>
              </w:rPr>
              <w:t>“Employer”......................................................................................................</w:t>
            </w:r>
          </w:p>
        </w:tc>
        <w:tc>
          <w:tcPr>
            <w:tcW w:w="8180" w:type="dxa"/>
            <w:vAlign w:val="bottom"/>
          </w:tcPr>
          <w:p>
            <w:pPr>
              <w:jc w:val="right"/>
              <w:ind w:right="3640"/>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jc w:val="right"/>
              <w:spacing w:after="0"/>
              <w:rPr>
                <w:sz w:val="20"/>
                <w:szCs w:val="20"/>
                <w:color w:val="auto"/>
              </w:rPr>
            </w:pPr>
            <w:r>
              <w:rPr>
                <w:rFonts w:ascii="Arial" w:cs="Arial" w:eastAsia="Arial" w:hAnsi="Arial"/>
                <w:sz w:val="20"/>
                <w:szCs w:val="20"/>
                <w:color w:val="auto"/>
              </w:rPr>
              <w:t>2.9</w:t>
            </w:r>
          </w:p>
        </w:tc>
        <w:tc>
          <w:tcPr>
            <w:tcW w:w="2280" w:type="dxa"/>
            <w:vAlign w:val="bottom"/>
          </w:tcPr>
          <w:p>
            <w:pPr>
              <w:jc w:val="right"/>
              <w:spacing w:after="0"/>
              <w:rPr>
                <w:sz w:val="20"/>
                <w:szCs w:val="20"/>
                <w:color w:val="auto"/>
              </w:rPr>
            </w:pPr>
            <w:r>
              <w:rPr>
                <w:rFonts w:ascii="Arial" w:cs="Arial" w:eastAsia="Arial" w:hAnsi="Arial"/>
                <w:sz w:val="9"/>
                <w:szCs w:val="9"/>
                <w:color w:val="auto"/>
                <w:w w:val="74"/>
              </w:rPr>
              <w:t>“Involuntary Termination”.................................................................................</w:t>
            </w:r>
          </w:p>
        </w:tc>
        <w:tc>
          <w:tcPr>
            <w:tcW w:w="8180" w:type="dxa"/>
            <w:vAlign w:val="bottom"/>
          </w:tcPr>
          <w:p>
            <w:pPr>
              <w:jc w:val="right"/>
              <w:ind w:right="3600"/>
              <w:spacing w:after="0"/>
              <w:rPr>
                <w:sz w:val="20"/>
                <w:szCs w:val="20"/>
                <w:color w:val="auto"/>
              </w:rPr>
            </w:pPr>
            <w:r>
              <w:rPr>
                <w:rFonts w:ascii="Arial" w:cs="Arial" w:eastAsia="Arial" w:hAnsi="Arial"/>
                <w:sz w:val="20"/>
                <w:szCs w:val="20"/>
                <w:color w:val="auto"/>
              </w:rPr>
              <w:t>2</w:t>
            </w: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2.10</w:t>
            </w:r>
          </w:p>
        </w:tc>
        <w:tc>
          <w:tcPr>
            <w:tcW w:w="6500" w:type="dxa"/>
            <w:vAlign w:val="bottom"/>
          </w:tcPr>
          <w:p>
            <w:pPr>
              <w:ind w:left="40"/>
              <w:spacing w:after="0"/>
              <w:rPr>
                <w:sz w:val="20"/>
                <w:szCs w:val="20"/>
                <w:color w:val="auto"/>
              </w:rPr>
            </w:pPr>
            <w:r>
              <w:rPr>
                <w:rFonts w:ascii="Arial" w:cs="Arial" w:eastAsia="Arial" w:hAnsi="Arial"/>
                <w:sz w:val="20"/>
                <w:szCs w:val="20"/>
                <w:color w:val="auto"/>
                <w:w w:val="97"/>
              </w:rPr>
              <w:t>“Qualifying Termination”................................................................................</w:t>
            </w:r>
          </w:p>
        </w:tc>
        <w:tc>
          <w:tcPr>
            <w:tcW w:w="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2.11</w:t>
            </w:r>
          </w:p>
        </w:tc>
        <w:tc>
          <w:tcPr>
            <w:tcW w:w="6500" w:type="dxa"/>
            <w:vAlign w:val="bottom"/>
          </w:tcPr>
          <w:p>
            <w:pPr>
              <w:ind w:left="40"/>
              <w:spacing w:after="0"/>
              <w:rPr>
                <w:sz w:val="20"/>
                <w:szCs w:val="20"/>
                <w:color w:val="auto"/>
              </w:rPr>
            </w:pPr>
            <w:r>
              <w:rPr>
                <w:rFonts w:ascii="Arial" w:cs="Arial" w:eastAsia="Arial" w:hAnsi="Arial"/>
                <w:sz w:val="20"/>
                <w:szCs w:val="20"/>
                <w:color w:val="auto"/>
                <w:w w:val="97"/>
              </w:rPr>
              <w:t>“Severance Benefit”.......................................................................................</w:t>
            </w:r>
          </w:p>
        </w:tc>
        <w:tc>
          <w:tcPr>
            <w:tcW w:w="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2.12</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Pay”...........................................................................................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2.13</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Period”.......................................................................................</w:t>
            </w:r>
          </w:p>
        </w:tc>
        <w:tc>
          <w:tcPr>
            <w:tcW w:w="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2.14</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“Severance Schedule”..................................................................................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2.15</w:t>
            </w:r>
          </w:p>
        </w:tc>
        <w:tc>
          <w:tcPr>
            <w:tcW w:w="6500" w:type="dxa"/>
            <w:vAlign w:val="bottom"/>
          </w:tcPr>
          <w:p>
            <w:pPr>
              <w:ind w:left="40"/>
              <w:spacing w:after="0"/>
              <w:rPr>
                <w:sz w:val="20"/>
                <w:szCs w:val="20"/>
                <w:color w:val="auto"/>
              </w:rPr>
            </w:pPr>
            <w:r>
              <w:rPr>
                <w:rFonts w:ascii="Arial" w:cs="Arial" w:eastAsia="Arial" w:hAnsi="Arial"/>
                <w:sz w:val="20"/>
                <w:szCs w:val="20"/>
                <w:color w:val="auto"/>
                <w:w w:val="98"/>
              </w:rPr>
              <w:t>“Supplemental Severance Benefits”.............................................................</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2</w:t>
            </w:r>
          </w:p>
        </w:tc>
      </w:tr>
      <w:tr>
        <w:trPr>
          <w:trHeight w:val="230"/>
        </w:trPr>
        <w:tc>
          <w:tcPr>
            <w:tcW w:w="400" w:type="dxa"/>
            <w:vAlign w:val="bottom"/>
          </w:tcPr>
          <w:p>
            <w:pPr>
              <w:jc w:val="right"/>
              <w:spacing w:after="0"/>
              <w:rPr>
                <w:sz w:val="20"/>
                <w:szCs w:val="20"/>
                <w:color w:val="auto"/>
              </w:rPr>
            </w:pPr>
            <w:r>
              <w:rPr>
                <w:rFonts w:ascii="Arial" w:cs="Arial" w:eastAsia="Arial" w:hAnsi="Arial"/>
                <w:sz w:val="20"/>
                <w:szCs w:val="20"/>
                <w:color w:val="auto"/>
                <w:w w:val="92"/>
              </w:rPr>
              <w:t>2.16</w:t>
            </w:r>
          </w:p>
        </w:tc>
        <w:tc>
          <w:tcPr>
            <w:tcW w:w="6500" w:type="dxa"/>
            <w:vAlign w:val="bottom"/>
          </w:tcPr>
          <w:p>
            <w:pPr>
              <w:ind w:left="40"/>
              <w:spacing w:after="0"/>
              <w:rPr>
                <w:sz w:val="20"/>
                <w:szCs w:val="20"/>
                <w:color w:val="auto"/>
              </w:rPr>
            </w:pPr>
            <w:r>
              <w:rPr>
                <w:rFonts w:ascii="Arial" w:cs="Arial" w:eastAsia="Arial" w:hAnsi="Arial"/>
                <w:sz w:val="20"/>
                <w:szCs w:val="20"/>
                <w:color w:val="auto"/>
                <w:w w:val="97"/>
              </w:rPr>
              <w:t>“Termination of Employment”........................................................................</w:t>
            </w:r>
          </w:p>
        </w:tc>
        <w:tc>
          <w:tcPr>
            <w:tcW w:w="180" w:type="dxa"/>
            <w:vAlign w:val="bottom"/>
          </w:tcPr>
          <w:p>
            <w:pPr>
              <w:jc w:val="right"/>
              <w:spacing w:after="0"/>
              <w:rPr>
                <w:sz w:val="20"/>
                <w:szCs w:val="20"/>
                <w:color w:val="auto"/>
              </w:rPr>
            </w:pPr>
            <w:r>
              <w:rPr>
                <w:rFonts w:ascii="Arial" w:cs="Arial" w:eastAsia="Arial" w:hAnsi="Arial"/>
                <w:sz w:val="20"/>
                <w:szCs w:val="20"/>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3"/>
          </w:tcPr>
          <w:p>
            <w:pPr>
              <w:jc w:val="right"/>
              <w:spacing w:after="0"/>
              <w:rPr>
                <w:sz w:val="20"/>
                <w:szCs w:val="20"/>
                <w:color w:val="auto"/>
              </w:rPr>
            </w:pPr>
            <w:r>
              <w:rPr>
                <w:rFonts w:ascii="Arial" w:cs="Arial" w:eastAsia="Arial" w:hAnsi="Arial"/>
                <w:sz w:val="20"/>
                <w:szCs w:val="20"/>
                <w:color w:val="auto"/>
                <w:w w:val="98"/>
              </w:rPr>
              <w:t>III. Eligibility for Benefits....................................................................................................</w:t>
            </w:r>
          </w:p>
        </w:tc>
        <w:tc>
          <w:tcPr>
            <w:tcW w:w="2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3.1</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Severance Benefits.........................................................................................</w:t>
            </w:r>
          </w:p>
        </w:tc>
        <w:tc>
          <w:tcPr>
            <w:tcW w:w="2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3.2</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Supplemental Severance Benefits..................................................................</w:t>
            </w:r>
          </w:p>
        </w:tc>
        <w:tc>
          <w:tcPr>
            <w:tcW w:w="2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3.3</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Ineligible Employees.......................................................................................</w:t>
            </w:r>
          </w:p>
        </w:tc>
        <w:tc>
          <w:tcPr>
            <w:tcW w:w="2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7560" w:type="dxa"/>
            <w:vAlign w:val="bottom"/>
            <w:gridSpan w:val="3"/>
          </w:tcPr>
          <w:p>
            <w:pPr>
              <w:jc w:val="right"/>
              <w:spacing w:after="0"/>
              <w:rPr>
                <w:sz w:val="20"/>
                <w:szCs w:val="20"/>
                <w:color w:val="auto"/>
              </w:rPr>
            </w:pPr>
            <w:r>
              <w:rPr>
                <w:rFonts w:ascii="Arial" w:cs="Arial" w:eastAsia="Arial" w:hAnsi="Arial"/>
                <w:sz w:val="20"/>
                <w:szCs w:val="20"/>
                <w:color w:val="auto"/>
                <w:w w:val="98"/>
              </w:rPr>
              <w:t>IV. General Provisions......................................................................................................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4.1</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Timing of Severance Pay................................................................................</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4.2</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Withholding.....................................................................................................</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4.3</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Amendment and Termination..........................................................................</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4.4</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Payments Conditioned on Release.................................................................</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4.5</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Return of Property...........................................................................................</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4.6</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Breach of Obligations to Employer..................................................................</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4.7</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Offsets.............................................................................................................</w:t>
            </w:r>
          </w:p>
        </w:tc>
        <w:tc>
          <w:tcPr>
            <w:tcW w:w="2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4.8</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Governing Law................................................................................................</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4.9</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Nonassignability..............................................................................................</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4.10</w:t>
            </w:r>
          </w:p>
        </w:tc>
        <w:tc>
          <w:tcPr>
            <w:tcW w:w="6460" w:type="dxa"/>
            <w:vAlign w:val="bottom"/>
          </w:tcPr>
          <w:p>
            <w:pPr>
              <w:jc w:val="right"/>
              <w:spacing w:after="0"/>
              <w:rPr>
                <w:sz w:val="20"/>
                <w:szCs w:val="20"/>
                <w:color w:val="auto"/>
              </w:rPr>
            </w:pPr>
            <w:r>
              <w:rPr>
                <w:rFonts w:ascii="Arial" w:cs="Arial" w:eastAsia="Arial" w:hAnsi="Arial"/>
                <w:sz w:val="20"/>
                <w:szCs w:val="20"/>
                <w:color w:val="auto"/>
                <w:w w:val="97"/>
              </w:rPr>
              <w:t>Severance Pay Not Compensation...............................................................</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4.11</w:t>
            </w:r>
          </w:p>
        </w:tc>
        <w:tc>
          <w:tcPr>
            <w:tcW w:w="6460" w:type="dxa"/>
            <w:vAlign w:val="bottom"/>
          </w:tcPr>
          <w:p>
            <w:pPr>
              <w:jc w:val="right"/>
              <w:spacing w:after="0"/>
              <w:rPr>
                <w:sz w:val="20"/>
                <w:szCs w:val="20"/>
                <w:color w:val="auto"/>
              </w:rPr>
            </w:pPr>
            <w:r>
              <w:rPr>
                <w:rFonts w:ascii="Arial" w:cs="Arial" w:eastAsia="Arial" w:hAnsi="Arial"/>
                <w:sz w:val="20"/>
                <w:szCs w:val="20"/>
                <w:color w:val="auto"/>
                <w:w w:val="98"/>
              </w:rPr>
              <w:t>Right of Offset...............................................................................................</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4.12</w:t>
            </w:r>
          </w:p>
        </w:tc>
        <w:tc>
          <w:tcPr>
            <w:tcW w:w="6460" w:type="dxa"/>
            <w:vAlign w:val="bottom"/>
          </w:tcPr>
          <w:p>
            <w:pPr>
              <w:jc w:val="right"/>
              <w:spacing w:after="0"/>
              <w:rPr>
                <w:sz w:val="20"/>
                <w:szCs w:val="20"/>
                <w:color w:val="auto"/>
              </w:rPr>
            </w:pPr>
            <w:r>
              <w:rPr>
                <w:rFonts w:ascii="Arial" w:cs="Arial" w:eastAsia="Arial" w:hAnsi="Arial"/>
                <w:sz w:val="20"/>
                <w:szCs w:val="20"/>
                <w:color w:val="auto"/>
                <w:w w:val="97"/>
              </w:rPr>
              <w:t>Severability....................................................................................................</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4.13</w:t>
            </w:r>
          </w:p>
        </w:tc>
        <w:tc>
          <w:tcPr>
            <w:tcW w:w="6460" w:type="dxa"/>
            <w:vAlign w:val="bottom"/>
          </w:tcPr>
          <w:p>
            <w:pPr>
              <w:jc w:val="right"/>
              <w:spacing w:after="0"/>
              <w:rPr>
                <w:sz w:val="20"/>
                <w:szCs w:val="20"/>
                <w:color w:val="auto"/>
              </w:rPr>
            </w:pPr>
            <w:r>
              <w:rPr>
                <w:rFonts w:ascii="Arial" w:cs="Arial" w:eastAsia="Arial" w:hAnsi="Arial"/>
                <w:sz w:val="20"/>
                <w:szCs w:val="20"/>
                <w:color w:val="auto"/>
                <w:w w:val="97"/>
              </w:rPr>
              <w:t>Recovery of Payments Made by Mistake......................................................</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4.14</w:t>
            </w:r>
          </w:p>
        </w:tc>
        <w:tc>
          <w:tcPr>
            <w:tcW w:w="6460" w:type="dxa"/>
            <w:vAlign w:val="bottom"/>
          </w:tcPr>
          <w:p>
            <w:pPr>
              <w:jc w:val="right"/>
              <w:spacing w:after="0"/>
              <w:rPr>
                <w:sz w:val="20"/>
                <w:szCs w:val="20"/>
                <w:color w:val="auto"/>
              </w:rPr>
            </w:pPr>
            <w:r>
              <w:rPr>
                <w:rFonts w:ascii="Arial" w:cs="Arial" w:eastAsia="Arial" w:hAnsi="Arial"/>
                <w:sz w:val="20"/>
                <w:szCs w:val="20"/>
                <w:color w:val="auto"/>
                <w:w w:val="97"/>
              </w:rPr>
              <w:t>Representations Contrary to Plan.................................................................</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4.15</w:t>
            </w:r>
          </w:p>
        </w:tc>
        <w:tc>
          <w:tcPr>
            <w:tcW w:w="6460" w:type="dxa"/>
            <w:vAlign w:val="bottom"/>
          </w:tcPr>
          <w:p>
            <w:pPr>
              <w:jc w:val="right"/>
              <w:spacing w:after="0"/>
              <w:rPr>
                <w:sz w:val="20"/>
                <w:szCs w:val="20"/>
                <w:color w:val="auto"/>
              </w:rPr>
            </w:pPr>
            <w:r>
              <w:rPr>
                <w:rFonts w:ascii="Arial" w:cs="Arial" w:eastAsia="Arial" w:hAnsi="Arial"/>
                <w:sz w:val="20"/>
                <w:szCs w:val="20"/>
                <w:color w:val="auto"/>
                <w:w w:val="97"/>
              </w:rPr>
              <w:t>Plan Funding.................................................................................................</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4.16</w:t>
            </w:r>
          </w:p>
        </w:tc>
        <w:tc>
          <w:tcPr>
            <w:tcW w:w="6460" w:type="dxa"/>
            <w:vAlign w:val="bottom"/>
          </w:tcPr>
          <w:p>
            <w:pPr>
              <w:jc w:val="right"/>
              <w:spacing w:after="0"/>
              <w:rPr>
                <w:sz w:val="20"/>
                <w:szCs w:val="20"/>
                <w:color w:val="auto"/>
              </w:rPr>
            </w:pPr>
            <w:r>
              <w:rPr>
                <w:rFonts w:ascii="Arial" w:cs="Arial" w:eastAsia="Arial" w:hAnsi="Arial"/>
                <w:sz w:val="20"/>
                <w:szCs w:val="20"/>
                <w:color w:val="auto"/>
                <w:w w:val="98"/>
              </w:rPr>
              <w:t>Written Agreement........................................................................................</w:t>
            </w:r>
          </w:p>
        </w:tc>
        <w:tc>
          <w:tcPr>
            <w:tcW w:w="2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4.17</w:t>
            </w:r>
          </w:p>
        </w:tc>
        <w:tc>
          <w:tcPr>
            <w:tcW w:w="6460" w:type="dxa"/>
            <w:vAlign w:val="bottom"/>
          </w:tcPr>
          <w:p>
            <w:pPr>
              <w:jc w:val="right"/>
              <w:spacing w:after="0"/>
              <w:rPr>
                <w:sz w:val="20"/>
                <w:szCs w:val="20"/>
                <w:color w:val="auto"/>
              </w:rPr>
            </w:pPr>
            <w:r>
              <w:rPr>
                <w:rFonts w:ascii="Arial" w:cs="Arial" w:eastAsia="Arial" w:hAnsi="Arial"/>
                <w:sz w:val="20"/>
                <w:szCs w:val="20"/>
                <w:color w:val="auto"/>
                <w:w w:val="98"/>
              </w:rPr>
              <w:t>No Right to Other Claims..............................................................................</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100" w:type="dxa"/>
            <w:vAlign w:val="bottom"/>
            <w:gridSpan w:val="2"/>
          </w:tcPr>
          <w:p>
            <w:pPr>
              <w:ind w:left="660"/>
              <w:spacing w:after="0"/>
              <w:rPr>
                <w:sz w:val="20"/>
                <w:szCs w:val="20"/>
                <w:color w:val="auto"/>
              </w:rPr>
            </w:pPr>
            <w:r>
              <w:rPr>
                <w:rFonts w:ascii="Arial" w:cs="Arial" w:eastAsia="Arial" w:hAnsi="Arial"/>
                <w:sz w:val="20"/>
                <w:szCs w:val="20"/>
                <w:color w:val="auto"/>
              </w:rPr>
              <w:t>4.18</w:t>
            </w:r>
          </w:p>
        </w:tc>
        <w:tc>
          <w:tcPr>
            <w:tcW w:w="6460" w:type="dxa"/>
            <w:vAlign w:val="bottom"/>
          </w:tcPr>
          <w:p>
            <w:pPr>
              <w:jc w:val="right"/>
              <w:spacing w:after="0"/>
              <w:rPr>
                <w:sz w:val="20"/>
                <w:szCs w:val="20"/>
                <w:color w:val="auto"/>
              </w:rPr>
            </w:pPr>
            <w:r>
              <w:rPr>
                <w:rFonts w:ascii="Arial" w:cs="Arial" w:eastAsia="Arial" w:hAnsi="Arial"/>
                <w:sz w:val="20"/>
                <w:szCs w:val="20"/>
                <w:color w:val="auto"/>
                <w:w w:val="98"/>
              </w:rPr>
              <w:t>Code Section 409A.......................................................................................</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7560" w:type="dxa"/>
            <w:vAlign w:val="bottom"/>
            <w:gridSpan w:val="3"/>
          </w:tcPr>
          <w:p>
            <w:pPr>
              <w:jc w:val="right"/>
              <w:spacing w:after="0"/>
              <w:rPr>
                <w:sz w:val="20"/>
                <w:szCs w:val="20"/>
                <w:color w:val="auto"/>
              </w:rPr>
            </w:pPr>
            <w:r>
              <w:rPr>
                <w:rFonts w:ascii="Arial" w:cs="Arial" w:eastAsia="Arial" w:hAnsi="Arial"/>
                <w:sz w:val="20"/>
                <w:szCs w:val="20"/>
                <w:color w:val="auto"/>
                <w:w w:val="97"/>
              </w:rPr>
              <w:t>V. Plan Administration.......................................................................................................</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5.1</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7"/>
              </w:rPr>
              <w:t>Operation and Administration of Plan by Administrator...................................</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5.2</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Reliance on Documents, Instruments, Etc......................................................</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5.3</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Administrative Expenses.................................................................................</w:t>
            </w:r>
          </w:p>
        </w:tc>
        <w:tc>
          <w:tcPr>
            <w:tcW w:w="2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5.4</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Bond, Compensation, Indemnification of Administrator..................................</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5.5</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7"/>
              </w:rPr>
              <w:t>More Than One Fiduciary Capacity.................................................................</w:t>
            </w:r>
          </w:p>
        </w:tc>
        <w:tc>
          <w:tcPr>
            <w:tcW w:w="2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7"/>
        </w:trPr>
        <w:tc>
          <w:tcPr>
            <w:tcW w:w="960" w:type="dxa"/>
            <w:vAlign w:val="bottom"/>
          </w:tcPr>
          <w:p>
            <w:pPr>
              <w:ind w:left="660"/>
              <w:spacing w:after="0"/>
              <w:rPr>
                <w:sz w:val="20"/>
                <w:szCs w:val="20"/>
                <w:color w:val="auto"/>
              </w:rPr>
            </w:pPr>
            <w:r>
              <w:rPr>
                <w:rFonts w:ascii="Arial" w:cs="Arial" w:eastAsia="Arial" w:hAnsi="Arial"/>
                <w:sz w:val="20"/>
                <w:szCs w:val="20"/>
                <w:color w:val="auto"/>
              </w:rPr>
              <w:t>5.6</w:t>
            </w:r>
          </w:p>
        </w:tc>
        <w:tc>
          <w:tcPr>
            <w:tcW w:w="6600" w:type="dxa"/>
            <w:vAlign w:val="bottom"/>
            <w:gridSpan w:val="2"/>
          </w:tcPr>
          <w:p>
            <w:pPr>
              <w:jc w:val="right"/>
              <w:spacing w:after="0"/>
              <w:rPr>
                <w:sz w:val="20"/>
                <w:szCs w:val="20"/>
                <w:color w:val="auto"/>
              </w:rPr>
            </w:pPr>
            <w:r>
              <w:rPr>
                <w:rFonts w:ascii="Arial" w:cs="Arial" w:eastAsia="Arial" w:hAnsi="Arial"/>
                <w:sz w:val="20"/>
                <w:szCs w:val="20"/>
                <w:color w:val="auto"/>
                <w:w w:val="98"/>
              </w:rPr>
              <w:t>Denial of Claims; Appeals...............................................................................</w:t>
            </w:r>
          </w:p>
        </w:tc>
        <w:tc>
          <w:tcPr>
            <w:tcW w:w="2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38"/>
        </w:trPr>
        <w:tc>
          <w:tcPr>
            <w:tcW w:w="7560" w:type="dxa"/>
            <w:vAlign w:val="bottom"/>
            <w:gridSpan w:val="3"/>
          </w:tcPr>
          <w:p>
            <w:pPr>
              <w:jc w:val="right"/>
              <w:spacing w:after="0"/>
              <w:rPr>
                <w:sz w:val="20"/>
                <w:szCs w:val="20"/>
                <w:color w:val="auto"/>
              </w:rPr>
            </w:pPr>
            <w:r>
              <w:rPr>
                <w:rFonts w:ascii="Arial" w:cs="Arial" w:eastAsia="Arial" w:hAnsi="Arial"/>
                <w:sz w:val="20"/>
                <w:szCs w:val="20"/>
                <w:color w:val="auto"/>
                <w:w w:val="97"/>
              </w:rPr>
              <w:t>Appendix A........................................................................................................................</w:t>
            </w:r>
          </w:p>
        </w:tc>
        <w:tc>
          <w:tcPr>
            <w:tcW w:w="200" w:type="dxa"/>
            <w:vAlign w:val="bottom"/>
          </w:tcPr>
          <w:p>
            <w:pPr>
              <w:jc w:val="right"/>
              <w:spacing w:after="0"/>
              <w:rPr>
                <w:sz w:val="20"/>
                <w:szCs w:val="20"/>
                <w:color w:val="auto"/>
              </w:rPr>
            </w:pPr>
            <w:r>
              <w:rPr>
                <w:rFonts w:ascii="Arial" w:cs="Arial" w:eastAsia="Arial" w:hAnsi="Arial"/>
                <w:sz w:val="20"/>
                <w:szCs w:val="20"/>
                <w:color w:val="auto"/>
              </w:rPr>
              <w:t>A</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0"/>
          <w:szCs w:val="20"/>
          <w:b w:val="1"/>
          <w:bCs w:val="1"/>
          <w:color w:val="auto"/>
        </w:rPr>
        <w:t>CME Group Inc. Severance Plan for Eligible Executives</w:t>
      </w:r>
    </w:p>
    <w:p>
      <w:pPr>
        <w:spacing w:after="0" w:line="33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Intent, and Effective Date</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CME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previously adopted the CME Group Inc. Severance Plan for Corporate Officers (the “</w:t>
      </w:r>
      <w:r>
        <w:rPr>
          <w:rFonts w:ascii="Arial" w:cs="Arial" w:eastAsia="Arial" w:hAnsi="Arial"/>
          <w:sz w:val="20"/>
          <w:szCs w:val="20"/>
          <w:u w:val="single" w:color="auto"/>
          <w:color w:val="auto"/>
        </w:rPr>
        <w:t>Plan</w:t>
      </w:r>
      <w:r>
        <w:rPr>
          <w:rFonts w:ascii="Arial" w:cs="Arial" w:eastAsia="Arial" w:hAnsi="Arial"/>
          <w:sz w:val="20"/>
          <w:szCs w:val="20"/>
          <w:color w:val="auto"/>
        </w:rPr>
        <w:t>”) as a component of the Chicago Mercantile Exchange Inc. Employee Benefit Plan. The Company hereby amends, restates and renames the Plan as the CME Group Inc. Severance Plan for Eligible Executives, effective January 1, 2013 (the “</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w:t>
      </w:r>
    </w:p>
    <w:p>
      <w:pPr>
        <w:spacing w:after="0" w:line="206"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provisions of this Plan supersede any prior Employer severance benefit plan documents, policies, and programs (regardless of whether such policies and programs were written). The Board of Directors of the Company, or its designee, may designate one or more officers (by office or by name) to perform any act specified to be done by “the Company” under this Plan.</w:t>
      </w:r>
    </w:p>
    <w:p>
      <w:pPr>
        <w:spacing w:after="0" w:line="206"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severance benefits to certain employees of the Employer in the event that their employment is terminated in specified circumstances.</w:t>
      </w:r>
    </w:p>
    <w:p>
      <w:pPr>
        <w:spacing w:after="0" w:line="201"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Plan is intended to constitute an unfunded welfare benefit plan for purposes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w:t>
      </w:r>
    </w:p>
    <w:p>
      <w:pPr>
        <w:spacing w:after="0" w:line="28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2.1</w:t>
      </w:r>
    </w:p>
    <w:p>
      <w:pPr>
        <w:ind w:left="130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person(s) or committee designated by the Company to administer the Plan. The Administrator shall be the “administrator” and the “named fiduciary” of the Plan for purposes of ERISA. Unless there is another designation by the Company, the Administrator is the Compensation Committee of the Board of Directors of the Company.</w:t>
      </w:r>
    </w:p>
    <w:p>
      <w:pPr>
        <w:spacing w:after="0" w:line="206"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2.2</w:t>
      </w:r>
    </w:p>
    <w:p>
      <w:pPr>
        <w:jc w:val="both"/>
        <w:ind w:left="1300" w:right="1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engaging in conduct that violates any of the Employer’s policies and/or is harmful to the Employer. Whether a Termination of Employment is for Cause will be determined in each case by the Administrator in its sole discretion.</w:t>
      </w:r>
    </w:p>
    <w:p>
      <w:pPr>
        <w:spacing w:after="0" w:line="20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2.3</w:t>
      </w:r>
    </w:p>
    <w:p>
      <w:pPr>
        <w:ind w:left="130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2.4</w:t>
      </w:r>
    </w:p>
    <w:p>
      <w:pPr>
        <w:ind w:left="130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Continuation Coverage</w:t>
      </w:r>
      <w:r>
        <w:rPr>
          <w:rFonts w:ascii="Arial" w:cs="Arial" w:eastAsia="Arial" w:hAnsi="Arial"/>
          <w:sz w:val="20"/>
          <w:szCs w:val="20"/>
          <w:color w:val="auto"/>
        </w:rPr>
        <w:t>” means (i) the continuation of health plan coverage under Part 6 of Title I of ERISA</w:t>
      </w:r>
    </w:p>
    <w:p>
      <w:pPr>
        <w:ind w:left="1300" w:right="14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and (ii) the COBRA-like continuation of health plan coverage of an Employee’s domestic partner under the terms of the Employer’s group health plan.</w:t>
      </w:r>
    </w:p>
    <w:p>
      <w:pPr>
        <w:spacing w:after="0" w:line="20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2.5</w:t>
      </w:r>
    </w:p>
    <w:p>
      <w:pPr>
        <w:ind w:left="1300" w:right="72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Controlled Group</w:t>
      </w:r>
      <w:r>
        <w:rPr>
          <w:rFonts w:ascii="Arial" w:cs="Arial" w:eastAsia="Arial" w:hAnsi="Arial"/>
          <w:sz w:val="20"/>
          <w:szCs w:val="20"/>
          <w:color w:val="auto"/>
        </w:rPr>
        <w:t>” means the Company and any other employer that, together with the Company, would be considered a single employer under Section 414(b) or 414(c) of the Code.</w:t>
      </w:r>
    </w:p>
    <w:p>
      <w:pPr>
        <w:spacing w:after="0" w:line="20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2.6</w:t>
      </w:r>
    </w:p>
    <w:p>
      <w:pPr>
        <w:ind w:left="1300" w:right="2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Executive</w:t>
      </w:r>
      <w:r>
        <w:rPr>
          <w:rFonts w:ascii="Arial" w:cs="Arial" w:eastAsia="Arial" w:hAnsi="Arial"/>
          <w:sz w:val="20"/>
          <w:szCs w:val="20"/>
          <w:color w:val="auto"/>
        </w:rPr>
        <w:t>” means an Employee on the U.S. payroll holding the position of Executive Director, Managing Director, Senior Managing Director or any other position on the Management Team of the Company.</w:t>
      </w:r>
    </w:p>
    <w:p>
      <w:pPr>
        <w:spacing w:after="0" w:line="20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2.7</w:t>
      </w:r>
    </w:p>
    <w:p>
      <w:pPr>
        <w:ind w:left="1300" w:right="58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 Eligible Executive of the Employer who provides personal services to the Employer for compensation, exclusive of individuals who are (a)</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2" w:right="239" w:bottom="1440" w:gutter="0" w:footer="0" w:header="0"/>
        </w:sectPr>
      </w:pPr>
    </w:p>
    <w:bookmarkStart w:id="101" w:name="page102"/>
    <w:bookmarkEnd w:id="101"/>
    <w:p>
      <w:pPr>
        <w:ind w:left="640" w:firstLine="648"/>
        <w:spacing w:after="0"/>
        <w:rPr>
          <w:sz w:val="20"/>
          <w:szCs w:val="20"/>
          <w:color w:val="auto"/>
        </w:rPr>
      </w:pPr>
      <w:r>
        <w:rPr>
          <w:rFonts w:ascii="Arial" w:cs="Arial" w:eastAsia="Arial" w:hAnsi="Arial"/>
          <w:sz w:val="20"/>
          <w:szCs w:val="20"/>
          <w:color w:val="auto"/>
        </w:rPr>
        <w:t>covered by (i) an individual contract of employment that provides severance benefits, (ii) an individual severance agreement, unless such contract or agreement is evidenced in writing and makes reference to the terms of this Plan, or (iii) any other severance plan of the Employer or an affiliate of the Employer; (b) classified as independent contractors by the Company for employment tax purposes (whether or not such classification is challenged or upheld); (c) temporary, seasonal or intern employees; (d) covered by a collective bargaining agreement which does not provide for participation in this plan; (e) regularly scheduled to work for the Employer less than 20 hours per week; (f) not eligible for Employer-provided pension or welfare benefits; or (g) not on the Employer’s United States payroll. The Administrator shall have the authority to determine, in its sole and complete discretion and on a case-by-case basis, whether an individual constitutes an Employee for purposes of the Plan.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ind w:left="640" w:right="4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Chicago Mercantile Exchange Inc. and any other employer that is a member of the Controlled Group and that is designated by the Company as eligible to participate in the Plan. As of the Restatement Effective Date, the Employers include GFX Corporation, New York Mercantile Exchange, Inc. and Pivot, Inc.</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ind w:left="640" w:right="1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Termination</w:t>
      </w:r>
      <w:r>
        <w:rPr>
          <w:rFonts w:ascii="Arial" w:cs="Arial" w:eastAsia="Arial" w:hAnsi="Arial"/>
          <w:sz w:val="20"/>
          <w:szCs w:val="20"/>
          <w:color w:val="auto"/>
        </w:rPr>
        <w:t>” means an involuntary Termination of Employment by the Employer other than by reason of death or disability. In no event will an Employee be deemed to incur an Involuntary Termination if he or she is offered a transfer to a position within the Employer or a position with an affiliate of the Employer, irrespective of whether the Employee elects to accept such offer.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2.10</w:t>
      </w:r>
    </w:p>
    <w:p>
      <w:pPr>
        <w:ind w:left="640" w:right="8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an Involuntary Termination, other than for Cause that the Administrator determines in its sole discretion is due to the elimination of Employee’s job or a reduction in force or due to the unacceptable performance of the Employee’s job duties and responsibilities.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2.11</w:t>
      </w:r>
    </w:p>
    <w:p>
      <w:pPr>
        <w:ind w:left="640" w:right="18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Benefit</w:t>
      </w:r>
      <w:r>
        <w:rPr>
          <w:rFonts w:ascii="Arial" w:cs="Arial" w:eastAsia="Arial" w:hAnsi="Arial"/>
          <w:sz w:val="20"/>
          <w:szCs w:val="20"/>
          <w:color w:val="auto"/>
        </w:rPr>
        <w:t>” means any payment or benefit described in the Severance Schedule to this Plan to which an Employee is entitled upon a Qualifying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2.12</w:t>
      </w: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Pay</w:t>
      </w:r>
      <w:r>
        <w:rPr>
          <w:rFonts w:ascii="Arial" w:cs="Arial" w:eastAsia="Arial" w:hAnsi="Arial"/>
          <w:sz w:val="20"/>
          <w:szCs w:val="20"/>
          <w:color w:val="auto"/>
        </w:rPr>
        <w:t>” means the portion of a Severance Benefit consisting of severance pay.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2.13</w:t>
      </w:r>
    </w:p>
    <w:p>
      <w:pPr>
        <w:ind w:left="640" w:right="26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Period</w:t>
      </w:r>
      <w:r>
        <w:rPr>
          <w:rFonts w:ascii="Arial" w:cs="Arial" w:eastAsia="Arial" w:hAnsi="Arial"/>
          <w:sz w:val="20"/>
          <w:szCs w:val="20"/>
          <w:color w:val="auto"/>
        </w:rPr>
        <w:t>” means the period described in the applicable Severance Schedule for which an Employee is entitled to receive Severance Pay.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2.14</w:t>
      </w:r>
    </w:p>
    <w:p>
      <w:pPr>
        <w:ind w:left="640"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Schedule</w:t>
      </w:r>
      <w:r>
        <w:rPr>
          <w:rFonts w:ascii="Arial" w:cs="Arial" w:eastAsia="Arial" w:hAnsi="Arial"/>
          <w:sz w:val="20"/>
          <w:szCs w:val="20"/>
          <w:color w:val="auto"/>
        </w:rPr>
        <w:t>” means the applicable schedule attached as an appendix to this Plan, as such schedule may be modified from time to time by the Administrator, that describes the Severance Benefits and Supplemental Severance Benefits that an Employee may be entitled to receive pursuant to this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2.15</w:t>
      </w:r>
    </w:p>
    <w:p>
      <w:pPr>
        <w:ind w:left="640" w:right="5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means any discretionary supplemental benefits that are in addition to any Severance Benefits, including, without limitation, any such discretionary supplemental benefits provided in accordance with the applicable Severance Schedule.</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20"/>
          </w:cols>
          <w:pgMar w:left="900" w:top="744" w:right="279" w:bottom="1440" w:gutter="0" w:footer="0" w:header="0"/>
        </w:sectPr>
      </w:pPr>
    </w:p>
    <w:bookmarkStart w:id="102" w:name="page103"/>
    <w:bookmarkEnd w:id="102"/>
    <w:p>
      <w:pPr>
        <w:ind w:left="660"/>
        <w:spacing w:after="0"/>
        <w:rPr>
          <w:sz w:val="20"/>
          <w:szCs w:val="20"/>
          <w:color w:val="auto"/>
        </w:rPr>
      </w:pPr>
      <w:r>
        <w:rPr>
          <w:rFonts w:ascii="Arial" w:cs="Arial" w:eastAsia="Arial" w:hAnsi="Arial"/>
          <w:sz w:val="20"/>
          <w:szCs w:val="20"/>
          <w:color w:val="auto"/>
        </w:rPr>
        <w:t>2.16</w:t>
      </w:r>
    </w:p>
    <w:p>
      <w:pPr>
        <w:ind w:left="1300" w:right="26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a "separation from service" within the meaning of Section 409A of the Code and Treas. Reg. §1.409A-1(h) with the Employer and all members of the Controlled Group.</w:t>
      </w:r>
    </w:p>
    <w:p>
      <w:pPr>
        <w:spacing w:after="0" w:line="178"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 for Benefits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3.1</w:t>
      </w:r>
    </w:p>
    <w:p>
      <w:pPr>
        <w:ind w:left="1300" w:right="80"/>
        <w:spacing w:after="0" w:line="247"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Subject to the provisions of Article IV, an Employee who experiences a Qualifying Termination during the term of this Plan shall be eligible to receive the benefits set forth in Appendix A.</w:t>
      </w:r>
    </w:p>
    <w:p>
      <w:pPr>
        <w:spacing w:after="0" w:line="20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3.2</w:t>
      </w:r>
    </w:p>
    <w:p>
      <w:pPr>
        <w:ind w:left="1300" w:right="220"/>
        <w:spacing w:after="0" w:line="241"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The Administrator may award Supplemental Severance Benefits to an Employee who experiences a Qualifying Termination in the Administrator's sole discretion and on a case-by-case basis. The determination as to which Supplemental Severance Benefits will be offered, if any, and the amount of such benefit, shall be determined by the Administrator in its sole discretion; provided, however, that any cash Supplemental Severance Benefit shall in no event cause an Employee's total cash Severance Benefits and cash Supplemental Severance Benefits to exceed 52 weeks of Base Salary.</w:t>
      </w:r>
    </w:p>
    <w:p>
      <w:pPr>
        <w:spacing w:after="0" w:line="20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3.3</w:t>
      </w:r>
    </w:p>
    <w:p>
      <w:pPr>
        <w:ind w:left="1300" w:right="80"/>
        <w:spacing w:after="0" w:line="241"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Ineligible Employees</w:t>
      </w:r>
      <w:r>
        <w:rPr>
          <w:rFonts w:ascii="Arial" w:cs="Arial" w:eastAsia="Arial" w:hAnsi="Arial"/>
          <w:sz w:val="20"/>
          <w:szCs w:val="20"/>
          <w:color w:val="auto"/>
        </w:rPr>
        <w:t>. Except as otherwise provided in this Section 3.3, an Employee who experiences a Termination of Employment that is not a Qualifying Termination (a “</w:t>
      </w:r>
      <w:r>
        <w:rPr>
          <w:rFonts w:ascii="Arial" w:cs="Arial" w:eastAsia="Arial" w:hAnsi="Arial"/>
          <w:sz w:val="20"/>
          <w:szCs w:val="20"/>
          <w:u w:val="single" w:color="auto"/>
          <w:color w:val="auto"/>
        </w:rPr>
        <w:t>Nonqualifying Termination</w:t>
      </w:r>
      <w:r>
        <w:rPr>
          <w:rFonts w:ascii="Arial" w:cs="Arial" w:eastAsia="Arial" w:hAnsi="Arial"/>
          <w:sz w:val="20"/>
          <w:szCs w:val="20"/>
          <w:color w:val="auto"/>
        </w:rPr>
        <w:t>”)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General Provisions</w:t>
      </w:r>
      <w:r>
        <w:rPr>
          <w:rFonts w:ascii="Arial" w:cs="Arial" w:eastAsia="Arial" w:hAnsi="Arial"/>
          <w:sz w:val="20"/>
          <w:szCs w:val="20"/>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4.1</w:t>
      </w:r>
    </w:p>
    <w:p>
      <w:pPr>
        <w:ind w:left="1300"/>
        <w:spacing w:after="0" w:line="252" w:lineRule="auto"/>
        <w:rPr>
          <w:sz w:val="20"/>
          <w:szCs w:val="20"/>
          <w:color w:val="auto"/>
        </w:rPr>
      </w:pPr>
      <w:r>
        <w:rPr>
          <w:rFonts w:ascii="Arial" w:cs="Arial" w:eastAsia="Arial" w:hAnsi="Arial"/>
          <w:sz w:val="19"/>
          <w:szCs w:val="19"/>
          <w:u w:val="single" w:color="auto"/>
          <w:color w:val="auto"/>
        </w:rPr>
        <w:t>Timing of Severance Pay</w:t>
      </w:r>
      <w:r>
        <w:rPr>
          <w:rFonts w:ascii="Arial" w:cs="Arial" w:eastAsia="Arial" w:hAnsi="Arial"/>
          <w:sz w:val="19"/>
          <w:szCs w:val="19"/>
          <w:color w:val="auto"/>
        </w:rPr>
        <w:t>. Any Severance Pay that is due to an eligible Employee pursuant to Article III shall be paid in a lump sum (unless otherwise determined by the Plan Administrator) within 30 days of the later of the date on which a signed Release and Waiver (as described in Section 4.4) received by the Employer or the date on which the signed Release and Waiver has become irrevocable or, in the event the Administrator waives the Release and Waiver requirement, within 30 days of the Employee’s Termination of Employment. In any event, all Severance Pay (including any Supplemental Severance Benefits described in Section 3.2) not exceeding the “separation pay” limitations of Treas. Reg. 1.409A-1(b)(9)(iii)(A) shall be paid no later than the end of the second year following the year in which an Employee’s Termination of Employment occurs in accordance with Treas. Reg. 1.409A-1(b)(9)(iii)</w:t>
      </w:r>
    </w:p>
    <w:p>
      <w:pPr>
        <w:spacing w:after="0" w:line="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(B). Any Severance Pay in excess of the limitations of Treas. Reg. 1.409A-1(b)(9)(iii)(A) shall be paid in a lump sum payment on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Employee’s Termination of Employment. If an eligible Employee is a “Specified Employee” of the Company as defined in 26 C.F.R. §1.409A-1(i), then payment of amounts exceeding the limitations of Treas. Reg. 1.409A-1(b)(9)(iii)(A) shall be made as soon as administratively practicable on or after the date that is 6 months from the Employee’s Termination of Employment.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4.2</w:t>
      </w:r>
    </w:p>
    <w:p>
      <w:pPr>
        <w:ind w:left="1300" w:right="120"/>
        <w:spacing w:after="0" w:line="247" w:lineRule="auto"/>
        <w:rPr>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Administrator shall withhold from any Severance Benefits and Supplemental Severance Benefits all federal and state income, FICA, and other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743" w:right="259" w:bottom="1440" w:gutter="0" w:footer="0" w:header="0"/>
        </w:sectPr>
      </w:pPr>
    </w:p>
    <w:bookmarkStart w:id="103" w:name="page104"/>
    <w:bookmarkEnd w:id="103"/>
    <w:p>
      <w:pPr>
        <w:ind w:left="640" w:right="540"/>
        <w:spacing w:after="0" w:line="247" w:lineRule="auto"/>
        <w:rPr>
          <w:sz w:val="20"/>
          <w:szCs w:val="20"/>
          <w:color w:val="auto"/>
        </w:rPr>
      </w:pPr>
      <w:r>
        <w:rPr>
          <w:rFonts w:ascii="Arial" w:cs="Arial" w:eastAsia="Arial" w:hAnsi="Arial"/>
          <w:sz w:val="20"/>
          <w:szCs w:val="20"/>
          <w:color w:val="auto"/>
        </w:rPr>
        <w:t>employment taxes, and any other amounts required or permitted to be withheld under any agreement with the Employee involved, applicable law or other employee benefit plans of the Employer.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ind w:left="640" w:right="40"/>
        <w:spacing w:after="0" w:line="242" w:lineRule="auto"/>
        <w:rPr>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Company may amend or terminate this Plan at any time and without prior notice; provided, however, that in no event shall any such amendment or termination affect, in any manner, the entitlement to Severance Benefits or Supplemental Severance Benefits, if any, of an Employee who, prior to the date of such amendment or termination, was determined to be eligible for such payments.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ind w:left="640"/>
        <w:spacing w:after="0"/>
        <w:rPr>
          <w:sz w:val="20"/>
          <w:szCs w:val="20"/>
          <w:color w:val="auto"/>
        </w:rPr>
      </w:pPr>
      <w:r>
        <w:rPr>
          <w:rFonts w:ascii="Arial" w:cs="Arial" w:eastAsia="Arial" w:hAnsi="Arial"/>
          <w:sz w:val="20"/>
          <w:szCs w:val="20"/>
          <w:u w:val="single" w:color="auto"/>
          <w:color w:val="auto"/>
        </w:rPr>
        <w:t>Payments Conditioned on Release</w:t>
      </w:r>
      <w:r>
        <w:rPr>
          <w:rFonts w:ascii="Arial" w:cs="Arial" w:eastAsia="Arial" w:hAnsi="Arial"/>
          <w:sz w:val="20"/>
          <w:szCs w:val="20"/>
          <w:color w:val="auto"/>
        </w:rPr>
        <w:t>. Eligibility for the receipt of Severance Benefits or Supplemental Severance Benefits hereunder is expressly conditioned upon the execution by the Employee of a comprehensive settlement agreement and release and waiver (“</w:t>
      </w:r>
      <w:r>
        <w:rPr>
          <w:rFonts w:ascii="Arial" w:cs="Arial" w:eastAsia="Arial" w:hAnsi="Arial"/>
          <w:sz w:val="20"/>
          <w:szCs w:val="20"/>
          <w:u w:val="single" w:color="auto"/>
          <w:color w:val="auto"/>
        </w:rPr>
        <w:t>Release and Waiver</w:t>
      </w:r>
      <w:r>
        <w:rPr>
          <w:rFonts w:ascii="Arial" w:cs="Arial" w:eastAsia="Arial" w:hAnsi="Arial"/>
          <w:sz w:val="20"/>
          <w:szCs w:val="20"/>
          <w:color w:val="auto"/>
        </w:rPr>
        <w:t>”), in a form to be determined from time to time by the Administrator; provided, however, that the Administrator may, in its sole discretion, waive this requirement, in whole or in part, with respect to all or a part of an Employee’s benefits under the Plan. Except to the extent the requirement to execute such an agreement is waived by the Administrator, Employees who do not execute such an agreement on or before the Release and Waiver Deadline, or who revoke such an agreement, will not be eligible for Severance Benefits or Supplemental Severance Benefits, regardless of the reason for the Termination of Employment. For purposes hereof, the “</w:t>
      </w:r>
      <w:r>
        <w:rPr>
          <w:rFonts w:ascii="Arial" w:cs="Arial" w:eastAsia="Arial" w:hAnsi="Arial"/>
          <w:sz w:val="20"/>
          <w:szCs w:val="20"/>
          <w:u w:val="single" w:color="auto"/>
          <w:color w:val="auto"/>
        </w:rPr>
        <w:t>Release and Waiver Deadline</w:t>
      </w:r>
      <w:r>
        <w:rPr>
          <w:rFonts w:ascii="Arial" w:cs="Arial" w:eastAsia="Arial" w:hAnsi="Arial"/>
          <w:sz w:val="20"/>
          <w:szCs w:val="20"/>
          <w:color w:val="auto"/>
        </w:rPr>
        <w:t>” means the deadline prescribed by the Administrator for the execution of such agreement.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ind w:left="640" w:right="40"/>
        <w:spacing w:after="0" w:line="241" w:lineRule="auto"/>
        <w:rPr>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All Employer property, including information and reports, data, files, memoranda, records, credit cards, keys, passwords, computers, software, telecommunications equipment, and other physical or personal property that the eligible Employee received, prepared or helped prepare in connection with the Employee’s employment with the Employer, must be returned by that Employee on or before the Employee’s last day of employment in order for such Employee to commence receiving benefits under the Plan.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ind w:left="640" w:right="100"/>
        <w:spacing w:after="0" w:line="241" w:lineRule="auto"/>
        <w:rPr>
          <w:sz w:val="20"/>
          <w:szCs w:val="20"/>
          <w:color w:val="auto"/>
        </w:rPr>
      </w:pPr>
      <w:r>
        <w:rPr>
          <w:rFonts w:ascii="Arial" w:cs="Arial" w:eastAsia="Arial" w:hAnsi="Arial"/>
          <w:sz w:val="20"/>
          <w:szCs w:val="20"/>
          <w:u w:val="single" w:color="auto"/>
          <w:color w:val="auto"/>
        </w:rPr>
        <w:t>Breach of Obligations to Employer</w:t>
      </w:r>
      <w:r>
        <w:rPr>
          <w:rFonts w:ascii="Arial" w:cs="Arial" w:eastAsia="Arial" w:hAnsi="Arial"/>
          <w:sz w:val="20"/>
          <w:szCs w:val="20"/>
          <w:color w:val="auto"/>
        </w:rPr>
        <w:t>. No otherwise eligible Employee shall be entitled to any Severance Benefits or Supplemental Severance Benefits under the Plan if, in the sole discretion of the Administrator, such Employee is in breach or violation of any contractual or other legal obligation to the Employer, including, but not limited to, obligations concerning non-disclosure of confidential information and post-employment restrictions on competition with the Employer.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ind w:left="640" w:right="300"/>
        <w:spacing w:after="0"/>
        <w:rPr>
          <w:sz w:val="20"/>
          <w:szCs w:val="20"/>
          <w:color w:val="auto"/>
        </w:rPr>
      </w:pPr>
      <w:r>
        <w:rPr>
          <w:rFonts w:ascii="Arial" w:cs="Arial" w:eastAsia="Arial" w:hAnsi="Arial"/>
          <w:sz w:val="20"/>
          <w:szCs w:val="20"/>
          <w:u w:val="single" w:color="auto"/>
          <w:color w:val="auto"/>
        </w:rPr>
        <w:t>Offsets</w:t>
      </w:r>
      <w:r>
        <w:rPr>
          <w:rFonts w:ascii="Arial" w:cs="Arial" w:eastAsia="Arial" w:hAnsi="Arial"/>
          <w:sz w:val="20"/>
          <w:szCs w:val="20"/>
          <w:color w:val="auto"/>
        </w:rPr>
        <w:t>. Any Severance Benefits or Supplemental Severance Benefits payable under the Plan shall be reduced dollar-for-dollar by any severance payments or benefits provided by the Employer under any other plan or arrangement or pursuant to any applicable federal, state or local law, including without limitation any payments required pursuant to the Worker Adjustment and Retraining Notification Act (the “</w:t>
      </w:r>
      <w:r>
        <w:rPr>
          <w:rFonts w:ascii="Arial" w:cs="Arial" w:eastAsia="Arial" w:hAnsi="Arial"/>
          <w:sz w:val="20"/>
          <w:szCs w:val="20"/>
          <w:u w:val="single" w:color="auto"/>
          <w:color w:val="auto"/>
        </w:rPr>
        <w:t>WARN Act</w:t>
      </w:r>
      <w:r>
        <w:rPr>
          <w:rFonts w:ascii="Arial" w:cs="Arial" w:eastAsia="Arial" w:hAnsi="Arial"/>
          <w:sz w:val="20"/>
          <w:szCs w:val="20"/>
          <w:color w:val="auto"/>
        </w:rPr>
        <w:t>”). the Illinois Worker Adjustment and Retraining Notification Act (“</w:t>
      </w:r>
      <w:r>
        <w:rPr>
          <w:rFonts w:ascii="Arial" w:cs="Arial" w:eastAsia="Arial" w:hAnsi="Arial"/>
          <w:sz w:val="20"/>
          <w:szCs w:val="20"/>
          <w:u w:val="single" w:color="auto"/>
          <w:color w:val="auto"/>
        </w:rPr>
        <w:t>IL WARN Act</w:t>
      </w:r>
      <w:r>
        <w:rPr>
          <w:rFonts w:ascii="Arial" w:cs="Arial" w:eastAsia="Arial" w:hAnsi="Arial"/>
          <w:sz w:val="20"/>
          <w:szCs w:val="20"/>
          <w:color w:val="auto"/>
        </w:rPr>
        <w:t>”) and/or the New York State Worker Adjustment and Retraining Notification Law (“</w:t>
      </w:r>
      <w:r>
        <w:rPr>
          <w:rFonts w:ascii="Arial" w:cs="Arial" w:eastAsia="Arial" w:hAnsi="Arial"/>
          <w:sz w:val="20"/>
          <w:szCs w:val="20"/>
          <w:i w:val="1"/>
          <w:iCs w:val="1"/>
          <w:u w:val="single" w:color="auto"/>
          <w:color w:val="auto"/>
        </w:rPr>
        <w:t>NY WARN Law</w:t>
      </w:r>
      <w:r>
        <w:rPr>
          <w:rFonts w:ascii="Arial" w:cs="Arial" w:eastAsia="Arial" w:hAnsi="Arial"/>
          <w:sz w:val="20"/>
          <w:szCs w:val="20"/>
          <w:color w:val="auto"/>
        </w:rPr>
        <w:t>”) (collectively the “WARN LAWS”). If Termination of Employment is deemed to be covered by the WARN LAWS, any severance benefits that may be payable pursuant to this Plan shall be considered payment required under the WARN LAWS.</w:t>
      </w:r>
    </w:p>
    <w:p>
      <w:pPr>
        <w:spacing w:after="0" w:line="34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0"/>
          </w:cols>
          <w:pgMar w:left="900" w:top="744" w:right="2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4.8</w:t>
      </w:r>
    </w:p>
    <w:p>
      <w:pPr>
        <w:ind w:left="640" w:right="340"/>
        <w:spacing w:after="0" w:line="247"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Plan, to the extent not preempted by ERISA or any other federal law, shall be governed by and construed in accordance with the laws of the State of Illinois.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ind w:left="640" w:right="600"/>
        <w:spacing w:after="0" w:line="247" w:lineRule="auto"/>
        <w:rPr>
          <w:sz w:val="20"/>
          <w:szCs w:val="20"/>
          <w:color w:val="auto"/>
        </w:rPr>
      </w:pPr>
      <w:r>
        <w:rPr>
          <w:rFonts w:ascii="Arial" w:cs="Arial" w:eastAsia="Arial" w:hAnsi="Arial"/>
          <w:sz w:val="20"/>
          <w:szCs w:val="20"/>
          <w:u w:val="single" w:color="auto"/>
          <w:color w:val="auto"/>
        </w:rPr>
        <w:t>Nonassignability</w:t>
      </w:r>
      <w:r>
        <w:rPr>
          <w:rFonts w:ascii="Arial" w:cs="Arial" w:eastAsia="Arial" w:hAnsi="Arial"/>
          <w:sz w:val="20"/>
          <w:szCs w:val="20"/>
          <w:color w:val="auto"/>
        </w:rPr>
        <w:t>. Payments that are made under this Plan may not be assigned by any Employee, except as required by federal or non-preempted state law.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4.10</w:t>
      </w:r>
    </w:p>
    <w:p>
      <w:pPr>
        <w:ind w:left="640" w:right="100"/>
        <w:spacing w:after="0" w:line="242" w:lineRule="auto"/>
        <w:rPr>
          <w:sz w:val="20"/>
          <w:szCs w:val="20"/>
          <w:color w:val="auto"/>
        </w:rPr>
      </w:pPr>
      <w:r>
        <w:rPr>
          <w:rFonts w:ascii="Arial" w:cs="Arial" w:eastAsia="Arial" w:hAnsi="Arial"/>
          <w:sz w:val="20"/>
          <w:szCs w:val="20"/>
          <w:u w:val="single" w:color="auto"/>
          <w:color w:val="auto"/>
        </w:rPr>
        <w:t>Severance Pay Not Compensation</w:t>
      </w:r>
      <w:r>
        <w:rPr>
          <w:rFonts w:ascii="Arial" w:cs="Arial" w:eastAsia="Arial" w:hAnsi="Arial"/>
          <w:sz w:val="20"/>
          <w:szCs w:val="20"/>
          <w:color w:val="auto"/>
        </w:rPr>
        <w:t>. The period for which Severance Pay may be computed and the payments provided under this Plan shall not constitute employment, compensation or salary for purposes of determining participation in, or other benefits under, any other benefit plan of the Employer. Severance payments shall also not be considered wages for work performed by the Employee for any purpose under state or federal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4.11</w:t>
      </w:r>
    </w:p>
    <w:p>
      <w:pPr>
        <w:ind w:left="640" w:right="220"/>
        <w:spacing w:after="0" w:line="243" w:lineRule="auto"/>
        <w:rPr>
          <w:sz w:val="20"/>
          <w:szCs w:val="20"/>
          <w:color w:val="auto"/>
        </w:rPr>
      </w:pPr>
      <w:r>
        <w:rPr>
          <w:rFonts w:ascii="Arial" w:cs="Arial" w:eastAsia="Arial" w:hAnsi="Arial"/>
          <w:sz w:val="20"/>
          <w:szCs w:val="20"/>
          <w:u w:val="single" w:color="auto"/>
          <w:color w:val="auto"/>
        </w:rPr>
        <w:t>Right of Offset</w:t>
      </w:r>
      <w:r>
        <w:rPr>
          <w:rFonts w:ascii="Arial" w:cs="Arial" w:eastAsia="Arial" w:hAnsi="Arial"/>
          <w:sz w:val="20"/>
          <w:szCs w:val="20"/>
          <w:color w:val="auto"/>
        </w:rPr>
        <w:t>. By accepting Severance Benefits or Supplemental Severance Benefits under the Plan, the Employee agrees that the Administrator, in its sole discretion, may withhold from any amounts payable under this Plan any amounts that are owed to the Employer by the Employee.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4.12</w:t>
      </w:r>
    </w:p>
    <w:p>
      <w:pPr>
        <w:ind w:left="640" w:right="420"/>
        <w:spacing w:after="0" w:line="247" w:lineRule="auto"/>
        <w:rPr>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herein that may be unenforceable will be deemed to be severed from the remainder hereof, with such remaining provisions being given full force and effect.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4.13</w:t>
      </w:r>
    </w:p>
    <w:p>
      <w:pPr>
        <w:ind w:left="640" w:right="20"/>
        <w:spacing w:after="0" w:line="247" w:lineRule="auto"/>
        <w:rPr>
          <w:sz w:val="20"/>
          <w:szCs w:val="20"/>
          <w:color w:val="auto"/>
        </w:rPr>
      </w:pPr>
      <w:r>
        <w:rPr>
          <w:rFonts w:ascii="Arial" w:cs="Arial" w:eastAsia="Arial" w:hAnsi="Arial"/>
          <w:sz w:val="20"/>
          <w:szCs w:val="20"/>
          <w:u w:val="single" w:color="auto"/>
          <w:color w:val="auto"/>
        </w:rPr>
        <w:t>Recovery of Payments Made by Mistake</w:t>
      </w:r>
      <w:r>
        <w:rPr>
          <w:rFonts w:ascii="Arial" w:cs="Arial" w:eastAsia="Arial" w:hAnsi="Arial"/>
          <w:sz w:val="20"/>
          <w:szCs w:val="20"/>
          <w:color w:val="auto"/>
        </w:rPr>
        <w:t>. An eligible Employee shall be required to return to the Employer any Plan severance benefit payment, or portion thereof, made by a mistake of fact or law.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4.14</w:t>
      </w:r>
    </w:p>
    <w:p>
      <w:pPr>
        <w:ind w:left="640" w:right="140"/>
        <w:spacing w:after="0" w:line="242" w:lineRule="auto"/>
        <w:rPr>
          <w:sz w:val="20"/>
          <w:szCs w:val="20"/>
          <w:color w:val="auto"/>
        </w:rPr>
      </w:pPr>
      <w:r>
        <w:rPr>
          <w:rFonts w:ascii="Arial" w:cs="Arial" w:eastAsia="Arial" w:hAnsi="Arial"/>
          <w:sz w:val="20"/>
          <w:szCs w:val="20"/>
          <w:u w:val="single" w:color="auto"/>
          <w:color w:val="auto"/>
        </w:rPr>
        <w:t>Representations Contrary to Plan</w:t>
      </w:r>
      <w:r>
        <w:rPr>
          <w:rFonts w:ascii="Arial" w:cs="Arial" w:eastAsia="Arial" w:hAnsi="Arial"/>
          <w:sz w:val="20"/>
          <w:szCs w:val="20"/>
          <w:color w:val="auto"/>
        </w:rPr>
        <w:t>. Except as otherwise provided herein, no employee, officer, or director of the Employer has the authority to alter, vary or modify the terms of the Plan, except by means of an authorized written amendment to the Plan. No verbal or written representations contrary to the terms of the Plan and its written amendments shall be binding upon the Plan, the Administrator or the Employer.</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4.15</w:t>
      </w:r>
    </w:p>
    <w:p>
      <w:pPr>
        <w:ind w:left="640"/>
        <w:spacing w:after="0" w:line="259" w:lineRule="auto"/>
        <w:rPr>
          <w:sz w:val="20"/>
          <w:szCs w:val="20"/>
          <w:color w:val="auto"/>
        </w:rPr>
      </w:pPr>
      <w:r>
        <w:rPr>
          <w:rFonts w:ascii="Arial" w:cs="Arial" w:eastAsia="Arial" w:hAnsi="Arial"/>
          <w:sz w:val="19"/>
          <w:szCs w:val="19"/>
          <w:u w:val="single" w:color="auto"/>
          <w:color w:val="auto"/>
        </w:rPr>
        <w:t>Plan Funding</w:t>
      </w:r>
      <w:r>
        <w:rPr>
          <w:rFonts w:ascii="Arial" w:cs="Arial" w:eastAsia="Arial" w:hAnsi="Arial"/>
          <w:sz w:val="19"/>
          <w:szCs w:val="19"/>
          <w:color w:val="auto"/>
        </w:rPr>
        <w:t>. No eligible Employee shall acquire by reason of the Plan any right in or title to any assets, funds or property of the Employer. Any Severance Benefits or Supplemental Severance Benefits that become payable under the Plan are unfunded obligations of the Employer and shall be paid from the general assets of the Employer. No employee, officer, director or agent of the Employer guarantees, in any manner, the payment of Plan benefits.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4.16</w:t>
      </w:r>
    </w:p>
    <w:p>
      <w:pPr>
        <w:ind w:left="640"/>
        <w:spacing w:after="0" w:line="242" w:lineRule="auto"/>
        <w:rPr>
          <w:sz w:val="20"/>
          <w:szCs w:val="20"/>
          <w:color w:val="auto"/>
        </w:rPr>
      </w:pPr>
      <w:r>
        <w:rPr>
          <w:rFonts w:ascii="Arial" w:cs="Arial" w:eastAsia="Arial" w:hAnsi="Arial"/>
          <w:sz w:val="20"/>
          <w:szCs w:val="20"/>
          <w:u w:val="single" w:color="auto"/>
          <w:color w:val="auto"/>
        </w:rPr>
        <w:t>Written Agreement</w:t>
      </w:r>
      <w:r>
        <w:rPr>
          <w:rFonts w:ascii="Arial" w:cs="Arial" w:eastAsia="Arial" w:hAnsi="Arial"/>
          <w:sz w:val="20"/>
          <w:szCs w:val="20"/>
          <w:color w:val="auto"/>
        </w:rPr>
        <w:t>. Any severance benefits to which an eligible Employee may be entitled to receive under the Plan shall be communicated to such Employee in writing. An eligible Employee shall not be entitled to receive any severance benefits under this Plan other than those benefits that are specifically communicated to that Employee in such writing.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4.17</w:t>
      </w:r>
    </w:p>
    <w:p>
      <w:pPr>
        <w:ind w:left="640"/>
        <w:spacing w:after="0"/>
        <w:rPr>
          <w:sz w:val="20"/>
          <w:szCs w:val="20"/>
          <w:color w:val="auto"/>
        </w:rPr>
      </w:pPr>
      <w:r>
        <w:rPr>
          <w:rFonts w:ascii="Arial" w:cs="Arial" w:eastAsia="Arial" w:hAnsi="Arial"/>
          <w:sz w:val="20"/>
          <w:szCs w:val="20"/>
          <w:u w:val="single" w:color="auto"/>
          <w:color w:val="auto"/>
        </w:rPr>
        <w:t>No Right to Other Claims</w:t>
      </w:r>
      <w:r>
        <w:rPr>
          <w:rFonts w:ascii="Arial" w:cs="Arial" w:eastAsia="Arial" w:hAnsi="Arial"/>
          <w:sz w:val="20"/>
          <w:szCs w:val="20"/>
          <w:color w:val="auto"/>
        </w:rPr>
        <w:t>. Neither an eligible Employee, his or her dependents,</w:t>
      </w:r>
    </w:p>
    <w:p>
      <w:pPr>
        <w:spacing w:after="0" w:line="35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0"/>
          </w:cols>
          <w:pgMar w:left="900" w:top="743" w:right="259" w:bottom="1440" w:gutter="0" w:footer="0" w:header="0"/>
        </w:sectPr>
      </w:pPr>
    </w:p>
    <w:bookmarkStart w:id="105" w:name="page106"/>
    <w:bookmarkEnd w:id="105"/>
    <w:p>
      <w:pPr>
        <w:ind w:left="1292" w:right="820"/>
        <w:spacing w:after="0" w:line="247" w:lineRule="auto"/>
        <w:rPr>
          <w:sz w:val="20"/>
          <w:szCs w:val="20"/>
          <w:color w:val="auto"/>
        </w:rPr>
      </w:pPr>
      <w:r>
        <w:rPr>
          <w:rFonts w:ascii="Arial" w:cs="Arial" w:eastAsia="Arial" w:hAnsi="Arial"/>
          <w:sz w:val="20"/>
          <w:szCs w:val="20"/>
          <w:color w:val="auto"/>
        </w:rPr>
        <w:t>his or her beneficiaries, nor anyone else has the right or claim to benefits under this Plan, other than those described in the Plan.</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4.18</w:t>
      </w:r>
    </w:p>
    <w:p>
      <w:pPr>
        <w:ind w:left="1292" w:right="20"/>
        <w:spacing w:after="0" w:line="241" w:lineRule="auto"/>
        <w:rPr>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All benefits under this Plan are intended either to be exempt from, or to comply with, the requirements of Section 409A of the Code, and the Plan shall be interpreted and administered in a manner consistent with such intent. If payment of any benefit that is 'deferred compensation' subject to Section 409A of the Code at the time specified in this Plan would subject such compensation to additional tax pursuant to Section 409A, the payment thereof shall be postponed to the earliest commencement date on which such amount could be paid without incurring such additional tax.</w:t>
      </w:r>
    </w:p>
    <w:p>
      <w:pPr>
        <w:spacing w:after="0" w:line="184" w:lineRule="exact"/>
        <w:rPr>
          <w:sz w:val="20"/>
          <w:szCs w:val="20"/>
          <w:color w:val="auto"/>
        </w:rPr>
      </w:pPr>
    </w:p>
    <w:p>
      <w:pPr>
        <w:ind w:left="652" w:hanging="652"/>
        <w:spacing w:after="0"/>
        <w:tabs>
          <w:tab w:leader="none" w:pos="652"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Administration</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5.1</w:t>
      </w:r>
    </w:p>
    <w:p>
      <w:pPr>
        <w:ind w:left="1292" w:right="160"/>
        <w:spacing w:after="0" w:line="243"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Operation and Administration of Plan by Administrator</w:t>
      </w:r>
      <w:r>
        <w:rPr>
          <w:rFonts w:ascii="Arial" w:cs="Arial" w:eastAsia="Arial" w:hAnsi="Arial"/>
          <w:sz w:val="20"/>
          <w:szCs w:val="20"/>
          <w:color w:val="auto"/>
        </w:rPr>
        <w:t>. The Administrator has complete authority to control and manage the operation and administration of the Plan. The Administrator shall have full and exclusive discretionary authority to:</w:t>
      </w:r>
    </w:p>
    <w:p>
      <w:pPr>
        <w:spacing w:after="0" w:line="206" w:lineRule="exact"/>
        <w:rPr>
          <w:rFonts w:ascii="Arial" w:cs="Arial" w:eastAsia="Arial" w:hAnsi="Arial"/>
          <w:sz w:val="20"/>
          <w:szCs w:val="20"/>
          <w:b w:val="1"/>
          <w:bCs w:val="1"/>
          <w:color w:val="auto"/>
        </w:rPr>
      </w:pPr>
    </w:p>
    <w:p>
      <w:pPr>
        <w:ind w:left="1792" w:hanging="495"/>
        <w:spacing w:after="0"/>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construe and interpret the provisions of the Plan;</w:t>
      </w:r>
    </w:p>
    <w:p>
      <w:pPr>
        <w:spacing w:after="0" w:line="215" w:lineRule="exact"/>
        <w:rPr>
          <w:rFonts w:ascii="Arial" w:cs="Arial" w:eastAsia="Arial" w:hAnsi="Arial"/>
          <w:sz w:val="20"/>
          <w:szCs w:val="20"/>
          <w:color w:val="auto"/>
        </w:rPr>
      </w:pPr>
    </w:p>
    <w:p>
      <w:pPr>
        <w:ind w:left="1792" w:hanging="495"/>
        <w:spacing w:after="0" w:line="247" w:lineRule="auto"/>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adopt any rules, procedures, and forms that are necessary for the operation and administration of the Plan that are consistent with its provisions;</w:t>
      </w:r>
    </w:p>
    <w:p>
      <w:pPr>
        <w:spacing w:after="0" w:line="201" w:lineRule="exact"/>
        <w:rPr>
          <w:rFonts w:ascii="Arial" w:cs="Arial" w:eastAsia="Arial" w:hAnsi="Arial"/>
          <w:sz w:val="20"/>
          <w:szCs w:val="20"/>
          <w:color w:val="auto"/>
        </w:rPr>
      </w:pPr>
    </w:p>
    <w:p>
      <w:pPr>
        <w:jc w:val="both"/>
        <w:ind w:left="1792" w:hanging="495"/>
        <w:spacing w:after="0" w:line="243" w:lineRule="auto"/>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determine eligibility for and the amount of Severance Benefits or Supplemental Severance Benefits for any Employee, as well as all other questions relating to the eligibility, benefits, and other rights of Employees under the Plan;</w:t>
      </w:r>
    </w:p>
    <w:p>
      <w:pPr>
        <w:spacing w:after="0" w:line="206" w:lineRule="exact"/>
        <w:rPr>
          <w:rFonts w:ascii="Arial" w:cs="Arial" w:eastAsia="Arial" w:hAnsi="Arial"/>
          <w:sz w:val="20"/>
          <w:szCs w:val="20"/>
          <w:color w:val="auto"/>
        </w:rPr>
      </w:pPr>
    </w:p>
    <w:p>
      <w:pPr>
        <w:ind w:left="1792" w:hanging="495"/>
        <w:spacing w:after="0"/>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keep all records necessary for the operation and administration of the Plan;</w:t>
      </w:r>
    </w:p>
    <w:p>
      <w:pPr>
        <w:spacing w:after="0" w:line="215" w:lineRule="exact"/>
        <w:rPr>
          <w:rFonts w:ascii="Arial" w:cs="Arial" w:eastAsia="Arial" w:hAnsi="Arial"/>
          <w:sz w:val="20"/>
          <w:szCs w:val="20"/>
          <w:color w:val="auto"/>
        </w:rPr>
      </w:pPr>
    </w:p>
    <w:p>
      <w:pPr>
        <w:jc w:val="both"/>
        <w:ind w:left="1792" w:hanging="495"/>
        <w:spacing w:after="0" w:line="243" w:lineRule="auto"/>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designate or employ agents (who may also be employees of the Employer) and delegate to them the exercise of one or more specific powers of the Administrator; and, to the extent that the exercise of such powers involves fiduciary responsibility, such agents will be fiduciaries of the Plan; and</w:t>
      </w:r>
    </w:p>
    <w:p>
      <w:pPr>
        <w:spacing w:after="0" w:line="206" w:lineRule="exact"/>
        <w:rPr>
          <w:rFonts w:ascii="Arial" w:cs="Arial" w:eastAsia="Arial" w:hAnsi="Arial"/>
          <w:sz w:val="20"/>
          <w:szCs w:val="20"/>
          <w:color w:val="auto"/>
        </w:rPr>
      </w:pPr>
    </w:p>
    <w:p>
      <w:pPr>
        <w:ind w:left="1792" w:right="20" w:hanging="495"/>
        <w:spacing w:after="0" w:line="247" w:lineRule="auto"/>
        <w:tabs>
          <w:tab w:leader="none" w:pos="1792" w:val="left"/>
        </w:tabs>
        <w:numPr>
          <w:ilvl w:val="1"/>
          <w:numId w:val="51"/>
        </w:numPr>
        <w:rPr>
          <w:rFonts w:ascii="Arial" w:cs="Arial" w:eastAsia="Arial" w:hAnsi="Arial"/>
          <w:sz w:val="20"/>
          <w:szCs w:val="20"/>
          <w:color w:val="auto"/>
        </w:rPr>
      </w:pPr>
      <w:r>
        <w:rPr>
          <w:rFonts w:ascii="Arial" w:cs="Arial" w:eastAsia="Arial" w:hAnsi="Arial"/>
          <w:sz w:val="20"/>
          <w:szCs w:val="20"/>
          <w:color w:val="auto"/>
        </w:rPr>
        <w:t>retain any legal, accounting or other expert advisers (who may also be advisers to the Employer) in connection with the Administrator’s operation and administration of the Plan.</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5.2</w:t>
      </w:r>
    </w:p>
    <w:p>
      <w:pPr>
        <w:ind w:left="1292" w:right="460"/>
        <w:spacing w:after="0" w:line="241" w:lineRule="auto"/>
        <w:rPr>
          <w:sz w:val="20"/>
          <w:szCs w:val="20"/>
          <w:color w:val="auto"/>
        </w:rPr>
      </w:pPr>
      <w:r>
        <w:rPr>
          <w:rFonts w:ascii="Arial" w:cs="Arial" w:eastAsia="Arial" w:hAnsi="Arial"/>
          <w:sz w:val="20"/>
          <w:szCs w:val="20"/>
          <w:u w:val="single" w:color="auto"/>
          <w:color w:val="auto"/>
        </w:rPr>
        <w:t>Reliance on Documents, Instruments, Etc.</w:t>
      </w:r>
      <w:r>
        <w:rPr>
          <w:rFonts w:ascii="Arial" w:cs="Arial" w:eastAsia="Arial" w:hAnsi="Arial"/>
          <w:sz w:val="20"/>
          <w:szCs w:val="20"/>
          <w:color w:val="auto"/>
        </w:rPr>
        <w:t xml:space="preserve"> The Administrator may rely on any certificate, statement or other representation that is made on behalf of the Employer or any Employee that it believes, in good faith, to be genuine, and on any certificate, statement, report or other representation that is made to it by any agent or any attorney, accountant or other expert retained by it or the Employer in connection with the operation and administration of the Plan.</w:t>
      </w:r>
    </w:p>
    <w:p>
      <w:pPr>
        <w:spacing w:after="0" w:line="20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5.3</w:t>
      </w:r>
    </w:p>
    <w:p>
      <w:pPr>
        <w:ind w:left="1292" w:right="60"/>
        <w:spacing w:after="0" w:line="247" w:lineRule="auto"/>
        <w:rPr>
          <w:sz w:val="20"/>
          <w:szCs w:val="20"/>
          <w:color w:val="auto"/>
        </w:rPr>
      </w:pPr>
      <w:r>
        <w:rPr>
          <w:rFonts w:ascii="Arial" w:cs="Arial" w:eastAsia="Arial" w:hAnsi="Arial"/>
          <w:sz w:val="20"/>
          <w:szCs w:val="20"/>
          <w:u w:val="single" w:color="auto"/>
          <w:color w:val="auto"/>
        </w:rPr>
        <w:t>Administrative Expenses</w:t>
      </w:r>
      <w:r>
        <w:rPr>
          <w:rFonts w:ascii="Arial" w:cs="Arial" w:eastAsia="Arial" w:hAnsi="Arial"/>
          <w:sz w:val="20"/>
          <w:szCs w:val="20"/>
          <w:color w:val="auto"/>
        </w:rPr>
        <w:t>. All expenses of operating and administering the Plan, including, but not limited to, fees of any agents and experts retained by the Administrator under Section 5.2, will be paid by the Employer.</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5.4</w:t>
      </w:r>
    </w:p>
    <w:p>
      <w:pPr>
        <w:ind w:left="1292" w:right="220"/>
        <w:spacing w:after="0" w:line="259" w:lineRule="auto"/>
        <w:rPr>
          <w:sz w:val="20"/>
          <w:szCs w:val="20"/>
          <w:color w:val="auto"/>
        </w:rPr>
      </w:pPr>
      <w:r>
        <w:rPr>
          <w:rFonts w:ascii="Arial" w:cs="Arial" w:eastAsia="Arial" w:hAnsi="Arial"/>
          <w:sz w:val="19"/>
          <w:szCs w:val="19"/>
          <w:u w:val="single" w:color="auto"/>
          <w:color w:val="auto"/>
        </w:rPr>
        <w:t>Bond, Compensation, Indemnification of Administrator</w:t>
      </w:r>
      <w:r>
        <w:rPr>
          <w:rFonts w:ascii="Arial" w:cs="Arial" w:eastAsia="Arial" w:hAnsi="Arial"/>
          <w:sz w:val="19"/>
          <w:szCs w:val="19"/>
          <w:color w:val="auto"/>
        </w:rPr>
        <w:t>. No bond or other security will be required of the Administrator, except as provided by law. No compensation will be paid to any person for performing his or her duties as Administrator. The Administrator will be indemnified by the Employer for any liabilities (including legal expenses) arising from any act or failure to act that is done in good faith in accordance with the Plan’s provisions.</w:t>
      </w:r>
    </w:p>
    <w:p>
      <w:pPr>
        <w:spacing w:after="0" w:line="32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12"/>
          </w:cols>
          <w:pgMar w:left="248" w:top="744" w:right="2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5.5</w:t>
      </w:r>
    </w:p>
    <w:p>
      <w:pPr>
        <w:jc w:val="center"/>
        <w:ind w:right="-39"/>
        <w:spacing w:after="0"/>
        <w:rPr>
          <w:sz w:val="20"/>
          <w:szCs w:val="20"/>
          <w:color w:val="auto"/>
        </w:rPr>
      </w:pPr>
      <w:r>
        <w:rPr>
          <w:rFonts w:ascii="Arial" w:cs="Arial" w:eastAsia="Arial" w:hAnsi="Arial"/>
          <w:sz w:val="20"/>
          <w:szCs w:val="20"/>
          <w:u w:val="single" w:color="auto"/>
          <w:color w:val="auto"/>
        </w:rPr>
        <w:t>More Than One Fiduciary Capacity</w:t>
      </w:r>
      <w:r>
        <w:rPr>
          <w:rFonts w:ascii="Arial" w:cs="Arial" w:eastAsia="Arial" w:hAnsi="Arial"/>
          <w:sz w:val="20"/>
          <w:szCs w:val="20"/>
          <w:color w:val="auto"/>
        </w:rPr>
        <w:t>. Person(s) may serve in more than one fiduciary capacity under the Plan.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ind w:left="640" w:right="80"/>
        <w:spacing w:after="0" w:line="247" w:lineRule="auto"/>
        <w:rPr>
          <w:sz w:val="20"/>
          <w:szCs w:val="20"/>
          <w:color w:val="auto"/>
        </w:rPr>
      </w:pPr>
      <w:r>
        <w:rPr>
          <w:rFonts w:ascii="Arial" w:cs="Arial" w:eastAsia="Arial" w:hAnsi="Arial"/>
          <w:sz w:val="20"/>
          <w:szCs w:val="20"/>
          <w:u w:val="single" w:color="auto"/>
          <w:color w:val="auto"/>
        </w:rPr>
        <w:t>Denial of Claims; Appeals</w:t>
      </w:r>
      <w:r>
        <w:rPr>
          <w:rFonts w:ascii="Arial" w:cs="Arial" w:eastAsia="Arial" w:hAnsi="Arial"/>
          <w:sz w:val="20"/>
          <w:szCs w:val="20"/>
          <w:color w:val="auto"/>
        </w:rPr>
        <w:t>. If any person (the “</w:t>
      </w:r>
      <w:r>
        <w:rPr>
          <w:rFonts w:ascii="Arial" w:cs="Arial" w:eastAsia="Arial" w:hAnsi="Arial"/>
          <w:sz w:val="20"/>
          <w:szCs w:val="20"/>
          <w:u w:val="single" w:color="auto"/>
          <w:color w:val="auto"/>
        </w:rPr>
        <w:t>claimant</w:t>
      </w:r>
      <w:r>
        <w:rPr>
          <w:rFonts w:ascii="Arial" w:cs="Arial" w:eastAsia="Arial" w:hAnsi="Arial"/>
          <w:sz w:val="20"/>
          <w:szCs w:val="20"/>
          <w:color w:val="auto"/>
        </w:rPr>
        <w:t>”) claims payments under the Plan and the claim is wholly or partially denied, the following procedures will apply to resolve it:</w:t>
      </w:r>
    </w:p>
    <w:p>
      <w:pPr>
        <w:spacing w:after="0" w:line="202" w:lineRule="exact"/>
        <w:rPr>
          <w:sz w:val="20"/>
          <w:szCs w:val="20"/>
          <w:color w:val="auto"/>
        </w:rPr>
      </w:pPr>
    </w:p>
    <w:p>
      <w:pPr>
        <w:jc w:val="both"/>
        <w:ind w:left="1140" w:hanging="495"/>
        <w:spacing w:after="0" w:line="252" w:lineRule="auto"/>
        <w:tabs>
          <w:tab w:leader="none" w:pos="11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Within 90 days after the receipt of the claim, the Administrator will provide the claimant with written or electronic notice of its decision on the claim. If the Administrator cannot render a decision on the claim within the 90-day period because of special circumstances, the Administrator may extend the period in which to render the decision by an additional 90 days, up to a total of 180 days after its receipt of the written claim. The Administrator will provide the claimant with a written notice of any extension before the end of the initial 90-day period, which indicates the special circumstances that require the extension and the expected decision date. If the claim is deemed denied in whole or in part (an “</w:t>
      </w:r>
      <w:r>
        <w:rPr>
          <w:rFonts w:ascii="Arial" w:cs="Arial" w:eastAsia="Arial" w:hAnsi="Arial"/>
          <w:sz w:val="19"/>
          <w:szCs w:val="19"/>
          <w:u w:val="single" w:color="auto"/>
          <w:color w:val="auto"/>
        </w:rPr>
        <w:t>adverse benefit determination</w:t>
      </w:r>
      <w:r>
        <w:rPr>
          <w:rFonts w:ascii="Arial" w:cs="Arial" w:eastAsia="Arial" w:hAnsi="Arial"/>
          <w:sz w:val="19"/>
          <w:szCs w:val="19"/>
          <w:color w:val="auto"/>
        </w:rPr>
        <w:t>”), the written or electronic notice of the decision will inform the claimant of (i) the specific reasons for the adverse benefit determination; (ii) the specific provisions of the Plan upon which the adverse benefit determination is based;</w:t>
      </w:r>
    </w:p>
    <w:p>
      <w:pPr>
        <w:spacing w:after="0" w:line="1" w:lineRule="exact"/>
        <w:rPr>
          <w:rFonts w:ascii="Arial" w:cs="Arial" w:eastAsia="Arial" w:hAnsi="Arial"/>
          <w:sz w:val="19"/>
          <w:szCs w:val="19"/>
          <w:color w:val="auto"/>
        </w:rPr>
      </w:pPr>
    </w:p>
    <w:p>
      <w:pPr>
        <w:jc w:val="both"/>
        <w:ind w:left="1140" w:hanging="9"/>
        <w:spacing w:after="0" w:line="242" w:lineRule="auto"/>
        <w:tabs>
          <w:tab w:leader="none" w:pos="1484"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additional information or material that is necessary to perfect the claim and the reasons why such information or material is necessary; and (iv) the right to request a review of the adverse benefit determination, the procedures for requesting such review, and the claimant’s right to bring a civil action under Section 502(a) of ERISA.</w:t>
      </w:r>
    </w:p>
    <w:p>
      <w:pPr>
        <w:spacing w:after="0" w:line="206" w:lineRule="exact"/>
        <w:rPr>
          <w:rFonts w:ascii="Arial" w:cs="Arial" w:eastAsia="Arial" w:hAnsi="Arial"/>
          <w:sz w:val="20"/>
          <w:szCs w:val="20"/>
          <w:color w:val="auto"/>
        </w:rPr>
      </w:pPr>
    </w:p>
    <w:p>
      <w:pPr>
        <w:jc w:val="both"/>
        <w:ind w:left="1140" w:hanging="495"/>
        <w:spacing w:after="0"/>
        <w:tabs>
          <w:tab w:leader="none" w:pos="11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claimant who wishes to use the Plan’s claim appeal procedure must notify the Administrator that he or she wishes to appeal within 60 days of receiving the Administrator’s written or electronic notice of an adverse benefit determination. The claimant may review all relevant documents relating to the claim, including the Plan document, and may submit issues and comments in writing. The Administrator will undertake a full and fair review of the record of the appeal of the adverse benefit determination and prepare its decision. The Administrator will give the claimant written or electronic notice of the decision of the appeal within 60 days after the receipt of the claimant’s notice of appeal. If special circumstances require an extension of time for processing, the Administrator may be given 120 days after the receipt of the claimant’s notice of appeal to render its decision. The Administrator will provide the claimant with a written notice of the extension, before the end of the 60-day period, which indicates the special circumstances that require the extension and the expected decision date. The written or electronic notice of the decision of the appeal will be written in a manner calculated to be understood by the claimant and will include the specific reasons for the decision, specific references to any facts or any provisions of the Plan on which the decision is based, and a statement regarding the claimant’s right to bring a civil action under Section 502(a) of ERISA. The decision of the Administrator on review is binding on all parties, subject to any determination by a court in an action under Section 502(a) of ERISA.</w:t>
      </w:r>
    </w:p>
    <w:p>
      <w:pPr>
        <w:spacing w:after="0" w:line="209" w:lineRule="exact"/>
        <w:rPr>
          <w:rFonts w:ascii="Arial" w:cs="Arial" w:eastAsia="Arial" w:hAnsi="Arial"/>
          <w:sz w:val="20"/>
          <w:szCs w:val="20"/>
          <w:color w:val="auto"/>
        </w:rPr>
      </w:pPr>
    </w:p>
    <w:p>
      <w:pPr>
        <w:ind w:left="1140" w:hanging="495"/>
        <w:spacing w:after="0" w:line="247" w:lineRule="auto"/>
        <w:tabs>
          <w:tab w:leader="none" w:pos="11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claimant cannot file an action under Section 502(a) of ERISA until he or she has exhausted these procedures.</w:t>
      </w:r>
    </w:p>
    <w:p>
      <w:pPr>
        <w:spacing w:after="0" w:line="337"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0"/>
          </w:cols>
          <w:pgMar w:left="900" w:top="743" w:right="239" w:bottom="1440" w:gutter="0" w:footer="0" w:header="0"/>
        </w:sectPr>
      </w:pPr>
    </w:p>
    <w:bookmarkStart w:id="107" w:name="page108"/>
    <w:bookmarkEnd w:id="107"/>
    <w:p>
      <w:pPr>
        <w:ind w:firstLine="648"/>
        <w:spacing w:after="0" w:line="247" w:lineRule="auto"/>
        <w:rPr>
          <w:sz w:val="20"/>
          <w:szCs w:val="20"/>
          <w:color w:val="auto"/>
        </w:rPr>
      </w:pPr>
      <w:r>
        <w:rPr>
          <w:rFonts w:ascii="Arial" w:cs="Arial" w:eastAsia="Arial" w:hAnsi="Arial"/>
          <w:sz w:val="20"/>
          <w:szCs w:val="20"/>
          <w:color w:val="auto"/>
        </w:rPr>
        <w:t>IN WITNESS WHEREOF, the Company has caused this amended and restated Plan to be executed by its duly authorized officer on this 20th day of December,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Senior Managing Director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636" w:right="259" w:bottom="1440" w:gutter="0" w:footer="0" w:header="0"/>
        </w:sectPr>
      </w:pPr>
    </w:p>
    <w:bookmarkStart w:id="108" w:name="page109"/>
    <w:bookmarkEnd w:id="108"/>
    <w:p>
      <w:pPr>
        <w:ind w:left="300" w:hanging="292"/>
        <w:spacing w:after="0"/>
        <w:tabs>
          <w:tab w:leader="none" w:pos="300" w:val="left"/>
        </w:tabs>
        <w:numPr>
          <w:ilvl w:val="0"/>
          <w:numId w:val="53"/>
        </w:numPr>
        <w:rPr>
          <w:rFonts w:ascii="Arial" w:cs="Arial" w:eastAsia="Arial" w:hAnsi="Arial"/>
          <w:sz w:val="22"/>
          <w:szCs w:val="22"/>
          <w:color w:val="auto"/>
        </w:rPr>
      </w:pPr>
      <w:r>
        <w:rPr>
          <w:rFonts w:ascii="Arial" w:cs="Arial" w:eastAsia="Arial" w:hAnsi="Arial"/>
          <w:sz w:val="20"/>
          <w:szCs w:val="20"/>
          <w:b w:val="1"/>
          <w:bCs w:val="1"/>
          <w:u w:val="single" w:color="auto"/>
          <w:color w:val="auto"/>
        </w:rPr>
        <w:t>APPENDIX A</w:t>
      </w:r>
    </w:p>
    <w:p>
      <w:pPr>
        <w:spacing w:after="0" w:line="200" w:lineRule="exact"/>
        <w:rPr>
          <w:sz w:val="20"/>
          <w:szCs w:val="20"/>
          <w:color w:val="auto"/>
        </w:rPr>
      </w:pPr>
    </w:p>
    <w:p>
      <w:pPr>
        <w:spacing w:after="0" w:line="23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SEVERANCE SCHEDULE FOR</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0"/>
          <w:szCs w:val="20"/>
          <w:b w:val="1"/>
          <w:bCs w:val="1"/>
          <w:i w:val="1"/>
          <w:iCs w:val="1"/>
          <w:color w:val="auto"/>
        </w:rPr>
        <w:t>QUALIFYING TERMINATIONS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A.</w:t>
      </w:r>
    </w:p>
    <w:p>
      <w:pPr>
        <w:spacing w:after="0" w:line="196"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Severance Pay</w:t>
      </w:r>
      <w:r>
        <w:rPr>
          <w:rFonts w:ascii="Arial" w:cs="Arial" w:eastAsia="Arial" w:hAnsi="Arial"/>
          <w:sz w:val="20"/>
          <w:szCs w:val="20"/>
          <w:b w:val="1"/>
          <w:bCs w:val="1"/>
          <w:color w:val="auto"/>
        </w:rPr>
        <w:t>.</w:t>
      </w:r>
    </w:p>
    <w:p>
      <w:pPr>
        <w:spacing w:after="0" w:line="229" w:lineRule="exact"/>
        <w:rPr>
          <w:sz w:val="20"/>
          <w:szCs w:val="20"/>
          <w:color w:val="auto"/>
        </w:rPr>
      </w:pPr>
    </w:p>
    <w:p>
      <w:pPr>
        <w:ind w:left="1040" w:hanging="384"/>
        <w:spacing w:after="0"/>
        <w:tabs>
          <w:tab w:leader="none" w:pos="104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Eligible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two (2) weeks of Base Salary per Year of Service, subject to a minimum of six (6) weeks of Base Salary and a maximum of 39 weeks of Base Salary.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Appendix A:</w:t>
      </w:r>
    </w:p>
    <w:p>
      <w:pPr>
        <w:spacing w:after="0" w:line="205"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 xml:space="preserve">“Base Salary” </w:t>
      </w:r>
      <w:r>
        <w:rPr>
          <w:rFonts w:ascii="Arial" w:cs="Arial" w:eastAsia="Arial" w:hAnsi="Arial"/>
          <w:sz w:val="20"/>
          <w:szCs w:val="20"/>
          <w:color w:val="auto"/>
        </w:rPr>
        <w:t>means the annual base rate of pay of an eligible Employee, as in effect on the date on which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notified of his or her Qualifying Termination.</w:t>
      </w:r>
    </w:p>
    <w:p>
      <w:pPr>
        <w:spacing w:after="0" w:line="167"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 xml:space="preserve">“Year of Service” </w:t>
      </w:r>
      <w:r>
        <w:rPr>
          <w:rFonts w:ascii="Arial" w:cs="Arial" w:eastAsia="Arial" w:hAnsi="Arial"/>
          <w:sz w:val="20"/>
          <w:szCs w:val="20"/>
          <w:color w:val="auto"/>
        </w:rPr>
        <w:t>means each twelve (12)-consecutive-month period, which is measured from an eligible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most recent date of hire.</w:t>
      </w:r>
    </w:p>
    <w:p>
      <w:pPr>
        <w:spacing w:after="0" w:line="167"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Supplemental Severance Benefits</w:t>
      </w:r>
      <w:r>
        <w:rPr>
          <w:rFonts w:ascii="Arial" w:cs="Arial" w:eastAsia="Arial" w:hAnsi="Arial"/>
          <w:sz w:val="20"/>
          <w:szCs w:val="20"/>
          <w:b w:val="1"/>
          <w:bCs w:val="1"/>
          <w:color w:val="auto"/>
        </w:rPr>
        <w:t>.</w:t>
      </w:r>
    </w:p>
    <w:p>
      <w:pPr>
        <w:spacing w:after="0" w:line="253"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Supplemental Severance Benefits awarded by the Administrator in its sole discretion pursuant to Section 3.2 may include any of the following:</w:t>
      </w:r>
    </w:p>
    <w:p>
      <w:pPr>
        <w:spacing w:after="0" w:line="215" w:lineRule="exact"/>
        <w:rPr>
          <w:sz w:val="20"/>
          <w:szCs w:val="20"/>
          <w:color w:val="auto"/>
        </w:rPr>
      </w:pPr>
    </w:p>
    <w:p>
      <w:pPr>
        <w:ind w:left="1280" w:right="20" w:hanging="610"/>
        <w:spacing w:after="0" w:line="247" w:lineRule="auto"/>
        <w:tabs>
          <w:tab w:leader="none" w:pos="128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Continuation Coverage</w:t>
      </w:r>
      <w:r>
        <w:rPr>
          <w:rFonts w:ascii="Arial" w:cs="Arial" w:eastAsia="Arial" w:hAnsi="Arial"/>
          <w:sz w:val="20"/>
          <w:szCs w:val="20"/>
          <w:color w:val="auto"/>
        </w:rPr>
        <w:t>. Payment of part or all of the cost of Continuation Coverage for an eligible Employee for a specified period of time.</w:t>
      </w:r>
    </w:p>
    <w:p>
      <w:pPr>
        <w:spacing w:after="0" w:line="215" w:lineRule="exact"/>
        <w:rPr>
          <w:rFonts w:ascii="Arial" w:cs="Arial" w:eastAsia="Arial" w:hAnsi="Arial"/>
          <w:sz w:val="20"/>
          <w:szCs w:val="20"/>
          <w:color w:val="auto"/>
        </w:rPr>
      </w:pPr>
    </w:p>
    <w:p>
      <w:pPr>
        <w:ind w:left="1280" w:hanging="610"/>
        <w:spacing w:after="0"/>
        <w:tabs>
          <w:tab w:leader="none" w:pos="128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Outplacement Services</w:t>
      </w:r>
      <w:r>
        <w:rPr>
          <w:rFonts w:ascii="Arial" w:cs="Arial" w:eastAsia="Arial" w:hAnsi="Arial"/>
          <w:sz w:val="20"/>
          <w:szCs w:val="20"/>
          <w:color w:val="auto"/>
        </w:rPr>
        <w:t>. Outplacement assistance through a firm selected by the Employer.</w:t>
      </w:r>
    </w:p>
    <w:p>
      <w:pPr>
        <w:spacing w:after="0" w:line="229" w:lineRule="exact"/>
        <w:rPr>
          <w:rFonts w:ascii="Arial" w:cs="Arial" w:eastAsia="Arial" w:hAnsi="Arial"/>
          <w:sz w:val="20"/>
          <w:szCs w:val="20"/>
          <w:color w:val="auto"/>
        </w:rPr>
      </w:pPr>
    </w:p>
    <w:p>
      <w:pPr>
        <w:jc w:val="both"/>
        <w:ind w:left="1280" w:hanging="610"/>
        <w:spacing w:after="0" w:line="243" w:lineRule="auto"/>
        <w:tabs>
          <w:tab w:leader="none" w:pos="128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Stock Options and Restricted Stock</w:t>
      </w:r>
      <w:r>
        <w:rPr>
          <w:rFonts w:ascii="Arial" w:cs="Arial" w:eastAsia="Arial" w:hAnsi="Arial"/>
          <w:sz w:val="20"/>
          <w:szCs w:val="20"/>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w:t>
      </w:r>
    </w:p>
    <w:p>
      <w:pPr>
        <w:sectPr>
          <w:pgSz w:w="11900" w:h="16838" w:orient="portrait"/>
          <w:cols w:equalWidth="0" w:num="1">
            <w:col w:w="11420"/>
          </w:cols>
          <w:pgMar w:left="240" w:top="639"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CME Group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SEVERANCE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and restated effective January 1, 2013)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December 2013</w:t>
      </w:r>
    </w:p>
    <w:p>
      <w:pPr>
        <w:sectPr>
          <w:pgSz w:w="11900" w:h="16838" w:orient="portrait"/>
          <w:cols w:equalWidth="0" w:num="1">
            <w:col w:w="11420"/>
          </w:cols>
          <w:pgMar w:left="240" w:top="612"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7"/>
              </w:rPr>
              <w:t>I. Purpose, Intent, and Effective Date...............................................................................</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1060" w:type="dxa"/>
            <w:vAlign w:val="bottom"/>
            <w:gridSpan w:val="2"/>
          </w:tcPr>
          <w:p>
            <w:pPr>
              <w:spacing w:after="0"/>
              <w:rPr>
                <w:sz w:val="20"/>
                <w:szCs w:val="20"/>
                <w:color w:val="auto"/>
              </w:rPr>
            </w:pPr>
            <w:r>
              <w:rPr>
                <w:rFonts w:ascii="Arial" w:cs="Arial" w:eastAsia="Arial" w:hAnsi="Arial"/>
                <w:sz w:val="20"/>
                <w:szCs w:val="20"/>
                <w:color w:val="auto"/>
                <w:w w:val="98"/>
              </w:rPr>
              <w:t>II. Definition</w:t>
            </w:r>
          </w:p>
        </w:tc>
        <w:tc>
          <w:tcPr>
            <w:tcW w:w="6400" w:type="dxa"/>
            <w:vAlign w:val="bottom"/>
          </w:tcPr>
          <w:p>
            <w:pPr>
              <w:jc w:val="right"/>
              <w:spacing w:after="0"/>
              <w:rPr>
                <w:sz w:val="20"/>
                <w:szCs w:val="20"/>
                <w:color w:val="auto"/>
              </w:rPr>
            </w:pPr>
            <w:r>
              <w:rPr>
                <w:rFonts w:ascii="Arial" w:cs="Arial" w:eastAsia="Arial" w:hAnsi="Arial"/>
                <w:sz w:val="20"/>
                <w:szCs w:val="20"/>
                <w:color w:val="auto"/>
                <w:w w:val="96"/>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“Administrator”................................................................................................</w:t>
            </w:r>
          </w:p>
        </w:tc>
        <w:tc>
          <w:tcPr>
            <w:tcW w:w="300" w:type="dxa"/>
            <w:vAlign w:val="bottom"/>
          </w:tcPr>
          <w:p>
            <w:pPr>
              <w:ind w:left="10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“Cause”...........................................................................................................</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“Code”.............................................................................................................</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2.4</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“Continuation Coverage”.................................................................................</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2.5</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“Controlled Group”..........................................................................................</w:t>
            </w:r>
          </w:p>
        </w:tc>
        <w:tc>
          <w:tcPr>
            <w:tcW w:w="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2.6</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“Eligible Executive”.........................................................................................</w:t>
            </w:r>
          </w:p>
        </w:tc>
        <w:tc>
          <w:tcPr>
            <w:tcW w:w="300" w:type="dxa"/>
            <w:vAlign w:val="bottom"/>
          </w:tcPr>
          <w:p>
            <w:pPr>
              <w:ind w:left="100"/>
              <w:spacing w:after="0"/>
              <w:rPr>
                <w:sz w:val="20"/>
                <w:szCs w:val="20"/>
                <w:color w:val="auto"/>
              </w:rPr>
            </w:pPr>
            <w:r>
              <w:rPr>
                <w:rFonts w:ascii="Arial" w:cs="Arial" w:eastAsia="Arial" w:hAnsi="Arial"/>
                <w:sz w:val="20"/>
                <w:szCs w:val="20"/>
                <w:color w:val="auto"/>
              </w:rPr>
              <w:t>1</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2.7</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“Employee”......................................................................................................</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2.8</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“Employer”......................................................................................................</w:t>
            </w:r>
          </w:p>
        </w:tc>
        <w:tc>
          <w:tcPr>
            <w:tcW w:w="300" w:type="dxa"/>
            <w:vAlign w:val="bottom"/>
          </w:tcPr>
          <w:p>
            <w:pPr>
              <w:ind w:left="100"/>
              <w:spacing w:after="0"/>
              <w:rPr>
                <w:sz w:val="20"/>
                <w:szCs w:val="20"/>
                <w:color w:val="auto"/>
              </w:rPr>
            </w:pPr>
            <w:r>
              <w:rPr>
                <w:rFonts w:ascii="Arial" w:cs="Arial" w:eastAsia="Arial" w:hAnsi="Arial"/>
                <w:sz w:val="20"/>
                <w:szCs w:val="20"/>
                <w:color w:val="auto"/>
              </w:rPr>
              <w:t>2</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2.9</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“Involuntary Termination"................................................................................</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2.10</w:t>
            </w:r>
          </w:p>
        </w:tc>
        <w:tc>
          <w:tcPr>
            <w:tcW w:w="6400" w:type="dxa"/>
            <w:vAlign w:val="bottom"/>
          </w:tcPr>
          <w:p>
            <w:pPr>
              <w:jc w:val="right"/>
              <w:spacing w:after="0"/>
              <w:rPr>
                <w:sz w:val="20"/>
                <w:szCs w:val="20"/>
                <w:color w:val="auto"/>
              </w:rPr>
            </w:pPr>
            <w:r>
              <w:rPr>
                <w:rFonts w:ascii="Arial" w:cs="Arial" w:eastAsia="Arial" w:hAnsi="Arial"/>
                <w:sz w:val="20"/>
                <w:szCs w:val="20"/>
                <w:color w:val="auto"/>
                <w:w w:val="96"/>
              </w:rPr>
              <w:t>"Qualifying Termination"................................................................................</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2.11</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"Severance Benefit"......................................................................................</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2.12</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"Severance Pay"...........................................................................................</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2.13</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"Severance Period".......................................................................................</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2.14</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“Severance Schedule"..................................................................................</w:t>
            </w:r>
          </w:p>
        </w:tc>
        <w:tc>
          <w:tcPr>
            <w:tcW w:w="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2.15</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"Supplemental Severance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2.16</w:t>
            </w:r>
          </w:p>
        </w:tc>
        <w:tc>
          <w:tcPr>
            <w:tcW w:w="6400" w:type="dxa"/>
            <w:vAlign w:val="bottom"/>
          </w:tcPr>
          <w:p>
            <w:pPr>
              <w:jc w:val="right"/>
              <w:spacing w:after="0"/>
              <w:rPr>
                <w:sz w:val="20"/>
                <w:szCs w:val="20"/>
                <w:color w:val="auto"/>
              </w:rPr>
            </w:pPr>
            <w:r>
              <w:rPr>
                <w:rFonts w:ascii="Arial" w:cs="Arial" w:eastAsia="Arial" w:hAnsi="Arial"/>
                <w:sz w:val="20"/>
                <w:szCs w:val="20"/>
                <w:color w:val="auto"/>
                <w:w w:val="96"/>
              </w:rPr>
              <w:t>“Termination of Employment”........................................................................</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6"/>
              </w:rPr>
              <w:t>III. Eligibility for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Severance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Supplemental Severance Benefits..................................................................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3.3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Ineligible Employees.......................................................................................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7"/>
              </w:rPr>
              <w:t>IV. General Provisions......................................................................................................</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Timing of Severance Pay................................................................................</w:t>
            </w:r>
          </w:p>
        </w:tc>
        <w:tc>
          <w:tcPr>
            <w:tcW w:w="3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Withholding.....................................................................................................</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Amendment and Termination..........................................................................</w:t>
            </w:r>
          </w:p>
        </w:tc>
        <w:tc>
          <w:tcPr>
            <w:tcW w:w="3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4.4</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Payments Conditioned on Release................................................................</w:t>
            </w:r>
          </w:p>
        </w:tc>
        <w:tc>
          <w:tcPr>
            <w:tcW w:w="300" w:type="dxa"/>
            <w:vAlign w:val="bottom"/>
          </w:tcPr>
          <w:p>
            <w:pPr>
              <w:ind w:left="100"/>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4.5</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Return of Property..........................................................................................</w:t>
            </w:r>
          </w:p>
        </w:tc>
        <w:tc>
          <w:tcPr>
            <w:tcW w:w="300" w:type="dxa"/>
            <w:vAlign w:val="bottom"/>
          </w:tcPr>
          <w:p>
            <w:pPr>
              <w:jc w:val="right"/>
              <w:ind w:right="21"/>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4.6</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Breach of Obligations to Employer.................................................................</w:t>
            </w:r>
          </w:p>
        </w:tc>
        <w:tc>
          <w:tcPr>
            <w:tcW w:w="300" w:type="dxa"/>
            <w:vAlign w:val="bottom"/>
          </w:tcPr>
          <w:p>
            <w:pPr>
              <w:ind w:left="100"/>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4.7</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Offsets............................................................................................................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4</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4.8</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Governing Law................................................................................................</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4.9</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Nonassignability..............................................................................................</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4.10</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Severance Pay Not Compensation...............................................................</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4.11</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Right of Offset...............................................................................................</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4.12</w:t>
            </w:r>
          </w:p>
        </w:tc>
        <w:tc>
          <w:tcPr>
            <w:tcW w:w="6400" w:type="dxa"/>
            <w:vAlign w:val="bottom"/>
          </w:tcPr>
          <w:p>
            <w:pPr>
              <w:jc w:val="right"/>
              <w:spacing w:after="0"/>
              <w:rPr>
                <w:sz w:val="20"/>
                <w:szCs w:val="20"/>
                <w:color w:val="auto"/>
              </w:rPr>
            </w:pPr>
            <w:r>
              <w:rPr>
                <w:rFonts w:ascii="Arial" w:cs="Arial" w:eastAsia="Arial" w:hAnsi="Arial"/>
                <w:sz w:val="20"/>
                <w:szCs w:val="20"/>
                <w:color w:val="auto"/>
                <w:w w:val="96"/>
              </w:rPr>
              <w:t>Severability....................................................................................................</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4.13</w:t>
            </w:r>
          </w:p>
        </w:tc>
        <w:tc>
          <w:tcPr>
            <w:tcW w:w="6400" w:type="dxa"/>
            <w:vAlign w:val="bottom"/>
          </w:tcPr>
          <w:p>
            <w:pPr>
              <w:jc w:val="right"/>
              <w:spacing w:after="0"/>
              <w:rPr>
                <w:sz w:val="20"/>
                <w:szCs w:val="20"/>
                <w:color w:val="auto"/>
              </w:rPr>
            </w:pPr>
            <w:r>
              <w:rPr>
                <w:rFonts w:ascii="Arial" w:cs="Arial" w:eastAsia="Arial" w:hAnsi="Arial"/>
                <w:sz w:val="20"/>
                <w:szCs w:val="20"/>
                <w:color w:val="auto"/>
                <w:w w:val="96"/>
              </w:rPr>
              <w:t>Recovery of Payments Made by Mistake......................................................</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4.14</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Representations Contrary to Plan.................................................................</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4.15</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Plan Funding.................................................................................................</w:t>
            </w:r>
          </w:p>
        </w:tc>
        <w:tc>
          <w:tcPr>
            <w:tcW w:w="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4.16</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Written Agreement........................................................................................</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4.17</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No Right to Other Claims..............................................................................</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1060" w:type="dxa"/>
            <w:vAlign w:val="bottom"/>
            <w:gridSpan w:val="2"/>
          </w:tcPr>
          <w:p>
            <w:pPr>
              <w:ind w:left="660"/>
              <w:spacing w:after="0"/>
              <w:rPr>
                <w:sz w:val="20"/>
                <w:szCs w:val="20"/>
                <w:color w:val="auto"/>
              </w:rPr>
            </w:pPr>
            <w:r>
              <w:rPr>
                <w:rFonts w:ascii="Arial" w:cs="Arial" w:eastAsia="Arial" w:hAnsi="Arial"/>
                <w:sz w:val="20"/>
                <w:szCs w:val="20"/>
                <w:color w:val="auto"/>
                <w:w w:val="97"/>
              </w:rPr>
              <w:t>4.18</w:t>
            </w:r>
          </w:p>
        </w:tc>
        <w:tc>
          <w:tcPr>
            <w:tcW w:w="6400" w:type="dxa"/>
            <w:vAlign w:val="bottom"/>
          </w:tcPr>
          <w:p>
            <w:pPr>
              <w:jc w:val="right"/>
              <w:spacing w:after="0"/>
              <w:rPr>
                <w:sz w:val="20"/>
                <w:szCs w:val="20"/>
                <w:color w:val="auto"/>
              </w:rPr>
            </w:pPr>
            <w:r>
              <w:rPr>
                <w:rFonts w:ascii="Arial" w:cs="Arial" w:eastAsia="Arial" w:hAnsi="Arial"/>
                <w:sz w:val="20"/>
                <w:szCs w:val="20"/>
                <w:color w:val="auto"/>
                <w:w w:val="97"/>
              </w:rPr>
              <w:t>Code Section 409A.......................................................................................</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6"/>
              </w:rPr>
              <w:t>V. Plan Administration.......................................................................................................</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5.1</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Operation and Administration of Plan by Administrator...................................</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5.2</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Reliance on Documents, Instruments, Etc......................................................</w:t>
            </w:r>
          </w:p>
        </w:tc>
        <w:tc>
          <w:tcPr>
            <w:tcW w:w="3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5.3</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Administrative Expenses.................................................................................</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5.4</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Bond, Compensation, Indemnification of Administrator..................................</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30"/>
        </w:trPr>
        <w:tc>
          <w:tcPr>
            <w:tcW w:w="960" w:type="dxa"/>
            <w:vAlign w:val="bottom"/>
          </w:tcPr>
          <w:p>
            <w:pPr>
              <w:ind w:left="660"/>
              <w:spacing w:after="0"/>
              <w:rPr>
                <w:sz w:val="20"/>
                <w:szCs w:val="20"/>
                <w:color w:val="auto"/>
              </w:rPr>
            </w:pPr>
            <w:r>
              <w:rPr>
                <w:rFonts w:ascii="Arial" w:cs="Arial" w:eastAsia="Arial" w:hAnsi="Arial"/>
                <w:sz w:val="20"/>
                <w:szCs w:val="20"/>
                <w:color w:val="auto"/>
              </w:rPr>
              <w:t>5.5</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7"/>
              </w:rPr>
              <w:t>More Than One Fiduciary Capacity................................................................</w:t>
            </w:r>
          </w:p>
        </w:tc>
        <w:tc>
          <w:tcPr>
            <w:tcW w:w="300" w:type="dxa"/>
            <w:vAlign w:val="bottom"/>
          </w:tcPr>
          <w:p>
            <w:pPr>
              <w:ind w:left="100"/>
              <w:spacing w:after="0"/>
              <w:rPr>
                <w:sz w:val="20"/>
                <w:szCs w:val="20"/>
                <w:color w:val="auto"/>
              </w:rPr>
            </w:pPr>
            <w:r>
              <w:rPr>
                <w:rFonts w:ascii="Arial" w:cs="Arial" w:eastAsia="Arial" w:hAnsi="Arial"/>
                <w:sz w:val="20"/>
                <w:szCs w:val="20"/>
                <w:color w:val="auto"/>
              </w:rPr>
              <w:t>7</w:t>
            </w:r>
          </w:p>
        </w:tc>
      </w:tr>
      <w:tr>
        <w:trPr>
          <w:trHeight w:val="237"/>
        </w:trPr>
        <w:tc>
          <w:tcPr>
            <w:tcW w:w="960" w:type="dxa"/>
            <w:vAlign w:val="bottom"/>
          </w:tcPr>
          <w:p>
            <w:pPr>
              <w:ind w:left="660"/>
              <w:spacing w:after="0"/>
              <w:rPr>
                <w:sz w:val="20"/>
                <w:szCs w:val="20"/>
                <w:color w:val="auto"/>
              </w:rPr>
            </w:pPr>
            <w:r>
              <w:rPr>
                <w:rFonts w:ascii="Arial" w:cs="Arial" w:eastAsia="Arial" w:hAnsi="Arial"/>
                <w:sz w:val="20"/>
                <w:szCs w:val="20"/>
                <w:color w:val="auto"/>
              </w:rPr>
              <w:t>5.6</w:t>
            </w:r>
          </w:p>
        </w:tc>
        <w:tc>
          <w:tcPr>
            <w:tcW w:w="6500" w:type="dxa"/>
            <w:vAlign w:val="bottom"/>
            <w:gridSpan w:val="2"/>
          </w:tcPr>
          <w:p>
            <w:pPr>
              <w:jc w:val="right"/>
              <w:spacing w:after="0"/>
              <w:rPr>
                <w:sz w:val="20"/>
                <w:szCs w:val="20"/>
                <w:color w:val="auto"/>
              </w:rPr>
            </w:pPr>
            <w:r>
              <w:rPr>
                <w:rFonts w:ascii="Arial" w:cs="Arial" w:eastAsia="Arial" w:hAnsi="Arial"/>
                <w:sz w:val="20"/>
                <w:szCs w:val="20"/>
                <w:color w:val="auto"/>
                <w:w w:val="96"/>
              </w:rPr>
              <w:t>Denial of Claims; Appeals...............................................................................</w:t>
            </w: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38"/>
        </w:trPr>
        <w:tc>
          <w:tcPr>
            <w:tcW w:w="7460" w:type="dxa"/>
            <w:vAlign w:val="bottom"/>
            <w:gridSpan w:val="3"/>
          </w:tcPr>
          <w:p>
            <w:pPr>
              <w:jc w:val="right"/>
              <w:spacing w:after="0"/>
              <w:rPr>
                <w:sz w:val="20"/>
                <w:szCs w:val="20"/>
                <w:color w:val="auto"/>
              </w:rPr>
            </w:pPr>
            <w:r>
              <w:rPr>
                <w:rFonts w:ascii="Arial" w:cs="Arial" w:eastAsia="Arial" w:hAnsi="Arial"/>
                <w:sz w:val="20"/>
                <w:szCs w:val="20"/>
                <w:color w:val="auto"/>
                <w:w w:val="98"/>
              </w:rPr>
              <w:t>Appendix A.....................................................................................................................</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A-1</w:t>
            </w:r>
          </w:p>
        </w:tc>
      </w:tr>
    </w:tbl>
    <w:p>
      <w:pPr>
        <w:sectPr>
          <w:pgSz w:w="11900" w:h="16838" w:orient="portrait"/>
          <w:cols w:equalWidth="0" w:num="1">
            <w:col w:w="11420"/>
          </w:cols>
          <w:pgMar w:left="240" w:top="12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0"/>
          <w:szCs w:val="20"/>
          <w:b w:val="1"/>
          <w:bCs w:val="1"/>
          <w:color w:val="auto"/>
        </w:rPr>
        <w:t>CME Group Inc. Severance Plan</w:t>
      </w:r>
    </w:p>
    <w:p>
      <w:pPr>
        <w:spacing w:after="0" w:line="33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Intent, and Effective Date</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jc w:val="both"/>
        <w:ind w:left="660" w:right="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CME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previously adopted the CME Group Inc. Severance Plan (the “</w:t>
      </w:r>
      <w:r>
        <w:rPr>
          <w:rFonts w:ascii="Arial" w:cs="Arial" w:eastAsia="Arial" w:hAnsi="Arial"/>
          <w:sz w:val="20"/>
          <w:szCs w:val="20"/>
          <w:u w:val="single" w:color="auto"/>
          <w:color w:val="auto"/>
        </w:rPr>
        <w:t>Plan</w:t>
      </w:r>
      <w:r>
        <w:rPr>
          <w:rFonts w:ascii="Arial" w:cs="Arial" w:eastAsia="Arial" w:hAnsi="Arial"/>
          <w:sz w:val="20"/>
          <w:szCs w:val="20"/>
          <w:color w:val="auto"/>
        </w:rPr>
        <w:t>”) as a component of the Chicago Mercantile Exchange Inc. Employee Benefit Plan. The Company hereby amends and restates the Plan, effective January 1, 2013 (the “</w:t>
      </w:r>
      <w:r>
        <w:rPr>
          <w:rFonts w:ascii="Arial" w:cs="Arial" w:eastAsia="Arial" w:hAnsi="Arial"/>
          <w:sz w:val="20"/>
          <w:szCs w:val="20"/>
          <w:u w:val="single" w:color="auto"/>
          <w:color w:val="auto"/>
        </w:rPr>
        <w:t>Restatement Effective Date</w:t>
      </w:r>
      <w:r>
        <w:rPr>
          <w:rFonts w:ascii="Arial" w:cs="Arial" w:eastAsia="Arial" w:hAnsi="Arial"/>
          <w:sz w:val="20"/>
          <w:szCs w:val="20"/>
          <w:color w:val="auto"/>
        </w:rPr>
        <w:t>”).</w:t>
      </w:r>
    </w:p>
    <w:p>
      <w:pPr>
        <w:spacing w:after="0" w:line="206" w:lineRule="exact"/>
        <w:rPr>
          <w:rFonts w:ascii="Arial" w:cs="Arial" w:eastAsia="Arial" w:hAnsi="Arial"/>
          <w:sz w:val="20"/>
          <w:szCs w:val="20"/>
          <w:b w:val="1"/>
          <w:bCs w:val="1"/>
          <w:color w:val="auto"/>
        </w:rPr>
      </w:pPr>
    </w:p>
    <w:p>
      <w:pPr>
        <w:jc w:val="both"/>
        <w:ind w:left="66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The provisions of this Plan supersede any prior Employer severance benefit plan documents, policies, and programs (regardless of whether such policies and programs were written). The Board of Directors of the Company, or its designee, may designate one or more officers (by office or by name) to perform any act specified to be done by “the Company” under this Plan.</w:t>
      </w:r>
    </w:p>
    <w:p>
      <w:pPr>
        <w:spacing w:after="0" w:line="206"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severance benefits to certain employees of the Employer in the event that their employment is terminated in specified circumstances.</w:t>
      </w:r>
    </w:p>
    <w:p>
      <w:pPr>
        <w:spacing w:after="0" w:line="201" w:lineRule="exact"/>
        <w:rPr>
          <w:rFonts w:ascii="Arial" w:cs="Arial" w:eastAsia="Arial" w:hAnsi="Arial"/>
          <w:sz w:val="20"/>
          <w:szCs w:val="20"/>
          <w:b w:val="1"/>
          <w:bCs w:val="1"/>
          <w:color w:val="auto"/>
        </w:rPr>
      </w:pPr>
    </w:p>
    <w:p>
      <w:pPr>
        <w:ind w:left="66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The Plan is intended to constitute an unfunded welfare benefit plan for purposes of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w:t>
      </w:r>
    </w:p>
    <w:p>
      <w:pPr>
        <w:spacing w:after="0" w:line="28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3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2.1</w:t>
      </w:r>
    </w:p>
    <w:p>
      <w:pPr>
        <w:ind w:left="130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Administrator</w:t>
      </w:r>
      <w:r>
        <w:rPr>
          <w:rFonts w:ascii="Arial" w:cs="Arial" w:eastAsia="Arial" w:hAnsi="Arial"/>
          <w:sz w:val="20"/>
          <w:szCs w:val="20"/>
          <w:color w:val="auto"/>
        </w:rPr>
        <w:t>” means the person(s) or committee designated by the Company to administer the Plan. The Administrator shall be the “administrator” and the “named fiduciary” of the Plan for purposes of ERISA. Unless there is another designation by the Company, the Administrator is the Compensation Committee of the Board of Directors of the Company.</w:t>
      </w:r>
    </w:p>
    <w:p>
      <w:pPr>
        <w:spacing w:after="0" w:line="98"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2.2</w:t>
      </w:r>
    </w:p>
    <w:p>
      <w:pPr>
        <w:jc w:val="both"/>
        <w:ind w:left="1300" w:right="12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engaging in conduct that violates any of the Employer’s policies and/or is harmful to the Employer. Whether a Termination of Employment is for Cause will be determined in each case by the Administrator in its sole discretion.</w:t>
      </w:r>
    </w:p>
    <w:p>
      <w:pPr>
        <w:spacing w:after="0" w:line="9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2.3</w:t>
      </w:r>
    </w:p>
    <w:p>
      <w:pPr>
        <w:ind w:left="130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0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2.4</w:t>
      </w:r>
    </w:p>
    <w:p>
      <w:pPr>
        <w:ind w:left="1300"/>
        <w:spacing w:after="0"/>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Continuation Coverage</w:t>
      </w:r>
      <w:r>
        <w:rPr>
          <w:rFonts w:ascii="Arial" w:cs="Arial" w:eastAsia="Arial" w:hAnsi="Arial"/>
          <w:sz w:val="20"/>
          <w:szCs w:val="20"/>
          <w:color w:val="auto"/>
        </w:rPr>
        <w:t>” means (i) the continuation of health plan coverage under Part 6 of Title I of ERISA</w:t>
      </w:r>
    </w:p>
    <w:p>
      <w:pPr>
        <w:ind w:left="1300" w:right="140"/>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COBRA</w:t>
      </w:r>
      <w:r>
        <w:rPr>
          <w:rFonts w:ascii="Arial" w:cs="Arial" w:eastAsia="Arial" w:hAnsi="Arial"/>
          <w:sz w:val="20"/>
          <w:szCs w:val="20"/>
          <w:color w:val="auto"/>
        </w:rPr>
        <w:t>”) and (ii) the COBRA-like continuation of health plan coverage of an Employee’s domestic partner under the terms of the Employer’s group health plan.</w:t>
      </w:r>
    </w:p>
    <w:p>
      <w:pPr>
        <w:spacing w:after="0" w:line="9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2.5</w:t>
      </w:r>
    </w:p>
    <w:p>
      <w:pPr>
        <w:ind w:left="1300" w:right="720"/>
        <w:spacing w:after="0" w:line="247"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“Controlled Group”</w:t>
      </w:r>
      <w:r>
        <w:rPr>
          <w:rFonts w:ascii="Arial" w:cs="Arial" w:eastAsia="Arial" w:hAnsi="Arial"/>
          <w:sz w:val="20"/>
          <w:szCs w:val="20"/>
          <w:color w:val="auto"/>
        </w:rPr>
        <w:t xml:space="preserve"> means the Company and any other employer that, together with the Company, would be considered a single employer under Section 414(b) or 414(c) of the Code.</w:t>
      </w:r>
    </w:p>
    <w:p>
      <w:pPr>
        <w:spacing w:after="0" w:line="9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2.6</w:t>
      </w:r>
    </w:p>
    <w:p>
      <w:pPr>
        <w:ind w:left="1300" w:right="280"/>
        <w:spacing w:after="0" w:line="247"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“Eligible Executive”</w:t>
      </w:r>
      <w:r>
        <w:rPr>
          <w:rFonts w:ascii="Arial" w:cs="Arial" w:eastAsia="Arial" w:hAnsi="Arial"/>
          <w:sz w:val="20"/>
          <w:szCs w:val="20"/>
          <w:color w:val="auto"/>
        </w:rPr>
        <w:t xml:space="preserve"> means an Employee on the U.S. payroll holding the position of Executive Director, Managing Director, Senior Managing Director or any other position on the Management Team of the Company.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12"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2.7</w:t>
      </w:r>
    </w:p>
    <w:p>
      <w:pPr>
        <w:ind w:left="640"/>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means an individual on the U.S. payroll of the Employer who provides personal services to the Employer for compensation, exclusive of individuals who are (a) covered by (i) an individual contract of employment that provides severance benefits, (ii) an individual severance agreement, unless such contract or agreement is evidenced in writing and makes reference to the terms of this Plan, or (iii) any other severance plan of the Employer or an affiliate of the Employer; (b) classified as independent contractors by the Company for employment tax purposes (whether or not such classification is challenged or upheld); (c) temporary, seasonal or intern employees;</w:t>
      </w:r>
    </w:p>
    <w:p>
      <w:pPr>
        <w:spacing w:after="0" w:line="1" w:lineRule="exact"/>
        <w:rPr>
          <w:sz w:val="20"/>
          <w:szCs w:val="20"/>
          <w:color w:val="auto"/>
        </w:rPr>
      </w:pPr>
    </w:p>
    <w:p>
      <w:pPr>
        <w:ind w:left="640" w:right="140" w:firstLine="5"/>
        <w:spacing w:after="0" w:line="241" w:lineRule="auto"/>
        <w:tabs>
          <w:tab w:leader="none" w:pos="937"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covered by a collective bargaining agreement which does not provide for participation in this plan; (e) Eligible Executives of the Employer covered by the CME Group Severance Plan for Eligible Executives; (f) regularly scheduled to work for the Employer less than 20 hours per week; (g) not eligible for Employer-provided pension or welfare benefits; or (h) not on the Employer’s United States payroll. The Administrator shall have the authority to determine, in its sole and complete discretion and on a case-by-case basis, whether an individual constitutes an Employee for purposes of the Plan.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ind w:left="640" w:right="8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Chicago Mercantile Exchange Inc. and any other employer that is a member of the Controlled Group and that is designated by the Company as eligible to participate in the Plan. As of the Restatement Effective Date, the Employers include GFX Corporation, New York Mercantile Exchange, Inc. and Pivot, Inc.</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ind w:left="640" w:right="20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Termination</w:t>
      </w:r>
      <w:r>
        <w:rPr>
          <w:rFonts w:ascii="Arial" w:cs="Arial" w:eastAsia="Arial" w:hAnsi="Arial"/>
          <w:sz w:val="20"/>
          <w:szCs w:val="20"/>
          <w:color w:val="auto"/>
        </w:rPr>
        <w:t>” means an involuntary Termination of Employment by the Employer other than by reason of death or disability. In no event will an Employee be deemed to incur an Involuntary Termination if he or she is offered a transfer to a position within the Employer or a position with an affiliate of the Employer, irrespective of whether the Employee elects to accept such offer.</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2.10</w:t>
      </w:r>
    </w:p>
    <w:p>
      <w:pPr>
        <w:ind w:left="640" w:right="1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means an Involuntary Termination, other than for Cause that the Administrator determines in its sole discretion is due to the elimination of Employee’s job or a reduction in force or due to the unacceptable performance of the Employee’s job duties and responsibilities.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2.11</w:t>
      </w:r>
    </w:p>
    <w:p>
      <w:pPr>
        <w:ind w:left="640" w:right="22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Benefit</w:t>
      </w:r>
      <w:r>
        <w:rPr>
          <w:rFonts w:ascii="Arial" w:cs="Arial" w:eastAsia="Arial" w:hAnsi="Arial"/>
          <w:sz w:val="20"/>
          <w:szCs w:val="20"/>
          <w:color w:val="auto"/>
        </w:rPr>
        <w:t>” means any payment or benefit described in the Severance Schedule to this Plan to which an Employee is entitled upon a Qualifying Termination.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2.12</w:t>
      </w: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Pay</w:t>
      </w:r>
      <w:r>
        <w:rPr>
          <w:rFonts w:ascii="Arial" w:cs="Arial" w:eastAsia="Arial" w:hAnsi="Arial"/>
          <w:sz w:val="20"/>
          <w:szCs w:val="20"/>
          <w:color w:val="auto"/>
        </w:rPr>
        <w:t>” means the portion of a Severance Benefit consisting of severance pay.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2.13</w:t>
      </w:r>
    </w:p>
    <w:p>
      <w:pPr>
        <w:ind w:left="640" w:right="3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Period</w:t>
      </w:r>
      <w:r>
        <w:rPr>
          <w:rFonts w:ascii="Arial" w:cs="Arial" w:eastAsia="Arial" w:hAnsi="Arial"/>
          <w:sz w:val="20"/>
          <w:szCs w:val="20"/>
          <w:color w:val="auto"/>
        </w:rPr>
        <w:t>” means the period described in the applicable Severance Schedule for which an Employee is entitled to receive Severance Pay.</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2.14</w:t>
      </w:r>
    </w:p>
    <w:p>
      <w:pPr>
        <w:ind w:left="640" w:right="6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Schedule</w:t>
      </w:r>
      <w:r>
        <w:rPr>
          <w:rFonts w:ascii="Arial" w:cs="Arial" w:eastAsia="Arial" w:hAnsi="Arial"/>
          <w:sz w:val="20"/>
          <w:szCs w:val="20"/>
          <w:color w:val="auto"/>
        </w:rPr>
        <w:t>” means the applicable schedule attached as an appendix to this Plan, as such schedule may be modified from time to time by the Administrator, that describes the Severance Benefits and Supplemental</w:t>
      </w:r>
    </w:p>
    <w:p>
      <w:pPr>
        <w:spacing w:after="0" w:line="29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760"/>
          </w:cols>
          <w:pgMar w:left="900" w:top="635" w:right="239" w:bottom="1440" w:gutter="0" w:footer="0" w:header="0"/>
        </w:sectPr>
      </w:pPr>
    </w:p>
    <w:bookmarkStart w:id="113" w:name="page114"/>
    <w:bookmarkEnd w:id="113"/>
    <w:p>
      <w:pPr>
        <w:ind w:left="1300"/>
        <w:spacing w:after="0"/>
        <w:rPr>
          <w:sz w:val="20"/>
          <w:szCs w:val="20"/>
          <w:color w:val="auto"/>
        </w:rPr>
      </w:pPr>
      <w:r>
        <w:rPr>
          <w:rFonts w:ascii="Arial" w:cs="Arial" w:eastAsia="Arial" w:hAnsi="Arial"/>
          <w:sz w:val="20"/>
          <w:szCs w:val="20"/>
          <w:color w:val="auto"/>
        </w:rPr>
        <w:t>Severance Benefits that an Employee may be entitled to receive pursuant to this Plan.</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2.15</w:t>
      </w:r>
    </w:p>
    <w:p>
      <w:pPr>
        <w:ind w:left="1300" w:right="44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means any discretionary supplemental benefits that are in addition to any Severance Benefits, including, without limitation, any such discretionary supplemental benefits provided in accordance with the applicable Severance Schedule.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2.16</w:t>
      </w:r>
    </w:p>
    <w:p>
      <w:pPr>
        <w:ind w:left="1300" w:right="18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means a "separation from service" within the meaning of Section 409A of the Code and Treas. Reg. §1.409A-1(h) with the Employer and all members of the Controlled Group.</w:t>
      </w:r>
    </w:p>
    <w:p>
      <w:pPr>
        <w:spacing w:after="0" w:line="178"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 for Benefits</w:t>
      </w:r>
      <w:r>
        <w:rPr>
          <w:rFonts w:ascii="Arial" w:cs="Arial" w:eastAsia="Arial" w:hAnsi="Arial"/>
          <w:sz w:val="20"/>
          <w:szCs w:val="20"/>
          <w:b w:val="1"/>
          <w:bCs w:val="1"/>
          <w:color w:val="auto"/>
        </w:rPr>
        <w:t>.</w:t>
      </w:r>
    </w:p>
    <w:p>
      <w:pPr>
        <w:spacing w:after="0" w:line="13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3.1</w:t>
      </w:r>
    </w:p>
    <w:p>
      <w:pPr>
        <w:ind w:left="1300"/>
        <w:spacing w:after="0" w:line="272" w:lineRule="auto"/>
        <w:rPr>
          <w:rFonts w:ascii="Arial" w:cs="Arial" w:eastAsia="Arial" w:hAnsi="Arial"/>
          <w:sz w:val="20"/>
          <w:szCs w:val="20"/>
          <w:b w:val="1"/>
          <w:bCs w:val="1"/>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Subject to the provisions of Article IV, an Employee who experiences a Qualifying Termination during the term of this Plan shall be eligible to receive the Severance Benefits set forth in Appendix A.</w:t>
      </w:r>
    </w:p>
    <w:p>
      <w:pPr>
        <w:spacing w:after="0" w:line="7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3.2</w:t>
      </w:r>
    </w:p>
    <w:p>
      <w:pPr>
        <w:ind w:left="1300" w:right="140"/>
        <w:spacing w:after="0" w:line="241"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Supplemental Severance Benefits</w:t>
      </w:r>
      <w:r>
        <w:rPr>
          <w:rFonts w:ascii="Arial" w:cs="Arial" w:eastAsia="Arial" w:hAnsi="Arial"/>
          <w:sz w:val="20"/>
          <w:szCs w:val="20"/>
          <w:color w:val="auto"/>
        </w:rPr>
        <w:t>. The Administrator may award Supplemental Severance Benefits to an Employee who experiences a Qualifying Termination in the Administrator's sole discretion and on a case-by-case basis. The determination as to which Supplemental Severance Benefits will be offered, if any, and the amount of such benefit, shall be determined by the Administrator in its sole discretion; provided, however, that any cash Supplemental Severance Benefit shall in no event cause an Employee's total cash Severance Benefits and cash Supplemental Severance Benefits to exceed 52 weeks of Base Salary.</w:t>
      </w:r>
    </w:p>
    <w:p>
      <w:pPr>
        <w:spacing w:after="0" w:line="9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3.3</w:t>
      </w:r>
    </w:p>
    <w:p>
      <w:pPr>
        <w:ind w:left="1300"/>
        <w:spacing w:after="0" w:line="241"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Ineligible Employees</w:t>
      </w:r>
      <w:r>
        <w:rPr>
          <w:rFonts w:ascii="Arial" w:cs="Arial" w:eastAsia="Arial" w:hAnsi="Arial"/>
          <w:sz w:val="20"/>
          <w:szCs w:val="20"/>
          <w:color w:val="auto"/>
        </w:rPr>
        <w:t>. Except as otherwise provided in this Section 3.3, an Employee who experiences a Termination of Employment that is not a Qualifying Termination (a “</w:t>
      </w:r>
      <w:r>
        <w:rPr>
          <w:rFonts w:ascii="Arial" w:cs="Arial" w:eastAsia="Arial" w:hAnsi="Arial"/>
          <w:sz w:val="20"/>
          <w:szCs w:val="20"/>
          <w:u w:val="single" w:color="auto"/>
          <w:color w:val="auto"/>
        </w:rPr>
        <w:t>Nonqualifying Termination</w:t>
      </w:r>
      <w:r>
        <w:rPr>
          <w:rFonts w:ascii="Arial" w:cs="Arial" w:eastAsia="Arial" w:hAnsi="Arial"/>
          <w:sz w:val="20"/>
          <w:szCs w:val="20"/>
          <w:color w:val="auto"/>
        </w:rPr>
        <w:t>”)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u w:val="single" w:color="auto"/>
          <w:color w:val="auto"/>
        </w:rPr>
        <w:t>General Provisions</w:t>
      </w:r>
      <w:r>
        <w:rPr>
          <w:rFonts w:ascii="Arial" w:cs="Arial" w:eastAsia="Arial" w:hAnsi="Arial"/>
          <w:sz w:val="20"/>
          <w:szCs w:val="20"/>
          <w:b w:val="1"/>
          <w:bCs w:val="1"/>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4.1</w:t>
      </w:r>
    </w:p>
    <w:p>
      <w:pPr>
        <w:ind w:left="1300" w:right="40"/>
        <w:spacing w:after="0"/>
        <w:rPr>
          <w:sz w:val="20"/>
          <w:szCs w:val="20"/>
          <w:color w:val="auto"/>
        </w:rPr>
      </w:pPr>
      <w:r>
        <w:rPr>
          <w:rFonts w:ascii="Arial" w:cs="Arial" w:eastAsia="Arial" w:hAnsi="Arial"/>
          <w:sz w:val="20"/>
          <w:szCs w:val="20"/>
          <w:u w:val="single" w:color="auto"/>
          <w:color w:val="auto"/>
        </w:rPr>
        <w:t>Timing of Severance Pay</w:t>
      </w:r>
      <w:r>
        <w:rPr>
          <w:rFonts w:ascii="Arial" w:cs="Arial" w:eastAsia="Arial" w:hAnsi="Arial"/>
          <w:sz w:val="20"/>
          <w:szCs w:val="20"/>
          <w:color w:val="auto"/>
        </w:rPr>
        <w:t>. Any Severance Pay that is due to an eligible Employee pursuant to Article III shall be paid in a lump sum (unless otherwise determined by the Plan Administrator) within 30 days of the later of the date on which a signed Release and Waiver (as described in Section 4.4) is received by the Employer or the date on which the signed Release and Waiver has become irrevocable or, in the event the Administrator waives the Release and Waiver requirement, within 30 days of the Employee’s Termination of Employment. In any event, all Severance Pay (including any Supplemental Severance Benefits described in Section 3.2) not exceeding the “separation pay” limitations of Treas. Reg. 1.409A-1(b)(9)(iii)(A) shall be paid no later than the end of the second year following the year in which an Employee’s Termination of Employment occurs in accordance with Treas. Reg. 1.409A-1(b)(9)(iii)(B). Any Severance Pay in</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20"/>
          </w:cols>
          <w:pgMar w:left="240" w:top="636" w:right="339" w:bottom="1440" w:gutter="0" w:footer="0" w:header="0"/>
        </w:sectPr>
      </w:pPr>
    </w:p>
    <w:bookmarkStart w:id="114" w:name="page115"/>
    <w:bookmarkEnd w:id="114"/>
    <w:p>
      <w:pPr>
        <w:ind w:left="640" w:right="220"/>
        <w:spacing w:after="0" w:line="217" w:lineRule="auto"/>
        <w:rPr>
          <w:sz w:val="20"/>
          <w:szCs w:val="20"/>
          <w:color w:val="auto"/>
        </w:rPr>
      </w:pPr>
      <w:r>
        <w:rPr>
          <w:rFonts w:ascii="Arial" w:cs="Arial" w:eastAsia="Arial" w:hAnsi="Arial"/>
          <w:sz w:val="20"/>
          <w:szCs w:val="20"/>
          <w:color w:val="auto"/>
        </w:rPr>
        <w:t>excess of the limitations of Treas. Reg. 1.409A-1(b)(9)(iii)(A) shall be paid in a lump sum payment on the 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Employee’s Termination of Employment.</w:t>
      </w:r>
    </w:p>
    <w:p>
      <w:pPr>
        <w:spacing w:after="0" w:line="200" w:lineRule="exact"/>
        <w:rPr>
          <w:sz w:val="20"/>
          <w:szCs w:val="20"/>
          <w:color w:val="auto"/>
        </w:rPr>
      </w:pPr>
    </w:p>
    <w:p>
      <w:pPr>
        <w:spacing w:after="0" w:line="239" w:lineRule="exact"/>
        <w:rPr>
          <w:sz w:val="20"/>
          <w:szCs w:val="20"/>
          <w:color w:val="auto"/>
        </w:rPr>
      </w:pPr>
    </w:p>
    <w:p>
      <w:pPr>
        <w:jc w:val="both"/>
        <w:ind w:left="640" w:right="220" w:hanging="647"/>
        <w:spacing w:after="0" w:line="24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Withholding</w:t>
      </w:r>
      <w:r>
        <w:rPr>
          <w:rFonts w:ascii="Arial" w:cs="Arial" w:eastAsia="Arial" w:hAnsi="Arial"/>
          <w:sz w:val="20"/>
          <w:szCs w:val="20"/>
          <w:color w:val="auto"/>
        </w:rPr>
        <w:t>. The Administrator shall withhold from any Severance Benefits and Supplemental Severance Benefits all federal and state income, FICA, and other employment taxes, and any other amounts required or permitted to be withheld under any agreement with the Employee involved, applicable law or other employee benefit plans of the Employer.</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ind w:left="640" w:right="40"/>
        <w:spacing w:after="0" w:line="242" w:lineRule="auto"/>
        <w:rPr>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Company may amend or terminate this Plan at any time and without prior notice; provided, however, that in no event shall any such amendment or termination affect, in any manner, the entitlement to Severance Benefits or Supplemental Severance Benefits, if any, of an Employee who, prior to the date of such amendment or termination, was determined to be eligible for such payments.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ind w:left="640"/>
        <w:spacing w:after="0"/>
        <w:rPr>
          <w:sz w:val="20"/>
          <w:szCs w:val="20"/>
          <w:color w:val="auto"/>
        </w:rPr>
      </w:pPr>
      <w:r>
        <w:rPr>
          <w:rFonts w:ascii="Arial" w:cs="Arial" w:eastAsia="Arial" w:hAnsi="Arial"/>
          <w:sz w:val="20"/>
          <w:szCs w:val="20"/>
          <w:u w:val="single" w:color="auto"/>
          <w:color w:val="auto"/>
        </w:rPr>
        <w:t>Payments Conditioned on Release</w:t>
      </w:r>
      <w:r>
        <w:rPr>
          <w:rFonts w:ascii="Arial" w:cs="Arial" w:eastAsia="Arial" w:hAnsi="Arial"/>
          <w:sz w:val="20"/>
          <w:szCs w:val="20"/>
          <w:color w:val="auto"/>
        </w:rPr>
        <w:t>. Eligibility for the receipt of Severance Benefits or Supplemental Severance Benefits hereunder is expressly conditioned upon the execution by the Employee of a comprehensive settlement agreement and release and waiver (“</w:t>
      </w:r>
      <w:r>
        <w:rPr>
          <w:rFonts w:ascii="Arial" w:cs="Arial" w:eastAsia="Arial" w:hAnsi="Arial"/>
          <w:sz w:val="20"/>
          <w:szCs w:val="20"/>
          <w:u w:val="single" w:color="auto"/>
          <w:color w:val="auto"/>
        </w:rPr>
        <w:t>Release and Waiver</w:t>
      </w:r>
      <w:r>
        <w:rPr>
          <w:rFonts w:ascii="Arial" w:cs="Arial" w:eastAsia="Arial" w:hAnsi="Arial"/>
          <w:sz w:val="20"/>
          <w:szCs w:val="20"/>
          <w:color w:val="auto"/>
        </w:rPr>
        <w:t>”), in a form to be determined from time to time by the Administrator; provided, however, that the Administrator may, in its sole discretion, waive this requirement, in whole or in part, with respect to all or a part of an Employee’s benefits under the Plan. Except to the extent the requirement to execute such an agreement is waived by the Administrator, Employees who do not execute such an agreement on or before the Release and Waiver Deadline, or who revoke such an agreement, will not be eligible for Severance Benefits or Supplemental Severance Benefits, regardless of the reason for the Termination of Employment. For purposes hereof, the “</w:t>
      </w:r>
      <w:r>
        <w:rPr>
          <w:rFonts w:ascii="Arial" w:cs="Arial" w:eastAsia="Arial" w:hAnsi="Arial"/>
          <w:sz w:val="20"/>
          <w:szCs w:val="20"/>
          <w:u w:val="single" w:color="auto"/>
          <w:color w:val="auto"/>
        </w:rPr>
        <w:t>Release and Waiver Deadline</w:t>
      </w:r>
      <w:r>
        <w:rPr>
          <w:rFonts w:ascii="Arial" w:cs="Arial" w:eastAsia="Arial" w:hAnsi="Arial"/>
          <w:sz w:val="20"/>
          <w:szCs w:val="20"/>
          <w:color w:val="auto"/>
        </w:rPr>
        <w:t>” means the deadline prescribed by the Administrator for the execution of such agreement.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ind w:left="640" w:right="40"/>
        <w:spacing w:after="0" w:line="241" w:lineRule="auto"/>
        <w:rPr>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All Employer property, including information and reports, data, files, memoranda, records, credit cards, keys, passwords, computers, software, telecommunications equipment, and other physical or personal property that the eligible Employee received, prepared or helped prepare in connection with the Employee’s employment with the Employer, must be returned by that Employee on or before the Employee’s last day of employment in order for such Employee to commence receiving benefits under the Plan.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ind w:left="640" w:right="100"/>
        <w:spacing w:after="0" w:line="241" w:lineRule="auto"/>
        <w:rPr>
          <w:sz w:val="20"/>
          <w:szCs w:val="20"/>
          <w:color w:val="auto"/>
        </w:rPr>
      </w:pPr>
      <w:r>
        <w:rPr>
          <w:rFonts w:ascii="Arial" w:cs="Arial" w:eastAsia="Arial" w:hAnsi="Arial"/>
          <w:sz w:val="20"/>
          <w:szCs w:val="20"/>
          <w:u w:val="single" w:color="auto"/>
          <w:color w:val="auto"/>
        </w:rPr>
        <w:t>Breach of Obligations to Employer</w:t>
      </w:r>
      <w:r>
        <w:rPr>
          <w:rFonts w:ascii="Arial" w:cs="Arial" w:eastAsia="Arial" w:hAnsi="Arial"/>
          <w:sz w:val="20"/>
          <w:szCs w:val="20"/>
          <w:color w:val="auto"/>
        </w:rPr>
        <w:t>. No otherwise eligible Employee shall be entitled to any Severance Benefits or Supplemental Severance Benefits under the Plan if, in the sole discretion of the Administrator, such Employee is in breach or violation of any contractual or other legal obligation to the Employer, including, but not limited to, obligations concerning non-disclosure of confidential information and post-employment restrictions on competition with the Employer.</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ind w:left="640"/>
        <w:spacing w:after="0"/>
        <w:rPr>
          <w:sz w:val="20"/>
          <w:szCs w:val="20"/>
          <w:color w:val="auto"/>
        </w:rPr>
      </w:pPr>
      <w:r>
        <w:rPr>
          <w:rFonts w:ascii="Arial" w:cs="Arial" w:eastAsia="Arial" w:hAnsi="Arial"/>
          <w:sz w:val="20"/>
          <w:szCs w:val="20"/>
          <w:u w:val="single" w:color="auto"/>
          <w:color w:val="auto"/>
        </w:rPr>
        <w:t>Offsets</w:t>
      </w:r>
      <w:r>
        <w:rPr>
          <w:rFonts w:ascii="Arial" w:cs="Arial" w:eastAsia="Arial" w:hAnsi="Arial"/>
          <w:sz w:val="20"/>
          <w:szCs w:val="20"/>
          <w:color w:val="auto"/>
        </w:rPr>
        <w:t>. Any Severance Benefits or Supplemental Severance Benefits payable</w:t>
      </w:r>
    </w:p>
    <w:p>
      <w:pPr>
        <w:spacing w:after="0" w:line="35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0"/>
          </w:cols>
          <w:pgMar w:left="900" w:top="633" w:right="239" w:bottom="1440" w:gutter="0" w:footer="0" w:header="0"/>
        </w:sectPr>
      </w:pPr>
    </w:p>
    <w:bookmarkStart w:id="115" w:name="page116"/>
    <w:bookmarkEnd w:id="115"/>
    <w:p>
      <w:pPr>
        <w:ind w:left="640" w:right="120"/>
        <w:spacing w:after="0"/>
        <w:rPr>
          <w:sz w:val="20"/>
          <w:szCs w:val="20"/>
          <w:color w:val="auto"/>
        </w:rPr>
      </w:pPr>
      <w:r>
        <w:rPr>
          <w:rFonts w:ascii="Arial" w:cs="Arial" w:eastAsia="Arial" w:hAnsi="Arial"/>
          <w:sz w:val="20"/>
          <w:szCs w:val="20"/>
          <w:color w:val="auto"/>
        </w:rPr>
        <w:t>under the Plan shall be reduced dollar-for-dollar by any severance payments or benefits provided by the Employer under any other plan or arrangement or pursuant to any applicable federal, state or local law, including without limitation any payments required pursuant to the Worker Adjustment and Retraining Notification Act (the “</w:t>
      </w:r>
      <w:r>
        <w:rPr>
          <w:rFonts w:ascii="Arial" w:cs="Arial" w:eastAsia="Arial" w:hAnsi="Arial"/>
          <w:sz w:val="20"/>
          <w:szCs w:val="20"/>
          <w:u w:val="single" w:color="auto"/>
          <w:color w:val="auto"/>
        </w:rPr>
        <w:t>WARN</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the Illinois Worker Adjustment and Retraining Notification Act (“</w:t>
      </w:r>
      <w:r>
        <w:rPr>
          <w:rFonts w:ascii="Arial" w:cs="Arial" w:eastAsia="Arial" w:hAnsi="Arial"/>
          <w:sz w:val="20"/>
          <w:szCs w:val="20"/>
          <w:u w:val="single" w:color="auto"/>
          <w:color w:val="auto"/>
        </w:rPr>
        <w:t>IL WARN Act</w:t>
      </w:r>
      <w:r>
        <w:rPr>
          <w:rFonts w:ascii="Arial" w:cs="Arial" w:eastAsia="Arial" w:hAnsi="Arial"/>
          <w:sz w:val="20"/>
          <w:szCs w:val="20"/>
          <w:color w:val="auto"/>
        </w:rPr>
        <w:t>”) and/or the New York State Worker Adjustment and Retraining Notification Law (“</w:t>
      </w:r>
      <w:r>
        <w:rPr>
          <w:rFonts w:ascii="Arial" w:cs="Arial" w:eastAsia="Arial" w:hAnsi="Arial"/>
          <w:sz w:val="20"/>
          <w:szCs w:val="20"/>
          <w:u w:val="single" w:color="auto"/>
          <w:color w:val="auto"/>
        </w:rPr>
        <w:t>NY WARN Law</w:t>
      </w:r>
      <w:r>
        <w:rPr>
          <w:rFonts w:ascii="Arial" w:cs="Arial" w:eastAsia="Arial" w:hAnsi="Arial"/>
          <w:sz w:val="20"/>
          <w:szCs w:val="20"/>
          <w:color w:val="auto"/>
        </w:rPr>
        <w:t>”) (collectively the “WARN LAWS”). If Termination of Employment is deemed to be covered by the WARN LAWS, any severance benefits that may be payable pursuant to this Plan shall be considered payment required under the WARN LAWS.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ind w:left="640" w:right="340"/>
        <w:spacing w:after="0" w:line="247" w:lineRule="auto"/>
        <w:rPr>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Plan, to the extent not preempted by ERISA or any other federal law, shall be governed by and construed in accordance with the laws of the State of Illinois.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ind w:left="640" w:right="600"/>
        <w:spacing w:after="0" w:line="247" w:lineRule="auto"/>
        <w:rPr>
          <w:sz w:val="20"/>
          <w:szCs w:val="20"/>
          <w:color w:val="auto"/>
        </w:rPr>
      </w:pPr>
      <w:r>
        <w:rPr>
          <w:rFonts w:ascii="Arial" w:cs="Arial" w:eastAsia="Arial" w:hAnsi="Arial"/>
          <w:sz w:val="20"/>
          <w:szCs w:val="20"/>
          <w:u w:val="single" w:color="auto"/>
          <w:color w:val="auto"/>
        </w:rPr>
        <w:t>Nonassignability</w:t>
      </w:r>
      <w:r>
        <w:rPr>
          <w:rFonts w:ascii="Arial" w:cs="Arial" w:eastAsia="Arial" w:hAnsi="Arial"/>
          <w:sz w:val="20"/>
          <w:szCs w:val="20"/>
          <w:color w:val="auto"/>
        </w:rPr>
        <w:t>. Payments that are made under this Plan may not be assigned by any Employee, except as required by federal or non-preempted state law.</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4.10</w:t>
      </w:r>
    </w:p>
    <w:p>
      <w:pPr>
        <w:ind w:left="640" w:right="100"/>
        <w:spacing w:after="0" w:line="242" w:lineRule="auto"/>
        <w:rPr>
          <w:sz w:val="20"/>
          <w:szCs w:val="20"/>
          <w:color w:val="auto"/>
        </w:rPr>
      </w:pPr>
      <w:r>
        <w:rPr>
          <w:rFonts w:ascii="Arial" w:cs="Arial" w:eastAsia="Arial" w:hAnsi="Arial"/>
          <w:sz w:val="20"/>
          <w:szCs w:val="20"/>
          <w:u w:val="single" w:color="auto"/>
          <w:color w:val="auto"/>
        </w:rPr>
        <w:t>Severance Pay Not Compensation</w:t>
      </w:r>
      <w:r>
        <w:rPr>
          <w:rFonts w:ascii="Arial" w:cs="Arial" w:eastAsia="Arial" w:hAnsi="Arial"/>
          <w:sz w:val="20"/>
          <w:szCs w:val="20"/>
          <w:color w:val="auto"/>
        </w:rPr>
        <w:t>. The period for which Severance Pay may be computed and the payments provided under this Plan shall not constitute employment, compensation or salary for purposes of determining participation in, or other benefits under, any other benefit plan of the Employer. Severance payments shall also not be considered wages for work performed by the Employee for any purpose under state or federal law.</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4.11</w:t>
      </w:r>
    </w:p>
    <w:p>
      <w:pPr>
        <w:ind w:left="640" w:right="220"/>
        <w:spacing w:after="0" w:line="243" w:lineRule="auto"/>
        <w:rPr>
          <w:sz w:val="20"/>
          <w:szCs w:val="20"/>
          <w:color w:val="auto"/>
        </w:rPr>
      </w:pPr>
      <w:r>
        <w:rPr>
          <w:rFonts w:ascii="Arial" w:cs="Arial" w:eastAsia="Arial" w:hAnsi="Arial"/>
          <w:sz w:val="20"/>
          <w:szCs w:val="20"/>
          <w:u w:val="single" w:color="auto"/>
          <w:color w:val="auto"/>
        </w:rPr>
        <w:t>Right of Offset</w:t>
      </w:r>
      <w:r>
        <w:rPr>
          <w:rFonts w:ascii="Arial" w:cs="Arial" w:eastAsia="Arial" w:hAnsi="Arial"/>
          <w:sz w:val="20"/>
          <w:szCs w:val="20"/>
          <w:color w:val="auto"/>
        </w:rPr>
        <w:t>. By accepting Severance Benefits or Supplemental Severance Benefits under the Plan, the Employee agrees that the Administrator, in its sole discretion, may withhold from any amounts payable under this Plan any amounts that are owed to the Employer by the Employee.</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4.12</w:t>
      </w:r>
    </w:p>
    <w:p>
      <w:pPr>
        <w:ind w:left="640" w:right="420"/>
        <w:spacing w:after="0" w:line="247" w:lineRule="auto"/>
        <w:rPr>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herein that may be unenforceable will be deemed to be severed from the remainder hereof, with such remaining provisions being given full force and effect.</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4.13</w:t>
      </w:r>
    </w:p>
    <w:p>
      <w:pPr>
        <w:ind w:left="640" w:right="20"/>
        <w:spacing w:after="0" w:line="247" w:lineRule="auto"/>
        <w:rPr>
          <w:sz w:val="20"/>
          <w:szCs w:val="20"/>
          <w:color w:val="auto"/>
        </w:rPr>
      </w:pPr>
      <w:r>
        <w:rPr>
          <w:rFonts w:ascii="Arial" w:cs="Arial" w:eastAsia="Arial" w:hAnsi="Arial"/>
          <w:sz w:val="20"/>
          <w:szCs w:val="20"/>
          <w:u w:val="single" w:color="auto"/>
          <w:color w:val="auto"/>
        </w:rPr>
        <w:t>Recovery of Payments Made by Mistake</w:t>
      </w:r>
      <w:r>
        <w:rPr>
          <w:rFonts w:ascii="Arial" w:cs="Arial" w:eastAsia="Arial" w:hAnsi="Arial"/>
          <w:sz w:val="20"/>
          <w:szCs w:val="20"/>
          <w:color w:val="auto"/>
        </w:rPr>
        <w:t>. An eligible Employee shall be required to return to the Employer any Plan severance benefit payment, or portion thereof, made by a mistake of fact or law.</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4.14</w:t>
      </w:r>
    </w:p>
    <w:p>
      <w:pPr>
        <w:ind w:left="640" w:right="140"/>
        <w:spacing w:after="0" w:line="242" w:lineRule="auto"/>
        <w:rPr>
          <w:sz w:val="20"/>
          <w:szCs w:val="20"/>
          <w:color w:val="auto"/>
        </w:rPr>
      </w:pPr>
      <w:r>
        <w:rPr>
          <w:rFonts w:ascii="Arial" w:cs="Arial" w:eastAsia="Arial" w:hAnsi="Arial"/>
          <w:sz w:val="20"/>
          <w:szCs w:val="20"/>
          <w:u w:val="single" w:color="auto"/>
          <w:color w:val="auto"/>
        </w:rPr>
        <w:t>Representations Contrary to Plan</w:t>
      </w:r>
      <w:r>
        <w:rPr>
          <w:rFonts w:ascii="Arial" w:cs="Arial" w:eastAsia="Arial" w:hAnsi="Arial"/>
          <w:sz w:val="20"/>
          <w:szCs w:val="20"/>
          <w:color w:val="auto"/>
        </w:rPr>
        <w:t>. Except as otherwise provided herein, no employee, officer, or director of the Employer has the authority to alter, vary or modify the terms of the Plan, except by means of an authorized written amendment to the Plan. No verbal or written representations contrary to the terms of the Plan and its written amendments shall be binding upon the Plan, the Administrator or the Employer.</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4.15</w:t>
      </w:r>
    </w:p>
    <w:p>
      <w:pPr>
        <w:ind w:left="640"/>
        <w:spacing w:after="0" w:line="243" w:lineRule="auto"/>
        <w:rPr>
          <w:sz w:val="20"/>
          <w:szCs w:val="20"/>
          <w:color w:val="auto"/>
        </w:rPr>
      </w:pPr>
      <w:r>
        <w:rPr>
          <w:rFonts w:ascii="Arial" w:cs="Arial" w:eastAsia="Arial" w:hAnsi="Arial"/>
          <w:sz w:val="20"/>
          <w:szCs w:val="20"/>
          <w:u w:val="single" w:color="auto"/>
          <w:color w:val="auto"/>
        </w:rPr>
        <w:t>Plan Funding</w:t>
      </w:r>
      <w:r>
        <w:rPr>
          <w:rFonts w:ascii="Arial" w:cs="Arial" w:eastAsia="Arial" w:hAnsi="Arial"/>
          <w:sz w:val="20"/>
          <w:szCs w:val="20"/>
          <w:color w:val="auto"/>
        </w:rPr>
        <w:t>. No eligible Employee shall acquire by reason of the Plan any right in or title to any assets, funds or property of the Employer. Any Severance Benefits or Supplemental Severance Benefits that become payable under the</w:t>
      </w:r>
    </w:p>
    <w:p>
      <w:pPr>
        <w:spacing w:after="0" w:line="34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0"/>
          </w:cols>
          <w:pgMar w:left="900" w:top="636" w:right="259" w:bottom="1440" w:gutter="0" w:footer="0" w:header="0"/>
        </w:sectPr>
      </w:pPr>
    </w:p>
    <w:bookmarkStart w:id="116" w:name="page117"/>
    <w:bookmarkEnd w:id="116"/>
    <w:p>
      <w:pPr>
        <w:jc w:val="both"/>
        <w:ind w:left="1292" w:right="560"/>
        <w:spacing w:after="0" w:line="272" w:lineRule="auto"/>
        <w:rPr>
          <w:sz w:val="20"/>
          <w:szCs w:val="20"/>
          <w:color w:val="auto"/>
        </w:rPr>
      </w:pPr>
      <w:r>
        <w:rPr>
          <w:rFonts w:ascii="Arial" w:cs="Arial" w:eastAsia="Arial" w:hAnsi="Arial"/>
          <w:sz w:val="19"/>
          <w:szCs w:val="19"/>
          <w:color w:val="auto"/>
        </w:rPr>
        <w:t>Plan are unfunded obligations of the Employer and shall be paid from the general assets of the Employer. No employee, officer, director or agent of the Employer guarantees, in any manner, the payment of Plan benefits.</w:t>
      </w:r>
    </w:p>
    <w:p>
      <w:pPr>
        <w:spacing w:after="0" w:line="72" w:lineRule="exact"/>
        <w:rPr>
          <w:sz w:val="20"/>
          <w:szCs w:val="20"/>
          <w:color w:val="auto"/>
        </w:rPr>
      </w:pPr>
    </w:p>
    <w:p>
      <w:pPr>
        <w:ind w:left="652"/>
        <w:spacing w:after="0"/>
        <w:rPr>
          <w:sz w:val="20"/>
          <w:szCs w:val="20"/>
          <w:color w:val="auto"/>
        </w:rPr>
      </w:pPr>
      <w:r>
        <w:rPr>
          <w:rFonts w:ascii="Arial" w:cs="Arial" w:eastAsia="Arial" w:hAnsi="Arial"/>
          <w:sz w:val="20"/>
          <w:szCs w:val="20"/>
          <w:color w:val="auto"/>
        </w:rPr>
        <w:t>4.16</w:t>
      </w:r>
    </w:p>
    <w:p>
      <w:pPr>
        <w:ind w:left="1292" w:right="20"/>
        <w:spacing w:after="0" w:line="242" w:lineRule="auto"/>
        <w:rPr>
          <w:sz w:val="20"/>
          <w:szCs w:val="20"/>
          <w:color w:val="auto"/>
        </w:rPr>
      </w:pPr>
      <w:r>
        <w:rPr>
          <w:rFonts w:ascii="Arial" w:cs="Arial" w:eastAsia="Arial" w:hAnsi="Arial"/>
          <w:sz w:val="20"/>
          <w:szCs w:val="20"/>
          <w:u w:val="single" w:color="auto"/>
          <w:color w:val="auto"/>
        </w:rPr>
        <w:t>Written Agreement</w:t>
      </w:r>
      <w:r>
        <w:rPr>
          <w:rFonts w:ascii="Arial" w:cs="Arial" w:eastAsia="Arial" w:hAnsi="Arial"/>
          <w:sz w:val="20"/>
          <w:szCs w:val="20"/>
          <w:color w:val="auto"/>
        </w:rPr>
        <w:t>. Any severance benefits to which an eligible Employee may be entitled to receive under the Plan shall be communicated to such Employee in writing. An eligible Employee shall not be entitled to receive any severance benefits under this Plan other than those benefits that are specifically communicated to that Employee in such writing.</w:t>
      </w:r>
    </w:p>
    <w:p>
      <w:pPr>
        <w:spacing w:after="0" w:line="98" w:lineRule="exact"/>
        <w:rPr>
          <w:sz w:val="20"/>
          <w:szCs w:val="20"/>
          <w:color w:val="auto"/>
        </w:rPr>
      </w:pPr>
    </w:p>
    <w:p>
      <w:pPr>
        <w:ind w:left="652"/>
        <w:spacing w:after="0"/>
        <w:rPr>
          <w:sz w:val="20"/>
          <w:szCs w:val="20"/>
          <w:color w:val="auto"/>
        </w:rPr>
      </w:pPr>
      <w:r>
        <w:rPr>
          <w:rFonts w:ascii="Arial" w:cs="Arial" w:eastAsia="Arial" w:hAnsi="Arial"/>
          <w:sz w:val="20"/>
          <w:szCs w:val="20"/>
          <w:color w:val="auto"/>
        </w:rPr>
        <w:t>4.17</w:t>
      </w:r>
    </w:p>
    <w:p>
      <w:pPr>
        <w:ind w:left="1292" w:right="60"/>
        <w:spacing w:after="0" w:line="247" w:lineRule="auto"/>
        <w:rPr>
          <w:sz w:val="20"/>
          <w:szCs w:val="20"/>
          <w:color w:val="auto"/>
        </w:rPr>
      </w:pPr>
      <w:r>
        <w:rPr>
          <w:rFonts w:ascii="Arial" w:cs="Arial" w:eastAsia="Arial" w:hAnsi="Arial"/>
          <w:sz w:val="20"/>
          <w:szCs w:val="20"/>
          <w:u w:val="single" w:color="auto"/>
          <w:color w:val="auto"/>
        </w:rPr>
        <w:t>No Right to Other Claims</w:t>
      </w:r>
      <w:r>
        <w:rPr>
          <w:rFonts w:ascii="Arial" w:cs="Arial" w:eastAsia="Arial" w:hAnsi="Arial"/>
          <w:sz w:val="20"/>
          <w:szCs w:val="20"/>
          <w:color w:val="auto"/>
        </w:rPr>
        <w:t>. Neither an eligible Employee, his or her dependents, his or her beneficiaries, nor anyone else has the right or claim to benefits under this Plan, other than those described in the Plan.</w:t>
      </w:r>
    </w:p>
    <w:p>
      <w:pPr>
        <w:spacing w:after="0" w:line="93" w:lineRule="exact"/>
        <w:rPr>
          <w:sz w:val="20"/>
          <w:szCs w:val="20"/>
          <w:color w:val="auto"/>
        </w:rPr>
      </w:pPr>
    </w:p>
    <w:p>
      <w:pPr>
        <w:ind w:left="652"/>
        <w:spacing w:after="0"/>
        <w:rPr>
          <w:sz w:val="20"/>
          <w:szCs w:val="20"/>
          <w:color w:val="auto"/>
        </w:rPr>
      </w:pPr>
      <w:r>
        <w:rPr>
          <w:rFonts w:ascii="Arial" w:cs="Arial" w:eastAsia="Arial" w:hAnsi="Arial"/>
          <w:sz w:val="20"/>
          <w:szCs w:val="20"/>
          <w:color w:val="auto"/>
        </w:rPr>
        <w:t>4.18</w:t>
      </w:r>
    </w:p>
    <w:p>
      <w:pPr>
        <w:ind w:left="1292" w:right="20"/>
        <w:spacing w:after="0" w:line="241" w:lineRule="auto"/>
        <w:rPr>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All benefits under this Plan are intended either to be exempt from, or to comply with, the requirements of Section 409A of the Code, and the Plan shall be interpreted and administered in a manner consistent with such intent. If payment of any benefit that is 'deferred compensation' subject to Section 409A of the Code at the time specified in this Plan would subject such compensation to additional tax pursuant to Section 409A, the payment thereof shall be postponed to the earliest commencement date on which such amount could be paid without incurring such additional tax.</w:t>
      </w:r>
    </w:p>
    <w:p>
      <w:pPr>
        <w:spacing w:after="0" w:line="184"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Administration</w:t>
      </w:r>
      <w:r>
        <w:rPr>
          <w:rFonts w:ascii="Arial" w:cs="Arial" w:eastAsia="Arial" w:hAnsi="Arial"/>
          <w:sz w:val="20"/>
          <w:szCs w:val="20"/>
          <w:b w:val="1"/>
          <w:bCs w:val="1"/>
          <w:color w:val="auto"/>
        </w:rPr>
        <w:t>.</w:t>
      </w:r>
    </w:p>
    <w:p>
      <w:pPr>
        <w:spacing w:after="0" w:line="131" w:lineRule="exact"/>
        <w:rPr>
          <w:rFonts w:ascii="Arial" w:cs="Arial" w:eastAsia="Arial" w:hAnsi="Arial"/>
          <w:sz w:val="20"/>
          <w:szCs w:val="20"/>
          <w:b w:val="1"/>
          <w:bCs w:val="1"/>
          <w:color w:val="auto"/>
        </w:rPr>
      </w:pPr>
    </w:p>
    <w:p>
      <w:pPr>
        <w:ind w:left="652"/>
        <w:spacing w:after="0"/>
        <w:rPr>
          <w:rFonts w:ascii="Arial" w:cs="Arial" w:eastAsia="Arial" w:hAnsi="Arial"/>
          <w:sz w:val="20"/>
          <w:szCs w:val="20"/>
          <w:b w:val="1"/>
          <w:bCs w:val="1"/>
          <w:color w:val="auto"/>
        </w:rPr>
      </w:pPr>
      <w:r>
        <w:rPr>
          <w:rFonts w:ascii="Arial" w:cs="Arial" w:eastAsia="Arial" w:hAnsi="Arial"/>
          <w:sz w:val="20"/>
          <w:szCs w:val="20"/>
          <w:color w:val="auto"/>
        </w:rPr>
        <w:t>5.1</w:t>
      </w:r>
    </w:p>
    <w:p>
      <w:pPr>
        <w:ind w:left="1292" w:right="160"/>
        <w:spacing w:after="0" w:line="243" w:lineRule="auto"/>
        <w:rPr>
          <w:rFonts w:ascii="Arial" w:cs="Arial" w:eastAsia="Arial" w:hAnsi="Arial"/>
          <w:sz w:val="20"/>
          <w:szCs w:val="20"/>
          <w:b w:val="1"/>
          <w:bCs w:val="1"/>
          <w:color w:val="auto"/>
        </w:rPr>
      </w:pPr>
      <w:r>
        <w:rPr>
          <w:rFonts w:ascii="Arial" w:cs="Arial" w:eastAsia="Arial" w:hAnsi="Arial"/>
          <w:sz w:val="20"/>
          <w:szCs w:val="20"/>
          <w:u w:val="single" w:color="auto"/>
          <w:color w:val="auto"/>
        </w:rPr>
        <w:t>Operation and Administration of Plan by Administrator</w:t>
      </w:r>
      <w:r>
        <w:rPr>
          <w:rFonts w:ascii="Arial" w:cs="Arial" w:eastAsia="Arial" w:hAnsi="Arial"/>
          <w:sz w:val="20"/>
          <w:szCs w:val="20"/>
          <w:color w:val="auto"/>
        </w:rPr>
        <w:t>. The Administrator has complete authority to control and manage the operation and administration of the Plan. The Administrator shall have full and exclusive discretionary authority to:</w:t>
      </w:r>
    </w:p>
    <w:p>
      <w:pPr>
        <w:spacing w:after="0" w:line="98" w:lineRule="exact"/>
        <w:rPr>
          <w:rFonts w:ascii="Arial" w:cs="Arial" w:eastAsia="Arial" w:hAnsi="Arial"/>
          <w:sz w:val="20"/>
          <w:szCs w:val="20"/>
          <w:b w:val="1"/>
          <w:bCs w:val="1"/>
          <w:color w:val="auto"/>
        </w:rPr>
      </w:pPr>
    </w:p>
    <w:p>
      <w:pPr>
        <w:ind w:left="2032" w:hanging="654"/>
        <w:spacing w:after="0"/>
        <w:tabs>
          <w:tab w:leader="none" w:pos="2032" w:val="left"/>
        </w:tabs>
        <w:numPr>
          <w:ilvl w:val="2"/>
          <w:numId w:val="62"/>
        </w:numPr>
        <w:rPr>
          <w:rFonts w:ascii="Arial" w:cs="Arial" w:eastAsia="Arial" w:hAnsi="Arial"/>
          <w:sz w:val="20"/>
          <w:szCs w:val="20"/>
          <w:color w:val="auto"/>
        </w:rPr>
      </w:pPr>
      <w:r>
        <w:rPr>
          <w:rFonts w:ascii="Arial" w:cs="Arial" w:eastAsia="Arial" w:hAnsi="Arial"/>
          <w:sz w:val="20"/>
          <w:szCs w:val="20"/>
          <w:color w:val="auto"/>
        </w:rPr>
        <w:t>construe and interpret the provisions of the Plan;</w:t>
      </w:r>
    </w:p>
    <w:p>
      <w:pPr>
        <w:spacing w:after="0" w:line="107" w:lineRule="exact"/>
        <w:rPr>
          <w:rFonts w:ascii="Arial" w:cs="Arial" w:eastAsia="Arial" w:hAnsi="Arial"/>
          <w:sz w:val="20"/>
          <w:szCs w:val="20"/>
          <w:color w:val="auto"/>
        </w:rPr>
      </w:pPr>
    </w:p>
    <w:p>
      <w:pPr>
        <w:ind w:left="1952" w:hanging="588"/>
        <w:spacing w:after="0" w:line="247" w:lineRule="auto"/>
        <w:tabs>
          <w:tab w:leader="none" w:pos="1952" w:val="left"/>
        </w:tabs>
        <w:numPr>
          <w:ilvl w:val="1"/>
          <w:numId w:val="62"/>
        </w:numPr>
        <w:rPr>
          <w:rFonts w:ascii="Arial" w:cs="Arial" w:eastAsia="Arial" w:hAnsi="Arial"/>
          <w:sz w:val="20"/>
          <w:szCs w:val="20"/>
          <w:color w:val="auto"/>
        </w:rPr>
      </w:pPr>
      <w:r>
        <w:rPr>
          <w:rFonts w:ascii="Arial" w:cs="Arial" w:eastAsia="Arial" w:hAnsi="Arial"/>
          <w:sz w:val="20"/>
          <w:szCs w:val="20"/>
          <w:color w:val="auto"/>
        </w:rPr>
        <w:t>adopt any rules, procedures, and forms that are necessary for the operation and administration of the Plan that are consistent with its provisions;</w:t>
      </w:r>
    </w:p>
    <w:p>
      <w:pPr>
        <w:spacing w:after="0" w:line="93" w:lineRule="exact"/>
        <w:rPr>
          <w:rFonts w:ascii="Arial" w:cs="Arial" w:eastAsia="Arial" w:hAnsi="Arial"/>
          <w:sz w:val="20"/>
          <w:szCs w:val="20"/>
          <w:color w:val="auto"/>
        </w:rPr>
      </w:pPr>
    </w:p>
    <w:p>
      <w:pPr>
        <w:jc w:val="both"/>
        <w:ind w:left="1952" w:hanging="588"/>
        <w:spacing w:after="0" w:line="243" w:lineRule="auto"/>
        <w:tabs>
          <w:tab w:leader="none" w:pos="1952" w:val="left"/>
        </w:tabs>
        <w:numPr>
          <w:ilvl w:val="1"/>
          <w:numId w:val="62"/>
        </w:numPr>
        <w:rPr>
          <w:rFonts w:ascii="Arial" w:cs="Arial" w:eastAsia="Arial" w:hAnsi="Arial"/>
          <w:sz w:val="20"/>
          <w:szCs w:val="20"/>
          <w:color w:val="auto"/>
        </w:rPr>
      </w:pPr>
      <w:r>
        <w:rPr>
          <w:rFonts w:ascii="Arial" w:cs="Arial" w:eastAsia="Arial" w:hAnsi="Arial"/>
          <w:sz w:val="20"/>
          <w:szCs w:val="20"/>
          <w:color w:val="auto"/>
        </w:rPr>
        <w:t>determine eligibility for and the amount of Severance Benefits or Supplemental Severance Benefits for any Employee, as well as all other questions relating to the eligibility, benefits, and other rights of Employees under the Plan;</w:t>
      </w:r>
    </w:p>
    <w:p>
      <w:pPr>
        <w:spacing w:after="0" w:line="98" w:lineRule="exact"/>
        <w:rPr>
          <w:rFonts w:ascii="Arial" w:cs="Arial" w:eastAsia="Arial" w:hAnsi="Arial"/>
          <w:sz w:val="20"/>
          <w:szCs w:val="20"/>
          <w:color w:val="auto"/>
        </w:rPr>
      </w:pPr>
    </w:p>
    <w:p>
      <w:pPr>
        <w:ind w:left="2032" w:hanging="654"/>
        <w:spacing w:after="0"/>
        <w:tabs>
          <w:tab w:leader="none" w:pos="2032" w:val="left"/>
        </w:tabs>
        <w:numPr>
          <w:ilvl w:val="2"/>
          <w:numId w:val="63"/>
        </w:numPr>
        <w:rPr>
          <w:rFonts w:ascii="Arial" w:cs="Arial" w:eastAsia="Arial" w:hAnsi="Arial"/>
          <w:sz w:val="20"/>
          <w:szCs w:val="20"/>
          <w:color w:val="auto"/>
        </w:rPr>
      </w:pPr>
      <w:r>
        <w:rPr>
          <w:rFonts w:ascii="Arial" w:cs="Arial" w:eastAsia="Arial" w:hAnsi="Arial"/>
          <w:sz w:val="20"/>
          <w:szCs w:val="20"/>
          <w:color w:val="auto"/>
        </w:rPr>
        <w:t>keep all records necessary for the operation and administration of the Plan;</w:t>
      </w:r>
    </w:p>
    <w:p>
      <w:pPr>
        <w:spacing w:after="0" w:line="108" w:lineRule="exact"/>
        <w:rPr>
          <w:sz w:val="20"/>
          <w:szCs w:val="20"/>
          <w:color w:val="auto"/>
        </w:rPr>
      </w:pPr>
    </w:p>
    <w:p>
      <w:pPr>
        <w:jc w:val="both"/>
        <w:ind w:left="1952" w:hanging="588"/>
        <w:spacing w:after="0" w:line="243" w:lineRule="auto"/>
        <w:tabs>
          <w:tab w:leader="none" w:pos="1952" w:val="left"/>
        </w:tabs>
        <w:numPr>
          <w:ilvl w:val="0"/>
          <w:numId w:val="64"/>
        </w:numPr>
        <w:rPr>
          <w:rFonts w:ascii="Arial" w:cs="Arial" w:eastAsia="Arial" w:hAnsi="Arial"/>
          <w:sz w:val="20"/>
          <w:szCs w:val="20"/>
          <w:color w:val="auto"/>
        </w:rPr>
      </w:pPr>
      <w:r>
        <w:rPr>
          <w:rFonts w:ascii="Arial" w:cs="Arial" w:eastAsia="Arial" w:hAnsi="Arial"/>
          <w:sz w:val="20"/>
          <w:szCs w:val="20"/>
          <w:color w:val="auto"/>
        </w:rPr>
        <w:t>designate or employ agents (who may also be employees of the Employer) and delegate to them the exercise of one or more specific powers of the Administrator; and, to the extent that the exercise of such powers involves fiduciary responsibility, such agents will be fiduciaries of the Plan; and</w:t>
      </w:r>
    </w:p>
    <w:p>
      <w:pPr>
        <w:spacing w:after="0" w:line="98" w:lineRule="exact"/>
        <w:rPr>
          <w:rFonts w:ascii="Arial" w:cs="Arial" w:eastAsia="Arial" w:hAnsi="Arial"/>
          <w:sz w:val="20"/>
          <w:szCs w:val="20"/>
          <w:color w:val="auto"/>
        </w:rPr>
      </w:pPr>
    </w:p>
    <w:p>
      <w:pPr>
        <w:ind w:left="1952" w:right="20" w:hanging="588"/>
        <w:spacing w:after="0" w:line="247" w:lineRule="auto"/>
        <w:tabs>
          <w:tab w:leader="none" w:pos="1952"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retain any legal, accounting or other expert advisers (who may also be advisers to the Employer) in connection with the Administrator’s operation and administration of the Plan.</w:t>
      </w:r>
    </w:p>
    <w:p>
      <w:pPr>
        <w:spacing w:after="0" w:line="93" w:lineRule="exact"/>
        <w:rPr>
          <w:sz w:val="20"/>
          <w:szCs w:val="20"/>
          <w:color w:val="auto"/>
        </w:rPr>
      </w:pPr>
    </w:p>
    <w:p>
      <w:pPr>
        <w:ind w:left="652"/>
        <w:spacing w:after="0"/>
        <w:rPr>
          <w:sz w:val="20"/>
          <w:szCs w:val="20"/>
          <w:color w:val="auto"/>
        </w:rPr>
      </w:pPr>
      <w:r>
        <w:rPr>
          <w:rFonts w:ascii="Arial" w:cs="Arial" w:eastAsia="Arial" w:hAnsi="Arial"/>
          <w:sz w:val="20"/>
          <w:szCs w:val="20"/>
          <w:color w:val="auto"/>
        </w:rPr>
        <w:t>5.2</w:t>
      </w:r>
    </w:p>
    <w:p>
      <w:pPr>
        <w:jc w:val="both"/>
        <w:ind w:left="1292" w:right="740"/>
        <w:spacing w:after="0" w:line="243" w:lineRule="auto"/>
        <w:rPr>
          <w:sz w:val="20"/>
          <w:szCs w:val="20"/>
          <w:color w:val="auto"/>
        </w:rPr>
      </w:pPr>
      <w:r>
        <w:rPr>
          <w:rFonts w:ascii="Arial" w:cs="Arial" w:eastAsia="Arial" w:hAnsi="Arial"/>
          <w:sz w:val="20"/>
          <w:szCs w:val="20"/>
          <w:u w:val="single" w:color="auto"/>
          <w:color w:val="auto"/>
        </w:rPr>
        <w:t>Reliance on Documents, Instruments, Etc.</w:t>
      </w:r>
      <w:r>
        <w:rPr>
          <w:rFonts w:ascii="Arial" w:cs="Arial" w:eastAsia="Arial" w:hAnsi="Arial"/>
          <w:sz w:val="20"/>
          <w:szCs w:val="20"/>
          <w:color w:val="auto"/>
        </w:rPr>
        <w:t xml:space="preserve"> The Administrator may rely on any certificate, statement or other representation that is made on behalf of the Employer or any Employee that it believes, in good faith, to be genuine, and on</w:t>
      </w:r>
    </w:p>
    <w:p>
      <w:pPr>
        <w:spacing w:after="0" w:line="34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12"/>
          </w:cols>
          <w:pgMar w:left="248" w:top="636" w:right="239" w:bottom="1440" w:gutter="0" w:footer="0" w:header="0"/>
        </w:sectPr>
      </w:pPr>
    </w:p>
    <w:bookmarkStart w:id="117" w:name="page118"/>
    <w:bookmarkEnd w:id="117"/>
    <w:p>
      <w:pPr>
        <w:ind w:left="640" w:right="100"/>
        <w:spacing w:after="0" w:line="272" w:lineRule="auto"/>
        <w:rPr>
          <w:sz w:val="20"/>
          <w:szCs w:val="20"/>
          <w:color w:val="auto"/>
        </w:rPr>
      </w:pPr>
      <w:r>
        <w:rPr>
          <w:rFonts w:ascii="Arial" w:cs="Arial" w:eastAsia="Arial" w:hAnsi="Arial"/>
          <w:sz w:val="19"/>
          <w:szCs w:val="19"/>
          <w:color w:val="auto"/>
        </w:rPr>
        <w:t>any certificate, statement, report or other representation that is made to it by any agent or any attorney, accountant or other expert retained by it or the Employer in connection with the operation and administration of the Plan.</w:t>
      </w:r>
    </w:p>
    <w:p>
      <w:pPr>
        <w:spacing w:after="0" w:line="72" w:lineRule="exact"/>
        <w:rPr>
          <w:sz w:val="20"/>
          <w:szCs w:val="20"/>
          <w:color w:val="auto"/>
        </w:rPr>
      </w:pPr>
    </w:p>
    <w:p>
      <w:pPr>
        <w:ind w:left="640" w:hanging="647"/>
        <w:spacing w:after="0" w:line="247"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Administrative Expenses</w:t>
      </w:r>
      <w:r>
        <w:rPr>
          <w:rFonts w:ascii="Arial" w:cs="Arial" w:eastAsia="Arial" w:hAnsi="Arial"/>
          <w:sz w:val="20"/>
          <w:szCs w:val="20"/>
          <w:color w:val="auto"/>
        </w:rPr>
        <w:t>. All expenses of operating and administering the Plan, including, but not limited to, fees of any agents and experts retained by the Administrator under Section 5.2, will be paid by the Employer.</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5.4</w:t>
      </w:r>
    </w:p>
    <w:p>
      <w:pPr>
        <w:ind w:left="640" w:right="220"/>
        <w:spacing w:after="0" w:line="259" w:lineRule="auto"/>
        <w:rPr>
          <w:sz w:val="20"/>
          <w:szCs w:val="20"/>
          <w:color w:val="auto"/>
        </w:rPr>
      </w:pPr>
      <w:r>
        <w:rPr>
          <w:rFonts w:ascii="Arial" w:cs="Arial" w:eastAsia="Arial" w:hAnsi="Arial"/>
          <w:sz w:val="19"/>
          <w:szCs w:val="19"/>
          <w:u w:val="single" w:color="auto"/>
          <w:color w:val="auto"/>
        </w:rPr>
        <w:t>Bond, Compensation, Indemnification of Administrator</w:t>
      </w:r>
      <w:r>
        <w:rPr>
          <w:rFonts w:ascii="Arial" w:cs="Arial" w:eastAsia="Arial" w:hAnsi="Arial"/>
          <w:sz w:val="19"/>
          <w:szCs w:val="19"/>
          <w:color w:val="auto"/>
        </w:rPr>
        <w:t>. No bond or other security will be required of the Administrator, except as provided by law. No compensation will be paid to any person for performing his or her duties as Administrator. The Administrator will be indemnified by the Employer for any liabilities (including legal expenses) arising from any act or failure to act that is done in good faith in accordance with the Plan’s provisions.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5.5</w:t>
      </w:r>
    </w:p>
    <w:p>
      <w:pPr>
        <w:jc w:val="center"/>
        <w:ind w:right="-39"/>
        <w:spacing w:after="0"/>
        <w:rPr>
          <w:sz w:val="20"/>
          <w:szCs w:val="20"/>
          <w:color w:val="auto"/>
        </w:rPr>
      </w:pPr>
      <w:r>
        <w:rPr>
          <w:rFonts w:ascii="Arial" w:cs="Arial" w:eastAsia="Arial" w:hAnsi="Arial"/>
          <w:sz w:val="20"/>
          <w:szCs w:val="20"/>
          <w:u w:val="single" w:color="auto"/>
          <w:color w:val="auto"/>
        </w:rPr>
        <w:t>More Than One Fiduciary Capacity</w:t>
      </w:r>
      <w:r>
        <w:rPr>
          <w:rFonts w:ascii="Arial" w:cs="Arial" w:eastAsia="Arial" w:hAnsi="Arial"/>
          <w:sz w:val="20"/>
          <w:szCs w:val="20"/>
          <w:color w:val="auto"/>
        </w:rPr>
        <w:t>. Person(s) may serve in more than one fiduciary capacity under the Plan.</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ind w:left="640" w:right="80"/>
        <w:spacing w:after="0" w:line="247" w:lineRule="auto"/>
        <w:rPr>
          <w:sz w:val="20"/>
          <w:szCs w:val="20"/>
          <w:color w:val="auto"/>
        </w:rPr>
      </w:pPr>
      <w:r>
        <w:rPr>
          <w:rFonts w:ascii="Arial" w:cs="Arial" w:eastAsia="Arial" w:hAnsi="Arial"/>
          <w:sz w:val="20"/>
          <w:szCs w:val="20"/>
          <w:u w:val="single" w:color="auto"/>
          <w:color w:val="auto"/>
        </w:rPr>
        <w:t>Denial of Claims; Appeals</w:t>
      </w:r>
      <w:r>
        <w:rPr>
          <w:rFonts w:ascii="Arial" w:cs="Arial" w:eastAsia="Arial" w:hAnsi="Arial"/>
          <w:sz w:val="20"/>
          <w:szCs w:val="20"/>
          <w:color w:val="auto"/>
        </w:rPr>
        <w:t>. If any person (the “</w:t>
      </w:r>
      <w:r>
        <w:rPr>
          <w:rFonts w:ascii="Arial" w:cs="Arial" w:eastAsia="Arial" w:hAnsi="Arial"/>
          <w:sz w:val="20"/>
          <w:szCs w:val="20"/>
          <w:u w:val="single" w:color="auto"/>
          <w:color w:val="auto"/>
        </w:rPr>
        <w:t>claimant</w:t>
      </w:r>
      <w:r>
        <w:rPr>
          <w:rFonts w:ascii="Arial" w:cs="Arial" w:eastAsia="Arial" w:hAnsi="Arial"/>
          <w:sz w:val="20"/>
          <w:szCs w:val="20"/>
          <w:color w:val="auto"/>
        </w:rPr>
        <w:t>”) claims payments under the Plan and the claim is wholly or partially denied, the following procedures will apply to resolve it:</w:t>
      </w:r>
    </w:p>
    <w:p>
      <w:pPr>
        <w:spacing w:after="0" w:line="94" w:lineRule="exact"/>
        <w:rPr>
          <w:sz w:val="20"/>
          <w:szCs w:val="20"/>
          <w:color w:val="auto"/>
        </w:rPr>
      </w:pPr>
    </w:p>
    <w:p>
      <w:pPr>
        <w:jc w:val="both"/>
        <w:ind w:left="1300" w:hanging="588"/>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Within 90 days after the receipt of the claim, the Administrator will provide the claimant with written or electronic notice of its decision on the claim. If the Administrator cannot render a decision on the claim within the 90-day period because of special circumstances, the Administrator may extend the period in which to render the decision by an additional 90 days, up to a total of 180 days after its receipt of the written claim. The Administrator will provide the claimant with a written notice of any extension before the end of the initial 90-day period, which indicates the special circumstances that require the extension and the expected decision date. If the claim is deemed denied in whole or in part (an “</w:t>
      </w:r>
      <w:r>
        <w:rPr>
          <w:rFonts w:ascii="Arial" w:cs="Arial" w:eastAsia="Arial" w:hAnsi="Arial"/>
          <w:sz w:val="20"/>
          <w:szCs w:val="20"/>
          <w:u w:val="single" w:color="auto"/>
          <w:color w:val="auto"/>
        </w:rPr>
        <w:t>adverse benefit determination</w:t>
      </w:r>
      <w:r>
        <w:rPr>
          <w:rFonts w:ascii="Arial" w:cs="Arial" w:eastAsia="Arial" w:hAnsi="Arial"/>
          <w:sz w:val="20"/>
          <w:szCs w:val="20"/>
          <w:color w:val="auto"/>
        </w:rPr>
        <w:t>”), the written or electronic notice of the decision will inform the claimant of (i) the specific reasons for the adverse benefit determination; (ii) the specific provisions of the Plan upon which the adverse benefit determination is based; (iii) any additional information or material that is necessary to perfect the claim and the reasons why such information or material is necessary; and (iv) the right to request a review of the adverse benefit determination, the procedures for requesting such review, and the claimant’s right to bring a civil action under Section 502(a) of ERISA.</w:t>
      </w:r>
    </w:p>
    <w:p>
      <w:pPr>
        <w:spacing w:after="0" w:line="102" w:lineRule="exact"/>
        <w:rPr>
          <w:rFonts w:ascii="Arial" w:cs="Arial" w:eastAsia="Arial" w:hAnsi="Arial"/>
          <w:sz w:val="20"/>
          <w:szCs w:val="20"/>
          <w:color w:val="auto"/>
        </w:rPr>
      </w:pPr>
    </w:p>
    <w:p>
      <w:pPr>
        <w:jc w:val="both"/>
        <w:ind w:left="1300" w:hanging="588"/>
        <w:spacing w:after="0"/>
        <w:tabs>
          <w:tab w:leader="none" w:pos="13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claimant who wishes to use the Plan’s claim appeal procedure must notify the Administrator that he or she wishes to appeal within 60 days of receiving the Administrator’s written or electronic notice of an adverse benefit determination. The claimant may review all relevant documents relating to the claim, including the Plan document, and may submit issues and comments in writing. The Administrator will undertake a full and fair review of the record of the appeal of the adverse benefit determination and prepare its decision. The Administrator will give the claimant written or electronic notice of the decision of the appeal within 60 days after the receipt of the claimant’s notice of appeal. If special circumstances require an extension of time for processing, the Administrator may be given 120 days after the</w:t>
      </w:r>
    </w:p>
    <w:p>
      <w:pPr>
        <w:spacing w:after="0" w:line="34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60"/>
          </w:cols>
          <w:pgMar w:left="900" w:top="636" w:right="239" w:bottom="1440" w:gutter="0" w:footer="0" w:header="0"/>
        </w:sectPr>
      </w:pPr>
    </w:p>
    <w:bookmarkStart w:id="118" w:name="page119"/>
    <w:bookmarkEnd w:id="118"/>
    <w:p>
      <w:pPr>
        <w:jc w:val="both"/>
        <w:ind w:left="1960"/>
        <w:spacing w:after="0" w:line="268" w:lineRule="auto"/>
        <w:rPr>
          <w:sz w:val="20"/>
          <w:szCs w:val="20"/>
          <w:color w:val="auto"/>
        </w:rPr>
      </w:pPr>
      <w:r>
        <w:rPr>
          <w:rFonts w:ascii="Arial" w:cs="Arial" w:eastAsia="Arial" w:hAnsi="Arial"/>
          <w:sz w:val="20"/>
          <w:szCs w:val="20"/>
          <w:color w:val="auto"/>
        </w:rPr>
        <w:t>receipt of the claimant’s notice of appeal to render its decision. The Administrator will provide the claimant with a written notice of the extension, before the end of the 60-day period, which indicates the special circumstances that require the extension and the expected decision date. The written or electronic notice of the decision of the appeal will be written in a manner calculated to be understood by the claimant and will include the specific reasons for the decision, specific references to any facts or any provisions of the Plan on which the decision is based, and a statement regarding the claimant’s right to bring a civil action under Section 502(a) of ERISA. The decision of the Administrator on review is binding on all parties, subject to any determination by a court in an action under Section 502(a) of ERISA.</w:t>
      </w:r>
    </w:p>
    <w:p>
      <w:pPr>
        <w:spacing w:after="0" w:line="93" w:lineRule="exact"/>
        <w:rPr>
          <w:sz w:val="20"/>
          <w:szCs w:val="20"/>
          <w:color w:val="auto"/>
        </w:rPr>
      </w:pPr>
    </w:p>
    <w:p>
      <w:pPr>
        <w:ind w:left="1960" w:hanging="588"/>
        <w:spacing w:after="0" w:line="247" w:lineRule="auto"/>
        <w:tabs>
          <w:tab w:leader="none" w:pos="19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claimant cannot file an action under Section 502(a) of ERISA until he or she has exhausted these procedures.</w:t>
      </w:r>
    </w:p>
    <w:p>
      <w:pPr>
        <w:spacing w:after="0" w:line="94"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IN WITNESS WHEREOF, the Company has caused this amended and restated Plan to be executed by its duly authorized officer on this 20th day of December, 2013.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Hilda Harris Piell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Its: </w:t>
      </w:r>
      <w:r>
        <w:rPr>
          <w:rFonts w:ascii="Arial" w:cs="Arial" w:eastAsia="Arial" w:hAnsi="Arial"/>
          <w:sz w:val="20"/>
          <w:szCs w:val="20"/>
          <w:u w:val="single" w:color="auto"/>
          <w:color w:val="auto"/>
        </w:rPr>
        <w:t>Senior Managing Director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49" w:right="239" w:bottom="1440" w:gutter="0" w:footer="0" w:header="0"/>
        </w:sectPr>
      </w:pPr>
    </w:p>
    <w:bookmarkStart w:id="119" w:name="page120"/>
    <w:bookmarkEnd w:id="119"/>
    <w:p>
      <w:pPr>
        <w:ind w:left="300" w:hanging="292"/>
        <w:spacing w:after="0"/>
        <w:tabs>
          <w:tab w:leader="none" w:pos="300" w:val="left"/>
        </w:tabs>
        <w:numPr>
          <w:ilvl w:val="0"/>
          <w:numId w:val="67"/>
        </w:numPr>
        <w:rPr>
          <w:rFonts w:ascii="Arial" w:cs="Arial" w:eastAsia="Arial" w:hAnsi="Arial"/>
          <w:sz w:val="22"/>
          <w:szCs w:val="22"/>
          <w:color w:val="auto"/>
        </w:rPr>
      </w:pPr>
      <w:r>
        <w:rPr>
          <w:rFonts w:ascii="Arial" w:cs="Arial" w:eastAsia="Arial" w:hAnsi="Arial"/>
          <w:sz w:val="20"/>
          <w:szCs w:val="20"/>
          <w:b w:val="1"/>
          <w:bCs w:val="1"/>
          <w:color w:val="auto"/>
        </w:rPr>
        <w:t>Appendix A</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SEVERANCE SCHEDULE FOR</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0"/>
          <w:szCs w:val="20"/>
          <w:b w:val="1"/>
          <w:bCs w:val="1"/>
          <w:i w:val="1"/>
          <w:iCs w:val="1"/>
          <w:color w:val="auto"/>
        </w:rPr>
        <w:t>QUALIFYING TERMINATIONS</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A.</w:t>
      </w:r>
    </w:p>
    <w:p>
      <w:pPr>
        <w:spacing w:after="0" w:line="196"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Severance Pay</w:t>
      </w:r>
      <w:r>
        <w:rPr>
          <w:rFonts w:ascii="Arial" w:cs="Arial" w:eastAsia="Arial" w:hAnsi="Arial"/>
          <w:sz w:val="20"/>
          <w:szCs w:val="20"/>
          <w:b w:val="1"/>
          <w:bCs w:val="1"/>
          <w:color w:val="auto"/>
        </w:rPr>
        <w:t>.</w:t>
      </w:r>
    </w:p>
    <w:p>
      <w:pPr>
        <w:spacing w:after="0" w:line="229" w:lineRule="exact"/>
        <w:rPr>
          <w:rFonts w:ascii="Arial" w:cs="Arial" w:eastAsia="Arial" w:hAnsi="Arial"/>
          <w:sz w:val="20"/>
          <w:szCs w:val="20"/>
          <w:b w:val="1"/>
          <w:bCs w:val="1"/>
          <w:color w:val="auto"/>
        </w:rPr>
      </w:pPr>
    </w:p>
    <w:p>
      <w:pPr>
        <w:ind w:left="1040" w:hanging="384"/>
        <w:spacing w:after="0"/>
        <w:tabs>
          <w:tab w:leader="none" w:pos="1040" w:val="left"/>
        </w:tabs>
        <w:numPr>
          <w:ilvl w:val="1"/>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Eligible </w:t>
      </w:r>
      <w:r>
        <w:rPr>
          <w:rFonts w:ascii="Arial" w:cs="Arial" w:eastAsia="Arial" w:hAnsi="Arial"/>
          <w:sz w:val="20"/>
          <w:szCs w:val="20"/>
          <w:b w:val="1"/>
          <w:bCs w:val="1"/>
          <w:i w:val="1"/>
          <w:iCs w:val="1"/>
          <w:color w:val="auto"/>
        </w:rPr>
        <w:t>Non-Exempt</w:t>
      </w:r>
      <w:r>
        <w:rPr>
          <w:rFonts w:ascii="Arial" w:cs="Arial" w:eastAsia="Arial" w:hAnsi="Arial"/>
          <w:sz w:val="20"/>
          <w:szCs w:val="20"/>
          <w:b w:val="1"/>
          <w:bCs w:val="1"/>
          <w:color w:val="auto"/>
        </w:rPr>
        <w:t xml:space="preserv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one (1) week of Base Salary per Year of Service, subject to a minimum of four (4) weeks of Base Salary and a maximum of twenty-six (26) weeks of Base Salary.</w:t>
      </w:r>
    </w:p>
    <w:p>
      <w:pPr>
        <w:spacing w:after="0" w:line="191" w:lineRule="exact"/>
        <w:rPr>
          <w:sz w:val="20"/>
          <w:szCs w:val="20"/>
          <w:color w:val="auto"/>
        </w:rPr>
      </w:pPr>
    </w:p>
    <w:p>
      <w:pPr>
        <w:ind w:left="1040" w:hanging="384"/>
        <w:spacing w:after="0"/>
        <w:tabs>
          <w:tab w:leader="none" w:pos="104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Eligible </w:t>
      </w:r>
      <w:r>
        <w:rPr>
          <w:rFonts w:ascii="Arial" w:cs="Arial" w:eastAsia="Arial" w:hAnsi="Arial"/>
          <w:sz w:val="20"/>
          <w:szCs w:val="20"/>
          <w:b w:val="1"/>
          <w:bCs w:val="1"/>
          <w:i w:val="1"/>
          <w:iCs w:val="1"/>
          <w:color w:val="auto"/>
        </w:rPr>
        <w:t>Exempt</w:t>
      </w:r>
      <w:r>
        <w:rPr>
          <w:rFonts w:ascii="Arial" w:cs="Arial" w:eastAsia="Arial" w:hAnsi="Arial"/>
          <w:sz w:val="20"/>
          <w:szCs w:val="20"/>
          <w:b w:val="1"/>
          <w:bCs w:val="1"/>
          <w:color w:val="auto"/>
        </w:rPr>
        <w:t xml:space="preserve"> Employees</w:t>
      </w:r>
    </w:p>
    <w:p>
      <w:pPr>
        <w:spacing w:after="0" w:line="253"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Severance Pay will equal two (2) weeks of Base Salary per Year of Service, subject to a minimum of four (4) weeks of Base Salary and a maximum of twenty-six (26) weeks of Base Salary.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Appendix A:</w:t>
      </w:r>
    </w:p>
    <w:p>
      <w:pPr>
        <w:spacing w:after="0" w:line="205"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i w:val="1"/>
          <w:iCs w:val="1"/>
          <w:u w:val="single" w:color="auto"/>
          <w:color w:val="auto"/>
        </w:rPr>
        <w:t>Base Salary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annual base rate of pay of an eligible Employee, as in effect on the date on which such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notified of his or her Qualifying Standard Termination.</w:t>
      </w:r>
    </w:p>
    <w:p>
      <w:pPr>
        <w:spacing w:after="0" w:line="167"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i w:val="1"/>
          <w:iCs w:val="1"/>
          <w:u w:val="single" w:color="auto"/>
          <w:color w:val="auto"/>
        </w:rPr>
        <w:t>Year of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each twelve (12)-consecutive-month period, which is measured from an eligible Employee’s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most recent date of hire.</w:t>
      </w:r>
    </w:p>
    <w:p>
      <w:pPr>
        <w:spacing w:after="0" w:line="167"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Supplemental Severance Benefits</w:t>
      </w:r>
      <w:r>
        <w:rPr>
          <w:rFonts w:ascii="Arial" w:cs="Arial" w:eastAsia="Arial" w:hAnsi="Arial"/>
          <w:sz w:val="20"/>
          <w:szCs w:val="20"/>
          <w:b w:val="1"/>
          <w:bCs w:val="1"/>
          <w:color w:val="auto"/>
        </w:rPr>
        <w:t>.</w:t>
      </w:r>
    </w:p>
    <w:p>
      <w:pPr>
        <w:spacing w:after="0" w:line="253"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0"/>
          <w:szCs w:val="20"/>
          <w:color w:val="auto"/>
        </w:rPr>
        <w:t>Supplemental Severance Benefits awarded by the Administrator in its sole discretion pursuant to Section 3.2 may include any of the following:</w:t>
      </w:r>
    </w:p>
    <w:p>
      <w:pPr>
        <w:spacing w:after="0" w:line="215" w:lineRule="exact"/>
        <w:rPr>
          <w:sz w:val="20"/>
          <w:szCs w:val="20"/>
          <w:color w:val="auto"/>
        </w:rPr>
      </w:pPr>
    </w:p>
    <w:p>
      <w:pPr>
        <w:ind w:left="1280" w:right="20" w:hanging="610"/>
        <w:spacing w:after="0" w:line="247" w:lineRule="auto"/>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Continuation Coverage</w:t>
      </w:r>
      <w:r>
        <w:rPr>
          <w:rFonts w:ascii="Arial" w:cs="Arial" w:eastAsia="Arial" w:hAnsi="Arial"/>
          <w:sz w:val="20"/>
          <w:szCs w:val="20"/>
          <w:color w:val="auto"/>
        </w:rPr>
        <w:t>. Payment of part or all of the cost of Continuation Coverage for an eligible Employee for a specified period of time.</w:t>
      </w:r>
    </w:p>
    <w:p>
      <w:pPr>
        <w:spacing w:after="0" w:line="215" w:lineRule="exact"/>
        <w:rPr>
          <w:rFonts w:ascii="Arial" w:cs="Arial" w:eastAsia="Arial" w:hAnsi="Arial"/>
          <w:sz w:val="20"/>
          <w:szCs w:val="20"/>
          <w:color w:val="auto"/>
        </w:rPr>
      </w:pPr>
    </w:p>
    <w:p>
      <w:pPr>
        <w:ind w:left="1280" w:hanging="610"/>
        <w:spacing w:after="0"/>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Outplacement Services</w:t>
      </w:r>
      <w:r>
        <w:rPr>
          <w:rFonts w:ascii="Arial" w:cs="Arial" w:eastAsia="Arial" w:hAnsi="Arial"/>
          <w:sz w:val="20"/>
          <w:szCs w:val="20"/>
          <w:color w:val="auto"/>
        </w:rPr>
        <w:t>. Outplacement assistance through a firm selected by the Employer.</w:t>
      </w:r>
    </w:p>
    <w:p>
      <w:pPr>
        <w:spacing w:after="0" w:line="229" w:lineRule="exact"/>
        <w:rPr>
          <w:rFonts w:ascii="Arial" w:cs="Arial" w:eastAsia="Arial" w:hAnsi="Arial"/>
          <w:sz w:val="20"/>
          <w:szCs w:val="20"/>
          <w:color w:val="auto"/>
        </w:rPr>
      </w:pPr>
    </w:p>
    <w:p>
      <w:pPr>
        <w:jc w:val="both"/>
        <w:ind w:left="1280" w:hanging="610"/>
        <w:spacing w:after="0" w:line="243" w:lineRule="auto"/>
        <w:tabs>
          <w:tab w:leader="none" w:pos="12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Stock Options and Restricted Stock</w:t>
      </w:r>
      <w:r>
        <w:rPr>
          <w:rFonts w:ascii="Arial" w:cs="Arial" w:eastAsia="Arial" w:hAnsi="Arial"/>
          <w:sz w:val="20"/>
          <w:szCs w:val="20"/>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639"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CREDIT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2 TO CREDIT AGREEMENT</w:t>
      </w:r>
      <w:r>
        <w:rPr>
          <w:rFonts w:ascii="Arial" w:cs="Arial" w:eastAsia="Arial" w:hAnsi="Arial"/>
          <w:sz w:val="19"/>
          <w:szCs w:val="19"/>
          <w:color w:val="auto"/>
        </w:rPr>
        <w:t xml:space="preserve"> (this “</w:t>
      </w:r>
      <w:r>
        <w:rPr>
          <w:rFonts w:ascii="Arial" w:cs="Arial" w:eastAsia="Arial" w:hAnsi="Arial"/>
          <w:sz w:val="19"/>
          <w:szCs w:val="19"/>
          <w:b w:val="1"/>
          <w:bCs w:val="1"/>
          <w:i w:val="1"/>
          <w:iCs w:val="1"/>
          <w:color w:val="auto"/>
        </w:rPr>
        <w:t>Amendment No. 2</w:t>
      </w:r>
      <w:r>
        <w:rPr>
          <w:rFonts w:ascii="Arial" w:cs="Arial" w:eastAsia="Arial" w:hAnsi="Arial"/>
          <w:sz w:val="19"/>
          <w:szCs w:val="19"/>
          <w:color w:val="auto"/>
        </w:rPr>
        <w:t xml:space="preserve">”) dated as of November 8, 2013, is among </w:t>
      </w:r>
      <w:r>
        <w:rPr>
          <w:rFonts w:ascii="Arial" w:cs="Arial" w:eastAsia="Arial" w:hAnsi="Arial"/>
          <w:sz w:val="19"/>
          <w:szCs w:val="19"/>
          <w:b w:val="1"/>
          <w:bCs w:val="1"/>
          <w:color w:val="auto"/>
        </w:rPr>
        <w:t>CME GROUP INC.</w:t>
      </w:r>
      <w:r>
        <w:rPr>
          <w:rFonts w:ascii="Arial" w:cs="Arial" w:eastAsia="Arial" w:hAnsi="Arial"/>
          <w:sz w:val="19"/>
          <w:szCs w:val="19"/>
          <w:color w:val="auto"/>
        </w:rPr>
        <w:t>, a Delaware corporation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xml:space="preserve">”), </w:t>
      </w:r>
      <w:r>
        <w:rPr>
          <w:rFonts w:ascii="Arial" w:cs="Arial" w:eastAsia="Arial" w:hAnsi="Arial"/>
          <w:sz w:val="19"/>
          <w:szCs w:val="19"/>
          <w:b w:val="1"/>
          <w:bCs w:val="1"/>
          <w:color w:val="auto"/>
        </w:rPr>
        <w:t>BANK OF AMERICA, N.A.</w:t>
      </w:r>
      <w:r>
        <w:rPr>
          <w:rFonts w:ascii="Arial" w:cs="Arial" w:eastAsia="Arial" w:hAnsi="Arial"/>
          <w:sz w:val="19"/>
          <w:szCs w:val="19"/>
          <w:color w:val="auto"/>
        </w:rPr>
        <w:t>, in its capacity as administrative agent for the Lenders (as defined in the Credit Agreement described below) (in such capacity, the “</w:t>
      </w:r>
      <w:r>
        <w:rPr>
          <w:rFonts w:ascii="Arial" w:cs="Arial" w:eastAsia="Arial" w:hAnsi="Arial"/>
          <w:sz w:val="19"/>
          <w:szCs w:val="19"/>
          <w:b w:val="1"/>
          <w:bCs w:val="1"/>
          <w:i w:val="1"/>
          <w:iCs w:val="1"/>
          <w:color w:val="auto"/>
        </w:rPr>
        <w:t>Administrative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Agent</w:t>
      </w:r>
      <w:r>
        <w:rPr>
          <w:rFonts w:ascii="Arial" w:cs="Arial" w:eastAsia="Arial" w:hAnsi="Arial"/>
          <w:sz w:val="19"/>
          <w:szCs w:val="19"/>
          <w:color w:val="auto"/>
        </w:rPr>
        <w:t>”) and each of the Lenders (collectively, the “</w:t>
      </w:r>
      <w:r>
        <w:rPr>
          <w:rFonts w:ascii="Arial" w:cs="Arial" w:eastAsia="Arial" w:hAnsi="Arial"/>
          <w:sz w:val="19"/>
          <w:szCs w:val="19"/>
          <w:b w:val="1"/>
          <w:bCs w:val="1"/>
          <w:i w:val="1"/>
          <w:iCs w:val="1"/>
          <w:color w:val="auto"/>
        </w:rPr>
        <w:t>Required Lenders</w:t>
      </w:r>
      <w:r>
        <w:rPr>
          <w:rFonts w:ascii="Arial" w:cs="Arial" w:eastAsia="Arial" w:hAnsi="Arial"/>
          <w:sz w:val="19"/>
          <w:szCs w:val="19"/>
          <w:color w:val="auto"/>
        </w:rPr>
        <w:t>”) under such Credit Agreement which are parties hereto.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6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the Administrative Agent and the Lenders entered into that certain Credit Agreement dated as</w:t>
      </w:r>
      <w:r>
        <w:rPr>
          <w:rFonts w:ascii="Arial" w:cs="Arial" w:eastAsia="Arial" w:hAnsi="Arial"/>
          <w:sz w:val="21"/>
          <w:szCs w:val="21"/>
          <w:b w:val="1"/>
          <w:bCs w:val="1"/>
          <w:color w:val="auto"/>
        </w:rPr>
        <w:t xml:space="preserve"> </w:t>
      </w:r>
      <w:r>
        <w:rPr>
          <w:rFonts w:ascii="Arial" w:cs="Arial" w:eastAsia="Arial" w:hAnsi="Arial"/>
          <w:sz w:val="21"/>
          <w:szCs w:val="21"/>
          <w:color w:val="auto"/>
        </w:rPr>
        <w:t>of January 11, 2011 (the “</w:t>
      </w:r>
      <w:r>
        <w:rPr>
          <w:rFonts w:ascii="Arial" w:cs="Arial" w:eastAsia="Arial" w:hAnsi="Arial"/>
          <w:sz w:val="21"/>
          <w:szCs w:val="21"/>
          <w:b w:val="1"/>
          <w:bCs w:val="1"/>
          <w:i w:val="1"/>
          <w:iCs w:val="1"/>
          <w:color w:val="auto"/>
        </w:rPr>
        <w:t>Original Credit Agreement</w:t>
      </w:r>
      <w:r>
        <w:rPr>
          <w:rFonts w:ascii="Arial" w:cs="Arial" w:eastAsia="Arial" w:hAnsi="Arial"/>
          <w:sz w:val="21"/>
          <w:szCs w:val="21"/>
          <w:color w:val="auto"/>
        </w:rPr>
        <w:t>”) which was amended by that certain Amendment No. 1 to Credit Agreement and Joinder Agreement dated as of November 30, 2012 (the “</w:t>
      </w:r>
      <w:r>
        <w:rPr>
          <w:rFonts w:ascii="Arial" w:cs="Arial" w:eastAsia="Arial" w:hAnsi="Arial"/>
          <w:sz w:val="21"/>
          <w:szCs w:val="21"/>
          <w:b w:val="1"/>
          <w:bCs w:val="1"/>
          <w:i w:val="1"/>
          <w:iCs w:val="1"/>
          <w:color w:val="auto"/>
        </w:rPr>
        <w:t>First Amendment</w:t>
      </w:r>
      <w:r>
        <w:rPr>
          <w:rFonts w:ascii="Arial" w:cs="Arial" w:eastAsia="Arial" w:hAnsi="Arial"/>
          <w:sz w:val="21"/>
          <w:szCs w:val="21"/>
          <w:color w:val="auto"/>
        </w:rPr>
        <w:t>”, the Original Credit Agreement, as amended by the First Amendment, the “</w:t>
      </w:r>
      <w:r>
        <w:rPr>
          <w:rFonts w:ascii="Arial" w:cs="Arial" w:eastAsia="Arial" w:hAnsi="Arial"/>
          <w:sz w:val="21"/>
          <w:szCs w:val="21"/>
          <w:b w:val="1"/>
          <w:bCs w:val="1"/>
          <w:i w:val="1"/>
          <w:iCs w:val="1"/>
          <w:color w:val="auto"/>
        </w:rPr>
        <w:t>Existing Credit Agreement</w:t>
      </w:r>
      <w:r>
        <w:rPr>
          <w:rFonts w:ascii="Arial" w:cs="Arial" w:eastAsia="Arial" w:hAnsi="Arial"/>
          <w:sz w:val="21"/>
          <w:szCs w:val="21"/>
          <w:color w:val="auto"/>
        </w:rPr>
        <w:t>”, the Existing Credit Agreement as amended hereby, the “</w:t>
      </w:r>
      <w:r>
        <w:rPr>
          <w:rFonts w:ascii="Arial" w:cs="Arial" w:eastAsia="Arial" w:hAnsi="Arial"/>
          <w:sz w:val="21"/>
          <w:szCs w:val="21"/>
          <w:b w:val="1"/>
          <w:bCs w:val="1"/>
          <w:i w:val="1"/>
          <w:iCs w:val="1"/>
          <w:color w:val="auto"/>
        </w:rPr>
        <w:t>Credit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capitalized terms used in this Amendment No. 2 not otherwise defined herein shall have the respective meanings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given thereto in the Existing Credit Agreement); and</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an assignment of the MC Commitment or USD Commitment, as the case may be,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Non-Extending MC Lenders or Non-Extending USD Lenders, as the case may be, to certain existing Extending USD Lenders, proposed to occur immediately after the execution and delivery of this Amendment No. 2 pursuant to paragraph 2 below, pursuant to which such existing Extending USD Lenders shall agree to extend such commitments to the Extended Maturity Date (the “</w:t>
      </w:r>
      <w:r>
        <w:rPr>
          <w:rFonts w:ascii="Arial" w:cs="Arial" w:eastAsia="Arial" w:hAnsi="Arial"/>
          <w:sz w:val="21"/>
          <w:szCs w:val="21"/>
          <w:b w:val="1"/>
          <w:bCs w:val="1"/>
          <w:i w:val="1"/>
          <w:iCs w:val="1"/>
          <w:color w:val="auto"/>
        </w:rPr>
        <w:t>Non-Extending Lender Assignment</w:t>
      </w:r>
      <w:r>
        <w:rPr>
          <w:rFonts w:ascii="Arial" w:cs="Arial" w:eastAsia="Arial" w:hAnsi="Arial"/>
          <w:sz w:val="21"/>
          <w:szCs w:val="21"/>
          <w:color w:val="auto"/>
        </w:rPr>
        <w:t>”), the Borrower has requested that the Administrative Agent and the Lenders amend the Credit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in order to convert Morgan Stanley Bank, N.A.’s (“</w:t>
      </w:r>
      <w:r>
        <w:rPr>
          <w:rFonts w:ascii="Arial" w:cs="Arial" w:eastAsia="Arial" w:hAnsi="Arial"/>
          <w:sz w:val="21"/>
          <w:szCs w:val="21"/>
          <w:b w:val="1"/>
          <w:bCs w:val="1"/>
          <w:i w:val="1"/>
          <w:iCs w:val="1"/>
          <w:color w:val="auto"/>
        </w:rPr>
        <w:t>Morgan Stanley</w:t>
      </w:r>
      <w:r>
        <w:rPr>
          <w:rFonts w:ascii="Arial" w:cs="Arial" w:eastAsia="Arial" w:hAnsi="Arial"/>
          <w:sz w:val="21"/>
          <w:szCs w:val="21"/>
          <w:color w:val="auto"/>
        </w:rPr>
        <w:t>”) MC Commitment to a USD Commitment (the “</w:t>
      </w:r>
      <w:r>
        <w:rPr>
          <w:rFonts w:ascii="Arial" w:cs="Arial" w:eastAsia="Arial" w:hAnsi="Arial"/>
          <w:sz w:val="21"/>
          <w:szCs w:val="21"/>
          <w:b w:val="1"/>
          <w:bCs w:val="1"/>
          <w:i w:val="1"/>
          <w:iCs w:val="1"/>
          <w:color w:val="auto"/>
        </w:rPr>
        <w:t>Commitment Conversion</w:t>
      </w:r>
      <w:r>
        <w:rPr>
          <w:rFonts w:ascii="Arial" w:cs="Arial" w:eastAsia="Arial" w:hAnsi="Arial"/>
          <w:sz w:val="21"/>
          <w:szCs w:val="21"/>
          <w:color w:val="auto"/>
        </w:rPr>
        <w:t>”), and the Administrative Agent and the Lenders party hereto are willing to effect such amendment on the terms and conditions contained in this Amendment No. 2.</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162" w:lineRule="exact"/>
        <w:rPr>
          <w:sz w:val="20"/>
          <w:szCs w:val="20"/>
          <w:color w:val="auto"/>
        </w:rPr>
      </w:pPr>
    </w:p>
    <w:p>
      <w:pPr>
        <w:ind w:firstLine="656"/>
        <w:spacing w:after="0" w:line="350" w:lineRule="auto"/>
        <w:tabs>
          <w:tab w:leader="none" w:pos="1459"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Consent and Amendments to Credit Agreement</w:t>
      </w:r>
      <w:r>
        <w:rPr>
          <w:rFonts w:ascii="Arial" w:cs="Arial" w:eastAsia="Arial" w:hAnsi="Arial"/>
          <w:sz w:val="19"/>
          <w:szCs w:val="19"/>
          <w:color w:val="auto"/>
        </w:rPr>
        <w:t>. Subject to the terms and conditions set forth herein and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effectiveness of the Non-Extending Lender Assignment, the Existing Credit Agreement will be amended as follows:</w:t>
      </w:r>
    </w:p>
    <w:p>
      <w:pPr>
        <w:spacing w:after="0" w:line="98" w:lineRule="exact"/>
        <w:rPr>
          <w:sz w:val="20"/>
          <w:szCs w:val="20"/>
          <w:color w:val="auto"/>
        </w:rPr>
      </w:pPr>
    </w:p>
    <w:p>
      <w:pPr>
        <w:ind w:firstLine="656"/>
        <w:spacing w:after="0" w:line="263" w:lineRule="auto"/>
        <w:tabs>
          <w:tab w:leader="none" w:pos="144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Schedule 2.01 and 2.02 of the Existing Credit Agreement will be deleted in their entirety and replaced with Schedules 2.01 and 2.02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hereto acknowledge and agree that this Amendment No. 2 is not a novation of the Credit Agreement or of any credit facility provided thereunder or in respect thereof.</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1420"/>
          </w:cols>
          <w:pgMar w:left="240" w:top="382" w:right="239" w:bottom="1440" w:gutter="0" w:footer="0" w:header="0"/>
        </w:sectPr>
      </w:pPr>
    </w:p>
    <w:bookmarkStart w:id="121" w:name="page122"/>
    <w:bookmarkEnd w:id="121"/>
    <w:p>
      <w:pPr>
        <w:jc w:val="both"/>
        <w:ind w:firstLine="656"/>
        <w:spacing w:after="0" w:line="252" w:lineRule="auto"/>
        <w:tabs>
          <w:tab w:leader="none" w:pos="1459"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 Conditions Precedent</w:t>
      </w:r>
      <w:r>
        <w:rPr>
          <w:rFonts w:ascii="Arial" w:cs="Arial" w:eastAsia="Arial" w:hAnsi="Arial"/>
          <w:sz w:val="22"/>
          <w:szCs w:val="22"/>
          <w:color w:val="auto"/>
        </w:rPr>
        <w:t>. This Amendment No. 2 shall become effective at the time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Amendment No.2 Effective Date</w:t>
      </w:r>
      <w:r>
        <w:rPr>
          <w:rFonts w:ascii="Arial" w:cs="Arial" w:eastAsia="Arial" w:hAnsi="Arial"/>
          <w:sz w:val="22"/>
          <w:szCs w:val="22"/>
          <w:color w:val="auto"/>
        </w:rPr>
        <w:t>”) the Administrative Agent shall have received counterparts of this Amendment No. 2 duly executed by the Borrower, Lenders constituting Required Lenders, and Morgan Stanley and acknowledged by the Administrative Agent.</w:t>
      </w:r>
    </w:p>
    <w:p>
      <w:pPr>
        <w:spacing w:after="0" w:line="180" w:lineRule="exact"/>
        <w:rPr>
          <w:rFonts w:ascii="Arial" w:cs="Arial" w:eastAsia="Arial" w:hAnsi="Arial"/>
          <w:sz w:val="22"/>
          <w:szCs w:val="22"/>
          <w:color w:val="auto"/>
        </w:rPr>
      </w:pPr>
    </w:p>
    <w:p>
      <w:pPr>
        <w:ind w:firstLine="656"/>
        <w:spacing w:after="0" w:line="269" w:lineRule="auto"/>
        <w:tabs>
          <w:tab w:leader="none" w:pos="1459"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In order to induce the Lenders to enter into this Amendment No. 2, the</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represents and warrants to the Lenders as follows:</w:t>
      </w:r>
    </w:p>
    <w:p>
      <w:pPr>
        <w:spacing w:after="0" w:line="168" w:lineRule="exact"/>
        <w:rPr>
          <w:sz w:val="20"/>
          <w:szCs w:val="20"/>
          <w:color w:val="auto"/>
        </w:rPr>
      </w:pPr>
    </w:p>
    <w:p>
      <w:pPr>
        <w:jc w:val="both"/>
        <w:ind w:firstLine="656"/>
        <w:spacing w:after="0" w:line="297" w:lineRule="auto"/>
        <w:tabs>
          <w:tab w:leader="none" w:pos="978"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At the time of and immediately after giving effect to this Amendment No. 2, (i) the representations and warranties of the Borrower set forth in Article III of the Credit Agreement shall be true and correct in all material respects on and as of the date hereof (except to the extent that such representations and warranties specifically refer to an earlier date, in which case they are true and correct in all material respects as of such earlier date, and except that the representations and warranties contained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3.04(a)</w:t>
      </w:r>
      <w:r>
        <w:rPr>
          <w:rFonts w:ascii="Arial" w:cs="Arial" w:eastAsia="Arial" w:hAnsi="Arial"/>
          <w:sz w:val="19"/>
          <w:szCs w:val="19"/>
          <w:color w:val="auto"/>
        </w:rPr>
        <w:t xml:space="preserve"> of the Credit Agreement shall be deemed to refer to the most recent statements furnished pursuant to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the Credit Agreement), and (ii) no Default or Event of Default has occurred and is continuing.</w:t>
      </w:r>
    </w:p>
    <w:p>
      <w:pPr>
        <w:spacing w:after="0" w:line="146" w:lineRule="exact"/>
        <w:rPr>
          <w:rFonts w:ascii="Arial" w:cs="Arial" w:eastAsia="Arial" w:hAnsi="Arial"/>
          <w:sz w:val="19"/>
          <w:szCs w:val="19"/>
          <w:color w:val="auto"/>
        </w:rPr>
      </w:pPr>
    </w:p>
    <w:p>
      <w:pPr>
        <w:jc w:val="both"/>
        <w:ind w:firstLine="656"/>
        <w:spacing w:after="0" w:line="270" w:lineRule="auto"/>
        <w:tabs>
          <w:tab w:leader="none" w:pos="99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This Amendment No. 2 has been duly executed and delivered by the Borrower and constitutes a legal, valid and binding obligation of the Borrower, enforceable against the Borrower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63" w:lineRule="exact"/>
        <w:rPr>
          <w:sz w:val="20"/>
          <w:szCs w:val="20"/>
          <w:color w:val="auto"/>
        </w:rPr>
      </w:pPr>
    </w:p>
    <w:p>
      <w:pPr>
        <w:jc w:val="both"/>
        <w:ind w:firstLine="656"/>
        <w:spacing w:after="0" w:line="259" w:lineRule="auto"/>
        <w:tabs>
          <w:tab w:leader="none" w:pos="1459"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No. 2, together with the Existing Credit Agreement (collectively,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Relevant Documents</w:t>
      </w:r>
      <w:r>
        <w:rPr>
          <w:rFonts w:ascii="Arial" w:cs="Arial" w:eastAsia="Arial" w:hAnsi="Arial"/>
          <w:sz w:val="21"/>
          <w:szCs w:val="21"/>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No. 2 may be changed, modified, waived or canceled orally or otherwise, except in writing and in accordance with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of the Credit Agreement.</w:t>
      </w:r>
    </w:p>
    <w:p>
      <w:pPr>
        <w:spacing w:after="0" w:line="180" w:lineRule="exact"/>
        <w:rPr>
          <w:rFonts w:ascii="Arial" w:cs="Arial" w:eastAsia="Arial" w:hAnsi="Arial"/>
          <w:sz w:val="21"/>
          <w:szCs w:val="21"/>
          <w:color w:val="auto"/>
        </w:rPr>
      </w:pPr>
    </w:p>
    <w:p>
      <w:pPr>
        <w:jc w:val="both"/>
        <w:ind w:firstLine="656"/>
        <w:spacing w:after="0" w:line="256" w:lineRule="auto"/>
        <w:tabs>
          <w:tab w:leader="none" w:pos="1459"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Force and Effect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hereby specifically amended, modified or supplemented,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is hereby confirmed and ratified in all respects and shall be and remain in full force and effect according to its terms.</w:t>
      </w:r>
    </w:p>
    <w:p>
      <w:pPr>
        <w:spacing w:after="0" w:line="176" w:lineRule="exact"/>
        <w:rPr>
          <w:rFonts w:ascii="Arial" w:cs="Arial" w:eastAsia="Arial" w:hAnsi="Arial"/>
          <w:sz w:val="22"/>
          <w:szCs w:val="22"/>
          <w:color w:val="auto"/>
        </w:rPr>
      </w:pPr>
    </w:p>
    <w:p>
      <w:pPr>
        <w:jc w:val="both"/>
        <w:ind w:firstLine="656"/>
        <w:spacing w:after="0" w:line="304" w:lineRule="auto"/>
        <w:tabs>
          <w:tab w:leader="none" w:pos="1459" w:val="left"/>
        </w:tabs>
        <w:numPr>
          <w:ilvl w:val="0"/>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No. 2 may be executed in any number of counterparts, each of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an original as against any party whose signature appears thereon, and all of which shall together constitute one and the same instrument. Delivery of an executed counterpart of a signature page of this Amendment No. 2 by telecopy or other electronic transmission (e.g. pdf or electronic mail) shall be effective as a manually executed counterpart of this Amendment No. 2.</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1420"/>
          </w:cols>
          <w:pgMar w:left="240" w:top="625" w:right="239" w:bottom="1440" w:gutter="0" w:footer="0" w:header="0"/>
        </w:sectPr>
      </w:pPr>
    </w:p>
    <w:bookmarkStart w:id="122" w:name="page123"/>
    <w:bookmarkEnd w:id="122"/>
    <w:p>
      <w:pPr>
        <w:jc w:val="both"/>
        <w:ind w:firstLine="656"/>
        <w:spacing w:after="0" w:line="291" w:lineRule="auto"/>
        <w:tabs>
          <w:tab w:leader="none" w:pos="1459" w:val="left"/>
        </w:tabs>
        <w:numPr>
          <w:ilvl w:val="0"/>
          <w:numId w:val="7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AMENDMENT NO. 2 SHALL IN ALL RESPECTS BE GOVERNED BY,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CONSTRUED IN ACCORDANCE WITH, THE LAWS OF THE STATE OF NEW YORK.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No. 2,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This Amendment No. 2 shall be further subject to the provisions of </w:t>
      </w:r>
      <w:r>
        <w:rPr>
          <w:rFonts w:ascii="Arial" w:cs="Arial" w:eastAsia="Arial" w:hAnsi="Arial"/>
          <w:sz w:val="19"/>
          <w:szCs w:val="19"/>
          <w:u w:val="single" w:color="auto"/>
          <w:color w:val="auto"/>
        </w:rPr>
        <w:t>Sections 9.09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9.10</w:t>
      </w:r>
      <w:r>
        <w:rPr>
          <w:rFonts w:ascii="Arial" w:cs="Arial" w:eastAsia="Arial" w:hAnsi="Arial"/>
          <w:sz w:val="19"/>
          <w:szCs w:val="19"/>
          <w:color w:val="auto"/>
        </w:rPr>
        <w:t xml:space="preserve"> of the Credit Agreement.</w:t>
      </w:r>
    </w:p>
    <w:p>
      <w:pPr>
        <w:spacing w:after="0" w:line="149" w:lineRule="exact"/>
        <w:rPr>
          <w:rFonts w:ascii="Arial" w:cs="Arial" w:eastAsia="Arial" w:hAnsi="Arial"/>
          <w:sz w:val="19"/>
          <w:szCs w:val="19"/>
          <w:color w:val="auto"/>
        </w:rPr>
      </w:pPr>
    </w:p>
    <w:p>
      <w:pPr>
        <w:jc w:val="both"/>
        <w:ind w:firstLine="656"/>
        <w:spacing w:after="0" w:line="252" w:lineRule="auto"/>
        <w:tabs>
          <w:tab w:leader="none" w:pos="1459"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Enforceability</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Amendment No. 2 held to be invalid, illegal or unenforceable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shall, as to such jurisdiction, be 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rFonts w:ascii="Arial" w:cs="Arial" w:eastAsia="Arial" w:hAnsi="Arial"/>
          <w:sz w:val="22"/>
          <w:szCs w:val="22"/>
          <w:color w:val="auto"/>
        </w:rPr>
      </w:pPr>
    </w:p>
    <w:p>
      <w:pPr>
        <w:ind w:left="1460" w:hanging="804"/>
        <w:spacing w:after="0"/>
        <w:tabs>
          <w:tab w:leader="none" w:pos="1460" w:val="left"/>
        </w:tabs>
        <w:numPr>
          <w:ilvl w:val="0"/>
          <w:numId w:val="77"/>
        </w:numPr>
        <w:rPr>
          <w:rFonts w:ascii="Arial" w:cs="Arial" w:eastAsia="Arial" w:hAnsi="Arial"/>
          <w:sz w:val="19"/>
          <w:szCs w:val="19"/>
          <w:i w:val="1"/>
          <w:iCs w:val="1"/>
          <w:color w:val="auto"/>
        </w:rPr>
      </w:pPr>
      <w:r>
        <w:rPr>
          <w:rFonts w:ascii="Arial" w:cs="Arial" w:eastAsia="Arial" w:hAnsi="Arial"/>
          <w:sz w:val="19"/>
          <w:szCs w:val="19"/>
          <w:b w:val="1"/>
          <w:bCs w:val="1"/>
          <w:u w:val="single" w:color="auto"/>
          <w:color w:val="auto"/>
        </w:rPr>
        <w:t>References</w:t>
      </w:r>
      <w:r>
        <w:rPr>
          <w:rFonts w:ascii="Arial" w:cs="Arial" w:eastAsia="Arial" w:hAnsi="Arial"/>
          <w:sz w:val="19"/>
          <w:szCs w:val="19"/>
          <w:b w:val="1"/>
          <w:bCs w:val="1"/>
          <w:color w:val="auto"/>
        </w:rPr>
        <w:t xml:space="preserve">. </w:t>
      </w:r>
      <w:r>
        <w:rPr>
          <w:rFonts w:ascii="Arial" w:cs="Arial" w:eastAsia="Arial" w:hAnsi="Arial"/>
          <w:sz w:val="19"/>
          <w:szCs w:val="19"/>
          <w:color w:val="auto"/>
        </w:rPr>
        <w:t>All references to the “Credit Agreement” shall mean the Credit Agreement, as amended hereby.</w:t>
      </w:r>
    </w:p>
    <w:p>
      <w:pPr>
        <w:spacing w:after="0" w:line="254" w:lineRule="exact"/>
        <w:rPr>
          <w:rFonts w:ascii="Arial" w:cs="Arial" w:eastAsia="Arial" w:hAnsi="Arial"/>
          <w:sz w:val="19"/>
          <w:szCs w:val="19"/>
          <w:i w:val="1"/>
          <w:iCs w:val="1"/>
          <w:color w:val="auto"/>
        </w:rPr>
      </w:pPr>
    </w:p>
    <w:p>
      <w:pPr>
        <w:jc w:val="both"/>
        <w:ind w:firstLine="656"/>
        <w:spacing w:after="0" w:line="274" w:lineRule="auto"/>
        <w:tabs>
          <w:tab w:leader="none" w:pos="1567" w:val="left"/>
        </w:tabs>
        <w:numPr>
          <w:ilvl w:val="0"/>
          <w:numId w:val="77"/>
        </w:numPr>
        <w:rPr>
          <w:rFonts w:ascii="Arial" w:cs="Arial" w:eastAsia="Arial" w:hAnsi="Arial"/>
          <w:sz w:val="21"/>
          <w:szCs w:val="21"/>
          <w:i w:val="1"/>
          <w:iCs w:val="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No. 2 shall be binding upon and inure to the benefit of the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Administrative Agent, the Lenders and their respective successors, legal representatives, and assignees to the extent such assignees are permitted assignees as provided in </w:t>
      </w:r>
      <w:r>
        <w:rPr>
          <w:rFonts w:ascii="Arial" w:cs="Arial" w:eastAsia="Arial" w:hAnsi="Arial"/>
          <w:sz w:val="21"/>
          <w:szCs w:val="21"/>
          <w:u w:val="single" w:color="auto"/>
          <w:color w:val="auto"/>
        </w:rPr>
        <w:t>Section 9.04</w:t>
      </w:r>
      <w:r>
        <w:rPr>
          <w:rFonts w:ascii="Arial" w:cs="Arial" w:eastAsia="Arial" w:hAnsi="Arial"/>
          <w:sz w:val="21"/>
          <w:szCs w:val="21"/>
          <w:color w:val="auto"/>
        </w:rPr>
        <w:t xml:space="preserve"> of the Credit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1420"/>
          </w:cols>
          <w:pgMar w:left="240" w:top="625" w:right="239" w:bottom="1440" w:gutter="0" w:footer="0" w:header="0"/>
        </w:sectPr>
      </w:pPr>
    </w:p>
    <w:bookmarkStart w:id="123" w:name="page124"/>
    <w:bookmarkEnd w:id="123"/>
    <w:p>
      <w:pPr>
        <w:ind w:firstLine="648"/>
        <w:spacing w:after="0" w:line="25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instrument to be made,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officers as of the day and year first above written.</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8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CME GROUP INC.</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10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James E. Parisi</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color w:val="auto"/>
        </w:rPr>
        <w:t>Chief Financial Officer &amp; Sr. Managing Director Finance &amp; Corporate</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Development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1420"/>
          </w:cols>
          <w:pgMar w:left="240" w:top="368" w:right="239" w:bottom="1440" w:gutter="0" w:footer="0" w:header="0"/>
        </w:sectPr>
      </w:pPr>
    </w:p>
    <w:bookmarkStart w:id="124" w:name="page125"/>
    <w:bookmarkEnd w:id="124"/>
    <w:p>
      <w:pPr>
        <w:ind w:left="390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Administrative Agent</w:t>
      </w:r>
    </w:p>
    <w:p>
      <w:pPr>
        <w:spacing w:after="0" w:line="31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Angela Larkin</w:t>
      </w:r>
    </w:p>
    <w:p>
      <w:pPr>
        <w:spacing w:after="0" w:line="4"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2"/>
          <w:szCs w:val="22"/>
          <w:color w:val="auto"/>
        </w:rPr>
        <w:t>Title:</w:t>
        <w:tab/>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0219"/>
          </w:cols>
          <w:pgMar w:left="240" w:top="625" w:right="1440" w:bottom="1440" w:gutter="0" w:footer="0" w:header="0"/>
        </w:sectPr>
      </w:pPr>
    </w:p>
    <w:bookmarkStart w:id="125" w:name="page126"/>
    <w:bookmarkEnd w:id="125"/>
    <w:p>
      <w:pPr>
        <w:ind w:left="3900"/>
        <w:spacing w:after="0"/>
        <w:rPr>
          <w:sz w:val="20"/>
          <w:szCs w:val="20"/>
          <w:color w:val="auto"/>
        </w:rPr>
      </w:pPr>
      <w:r>
        <w:rPr>
          <w:rFonts w:ascii="Arial" w:cs="Arial" w:eastAsia="Arial" w:hAnsi="Arial"/>
          <w:sz w:val="22"/>
          <w:szCs w:val="22"/>
          <w:b w:val="1"/>
          <w:bCs w:val="1"/>
          <w:u w:val="single" w:color="auto"/>
          <w:color w:val="auto"/>
        </w:rPr>
        <w:t>LENDERS</w:t>
      </w:r>
      <w:r>
        <w:rPr>
          <w:rFonts w:ascii="Arial" w:cs="Arial" w:eastAsia="Arial" w:hAnsi="Arial"/>
          <w:sz w:val="22"/>
          <w:szCs w:val="22"/>
          <w:b w:val="1"/>
          <w:bCs w:val="1"/>
          <w:color w:val="auto"/>
        </w:rPr>
        <w: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BANK OF AMERICA, N.A.</w:t>
      </w:r>
      <w:r>
        <w:rPr>
          <w:rFonts w:ascii="Arial" w:cs="Arial" w:eastAsia="Arial" w:hAnsi="Arial"/>
          <w:sz w:val="19"/>
          <w:szCs w:val="19"/>
          <w:color w:val="auto"/>
        </w:rPr>
        <w:t>, as a Lender and as a Swing Line Lender</w:t>
      </w: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Maryanne Fitzmaurice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718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831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Maryanne Fitzmaurice</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BARCLAYS BANK PLC</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/s/Alicia Borys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238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Alicia Borys</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CITIBANK, N.A.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Marina Donskaya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54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Marina Donskaya</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UBS LOAN FINANCE LLC</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Lana Gifas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181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Lana Gifas</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Jennifer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85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Jennifer Anderson</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Associate Director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WELLS FARGO BANK, NATIONAL ASSOCIATION</w:t>
      </w:r>
      <w:r>
        <w:rPr>
          <w:rFonts w:ascii="Arial" w:cs="Arial" w:eastAsia="Arial" w:hAnsi="Arial"/>
          <w:sz w:val="21"/>
          <w:szCs w:val="21"/>
          <w:color w:val="auto"/>
        </w:rPr>
        <w:t>, as a Lender</w:t>
      </w:r>
    </w:p>
    <w:p>
      <w:pPr>
        <w:spacing w:after="0" w:line="23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Tracy L. Moosbrugger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816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673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Tracy L. Moosbrugger</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0219"/>
          </w:cols>
          <w:pgMar w:left="240" w:top="625" w:right="1440" w:bottom="1440" w:gutter="0" w:footer="0" w:header="0"/>
        </w:sectPr>
      </w:pPr>
    </w:p>
    <w:bookmarkStart w:id="126" w:name="page127"/>
    <w:bookmarkEnd w:id="126"/>
    <w:p>
      <w:pPr>
        <w:ind w:left="390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Adam 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171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Adam Tarr</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LLOYDS BANK PLC (f/k/a LLOYDS TSB BANK PLC)</w:t>
      </w:r>
      <w:r>
        <w:rPr>
          <w:rFonts w:ascii="Arial" w:cs="Arial" w:eastAsia="Arial" w:hAnsi="Arial"/>
          <w:sz w:val="22"/>
          <w:szCs w:val="22"/>
          <w:color w:val="auto"/>
        </w:rPr>
        <w:t>, as a Lender</w:t>
      </w:r>
    </w:p>
    <w:p>
      <w:pPr>
        <w:spacing w:after="0" w:line="197"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500" w:type="dxa"/>
            <w:vAlign w:val="bottom"/>
            <w:gridSpan w:val="2"/>
          </w:tcPr>
          <w:p>
            <w:pPr>
              <w:spacing w:after="0"/>
              <w:rPr>
                <w:sz w:val="20"/>
                <w:szCs w:val="20"/>
                <w:color w:val="auto"/>
              </w:rPr>
            </w:pPr>
            <w:r>
              <w:rPr>
                <w:rFonts w:ascii="Arial" w:cs="Arial" w:eastAsia="Arial" w:hAnsi="Arial"/>
                <w:sz w:val="22"/>
                <w:szCs w:val="22"/>
                <w:color w:val="auto"/>
              </w:rPr>
              <w:t>By:</w:t>
            </w:r>
          </w:p>
        </w:tc>
        <w:tc>
          <w:tcPr>
            <w:tcW w:w="4520" w:type="dxa"/>
            <w:vAlign w:val="bottom"/>
            <w:gridSpan w:val="4"/>
          </w:tcPr>
          <w:p>
            <w:pPr>
              <w:jc w:val="right"/>
              <w:ind w:right="3160"/>
              <w:spacing w:after="0"/>
              <w:rPr>
                <w:sz w:val="20"/>
                <w:szCs w:val="20"/>
                <w:color w:val="auto"/>
              </w:rPr>
            </w:pPr>
            <w:r>
              <w:rPr>
                <w:rFonts w:ascii="Arial" w:cs="Arial" w:eastAsia="Arial" w:hAnsi="Arial"/>
                <w:sz w:val="22"/>
                <w:szCs w:val="22"/>
                <w:color w:val="auto"/>
                <w:w w:val="89"/>
              </w:rPr>
              <w:t>/s/ Joel Siomko</w:t>
            </w:r>
          </w:p>
        </w:tc>
      </w:tr>
      <w:tr>
        <w:trPr>
          <w:trHeight w:val="20"/>
        </w:trPr>
        <w:tc>
          <w:tcPr>
            <w:tcW w:w="3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9"/>
        </w:trPr>
        <w:tc>
          <w:tcPr>
            <w:tcW w:w="680" w:type="dxa"/>
            <w:vAlign w:val="bottom"/>
            <w:gridSpan w:val="3"/>
          </w:tcPr>
          <w:p>
            <w:pPr>
              <w:spacing w:after="0"/>
              <w:rPr>
                <w:sz w:val="20"/>
                <w:szCs w:val="20"/>
                <w:color w:val="auto"/>
              </w:rPr>
            </w:pPr>
            <w:r>
              <w:rPr>
                <w:rFonts w:ascii="Arial" w:cs="Arial" w:eastAsia="Arial" w:hAnsi="Arial"/>
                <w:sz w:val="22"/>
                <w:szCs w:val="22"/>
                <w:color w:val="auto"/>
              </w:rPr>
              <w:t>Name:</w:t>
            </w:r>
          </w:p>
        </w:tc>
        <w:tc>
          <w:tcPr>
            <w:tcW w:w="4340" w:type="dxa"/>
            <w:vAlign w:val="bottom"/>
            <w:gridSpan w:val="3"/>
          </w:tcPr>
          <w:p>
            <w:pPr>
              <w:jc w:val="right"/>
              <w:ind w:right="3160"/>
              <w:spacing w:after="0"/>
              <w:rPr>
                <w:sz w:val="20"/>
                <w:szCs w:val="20"/>
                <w:color w:val="auto"/>
              </w:rPr>
            </w:pPr>
            <w:r>
              <w:rPr>
                <w:rFonts w:ascii="Arial" w:cs="Arial" w:eastAsia="Arial" w:hAnsi="Arial"/>
                <w:sz w:val="22"/>
                <w:szCs w:val="22"/>
                <w:color w:val="auto"/>
                <w:w w:val="96"/>
              </w:rPr>
              <w:t>Joel Siomko</w:t>
            </w:r>
          </w:p>
        </w:tc>
      </w:tr>
      <w:tr>
        <w:trPr>
          <w:trHeight w:val="275"/>
        </w:trPr>
        <w:tc>
          <w:tcPr>
            <w:tcW w:w="50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0" w:type="dxa"/>
            <w:vAlign w:val="bottom"/>
          </w:tcPr>
          <w:p>
            <w:pPr>
              <w:spacing w:after="0"/>
              <w:rPr>
                <w:sz w:val="23"/>
                <w:szCs w:val="23"/>
                <w:color w:val="auto"/>
              </w:rPr>
            </w:pPr>
          </w:p>
        </w:tc>
        <w:tc>
          <w:tcPr>
            <w:tcW w:w="4340" w:type="dxa"/>
            <w:vAlign w:val="bottom"/>
            <w:gridSpan w:val="3"/>
          </w:tcPr>
          <w:p>
            <w:pPr>
              <w:ind w:left="200"/>
              <w:spacing w:after="0"/>
              <w:rPr>
                <w:sz w:val="20"/>
                <w:szCs w:val="20"/>
                <w:color w:val="auto"/>
              </w:rPr>
            </w:pPr>
            <w:r>
              <w:rPr>
                <w:rFonts w:ascii="Arial" w:cs="Arial" w:eastAsia="Arial" w:hAnsi="Arial"/>
                <w:sz w:val="22"/>
                <w:szCs w:val="22"/>
                <w:color w:val="auto"/>
                <w:w w:val="88"/>
              </w:rPr>
              <w:t>Assistant Vice President, Transaction Execution</w:t>
            </w:r>
          </w:p>
        </w:tc>
      </w:tr>
      <w:tr>
        <w:trPr>
          <w:trHeight w:val="854"/>
        </w:trPr>
        <w:tc>
          <w:tcPr>
            <w:tcW w:w="500" w:type="dxa"/>
            <w:vAlign w:val="bottom"/>
            <w:gridSpan w:val="2"/>
          </w:tcPr>
          <w:p>
            <w:pPr>
              <w:spacing w:after="0"/>
              <w:rPr>
                <w:sz w:val="20"/>
                <w:szCs w:val="20"/>
                <w:color w:val="auto"/>
              </w:rPr>
            </w:pPr>
            <w:r>
              <w:rPr>
                <w:rFonts w:ascii="Arial" w:cs="Arial" w:eastAsia="Arial" w:hAnsi="Arial"/>
                <w:sz w:val="22"/>
                <w:szCs w:val="22"/>
                <w:color w:val="auto"/>
              </w:rPr>
              <w:t>By:</w:t>
            </w:r>
          </w:p>
        </w:tc>
        <w:tc>
          <w:tcPr>
            <w:tcW w:w="4520" w:type="dxa"/>
            <w:vAlign w:val="bottom"/>
            <w:gridSpan w:val="4"/>
          </w:tcPr>
          <w:p>
            <w:pPr>
              <w:jc w:val="right"/>
              <w:ind w:right="2640"/>
              <w:spacing w:after="0"/>
              <w:rPr>
                <w:sz w:val="20"/>
                <w:szCs w:val="20"/>
                <w:color w:val="auto"/>
              </w:rPr>
            </w:pPr>
            <w:r>
              <w:rPr>
                <w:rFonts w:ascii="Arial" w:cs="Arial" w:eastAsia="Arial" w:hAnsi="Arial"/>
                <w:sz w:val="22"/>
                <w:szCs w:val="22"/>
                <w:color w:val="auto"/>
                <w:w w:val="88"/>
              </w:rPr>
              <w:t>/s/ Stephen Giaciomo</w:t>
            </w:r>
          </w:p>
        </w:tc>
      </w:tr>
      <w:tr>
        <w:trPr>
          <w:trHeight w:val="20"/>
        </w:trPr>
        <w:tc>
          <w:tcPr>
            <w:tcW w:w="3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69"/>
        </w:trPr>
        <w:tc>
          <w:tcPr>
            <w:tcW w:w="680" w:type="dxa"/>
            <w:vAlign w:val="bottom"/>
            <w:gridSpan w:val="3"/>
          </w:tcPr>
          <w:p>
            <w:pPr>
              <w:spacing w:after="0"/>
              <w:rPr>
                <w:sz w:val="20"/>
                <w:szCs w:val="20"/>
                <w:color w:val="auto"/>
              </w:rPr>
            </w:pPr>
            <w:r>
              <w:rPr>
                <w:rFonts w:ascii="Arial" w:cs="Arial" w:eastAsia="Arial" w:hAnsi="Arial"/>
                <w:sz w:val="22"/>
                <w:szCs w:val="22"/>
                <w:color w:val="auto"/>
              </w:rPr>
              <w:t>Name:</w:t>
            </w:r>
          </w:p>
        </w:tc>
        <w:tc>
          <w:tcPr>
            <w:tcW w:w="4340" w:type="dxa"/>
            <w:vAlign w:val="bottom"/>
            <w:gridSpan w:val="3"/>
          </w:tcPr>
          <w:p>
            <w:pPr>
              <w:jc w:val="right"/>
              <w:ind w:right="2620"/>
              <w:spacing w:after="0"/>
              <w:rPr>
                <w:sz w:val="20"/>
                <w:szCs w:val="20"/>
                <w:color w:val="auto"/>
              </w:rPr>
            </w:pPr>
            <w:r>
              <w:rPr>
                <w:rFonts w:ascii="Arial" w:cs="Arial" w:eastAsia="Arial" w:hAnsi="Arial"/>
                <w:sz w:val="22"/>
                <w:szCs w:val="22"/>
                <w:color w:val="auto"/>
                <w:w w:val="93"/>
              </w:rPr>
              <w:t>Stephen Giaciomo</w:t>
            </w:r>
          </w:p>
        </w:tc>
      </w:tr>
      <w:tr>
        <w:trPr>
          <w:trHeight w:val="275"/>
        </w:trPr>
        <w:tc>
          <w:tcPr>
            <w:tcW w:w="500" w:type="dxa"/>
            <w:vAlign w:val="bottom"/>
            <w:gridSpan w:val="2"/>
          </w:tcPr>
          <w:p>
            <w:pPr>
              <w:spacing w:after="0"/>
              <w:rPr>
                <w:sz w:val="20"/>
                <w:szCs w:val="20"/>
                <w:color w:val="auto"/>
              </w:rPr>
            </w:pPr>
            <w:r>
              <w:rPr>
                <w:rFonts w:ascii="Arial" w:cs="Arial" w:eastAsia="Arial" w:hAnsi="Arial"/>
                <w:sz w:val="22"/>
                <w:szCs w:val="22"/>
                <w:color w:val="auto"/>
              </w:rPr>
              <w:t>Title:</w:t>
            </w:r>
          </w:p>
        </w:tc>
        <w:tc>
          <w:tcPr>
            <w:tcW w:w="180" w:type="dxa"/>
            <w:vAlign w:val="bottom"/>
          </w:tcPr>
          <w:p>
            <w:pPr>
              <w:spacing w:after="0"/>
              <w:rPr>
                <w:sz w:val="23"/>
                <w:szCs w:val="23"/>
                <w:color w:val="auto"/>
              </w:rPr>
            </w:pPr>
          </w:p>
        </w:tc>
        <w:tc>
          <w:tcPr>
            <w:tcW w:w="4340" w:type="dxa"/>
            <w:vAlign w:val="bottom"/>
            <w:gridSpan w:val="3"/>
          </w:tcPr>
          <w:p>
            <w:pPr>
              <w:ind w:left="20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BANK OF TOKYO-MITSUBISHI UFJ, LTD.</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Oscar D. Cortez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63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3040" cy="8890"/>
                    </a:xfrm>
                    <a:prstGeom prst="rect">
                      <a:avLst/>
                    </a:prstGeom>
                    <a:noFill/>
                  </pic:spPr>
                </pic:pic>
              </a:graphicData>
            </a:graphic>
          </wp:anchor>
        </w:drawing>
      </w:r>
    </w:p>
    <w:p>
      <w:pPr>
        <w:spacing w:after="0" w:line="2" w:lineRule="exact"/>
        <w:rPr>
          <w:sz w:val="20"/>
          <w:szCs w:val="20"/>
          <w:color w:val="auto"/>
        </w:rPr>
      </w:pPr>
    </w:p>
    <w:p>
      <w:pPr>
        <w:jc w:val="center"/>
        <w:ind w:right="260"/>
        <w:spacing w:after="0"/>
        <w:tabs>
          <w:tab w:leader="none" w:pos="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Oscar D. Cortez</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BANK OF NOVA SCOTIA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Thane Rattew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41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Thane Rattew</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Lorenzo Melendez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607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782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Lorenzo Melendez</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0240"/>
          </w:cols>
          <w:pgMar w:left="240" w:top="625" w:right="1419" w:bottom="1440" w:gutter="0" w:footer="0" w:header="0"/>
        </w:sectPr>
      </w:pPr>
    </w:p>
    <w:bookmarkStart w:id="127" w:name="page128"/>
    <w:bookmarkEnd w:id="127"/>
    <w:p>
      <w:pPr>
        <w:ind w:left="3900"/>
        <w:spacing w:after="0"/>
        <w:rPr>
          <w:sz w:val="20"/>
          <w:szCs w:val="20"/>
          <w:color w:val="auto"/>
        </w:rPr>
      </w:pPr>
      <w:r>
        <w:rPr>
          <w:rFonts w:ascii="Arial" w:cs="Arial" w:eastAsia="Arial" w:hAnsi="Arial"/>
          <w:sz w:val="22"/>
          <w:szCs w:val="22"/>
          <w:b w:val="1"/>
          <w:bCs w:val="1"/>
          <w:color w:val="auto"/>
        </w:rPr>
        <w:t>THE NORTHERN TRUST COMPANY</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Anne 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2725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Anne Nickel</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Second 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BANK OF NEW YORK MELLON</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Diane L. Demmler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607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782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Diane L. Demmler</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PNC BANK, NATIONAL ASSOCIATION</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/s/Alaa Shraim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2649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720" w:val="left"/>
        </w:tabs>
        <w:rPr>
          <w:sz w:val="20"/>
          <w:szCs w:val="20"/>
          <w:color w:val="auto"/>
        </w:rPr>
      </w:pPr>
      <w:r>
        <w:rPr>
          <w:rFonts w:ascii="Arial" w:cs="Arial" w:eastAsia="Arial" w:hAnsi="Arial"/>
          <w:sz w:val="22"/>
          <w:szCs w:val="22"/>
          <w:color w:val="auto"/>
        </w:rPr>
        <w:t>Name:</w:t>
        <w:tab/>
        <w:t>Alaa Shraim</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MORGAN STANLEY BANK, N.A.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/s/Harry Comninellis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66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654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Harry Comninellis</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12" w:lineRule="exact"/>
        <w:rPr>
          <w:sz w:val="20"/>
          <w:szCs w:val="20"/>
          <w:color w:val="auto"/>
        </w:rPr>
      </w:pPr>
    </w:p>
    <w:p>
      <w:pPr>
        <w:ind w:left="3900"/>
        <w:spacing w:after="0" w:line="269" w:lineRule="auto"/>
        <w:rPr>
          <w:sz w:val="20"/>
          <w:szCs w:val="20"/>
          <w:color w:val="auto"/>
        </w:rPr>
      </w:pPr>
      <w:r>
        <w:rPr>
          <w:rFonts w:ascii="Arial" w:cs="Arial" w:eastAsia="Arial" w:hAnsi="Arial"/>
          <w:sz w:val="22"/>
          <w:szCs w:val="22"/>
          <w:b w:val="1"/>
          <w:bCs w:val="1"/>
          <w:color w:val="auto"/>
        </w:rPr>
        <w:t>BANK OF COMMUNICATIONS CO., LTD., NEW YORK BRANCH</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548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4114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548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GOLDMAN SACHS BANK USA</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548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411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5486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0800"/>
          </w:cols>
          <w:pgMar w:left="240" w:top="882" w:right="859" w:bottom="1440" w:gutter="0" w:footer="0" w:header="0"/>
        </w:sectPr>
      </w:pPr>
    </w:p>
    <w:bookmarkStart w:id="128" w:name="page129"/>
    <w:bookmarkEnd w:id="128"/>
    <w:p>
      <w:pPr>
        <w:ind w:left="39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Charles Howes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10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Charles Howes</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DEUTSCHE BANK AG NEW YORK BRANCH</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214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Virginia Cosenza</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Ming K. Chu</w:t>
      </w:r>
    </w:p>
    <w:p>
      <w:pPr>
        <w:spacing w:after="0" w:line="4" w:lineRule="exact"/>
        <w:rPr>
          <w:sz w:val="20"/>
          <w:szCs w:val="20"/>
          <w:color w:val="auto"/>
        </w:rPr>
      </w:pPr>
    </w:p>
    <w:p>
      <w:pPr>
        <w:ind w:left="3900"/>
        <w:spacing w:after="0"/>
        <w:tabs>
          <w:tab w:leader="none" w:pos="4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BANK OF CHINA, NEW YORK BRANCH</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10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033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Raymond Qiao</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First 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THE CHIBA BANK, LTD., NEW YORK BRANCH</w:t>
      </w:r>
      <w:r>
        <w:rPr>
          <w:rFonts w:ascii="Arial" w:cs="Arial" w:eastAsia="Arial" w:hAnsi="Arial"/>
          <w:sz w:val="22"/>
          <w:szCs w:val="22"/>
          <w:color w:val="auto"/>
        </w:rPr>
        <w:t>, as a Lender</w:t>
      </w:r>
    </w:p>
    <w:p>
      <w:pPr>
        <w:spacing w:after="0" w:line="22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Katsunori Uematsu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638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Katsunori Uematsu</w:t>
      </w:r>
    </w:p>
    <w:p>
      <w:pPr>
        <w:spacing w:after="0" w:line="4" w:lineRule="exact"/>
        <w:rPr>
          <w:sz w:val="20"/>
          <w:szCs w:val="20"/>
          <w:color w:val="auto"/>
        </w:rPr>
      </w:pPr>
    </w:p>
    <w:p>
      <w:pPr>
        <w:ind w:left="3900"/>
        <w:spacing w:after="0"/>
        <w:tabs>
          <w:tab w:leader="none" w:pos="4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General Manager</w:t>
      </w:r>
    </w:p>
    <w:p>
      <w:pPr>
        <w:spacing w:after="0" w:line="200" w:lineRule="exact"/>
        <w:rPr>
          <w:sz w:val="20"/>
          <w:szCs w:val="20"/>
          <w:color w:val="auto"/>
        </w:rPr>
      </w:pPr>
    </w:p>
    <w:p>
      <w:pPr>
        <w:spacing w:after="0" w:line="212" w:lineRule="exact"/>
        <w:rPr>
          <w:sz w:val="20"/>
          <w:szCs w:val="20"/>
          <w:color w:val="auto"/>
        </w:rPr>
      </w:pPr>
    </w:p>
    <w:p>
      <w:pPr>
        <w:ind w:left="3900"/>
        <w:spacing w:after="0" w:line="269" w:lineRule="auto"/>
        <w:rPr>
          <w:sz w:val="20"/>
          <w:szCs w:val="20"/>
          <w:color w:val="auto"/>
        </w:rPr>
      </w:pPr>
      <w:r>
        <w:rPr>
          <w:rFonts w:ascii="Arial" w:cs="Arial" w:eastAsia="Arial" w:hAnsi="Arial"/>
          <w:sz w:val="22"/>
          <w:szCs w:val="22"/>
          <w:b w:val="1"/>
          <w:bCs w:val="1"/>
          <w:color w:val="auto"/>
        </w:rPr>
        <w:t>CHANG HWA COMMERCIAL BANK, LTD., NEW YORK BRANCH</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548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411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548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0920"/>
          </w:cols>
          <w:pgMar w:left="240" w:top="882" w:right="739" w:bottom="1440" w:gutter="0" w:footer="0" w:header="0"/>
        </w:sectPr>
      </w:pPr>
    </w:p>
    <w:bookmarkStart w:id="129" w:name="page130"/>
    <w:bookmarkEnd w:id="129"/>
    <w:p>
      <w:pPr>
        <w:ind w:left="3900" w:right="220"/>
        <w:spacing w:after="0" w:line="357" w:lineRule="auto"/>
        <w:rPr>
          <w:sz w:val="20"/>
          <w:szCs w:val="20"/>
          <w:color w:val="auto"/>
        </w:rPr>
      </w:pPr>
      <w:r>
        <w:rPr>
          <w:rFonts w:ascii="Arial" w:cs="Arial" w:eastAsia="Arial" w:hAnsi="Arial"/>
          <w:sz w:val="22"/>
          <w:szCs w:val="22"/>
          <w:b w:val="1"/>
          <w:bCs w:val="1"/>
          <w:color w:val="auto"/>
        </w:rPr>
        <w:t>FIRST COMMERCIAL BANK, LTD., NEW YORK BRANCH</w:t>
      </w:r>
      <w:r>
        <w:rPr>
          <w:rFonts w:ascii="Arial" w:cs="Arial" w:eastAsia="Arial" w:hAnsi="Arial"/>
          <w:sz w:val="22"/>
          <w:szCs w:val="22"/>
          <w:color w:val="auto"/>
        </w:rPr>
        <w:t>, as a Lender</w:t>
      </w:r>
      <w:r>
        <w:rPr>
          <w:rFonts w:ascii="Arial" w:cs="Arial" w:eastAsia="Arial" w:hAnsi="Arial"/>
          <w:sz w:val="22"/>
          <w:szCs w:val="22"/>
          <w:b w:val="1"/>
          <w:bCs w:val="1"/>
          <w:color w:val="auto"/>
        </w:rPr>
        <w:t xml:space="preserve"> </w:t>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-31115</wp:posOffset>
            </wp:positionV>
            <wp:extent cx="548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411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548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92" w:lineRule="exact"/>
        <w:rPr>
          <w:sz w:val="20"/>
          <w:szCs w:val="20"/>
          <w:color w:val="auto"/>
        </w:rPr>
      </w:pPr>
    </w:p>
    <w:p>
      <w:pPr>
        <w:ind w:left="3900"/>
        <w:spacing w:after="0" w:line="269" w:lineRule="auto"/>
        <w:rPr>
          <w:sz w:val="20"/>
          <w:szCs w:val="20"/>
          <w:color w:val="auto"/>
        </w:rPr>
      </w:pPr>
      <w:r>
        <w:rPr>
          <w:rFonts w:ascii="Arial" w:cs="Arial" w:eastAsia="Arial" w:hAnsi="Arial"/>
          <w:sz w:val="22"/>
          <w:szCs w:val="22"/>
          <w:b w:val="1"/>
          <w:bCs w:val="1"/>
          <w:color w:val="auto"/>
        </w:rPr>
        <w:t>MEGA INTERNATIONAL COMMERCIAL BANK CO., LTD. NEW YORK BRANCH</w:t>
      </w:r>
      <w:r>
        <w:rPr>
          <w:rFonts w:ascii="Arial" w:cs="Arial" w:eastAsia="Arial" w:hAnsi="Arial"/>
          <w:sz w:val="22"/>
          <w:szCs w:val="22"/>
          <w:color w:val="auto"/>
        </w:rPr>
        <w:t>, as a Lender</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548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-29210</wp:posOffset>
            </wp:positionV>
            <wp:extent cx="411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-29210</wp:posOffset>
            </wp:positionV>
            <wp:extent cx="5486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51713439_4</w:t>
      </w:r>
    </w:p>
    <w:p>
      <w:pPr>
        <w:sectPr>
          <w:pgSz w:w="11900" w:h="16838" w:orient="portrait"/>
          <w:cols w:equalWidth="0" w:num="1">
            <w:col w:w="11060"/>
          </w:cols>
          <w:pgMar w:left="240" w:top="882" w:right="5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loss on equity investees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Distributed income from equity investees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Subtract: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gains on equity investees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1,443.3</w:t>
            </w:r>
          </w:p>
        </w:tc>
      </w:tr>
      <w:tr>
        <w:trPr>
          <w:trHeight w:val="176"/>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within rent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Earnings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1,764.5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1,588.8</w:t>
            </w:r>
          </w:p>
        </w:tc>
      </w:tr>
      <w:tr>
        <w:trPr>
          <w:trHeight w:val="163"/>
        </w:trPr>
        <w:tc>
          <w:tcPr>
            <w:tcW w:w="5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10.92</w:t>
            </w:r>
          </w:p>
        </w:tc>
      </w:tr>
    </w:tbl>
    <w:p>
      <w:pPr>
        <w:spacing w:after="0" w:line="202" w:lineRule="exact"/>
        <w:rPr>
          <w:sz w:val="20"/>
          <w:szCs w:val="20"/>
          <w:color w:val="auto"/>
        </w:rPr>
      </w:pPr>
    </w:p>
    <w:p>
      <w:pPr>
        <w:ind w:right="220" w:firstLine="8"/>
        <w:spacing w:after="0" w:line="277" w:lineRule="auto"/>
        <w:tabs>
          <w:tab w:leader="none" w:pos="4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an estimate of interest within rental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229"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4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10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Board of Trade Investment Co.</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Missouri</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Chicago Mercantile Exchange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Chicago Mercantile Exchange Korea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Republic of Korea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Chicago Mercantile Exchange Luxembourg Holdings S.à.r.l.</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Clearing Europe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Consulting (Beijing) Co. Ltd.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ECM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Europe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Finance Holdings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Global Marketplace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Asia Holdings Pte.Ltd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Hong Kong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Index Services LLC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Japan K.K.</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Marketing Canada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Group Singapore Operations Pte.Ltd.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Group Strategic Investments LLC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Marketing Europe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Operations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 Trade Repository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CMEG Brazil 1 Participações Ltda.</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CMEG Brazil Investments 1 LLC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CMEG Brazil Investments 2 LLC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CMEG Foundation Services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CMEG México, S. de R.L. de C.V.</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CMEG NYMEX Holdings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CMEG Strategic Sdn. Bhd.</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Commodity Exchange,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ConfirmHub, LLC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Elysian Systems Limited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GFX Corporation</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Globex Markets Ltd</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Liquidity Ventures I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New York Mercantile Exchange,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Pivot, Inc.</w:t>
            </w:r>
          </w:p>
        </w:tc>
        <w:tc>
          <w:tcPr>
            <w:tcW w:w="10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The Board of Trade of Kansas City, Missouri, Inc.</w:t>
            </w:r>
          </w:p>
        </w:tc>
        <w:tc>
          <w:tcPr>
            <w:tcW w:w="10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bl>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11420"/>
          </w:cols>
          <w:pgMar w:left="240" w:top="66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333-104804; Form S-8 No. 333-115656) pertaining to the Agreement between Chicago Mercantile Exchange Holdings Inc. and James J. McNulty,</w:t>
      </w:r>
    </w:p>
    <w:p>
      <w:pPr>
        <w:spacing w:after="0" w:line="66" w:lineRule="exact"/>
        <w:rPr>
          <w:rFonts w:ascii="Arial" w:cs="Arial" w:eastAsia="Arial" w:hAnsi="Arial"/>
          <w:sz w:val="22"/>
          <w:szCs w:val="22"/>
          <w:color w:val="auto"/>
        </w:rPr>
      </w:pPr>
    </w:p>
    <w:p>
      <w:pPr>
        <w:ind w:left="440"/>
        <w:spacing w:after="0" w:line="263" w:lineRule="auto"/>
        <w:tabs>
          <w:tab w:leader="none" w:pos="7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06"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ind w:left="440"/>
        <w:spacing w:after="0" w:line="341" w:lineRule="auto"/>
        <w:tabs>
          <w:tab w:leader="none" w:pos="771" w:val="left"/>
        </w:tabs>
        <w:numPr>
          <w:ilvl w:val="0"/>
          <w:numId w:val="79"/>
        </w:numPr>
        <w:rPr>
          <w:rFonts w:ascii="Arial" w:cs="Arial" w:eastAsia="Arial" w:hAnsi="Arial"/>
          <w:sz w:val="19"/>
          <w:szCs w:val="19"/>
          <w:color w:val="auto"/>
        </w:rPr>
      </w:pPr>
      <w:r>
        <w:rPr>
          <w:rFonts w:ascii="Arial" w:cs="Arial" w:eastAsia="Arial" w:hAnsi="Arial"/>
          <w:sz w:val="19"/>
          <w:szCs w:val="19"/>
          <w:color w:val="auto"/>
        </w:rPr>
        <w:t>Registration Statement (Form S-8 No. 333-153462) and Post-Effective Amendment No. 2 to Registration Statement on Form S-4 (Form S-8 No. 333-151577) pertaining to the NYMEX Holdings, Inc.’s 2006 Omnibus Long-Term Incentive Plan,</w:t>
      </w:r>
    </w:p>
    <w:p>
      <w:pPr>
        <w:ind w:left="740" w:hanging="300"/>
        <w:spacing w:after="0"/>
        <w:tabs>
          <w:tab w:leader="none" w:pos="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59"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866"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28, 2014 with respect to the consolidated financial statements and schedules of CME Group Inc., and the effectiveness of internal control over financial reporting of CME Group Inc., incorporated by reference in this Annual Report (Form 10-K) for the year ended December 31, 2013.</w:t>
      </w: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2013</w:t>
      </w:r>
    </w:p>
    <w:p>
      <w:pPr>
        <w:sectPr>
          <w:pgSz w:w="11900" w:h="16838" w:orient="portrait"/>
          <w:cols w:equalWidth="0" w:num="1">
            <w:col w:w="11420"/>
          </w:cols>
          <w:pgMar w:left="240" w:top="652"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620" w:hanging="180"/>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Phupinder S. Gill</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20" w:hanging="180"/>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E. Parisi</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2013 as filed with the Securities and Exchange Commission on the date hereof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Phupinder S. Gill</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Date: February 28, 2014</w:t>
            </w:r>
          </w:p>
        </w:tc>
      </w:tr>
      <w:tr>
        <w:trPr>
          <w:trHeight w:val="567"/>
        </w:trPr>
        <w:tc>
          <w:tcPr>
            <w:tcW w:w="11420" w:type="dxa"/>
            <w:vAlign w:val="bottom"/>
            <w:gridSpan w:val="2"/>
          </w:tcPr>
          <w:p>
            <w:pPr>
              <w:ind w:left="40"/>
              <w:spacing w:after="0"/>
              <w:rPr>
                <w:sz w:val="20"/>
                <w:szCs w:val="20"/>
                <w:color w:val="auto"/>
              </w:rPr>
            </w:pPr>
            <w:r>
              <w:rPr>
                <w:rFonts w:ascii="Arial" w:cs="Arial" w:eastAsia="Arial" w:hAnsi="Arial"/>
                <w:sz w:val="18"/>
                <w:szCs w:val="18"/>
                <w:color w:val="auto"/>
              </w:rPr>
              <w:t>/s/ James E. Parisi</w:t>
            </w:r>
          </w:p>
        </w:tc>
      </w:tr>
      <w:tr>
        <w:trPr>
          <w:trHeight w:val="27"/>
        </w:trPr>
        <w:tc>
          <w:tcPr>
            <w:tcW w:w="680" w:type="dxa"/>
            <w:vAlign w:val="bottom"/>
            <w:tcBorders>
              <w:bottom w:val="single" w:sz="8" w:color="auto"/>
            </w:tcBorders>
          </w:tcPr>
          <w:p>
            <w:pPr>
              <w:spacing w:after="0"/>
              <w:rPr>
                <w:sz w:val="2"/>
                <w:szCs w:val="2"/>
                <w:color w:val="auto"/>
              </w:rPr>
            </w:pPr>
          </w:p>
        </w:tc>
        <w:tc>
          <w:tcPr>
            <w:tcW w:w="107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ind w:left="40"/>
              <w:spacing w:after="0"/>
              <w:rPr>
                <w:sz w:val="20"/>
                <w:szCs w:val="20"/>
                <w:color w:val="auto"/>
              </w:rPr>
            </w:pPr>
            <w:r>
              <w:rPr>
                <w:rFonts w:ascii="Arial" w:cs="Arial" w:eastAsia="Arial" w:hAnsi="Arial"/>
                <w:sz w:val="18"/>
                <w:szCs w:val="18"/>
                <w:color w:val="auto"/>
              </w:rPr>
              <w:t>Name:</w:t>
            </w:r>
          </w:p>
        </w:tc>
        <w:tc>
          <w:tcPr>
            <w:tcW w:w="10740" w:type="dxa"/>
            <w:vAlign w:val="bottom"/>
          </w:tcPr>
          <w:p>
            <w:pPr>
              <w:ind w:left="160"/>
              <w:spacing w:after="0"/>
              <w:rPr>
                <w:sz w:val="20"/>
                <w:szCs w:val="20"/>
                <w:color w:val="auto"/>
              </w:rPr>
            </w:pPr>
            <w:r>
              <w:rPr>
                <w:rFonts w:ascii="Arial" w:cs="Arial" w:eastAsia="Arial" w:hAnsi="Arial"/>
                <w:sz w:val="18"/>
                <w:szCs w:val="18"/>
                <w:color w:val="auto"/>
              </w:rPr>
              <w:t>James E. Parisi</w:t>
            </w:r>
          </w:p>
        </w:tc>
      </w:tr>
      <w:tr>
        <w:trPr>
          <w:trHeight w:val="270"/>
        </w:trPr>
        <w:tc>
          <w:tcPr>
            <w:tcW w:w="680" w:type="dxa"/>
            <w:vAlign w:val="bottom"/>
          </w:tcPr>
          <w:p>
            <w:pPr>
              <w:ind w:left="40"/>
              <w:spacing w:after="0"/>
              <w:rPr>
                <w:sz w:val="20"/>
                <w:szCs w:val="20"/>
                <w:color w:val="auto"/>
              </w:rPr>
            </w:pPr>
            <w:r>
              <w:rPr>
                <w:rFonts w:ascii="Arial" w:cs="Arial" w:eastAsia="Arial" w:hAnsi="Arial"/>
                <w:sz w:val="18"/>
                <w:szCs w:val="18"/>
                <w:color w:val="auto"/>
              </w:rPr>
              <w:t>Title:</w:t>
            </w:r>
          </w:p>
        </w:tc>
        <w:tc>
          <w:tcPr>
            <w:tcW w:w="107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2014</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emdash "/>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3"/>
    </w:lvl>
  </w:abstractNum>
  <w:abstractNum w:abstractNumId="44">
    <w:nsid w:val="4AD084E9"/>
    <w:multiLevelType w:val="hybridMultilevel"/>
    <w:lvl w:ilvl="0">
      <w:lvlJc w:val="left"/>
      <w:lvlText w:val="%1."/>
      <w:numFmt w:val="decimal"/>
      <w:start w:val="10"/>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1."/>
      <w:numFmt w:val="upperLetter"/>
      <w:start w:val="9"/>
    </w:lvl>
  </w:abstractNum>
  <w:abstractNum w:abstractNumId="48">
    <w:nsid w:val="100F8FCA"/>
    <w:multiLevelType w:val="hybridMultilevel"/>
    <w:lvl w:ilvl="0">
      <w:lvlJc w:val="left"/>
      <w:lvlText w:val="%1."/>
      <w:numFmt w:val="upperLetter"/>
      <w:start w:val="35"/>
    </w:lvl>
  </w:abstractNum>
  <w:abstractNum w:abstractNumId="49">
    <w:nsid w:val="6590700B"/>
    <w:multiLevelType w:val="hybridMultilevel"/>
    <w:lvl w:ilvl="0">
      <w:lvlJc w:val="left"/>
      <w:lvlText w:val="%1."/>
      <w:numFmt w:val="upperLetter"/>
      <w:start w:val="61"/>
    </w:lvl>
  </w:abstractNum>
  <w:abstractNum w:abstractNumId="50">
    <w:nsid w:val="15014ACB"/>
    <w:multiLevelType w:val="hybridMultilevel"/>
    <w:lvl w:ilvl="0">
      <w:lvlJc w:val="left"/>
      <w:lvlText w:val="%1."/>
      <w:numFmt w:val="upperLetter"/>
      <w:start w:val="22"/>
    </w:lvl>
    <w:lvl w:ilvl="1">
      <w:lvlJc w:val="left"/>
      <w:lvlText w:val="(%2)"/>
      <w:numFmt w:val="lowerLetter"/>
      <w:start w:val="1"/>
    </w:lvl>
  </w:abstractNum>
  <w:abstractNum w:abstractNumId="51">
    <w:nsid w:val="5F5E7FD0"/>
    <w:multiLevelType w:val="hybridMultilevel"/>
    <w:lvl w:ilvl="0">
      <w:lvlJc w:val="left"/>
      <w:lvlText w:val="(%1)"/>
      <w:numFmt w:val="lowerLetter"/>
      <w:start w:val="1"/>
    </w:lvl>
    <w:lvl w:ilvl="1">
      <w:lvlJc w:val="left"/>
      <w:lvlText w:val="(%2)"/>
      <w:numFmt w:val="lowerLetter"/>
      <w:start w:val="61"/>
    </w:lvl>
  </w:abstractNum>
  <w:abstractNum w:abstractNumId="52">
    <w:nsid w:val="98A3148"/>
    <w:multiLevelType w:val="hybridMultilevel"/>
    <w:lvl w:ilvl="0">
      <w:lvlJc w:val="left"/>
      <w:lvlText w:val="1"/>
      <w:numFmt w:val="bullet"/>
      <w:start w:val="1"/>
    </w:lvl>
  </w:abstractNum>
  <w:abstractNum w:abstractNumId="53">
    <w:nsid w:val="799D0247"/>
    <w:multiLevelType w:val="hybridMultilevel"/>
    <w:lvl w:ilvl="0">
      <w:lvlJc w:val="left"/>
      <w:lvlText w:val="%1."/>
      <w:numFmt w:val="upperLetter"/>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upperLetter"/>
      <w:start w:val="2"/>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upperLetter"/>
      <w:start w:val="9"/>
    </w:lvl>
  </w:abstractNum>
  <w:abstractNum w:abstractNumId="58">
    <w:nsid w:val="661E3F1E"/>
    <w:multiLevelType w:val="hybridMultilevel"/>
    <w:lvl w:ilvl="0">
      <w:lvlJc w:val="left"/>
      <w:lvlText w:val="%1."/>
      <w:numFmt w:val="upperLetter"/>
      <w:start w:val="35"/>
    </w:lvl>
  </w:abstractNum>
  <w:abstractNum w:abstractNumId="59">
    <w:nsid w:val="5DC79EA8"/>
    <w:multiLevelType w:val="hybridMultilevel"/>
    <w:lvl w:ilvl="0">
      <w:lvlJc w:val="left"/>
      <w:lvlText w:val="(%1)"/>
      <w:numFmt w:val="lowerLetter"/>
      <w:start w:val="4"/>
    </w:lvl>
  </w:abstractNum>
  <w:abstractNum w:abstractNumId="60">
    <w:nsid w:val="540A471C"/>
    <w:multiLevelType w:val="hybridMultilevel"/>
    <w:lvl w:ilvl="0">
      <w:lvlJc w:val="left"/>
      <w:lvlText w:val="%1."/>
      <w:numFmt w:val="upperLetter"/>
      <w:start w:val="61"/>
    </w:lvl>
  </w:abstractNum>
  <w:abstractNum w:abstractNumId="61">
    <w:nsid w:val="7BD3EE7B"/>
    <w:multiLevelType w:val="hybridMultilevel"/>
    <w:lvl w:ilvl="0">
      <w:lvlJc w:val="left"/>
      <w:lvlText w:val="%1."/>
      <w:numFmt w:val="upperLetter"/>
      <w:start w:val="22"/>
    </w:lvl>
    <w:lvl w:ilvl="1">
      <w:lvlJc w:val="left"/>
      <w:lvlText w:val="(%2)"/>
      <w:numFmt w:val="lowerLetter"/>
      <w:start w:val="1"/>
    </w:lvl>
    <w:lvl w:ilvl="2">
      <w:lvlJc w:val="left"/>
      <w:lvlText w:val="(%3)"/>
      <w:numFmt w:val="lowerLetter"/>
      <w:start w:val="1"/>
    </w:lvl>
  </w:abstractNum>
  <w:abstractNum w:abstractNumId="62">
    <w:nsid w:val="51D9C56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4"/>
    </w:lvl>
  </w:abstractNum>
  <w:abstractNum w:abstractNumId="63">
    <w:nsid w:val="613EFDC5"/>
    <w:multiLevelType w:val="hybridMultilevel"/>
    <w:lvl w:ilvl="0">
      <w:lvlJc w:val="left"/>
      <w:lvlText w:val="(%1)"/>
      <w:numFmt w:val="lowerLetter"/>
      <w:start w:val="5"/>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lowerLetter"/>
      <w:start w:val="3"/>
    </w:lvl>
  </w:abstractNum>
  <w:abstractNum w:abstractNumId="66">
    <w:nsid w:val="42963E5A"/>
    <w:multiLevelType w:val="hybridMultilevel"/>
    <w:lvl w:ilvl="0">
      <w:lvlJc w:val="left"/>
      <w:lvlText w:val="1"/>
      <w:numFmt w:val="bullet"/>
      <w:start w:val="1"/>
    </w:lvl>
  </w:abstractNum>
  <w:abstractNum w:abstractNumId="67">
    <w:nsid w:val="A0382C5"/>
    <w:multiLevelType w:val="hybridMultilevel"/>
    <w:lvl w:ilvl="0">
      <w:lvlJc w:val="left"/>
      <w:lvlText w:val="%1."/>
      <w:numFmt w:val="upperLetter"/>
      <w:start w:val="1"/>
    </w:lvl>
    <w:lvl w:ilvl="1">
      <w:lvlJc w:val="left"/>
      <w:lvlText w:val="%2."/>
      <w:numFmt w:val="decimal"/>
      <w:start w:val="1"/>
    </w:lvl>
  </w:abstractNum>
  <w:abstractNum w:abstractNumId="68">
    <w:nsid w:val="8F2B15E"/>
    <w:multiLevelType w:val="hybridMultilevel"/>
    <w:lvl w:ilvl="0">
      <w:lvlJc w:val="left"/>
      <w:lvlText w:val="%1."/>
      <w:numFmt w:val="decimal"/>
      <w:start w:val="2"/>
    </w:lvl>
  </w:abstractNum>
  <w:abstractNum w:abstractNumId="69">
    <w:nsid w:val="1A32234B"/>
    <w:multiLevelType w:val="hybridMultilevel"/>
    <w:lvl w:ilvl="0">
      <w:lvlJc w:val="left"/>
      <w:lvlText w:val="%1."/>
      <w:numFmt w:val="upperLetter"/>
      <w:start w:val="2"/>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decimal"/>
      <w:start w:val="2"/>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decimal"/>
      <w:start w:val="4"/>
    </w:lvl>
  </w:abstractNum>
  <w:abstractNum w:abstractNumId="76">
    <w:nsid w:val="7FFFCA11"/>
    <w:multiLevelType w:val="hybridMultilevel"/>
    <w:lvl w:ilvl="0">
      <w:lvlJc w:val="left"/>
      <w:lvlText w:val="%1."/>
      <w:numFmt w:val="decimal"/>
      <w:start w:val="7"/>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decimal"/>
      <w:start w:val="5"/>
    </w:lvl>
  </w:abstractNum>
  <w:abstractNum w:abstractNumId="82">
    <w:nsid w:val="6F6DD9AC"/>
    <w:multiLevelType w:val="hybridMultilevel"/>
    <w:lvl w:ilvl="0">
      <w:lvlJc w:val="left"/>
      <w:lvlText w:val="%1)"/>
      <w:numFmt w:val="lowerLetter"/>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decimal"/>
      <w:start w:val="5"/>
    </w:lvl>
  </w:abstractNum>
  <w:abstractNum w:abstractNumId="86">
    <w:nsid w:val="4C04A8AF"/>
    <w:multiLevelType w:val="hybridMultilevel"/>
    <w:lvl w:ilvl="0">
      <w:lvlJc w:val="left"/>
      <w:lvlText w:val="%1)"/>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2019-12-07T02:00:43Z</dcterms:created>
  <dcterms:modified xsi:type="dcterms:W3CDTF">2019-12-07T02:00:43Z</dcterms:modified>
</cp:coreProperties>
</file>