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20" w:hanging="572"/>
        <w:spacing w:after="0" w:line="237"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2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60" w:type="dxa"/>
            <w:vAlign w:val="bottom"/>
          </w:tcPr>
          <w:p>
            <w:pPr>
              <w:ind w:left="200"/>
              <w:spacing w:after="0"/>
              <w:rPr>
                <w:sz w:val="20"/>
                <w:szCs w:val="20"/>
                <w:color w:val="auto"/>
              </w:rPr>
            </w:pPr>
            <w:r>
              <w:rPr>
                <w:rFonts w:ascii="Arial" w:cs="Arial" w:eastAsia="Arial" w:hAnsi="Arial"/>
                <w:sz w:val="18"/>
                <w:szCs w:val="18"/>
                <w:b w:val="1"/>
                <w:bCs w:val="1"/>
                <w:color w:val="auto"/>
                <w:w w:val="87"/>
              </w:rPr>
              <w:t>Commission file number 000-33379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40" w:type="dxa"/>
            <w:vAlign w:val="bottom"/>
          </w:tcPr>
          <w:p>
            <w:pPr>
              <w:jc w:val="center"/>
              <w:ind w:right="3202"/>
              <w:spacing w:after="0"/>
              <w:rPr>
                <w:sz w:val="20"/>
                <w:szCs w:val="20"/>
                <w:color w:val="auto"/>
              </w:rPr>
            </w:pPr>
            <w:r>
              <w:rPr>
                <w:rFonts w:ascii="Arial" w:cs="Arial" w:eastAsia="Arial" w:hAnsi="Arial"/>
                <w:sz w:val="18"/>
                <w:szCs w:val="18"/>
                <w:b w:val="1"/>
                <w:bCs w:val="1"/>
                <w:color w:val="auto"/>
                <w:w w:val="88"/>
              </w:rPr>
              <w:t>Delaware</w:t>
            </w:r>
          </w:p>
        </w:tc>
        <w:tc>
          <w:tcPr>
            <w:tcW w:w="168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340" w:type="dxa"/>
            <w:vAlign w:val="bottom"/>
          </w:tcPr>
          <w:p>
            <w:pPr>
              <w:jc w:val="center"/>
              <w:ind w:right="32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6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40" w:type="dxa"/>
            <w:vAlign w:val="bottom"/>
          </w:tcPr>
          <w:p>
            <w:pPr>
              <w:jc w:val="center"/>
              <w:ind w:right="3222"/>
              <w:spacing w:after="0"/>
              <w:rPr>
                <w:sz w:val="20"/>
                <w:szCs w:val="20"/>
                <w:color w:val="auto"/>
              </w:rPr>
            </w:pPr>
            <w:r>
              <w:rPr>
                <w:rFonts w:ascii="Arial" w:cs="Arial" w:eastAsia="Arial" w:hAnsi="Arial"/>
                <w:sz w:val="14"/>
                <w:szCs w:val="14"/>
                <w:b w:val="1"/>
                <w:bCs w:val="1"/>
                <w:color w:val="auto"/>
                <w:w w:val="88"/>
              </w:rPr>
              <w:t>incorporation or organization)</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340" w:type="dxa"/>
            <w:vAlign w:val="bottom"/>
          </w:tcPr>
          <w:p>
            <w:pPr>
              <w:jc w:val="center"/>
              <w:ind w:right="3202"/>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68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340" w:type="dxa"/>
            <w:vAlign w:val="bottom"/>
          </w:tcPr>
          <w:p>
            <w:pPr>
              <w:jc w:val="center"/>
              <w:ind w:right="3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40" w:type="dxa"/>
            <w:vAlign w:val="bottom"/>
          </w:tcPr>
          <w:p>
            <w:pPr>
              <w:jc w:val="center"/>
              <w:ind w:left="2322"/>
              <w:spacing w:after="0"/>
              <w:rPr>
                <w:sz w:val="20"/>
                <w:szCs w:val="20"/>
                <w:color w:val="auto"/>
              </w:rPr>
            </w:pPr>
            <w:r>
              <w:rPr>
                <w:rFonts w:ascii="Arial" w:cs="Arial" w:eastAsia="Arial" w:hAnsi="Arial"/>
                <w:sz w:val="18"/>
                <w:szCs w:val="18"/>
                <w:b w:val="1"/>
                <w:bCs w:val="1"/>
                <w:color w:val="auto"/>
                <w:w w:val="89"/>
              </w:rPr>
              <w:t>(312) 930-1000</w:t>
            </w:r>
          </w:p>
        </w:tc>
        <w:tc>
          <w:tcPr>
            <w:tcW w:w="1680" w:type="dxa"/>
            <w:vAlign w:val="bottom"/>
          </w:tcPr>
          <w:p>
            <w:pPr>
              <w:spacing w:after="0"/>
              <w:rPr>
                <w:sz w:val="24"/>
                <w:szCs w:val="24"/>
                <w:color w:val="auto"/>
              </w:rPr>
            </w:pPr>
          </w:p>
        </w:tc>
      </w:tr>
      <w:tr>
        <w:trPr>
          <w:trHeight w:val="174"/>
        </w:trPr>
        <w:tc>
          <w:tcPr>
            <w:tcW w:w="6340" w:type="dxa"/>
            <w:vAlign w:val="bottom"/>
          </w:tcPr>
          <w:p>
            <w:pPr>
              <w:jc w:val="center"/>
              <w:ind w:lef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680" w:type="dxa"/>
            <w:vAlign w:val="bottom"/>
          </w:tcPr>
          <w:p>
            <w:pPr>
              <w:spacing w:after="0"/>
              <w:rPr>
                <w:sz w:val="15"/>
                <w:szCs w:val="15"/>
                <w:color w:val="auto"/>
              </w:rPr>
            </w:pPr>
          </w:p>
        </w:tc>
      </w:tr>
      <w:tr>
        <w:trPr>
          <w:trHeight w:val="363"/>
        </w:trPr>
        <w:tc>
          <w:tcPr>
            <w:tcW w:w="6340" w:type="dxa"/>
            <w:vAlign w:val="bottom"/>
          </w:tcPr>
          <w:p>
            <w:pPr>
              <w:jc w:val="center"/>
              <w:ind w:left="2322"/>
              <w:spacing w:after="0"/>
              <w:rPr>
                <w:sz w:val="20"/>
                <w:szCs w:val="20"/>
                <w:color w:val="auto"/>
              </w:rPr>
            </w:pPr>
            <w:r>
              <w:rPr>
                <w:rFonts w:ascii="Arial" w:cs="Arial" w:eastAsia="Arial" w:hAnsi="Arial"/>
                <w:sz w:val="18"/>
                <w:szCs w:val="18"/>
                <w:b w:val="1"/>
                <w:bCs w:val="1"/>
                <w:color w:val="auto"/>
                <w:w w:val="88"/>
              </w:rPr>
              <w:t>Chicago Mercantile Exchange Holdings Inc.</w:t>
            </w:r>
          </w:p>
        </w:tc>
        <w:tc>
          <w:tcPr>
            <w:tcW w:w="1680" w:type="dxa"/>
            <w:vAlign w:val="bottom"/>
          </w:tcPr>
          <w:p>
            <w:pPr>
              <w:spacing w:after="0"/>
              <w:rPr>
                <w:sz w:val="24"/>
                <w:szCs w:val="24"/>
                <w:color w:val="auto"/>
              </w:rPr>
            </w:pPr>
          </w:p>
        </w:tc>
      </w:tr>
    </w:tbl>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00"/>
          </w:cols>
          <w:pgMar w:left="240" w:top="230" w:right="259" w:bottom="1440" w:gutter="0" w:footer="0" w:header="0"/>
        </w:sectPr>
      </w:pPr>
    </w:p>
    <w:p>
      <w:pPr>
        <w:spacing w:after="0" w:line="132" w:lineRule="exact"/>
        <w:rPr>
          <w:sz w:val="24"/>
          <w:szCs w:val="24"/>
          <w:color w:val="auto"/>
        </w:rPr>
      </w:pPr>
    </w:p>
    <w:p>
      <w:pPr>
        <w:ind w:left="30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620" w:space="100"/>
            <w:col w:w="160" w:space="160"/>
            <w:col w:w="1180" w:space="80"/>
            <w:col w:w="160" w:space="180"/>
            <w:col w:w="1480" w:space="100"/>
            <w:col w:w="3180"/>
          </w:cols>
          <w:pgMar w:left="240" w:top="230"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220"/>
            <w:col w:w="260" w:space="80"/>
            <w:col w:w="160" w:space="220"/>
            <w:col w:w="2480"/>
          </w:cols>
          <w:pgMar w:left="240" w:top="230" w:right="259" w:bottom="1440" w:gutter="0" w:footer="0" w:header="0"/>
          <w:type w:val="continuous"/>
        </w:sectPr>
      </w:pPr>
    </w:p>
    <w:p>
      <w:pPr>
        <w:spacing w:after="0" w:line="6"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July 25, 2007 was as follows: 54,764,217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80" w:type="dxa"/>
            <w:vAlign w:val="bottom"/>
            <w:gridSpan w:val="10"/>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60" w:type="dxa"/>
            <w:vAlign w:val="bottom"/>
            <w:tcBorders>
              <w:bottom w:val="single" w:sz="8" w:color="0000EE"/>
            </w:tcBorders>
            <w:gridSpan w:val="8"/>
            <w:vMerge w:val="continue"/>
          </w:tcPr>
          <w:p>
            <w:pPr>
              <w:spacing w:after="0"/>
              <w:rPr>
                <w:sz w:val="14"/>
                <w:szCs w:val="14"/>
                <w:color w:val="auto"/>
              </w:rPr>
            </w:pPr>
          </w:p>
        </w:tc>
        <w:tc>
          <w:tcPr>
            <w:tcW w:w="808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60" w:type="dxa"/>
            <w:vAlign w:val="bottom"/>
            <w:tcBorders>
              <w:bottom w:val="single" w:sz="8" w:color="0000EE"/>
            </w:tcBorders>
            <w:gridSpan w:val="4"/>
          </w:tcPr>
          <w:p>
            <w:pPr>
              <w:spacing w:after="0"/>
              <w:rPr>
                <w:rFonts w:ascii="Arial" w:cs="Arial" w:eastAsia="Arial" w:hAnsi="Arial"/>
                <w:sz w:val="18"/>
                <w:szCs w:val="18"/>
                <w:b w:val="1"/>
                <w:bCs w:val="1"/>
                <w:color w:val="0000EE"/>
                <w:w w:val="85"/>
              </w:rPr>
            </w:pPr>
            <w:hyperlink w:anchor="page5">
              <w:r>
                <w:rPr>
                  <w:rFonts w:ascii="Arial" w:cs="Arial" w:eastAsia="Arial" w:hAnsi="Arial"/>
                  <w:sz w:val="18"/>
                  <w:szCs w:val="18"/>
                  <w:b w:val="1"/>
                  <w:bCs w:val="1"/>
                  <w:color w:val="0000EE"/>
                  <w:w w:val="85"/>
                </w:rPr>
                <w:t>Financial Statements</w:t>
              </w:r>
            </w:hyperlink>
          </w:p>
        </w:tc>
        <w:tc>
          <w:tcPr>
            <w:tcW w:w="878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4940" w:type="dxa"/>
            <w:vAlign w:val="bottom"/>
            <w:tcBorders>
              <w:bottom w:val="single" w:sz="8" w:color="0000EE"/>
            </w:tcBorders>
            <w:gridSpan w:val="12"/>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Consolidated Balance Sheets at June 30, 2007 and December 31, 2006</w:t>
              </w:r>
            </w:hyperlink>
          </w:p>
        </w:tc>
        <w:tc>
          <w:tcPr>
            <w:tcW w:w="540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69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Income for the Quarter and Six Months Ended June 30, 2007 and 2006</w:t>
              </w:r>
            </w:hyperlink>
          </w:p>
        </w:tc>
        <w:tc>
          <w:tcPr>
            <w:tcW w:w="34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70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Shareholders’ Equity for the Six Months Ended June 30, 2007 and 2006</w:t>
              </w:r>
            </w:hyperlink>
          </w:p>
        </w:tc>
        <w:tc>
          <w:tcPr>
            <w:tcW w:w="33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63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Cash Flows for the Six Months Ended June 30, 2007 and 2006</w:t>
              </w:r>
            </w:hyperlink>
          </w:p>
        </w:tc>
        <w:tc>
          <w:tcPr>
            <w:tcW w:w="398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340" w:type="dxa"/>
            <w:vAlign w:val="bottom"/>
            <w:gridSpan w:val="17"/>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Management’s Discussion and Analysis of Financial Condition and 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0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70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340" w:type="dxa"/>
            <w:vAlign w:val="bottom"/>
            <w:gridSpan w:val="1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8"/>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9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Legal Proceedings</w:t>
              </w:r>
            </w:hyperlink>
          </w:p>
        </w:tc>
        <w:tc>
          <w:tcPr>
            <w:tcW w:w="838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34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Risk Factors</w:t>
              </w:r>
            </w:hyperlink>
          </w:p>
        </w:tc>
        <w:tc>
          <w:tcPr>
            <w:tcW w:w="900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40" w:type="dxa"/>
            <w:vAlign w:val="bottom"/>
            <w:tcBorders>
              <w:bottom w:val="single" w:sz="8" w:color="0000EE"/>
            </w:tcBorders>
            <w:gridSpan w:val="10"/>
          </w:tcPr>
          <w:p>
            <w:pPr>
              <w:spacing w:after="0"/>
              <w:rPr>
                <w:rFonts w:ascii="Arial" w:cs="Arial" w:eastAsia="Arial" w:hAnsi="Arial"/>
                <w:sz w:val="18"/>
                <w:szCs w:val="18"/>
                <w:b w:val="1"/>
                <w:bCs w:val="1"/>
                <w:color w:val="0000EE"/>
                <w:w w:val="85"/>
              </w:rPr>
            </w:pPr>
            <w:hyperlink w:anchor="page24">
              <w:r>
                <w:rPr>
                  <w:rFonts w:ascii="Arial" w:cs="Arial" w:eastAsia="Arial" w:hAnsi="Arial"/>
                  <w:sz w:val="18"/>
                  <w:szCs w:val="18"/>
                  <w:b w:val="1"/>
                  <w:bCs w:val="1"/>
                  <w:color w:val="0000EE"/>
                  <w:w w:val="85"/>
                </w:rPr>
                <w:t>Unregistered Sales of Equity Securities and Use of Proceeds</w:t>
              </w:r>
            </w:hyperlink>
          </w:p>
        </w:tc>
        <w:tc>
          <w:tcPr>
            <w:tcW w:w="59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340" w:type="dxa"/>
            <w:vAlign w:val="bottom"/>
            <w:gridSpan w:val="17"/>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Submission of Matters to a Vote of Security Holders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86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Exhibits</w:t>
              </w:r>
            </w:hyperlink>
          </w:p>
        </w:tc>
        <w:tc>
          <w:tcPr>
            <w:tcW w:w="648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40" w:type="dxa"/>
            <w:vAlign w:val="bottom"/>
            <w:gridSpan w:val="1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83"/>
        </w:trPr>
        <w:tc>
          <w:tcPr>
            <w:tcW w:w="800" w:type="dxa"/>
            <w:vAlign w:val="bottom"/>
            <w:tcBorders>
              <w:top w:val="single" w:sz="8" w:color="0000EE"/>
            </w:tcBorders>
          </w:tcPr>
          <w:p>
            <w:pPr>
              <w:spacing w:after="0"/>
              <w:rPr>
                <w:sz w:val="24"/>
                <w:szCs w:val="24"/>
                <w:color w:val="auto"/>
              </w:rPr>
            </w:pPr>
          </w:p>
        </w:tc>
        <w:tc>
          <w:tcPr>
            <w:tcW w:w="6360" w:type="dxa"/>
            <w:vAlign w:val="bottom"/>
            <w:gridSpan w:val="13"/>
          </w:tcPr>
          <w:p>
            <w:pPr>
              <w:jc w:val="right"/>
              <w:ind w:right="14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July 12, 2007, CBOT Holdings, Inc. (CBOT Holdings) merged with and into Chicago Mercantile Exchange Holdings Inc. (CME Holdings). Immediately following the merger, the combined company was renamed “CME Group Inc.” Items 1, 2 and 3 of this report include only the consolidated financial results of CME Holdings and its subsidiaries as of and through June 30, 2007.</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to not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our merger with CBOT Holdings and successfully integrate the businesses;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foreign and domestic competitors,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 provided to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and attract new 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w:t>
      </w:r>
    </w:p>
    <w:p>
      <w:pPr>
        <w:spacing w:after="0" w:line="90" w:lineRule="exact"/>
        <w:rPr>
          <w:rFonts w:ascii="Arial" w:cs="Arial" w:eastAsia="Arial" w:hAnsi="Arial"/>
          <w:sz w:val="18"/>
          <w:szCs w:val="18"/>
          <w:color w:val="auto"/>
        </w:rPr>
      </w:pPr>
    </w:p>
    <w:p>
      <w:pPr>
        <w:ind w:left="900" w:right="32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our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accommodate increases in trading volume and order transaction traffic without failure or degradation of performance of our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a detailed discussion of these and other factors that might affect our performance, see our Annual Report on Form 10-K for the year ended December 31, 2006, filed with the Securities and Exchange Commission (SEC) on March 1, 2007 and Item 1A of this Report and our Quarterly Report for the quarter ended March 31, 2007, filed with the SEC on May 8, 2007.</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Globe logo, CME, Chicago Mercantile Exchange, CME Group, Globex and E-mini are trademarks of Chicago Mercantile Exchange Inc. CBOT and Chicago Board of Trade are trademarks of the Board of Trade of the City of Chicago, Inc. TRAKRS and Total Return Asset Contracts are trademarks of Merrill Lynch &amp; Co., Inc. These trademarks are used herein under license. All other trademarks are the property of their respective owners. Further information about CME Group and its products can be found at </w:t>
      </w:r>
      <w:r>
        <w:rPr>
          <w:rFonts w:ascii="Arial" w:cs="Arial" w:eastAsia="Arial" w:hAnsi="Arial"/>
          <w:sz w:val="16"/>
          <w:szCs w:val="16"/>
          <w:u w:val="single" w:color="auto"/>
          <w:color w:val="auto"/>
        </w:rPr>
        <w:t>http://www.cmegroup.com/</w:t>
      </w:r>
      <w:r>
        <w:rPr>
          <w:rFonts w:ascii="Arial" w:cs="Arial" w:eastAsia="Arial" w:hAnsi="Arial"/>
          <w:sz w:val="16"/>
          <w:szCs w:val="16"/>
          <w:color w:val="auto"/>
        </w:rPr>
        <w:t>. Information made available on our Web site does not constitute a part of this report.</w:t>
      </w:r>
    </w:p>
    <w:p>
      <w:pPr>
        <w:spacing w:after="0" w:line="11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CME products. Unless otherwise noted, disclosures of trading volume and average rate per contract exclude our TRAKRS products.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CME Economic Derivatives are options and forwards geared to seven key U.S. and European economic indicators that trade in an auction format. Clearing and transaction fees on CME Economic Derivative products are based on notional values rather than volume and are minimal relative to other CME products. Unless otherwise noted, disclosures of trading volume and average rate per contract exclude these products.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Unless otherwise noted, disclosures of trading volume and average rate per contract exclude these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this Quarterly Report on Form 10-Q, we refer to our cash earnings, a non-GAAP number. A reconciliation of our cash earnings to net income for the six months ended June 30, 2007 and 2006 is set forth on page 21.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9"/>
              </w:rPr>
              <w:t>CHICAGO MERCANTILE EXCHANGE HOLDINGS INC. AND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6"/>
              </w:rPr>
              <w:t>CONSOLIDATED BALANCE SHEETS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0" w:type="dxa"/>
            <w:vAlign w:val="bottom"/>
          </w:tcPr>
          <w:p>
            <w:pPr>
              <w:jc w:val="center"/>
              <w:ind w:left="1212"/>
              <w:spacing w:after="0"/>
              <w:rPr>
                <w:sz w:val="20"/>
                <w:szCs w:val="20"/>
                <w:color w:val="auto"/>
              </w:rPr>
            </w:pPr>
            <w:r>
              <w:rPr>
                <w:rFonts w:ascii="Arial" w:cs="Arial" w:eastAsia="Arial" w:hAnsi="Arial"/>
                <w:sz w:val="18"/>
                <w:szCs w:val="18"/>
                <w:color w:val="auto"/>
                <w:w w:val="86"/>
              </w:rPr>
              <w:t>(in thousands, except share data)</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12"/>
              <w:spacing w:after="0"/>
              <w:rPr>
                <w:sz w:val="20"/>
                <w:szCs w:val="20"/>
                <w:color w:val="auto"/>
              </w:rPr>
            </w:pPr>
            <w:r>
              <w:rPr>
                <w:rFonts w:ascii="Arial" w:cs="Arial" w:eastAsia="Arial" w:hAnsi="Arial"/>
                <w:sz w:val="18"/>
                <w:szCs w:val="18"/>
                <w:color w:val="auto"/>
                <w:w w:val="90"/>
              </w:rPr>
              <w:t>(unaudited)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1,174,947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2,435,851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2,130,156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$65,557 and $100,729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$689 and $552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4,989,925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4,049,050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$376,050 and $346,531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8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7"/>
              </w:rPr>
              <w:t>Total Assets</w:t>
            </w:r>
          </w:p>
        </w:tc>
        <w:tc>
          <w:tcPr>
            <w:tcW w:w="8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5,303,733</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4,306,505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2,435,851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2,130,156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3,512,757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2,755,354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3,562,977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2,787,413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9,860,000 shares authorized, none issued or outstanding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w w:val="93"/>
              </w:rPr>
              <w:t>Series A junior participating preferred stock, $0.01 par value, 140,000 shares authorized, none issued or outstanding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Class A common stock, $0.01 par value, 138,000,000 shares authorized, 34,911,601 and 34,835,588 shares issued and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outstanding as of June 30, 2007 and December 31, 2006, respectively</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Class B common stock, $0.01 par value, 3,138 shares authorized, issued and outstanding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1,308,375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1,116,209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1,740,756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1,519,092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5,303,733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4,306,505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MERCANTILE EXCHANGE HOLDINGS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252,723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228,519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510,964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429,316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Processing services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Quotation data fees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24,326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49,342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fees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Communication fees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329,009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282,209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661,340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533,926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56,729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113,129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Communications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Technology support services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17,537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20,428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17,596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40,417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18,188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advertising and public relations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13,102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136,788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115,413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268,512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192,221</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166,796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392,828</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305,638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and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19,394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36,699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income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Securities lending interest expense</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(34,331)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(22,769)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(66,756)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Non-Operating</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17,212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31,962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209,433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179,894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424,790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(83,558)</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(70,361)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(168,887)</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(129,449)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125,875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109,533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255,903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34,882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34,639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34,867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60"/>
        <w:spacing w:after="0" w:line="261" w:lineRule="auto"/>
        <w:rPr>
          <w:sz w:val="20"/>
          <w:szCs w:val="20"/>
          <w:color w:val="auto"/>
        </w:rPr>
      </w:pPr>
      <w:r>
        <w:rPr>
          <w:rFonts w:ascii="Arial" w:cs="Arial" w:eastAsia="Arial" w:hAnsi="Arial"/>
          <w:sz w:val="18"/>
          <w:szCs w:val="18"/>
          <w:b w:val="1"/>
          <w:bCs w:val="1"/>
          <w:color w:val="auto"/>
        </w:rPr>
        <w:t xml:space="preserve">CHICAGO MERCANTILE EXCHANGE HOLDINGS INC. AND SUBSIDIARIES CONSOLIDATED STATEMENTS OF SHAREHOLDERS’ EQUITY </w:t>
      </w:r>
      <w:r>
        <w:rPr>
          <w:rFonts w:ascii="Arial" w:cs="Arial" w:eastAsia="Arial" w:hAnsi="Arial"/>
          <w:sz w:val="18"/>
          <w:szCs w:val="18"/>
          <w:color w:val="auto"/>
        </w:rPr>
        <w:t>(in thousands, except share and per share data)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(Shares)</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34,835,588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$ 405,862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1,116,209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$ 1,519,092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Cumulative effect of adopting new accounting standard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34,835,588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405,862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1,112,489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$482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actuarial pension loss, net of tax of $858</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w w:val="99"/>
              </w:rPr>
              <w:t>Change in foreign currency translation adjustment, net of tax of</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460" w:type="dxa"/>
            <w:vAlign w:val="bottom"/>
            <w:gridSpan w:val="2"/>
          </w:tcPr>
          <w:p>
            <w:pPr>
              <w:jc w:val="right"/>
              <w:ind w:right="4372"/>
              <w:spacing w:after="0"/>
              <w:rPr>
                <w:sz w:val="20"/>
                <w:szCs w:val="20"/>
                <w:color w:val="auto"/>
              </w:rPr>
            </w:pPr>
            <w:r>
              <w:rPr>
                <w:rFonts w:ascii="Arial" w:cs="Arial" w:eastAsia="Arial" w:hAnsi="Arial"/>
                <w:sz w:val="18"/>
                <w:szCs w:val="18"/>
                <w:color w:val="auto"/>
              </w:rPr>
              <w:t>$200</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dividends on common stock of $1.72 per share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11,814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2,922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34,911,601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$ 435,597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1,308,375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(3,216)</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$ 1,740,756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34,544,719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$ 325,193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796,398</w:t>
            </w:r>
          </w:p>
        </w:tc>
        <w:tc>
          <w:tcPr>
            <w:tcW w:w="1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(2,907)</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$ 1,118,684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200,946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200,946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loss on securities, net of tax of $181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$1.26 per share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Sale of membership shares by OneChicago, LLC, net of tax of $1,717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18,680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2,158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34,678,894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$ 361,341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953,685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(3,184)</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$ 1,311,842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MERCANTILE EXCHANGE HOLDINGS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255,903</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$200,946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40,417</w:t>
            </w:r>
          </w:p>
        </w:tc>
        <w:tc>
          <w:tcPr>
            <w:tcW w:w="680" w:type="dxa"/>
            <w:vAlign w:val="bottom"/>
          </w:tcPr>
          <w:p>
            <w:pPr>
              <w:jc w:val="right"/>
              <w:spacing w:after="0"/>
              <w:rPr>
                <w:sz w:val="20"/>
                <w:szCs w:val="20"/>
                <w:color w:val="auto"/>
              </w:rPr>
            </w:pPr>
            <w:r>
              <w:rPr>
                <w:rFonts w:ascii="Arial" w:cs="Arial" w:eastAsia="Arial" w:hAnsi="Arial"/>
                <w:sz w:val="18"/>
                <w:szCs w:val="18"/>
                <w:color w:val="auto"/>
              </w:rPr>
              <w:t>34,983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678</w:t>
            </w:r>
          </w:p>
        </w:tc>
        <w:tc>
          <w:tcPr>
            <w:tcW w:w="68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deferred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6,391</w:t>
            </w:r>
          </w:p>
        </w:tc>
        <w:tc>
          <w:tcPr>
            <w:tcW w:w="680" w:type="dxa"/>
            <w:vAlign w:val="bottom"/>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(accretion) of premiums and discounts on marketable securities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817</w:t>
            </w:r>
          </w:p>
        </w:tc>
        <w:tc>
          <w:tcPr>
            <w:tcW w:w="680" w:type="dxa"/>
            <w:vAlign w:val="bottom"/>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allowance for doubtful accounts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Change in accounts receivable</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(37,310)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other current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Change in other assets</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accounts payable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Change in other current liabilities</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(10,372)</w:t>
            </w:r>
          </w:p>
        </w:tc>
        <w:tc>
          <w:tcPr>
            <w:tcW w:w="680" w:type="dxa"/>
            <w:vAlign w:val="bottom"/>
          </w:tcPr>
          <w:p>
            <w:pPr>
              <w:jc w:val="right"/>
              <w:spacing w:after="0"/>
              <w:rPr>
                <w:sz w:val="20"/>
                <w:szCs w:val="20"/>
                <w:color w:val="auto"/>
              </w:rPr>
            </w:pPr>
            <w:r>
              <w:rPr>
                <w:rFonts w:ascii="Arial" w:cs="Arial" w:eastAsia="Arial" w:hAnsi="Arial"/>
                <w:sz w:val="18"/>
                <w:szCs w:val="18"/>
                <w:color w:val="auto"/>
              </w:rPr>
              <w:t>12,367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260,792</w:t>
            </w:r>
          </w:p>
        </w:tc>
        <w:tc>
          <w:tcPr>
            <w:tcW w:w="680" w:type="dxa"/>
            <w:vAlign w:val="bottom"/>
          </w:tcPr>
          <w:p>
            <w:pPr>
              <w:jc w:val="right"/>
              <w:spacing w:after="0"/>
              <w:rPr>
                <w:sz w:val="20"/>
                <w:szCs w:val="20"/>
                <w:color w:val="auto"/>
              </w:rPr>
            </w:pPr>
            <w:r>
              <w:rPr>
                <w:rFonts w:ascii="Arial" w:cs="Arial" w:eastAsia="Arial" w:hAnsi="Arial"/>
                <w:sz w:val="18"/>
                <w:szCs w:val="18"/>
                <w:color w:val="auto"/>
              </w:rPr>
              <w:t>195,028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Purchases of property, net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(50,071)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maturities of marketable securities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136,639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(65,492)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transaction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Capital contributions to FXMarketSpace Limited</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(14,452)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Capital contributions to OneChicago, LLC</w:t>
            </w: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6,246</w:t>
            </w:r>
          </w:p>
        </w:tc>
        <w:tc>
          <w:tcPr>
            <w:tcW w:w="680" w:type="dxa"/>
            <w:vAlign w:val="bottom"/>
          </w:tcPr>
          <w:p>
            <w:pPr>
              <w:jc w:val="right"/>
              <w:spacing w:after="0"/>
              <w:rPr>
                <w:sz w:val="20"/>
                <w:szCs w:val="20"/>
                <w:color w:val="auto"/>
              </w:rPr>
            </w:pPr>
            <w:r>
              <w:rPr>
                <w:rFonts w:ascii="Arial" w:cs="Arial" w:eastAsia="Arial" w:hAnsi="Arial"/>
                <w:sz w:val="18"/>
                <w:szCs w:val="18"/>
                <w:color w:val="auto"/>
              </w:rPr>
              <w:t>6,584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(17,916)</w:t>
            </w: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205,443</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969,504</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1,174,947</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782,145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168,116</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$108,475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Change in net unrealized securities gains (losses)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 of membership shares by OneChicago, LLC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Change in foreign currency translation</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502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MERCANTILE EXCHANGE HOLDINGS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Immediately following the merger, the combined company was renamed “CME Group Inc.” The financial statements and accompanying notes presented in this report include only the consolidated financial results of CME Holdings and its subsidiaries as of and through June 30, 2007.</w:t>
      </w:r>
    </w:p>
    <w:p>
      <w:pPr>
        <w:spacing w:after="0" w:line="10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accompanying interim consolidated financial statements have been prepared by CME Holdings without audit. Certain notes and other information normally included in financial statements prepared in accordance with accounting principles generally accepted in the United States have been condensed or omitted.</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consolidated financial statements consist of CME Holdings and its subsidiaries (collectively, the company), including Chicago Mercantile Exchange Inc. and its subsidiaries (CME or the exchange). In the opinion of management, the accompanying consolidated financial statements include all normal recurring adjustments considered necessary to present fairly the financial position of the company at June 30, 2007 and December 31, 2006, and the results of operations and its cash flows for the periods indicated. Quarterly results are not necessarily indicative of results for any subsequent period.</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the CME Holdings’ Annual Report on Form 10-K for the year ended December 31,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2006 financial statements to conform to the presentation in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Security Deposits</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Each firm that clears futures and options on futures traded on the exchange is required to deposit and maintain specified performance bonds and security deposits principally in the form of cash, funds deposited in the various Interest Earnings Facility programs, U.S. Government and certain foreign government securities, bank letters of credit or shares of specific U.S. equity securities. For Chicago Board of Trade (CBOT) products cleared by CME, these positions are combined with that clearing firm’s CME positions to create a single portfolio for which performance bond and security deposit requirements are calculated. Performance bonds and security deposits are available to meet the financial obligations of that clearing firm to the exchange.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the exchange in excess of amounts needed for normal operations. Cash performance bonds and security deposits may fluctuate due to the investment choices available to clearing firms and the change in the amount of deposits required. As a result, these assets and offsetting liabilities may vary significantly over time.</w:t>
      </w:r>
    </w:p>
    <w:p>
      <w:pPr>
        <w:spacing w:after="0" w:line="12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Beginning in February 2007, CME began clearing over-the-counter foreign exchange products for FXMarketSpace Limited (FXMS). CME requires the deposit and maintenance of performance bonds and security deposits for these products. The cash portion of these performance bonds and security deposits are reflected in the consolidated balance sheet as of June 30,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Contingencies and Guarantees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On March 16, 2007, Louisiana Municipal Police Employees’ Retirement System (LAMPERS) filed a class action complaint in the Delaware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Chancery against CBOT Holdings, its directors and CME Holdings. The complaint alleges, among other things, that CBOT Holdings and its directors breached their fiduciary duties related to the sale of CBOT Holdings by approving allegedly improper deal protection devices including a $240.0 million termination fee and a no-shop/no-talk provision. The complaint further alleges that CME Holdings aided and abetted the alleged breaches of fiduciary duty. Based on revisions to the merger providing for the special dividend and granting appraisal rights to holders of shares of CBOT Holdings, the company and LAMPERS have reached a memorandum of understanding for the settlement of this litigation, which was contingent upon the closing of the merger and remains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subject to final approval of the court. As part of the settlement, the company has agreed to pay the fees and expenses of plaintiff’s counsel in an amount not to exceed $7.4 million. We expect to recognize these settlement costs in the third quarter of 2007.</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each maintain collateral payable to the other exchange under their mutual offset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CME can maintain collateral in the form of U.S. Treasury securities or irrevocable letters of credit. At June 30, 2007, CME was contingently liable to SGX on irrevocable letters of credit totaling $94.0 million and had pledged securities with a fair value of $65.6 million. Regardless of the collateral, CME guarantees all cleared transactions submitted through SGX and would initiate procedures designed to satisfy these financial obligations in the event of a default, such as the use of security deposits and performance bonds of the defaulting clearing firm.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Joint Ventures and Related Party Transactions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CME provides trading, clearing, regulatory and billing services to FXMS. In connection with these services, CME has accounts receivable outstanding as of June 30, 2007 of $2.7 million for certain system development and implementation costs incurred, including $1.5 million of reimbursable operating costs paid on behalf of FXMS. As of December 31, 2006, $4.9 million was included in accounts receivable, including reimbursable operating costs paid on behalf of FXMS of $2.4 million. Deferred revenue related to future services totaled $10.4 million and $10.2 million, respectively, as of June 30, 2007 and December 31, 2006 and is included in other current liabilities and other liabilities. Deferred revenue is recognized on a straight-line basis over the term of service, which began in February 2007. Recognition of deferred revenue and monthly fees earned for ongoing trading, clearing, regulatory and billing services totaled $0.7 million and $1.1 million, respectively, for the quarter and six months ended June 30, 2007. During the first six months of 2007, CME made additional capital contributions to FXMS of $14.5 million under the terms of the joint venture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Payments</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Total expense for stock-based payments, including shares issued to the Board of Directors, was $10.2 million for the six months ended June 30, 2007 and $7.2 million for the six months ended June 30, 2006. The total income tax benefit recognized in the consolidated statements of income for stock-based payment arrangements was $4.1 million and $2.9 million for the six months ended June 30, 2007 and 2006, respectively.</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first half of 2007, the company granted employees stock options totaling 124,945 shares under the Omnibus Stock Plan. The options have a ten-year term with exercise prices ranging between $533 and $553 per share, the closing market prices on the dates of grant. The fair value of these options totaled $24.5 million, measured at the grant dates using the Black-Scholes valuation model. The Black-Scholes fair value of the option grants was calculated using the following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assumptions: dividend yield ranging from 0.6% to 0.7%; expected volatility ranging from 25.4% to 30.0%; risk-free interest rate ranging from 4.5% to 5.1%; and expected life of 6.5 years. The grant date weighted average fair value of options granted during the first two quarters was $196 per share.</w:t>
      </w:r>
    </w:p>
    <w:p>
      <w:pPr>
        <w:spacing w:after="0" w:line="8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Year to date, the company also granted 3,945 shares of restricted Class A common stock which generally have a vesting period of five years. The fair value of these grants is $2.2 million, which is recognized as compensation expense on an accelerated basis over the vesting period.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CME Holdings issued 2,922 and 2,158 shares of Class A common stock to its non-executive directors during the first two quarters of 2007 and 2006,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grants was $1.5 million and $0.9 million, respectively. These shares are not subject to any vesting restrictions.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January 1, 2007, the company adopted the provisions of Financial Accounting Standards Board Interpretation (FIN) No. 48, “Accounting for Uncertain Tax Positions.” At adoption, the company recorded a cumulative effect adjustment that reduced the balance of retained earnings as of January 1, 2007. At adoption, the company had gross unrecognized tax benefits of $5.3 million. Net of the tax impact in other jurisdictions, these unrecognized tax benefits were $3.8 million and would be recorded as a net reduction to income tax expense if recognized in the future. The company classifies interest and penalties related to uncertain tax positions in income tax expense. Total interest and penalties related to the unrecognized tax benefits were $1.3 million at adoption. There have been no material changes in unrecognized tax benefits or interest and penalties related to unrecognized tax benefits since adoption.</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is subject to U.S. federal income tax as well as income taxes in multiple state and foreign jurisdictions. Substantially all federal, state, local and foreign income tax matters have been concluded for years through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and restricted stock awards of approximately 134,000 and 131,000 were anti-dilutive for the quarter and six months ended June 30, 2007, respectively. Approximately 131,000 outstanding stock options and restricted stock awards were anti-dilutive for the quarter and six months ended June 30, 2006. These shares were not included in the diluted earnings per share calculation.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3"/>
        </w:trPr>
        <w:tc>
          <w:tcPr>
            <w:tcW w:w="4500" w:type="dxa"/>
            <w:vAlign w:val="bottom"/>
            <w:gridSpan w:val="2"/>
          </w:tcPr>
          <w:p>
            <w:pPr>
              <w:spacing w:after="0" w:line="143"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8"/>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3"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8"/>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109,533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255,903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w:t>
            </w: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Effect of stock options</w:t>
            </w: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restricted stock grants</w:t>
            </w: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Basic</w:t>
            </w:r>
          </w:p>
        </w:tc>
        <w:tc>
          <w:tcPr>
            <w:tcW w:w="3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60" w:type="dxa"/>
            <w:vAlign w:val="bottom"/>
          </w:tcPr>
          <w:p>
            <w:pPr>
              <w:jc w:val="right"/>
              <w:ind w:right="187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Merger with CBOT Holdings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July 12, 2007, pursuant to the merger agreement dated October 17, 2006, as amended, CBOT Holdings merged with and into CME Holdings. Under the terms of the merger agreement, CBOT Holdings’ shareholders received 0.375 shares of Class A common stock of CME Holdings for each share of Class A common stock of CBOT Holdings issued and outstanding immediately prior to the effective time of the merger. A total of 19.8 million shares of CME Holdings Class A common stock were issued in conjunction with the merger. In addition, CBOT Holdings’ shareholders of record as of the close of trading on the closing date of the merger received a special cash dividend of $9.14 per share. The special cash dividend was funded with a combination of cash and short-term investments of CBOT Holdings.</w:t>
      </w:r>
    </w:p>
    <w:p>
      <w:pPr>
        <w:spacing w:after="0" w:line="14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conjunction with the merger, CME Group amended its articles of incorporation to raise the number of authorized Class A common stock from 138.0 million shares to 1.0 billion shares.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purchase accounting, CME Holdings is considered the acquirer of CBOT Holdings and the total purchase price will be allocated to the assets acquired and liabilities assumed from CBOT Holdings based on their fair values as of July 12, 2007. The financial results of CBOT Holdings will be included in the consolidated financial results of CME Group starting on July 13,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August 1, 2007, the company commenced its tender offer to repurchase up to 6,250,000 shares at $560 per share. Assuming that all shares are tendered, the aggregate purchase price, including all related fees and expenses, will be approximately $3.5 billion. The repurchase of shares and the payment of related fees and expenses will be funded with a combination of cash on hand, commercial paper and/or a revolving loan facility.</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has entered into a 364-day revolving loan facility, as of July 27, 2007, which provides for revolving loans of up to $3.0 billion. While the company currently intends to fund the tender offer and the related fees and expenses entirely with the proceeds of the issuance of commercial paper and cash on hand, the revolving loan facility can be used to fund the tender offer.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Immediately following the merger, the combined company was renamed “CME Group Inc.” The following Management’s Discussion and Analysis of Financial Condition and Results of Operations includes only the consolidated financial results of CME Holdings and its subsidiaries as of and through June 30, 2007. The following discussion is provided as a supplement to, and should be read in conjunction with, the audited consolidated financial statements, the accompanying notes, and Management’s Discussion and Analysis of Financial Condition and Results of Operations included in CME Holdings’ Annual Report on Form 10-K for the fiscal year ended December 31, 2006.</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References in this discussion and analysis to “we” and “our” are to CME Holdings and its consolidated subsidiaries, collectively. References to “exchange” are to Chicago Mercantile Exchange Inc. and its subsidiaries,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left="900" w:right="3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grew by 17% and 24% in the second quarter and first six months of 2007, respectively, primarily due to increases in clearing and transaction fees and processing services.</w:t>
      </w:r>
    </w:p>
    <w:p>
      <w:pPr>
        <w:spacing w:after="0" w:line="50" w:lineRule="exact"/>
        <w:rPr>
          <w:rFonts w:ascii="Arial" w:cs="Arial" w:eastAsia="Arial" w:hAnsi="Arial"/>
          <w:sz w:val="18"/>
          <w:szCs w:val="18"/>
          <w:color w:val="auto"/>
        </w:rPr>
      </w:pPr>
    </w:p>
    <w:p>
      <w:pPr>
        <w:jc w:val="both"/>
        <w:ind w:left="900" w:right="5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expenses increased by 19% in the second quarter driven mostly by increases in compensation and benefits and merger-related expenses including professional fees and marketing, advertising and public relations. Ongoing hardware and software purchases related to capacity and processing speed enhancements and occupancy of additional office space also contributed to the increase in expenses.</w:t>
      </w:r>
    </w:p>
    <w:p>
      <w:pPr>
        <w:spacing w:after="0" w:line="26"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Year to date, total expenses increased by 18% due primarily to higher compensation and benefits costs, merger-related expenses, and increased technology-related spending.</w:t>
      </w:r>
    </w:p>
    <w:p>
      <w:pPr>
        <w:spacing w:after="0" w:line="51"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We are in the process of finalizing merger-related staffing, technology and facilities plans. We expect to begin incurring restructuring charges as a result of these plans in the second half of 2007. The amount of restructuring charges is not determinable at this time; however, the impact is expected to be material. With respect to the provisions of the merger, we may also incur material costs related to the guarantee of Chicago Board of Options Exchange exercise right privileges. The expenses related to this guarantee are not determinable at this time.</w:t>
      </w:r>
    </w:p>
    <w:p>
      <w:pPr>
        <w:spacing w:after="0" w:line="32" w:lineRule="exact"/>
        <w:rPr>
          <w:sz w:val="20"/>
          <w:szCs w:val="20"/>
          <w:color w:val="auto"/>
        </w:rPr>
      </w:pPr>
    </w:p>
    <w:p>
      <w:pPr>
        <w:ind w:left="900" w:right="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 which we define as operating income expressed as a percentage of total revenues, remained relatively stable at 58% in the second quarter of 2007 compared to 59% in the same period in 2006. Year to date, our operating margin increased to 59% from 57% for the same period in 2006.</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earnings increased by $59.5 million to $259.4 million for the first half of 2007 compared with the same period in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1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jc w:val="right"/>
              <w:ind w:right="37"/>
              <w:spacing w:after="0" w:line="143"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600" w:type="dxa"/>
            <w:vAlign w:val="bottom"/>
            <w:gridSpan w:val="2"/>
          </w:tcPr>
          <w:p>
            <w:pPr>
              <w:jc w:val="right"/>
              <w:ind w:right="12"/>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2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w w:val="81"/>
              </w:rPr>
              <w:t>Change</w:t>
            </w:r>
          </w:p>
        </w:tc>
        <w:tc>
          <w:tcPr>
            <w:tcW w:w="500" w:type="dxa"/>
            <w:vAlign w:val="bottom"/>
          </w:tcPr>
          <w:p>
            <w:pPr>
              <w:jc w:val="right"/>
              <w:ind w:right="37"/>
              <w:spacing w:after="0" w:line="143" w:lineRule="exact"/>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$228.5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$ 511.0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Processing services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20.2</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500" w:type="dxa"/>
            <w:vAlign w:val="bottom"/>
          </w:tcPr>
          <w:p>
            <w:pPr>
              <w:jc w:val="right"/>
              <w:spacing w:after="0"/>
              <w:rPr>
                <w:sz w:val="20"/>
                <w:szCs w:val="20"/>
                <w:color w:val="auto"/>
              </w:rPr>
            </w:pPr>
            <w:r>
              <w:rPr>
                <w:rFonts w:ascii="Arial" w:cs="Arial" w:eastAsia="Arial" w:hAnsi="Arial"/>
                <w:sz w:val="18"/>
                <w:szCs w:val="18"/>
                <w:color w:val="auto"/>
              </w:rPr>
              <w:t>72.3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Quotation data fees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Access fees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4.9</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fees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282.2</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533.9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Highlights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grew for the quarter and year-to-date periods primarily due to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trading volumes due to changing market expectations surrounding interest rates as well as market volatility contributed to increases in clearing and transaction fees.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agreement with New York Mercantile Exchange (NYMEX), which became effective in June 2006, and volume growth at Chicago Board of Trade (CBOT) resulted in additional processing services revenue.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monthly subscriber fees, which became effective January 1, 2007, generated additional revenue from our information products offerings.</w:t>
      </w:r>
    </w:p>
    <w:p>
      <w:pPr>
        <w:spacing w:after="0" w:line="194"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i w:val="1"/>
          <w:iCs w:val="1"/>
          <w:u w:val="single" w:color="auto"/>
          <w:color w:val="auto"/>
        </w:rPr>
        <w:t>Clearing and Transaction Fees.</w:t>
      </w:r>
      <w:r>
        <w:rPr>
          <w:rFonts w:ascii="Arial" w:cs="Arial" w:eastAsia="Arial" w:hAnsi="Arial"/>
          <w:sz w:val="15"/>
          <w:szCs w:val="15"/>
          <w:i w:val="1"/>
          <w:iCs w:val="1"/>
          <w:color w:val="auto"/>
        </w:rPr>
        <w:t xml:space="preserve"> </w:t>
      </w:r>
      <w:r>
        <w:rPr>
          <w:rFonts w:ascii="Arial" w:cs="Arial" w:eastAsia="Arial" w:hAnsi="Arial"/>
          <w:sz w:val="15"/>
          <w:szCs w:val="15"/>
          <w:color w:val="auto"/>
        </w:rPr>
        <w:t>The increase in revenues was due to trading volume growth partially offset by a decrease in the average rate per contract. The</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table summarizes average daily trading volume (in thousands) and revenues. All amounts exclude TRAKRS, Swapstream and auction-traded products.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67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5"/>
              </w:rPr>
              <w:t>Ended June 30,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6700" w:type="dxa"/>
            <w:vAlign w:val="bottom"/>
          </w:tcPr>
          <w:p>
            <w:pPr>
              <w:spacing w:after="0"/>
              <w:rPr>
                <w:sz w:val="19"/>
                <w:szCs w:val="19"/>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9"/>
                <w:szCs w:val="19"/>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Change</w:t>
            </w: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9"/>
                <w:szCs w:val="19"/>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CME Product Line Volume:</w:t>
            </w: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3,560</w:t>
            </w:r>
          </w:p>
        </w:tc>
        <w:tc>
          <w:tcPr>
            <w:tcW w:w="2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3,255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3,599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3,088</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2,164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Foreign exchange</w:t>
            </w:r>
          </w:p>
        </w:tc>
        <w:tc>
          <w:tcPr>
            <w:tcW w:w="50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471</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541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Commodity and alternative investment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22"/>
        </w:trPr>
        <w:tc>
          <w:tcPr>
            <w:tcW w:w="6700" w:type="dxa"/>
            <w:vAlign w:val="bottom"/>
          </w:tcPr>
          <w:p>
            <w:pPr>
              <w:spacing w:after="0"/>
              <w:rPr>
                <w:sz w:val="20"/>
                <w:szCs w:val="20"/>
                <w:color w:val="auto"/>
              </w:rPr>
            </w:pPr>
            <w:r>
              <w:rPr>
                <w:rFonts w:ascii="Arial" w:cs="Arial" w:eastAsia="Arial" w:hAnsi="Arial"/>
                <w:sz w:val="18"/>
                <w:szCs w:val="18"/>
                <w:b w:val="1"/>
                <w:bCs w:val="1"/>
                <w:color w:val="auto"/>
              </w:rPr>
              <w:t>Total Average Daily Volume</w:t>
            </w:r>
          </w:p>
        </w:tc>
        <w:tc>
          <w:tcPr>
            <w:tcW w:w="500" w:type="dxa"/>
            <w:vAlign w:val="bottom"/>
          </w:tcPr>
          <w:p>
            <w:pPr>
              <w:jc w:val="right"/>
              <w:spacing w:after="0"/>
              <w:rPr>
                <w:sz w:val="20"/>
                <w:szCs w:val="20"/>
                <w:color w:val="auto"/>
              </w:rPr>
            </w:pPr>
            <w:r>
              <w:rPr>
                <w:rFonts w:ascii="Arial" w:cs="Arial" w:eastAsia="Arial" w:hAnsi="Arial"/>
                <w:sz w:val="18"/>
                <w:szCs w:val="18"/>
                <w:color w:val="auto"/>
              </w:rPr>
              <w:t>6,323</w:t>
            </w:r>
          </w:p>
        </w:tc>
        <w:tc>
          <w:tcPr>
            <w:tcW w:w="220" w:type="dxa"/>
            <w:vAlign w:val="bottom"/>
          </w:tcPr>
          <w:p>
            <w:pPr>
              <w:spacing w:after="0"/>
              <w:rPr>
                <w:sz w:val="19"/>
                <w:szCs w:val="19"/>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5,728</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6,388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5,346</w:t>
            </w:r>
          </w:p>
        </w:tc>
        <w:tc>
          <w:tcPr>
            <w:tcW w:w="3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r>
      <w:tr>
        <w:trPr>
          <w:trHeight w:val="20"/>
        </w:trPr>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CME Globex Volume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4,759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CME Globex Volume as a Percentage of Total Volume</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74%</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Clearing and Transaction Fees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$252.6</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$228.0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$510.5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Average Rate per Contract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$0.624</w:t>
            </w:r>
          </w:p>
        </w:tc>
        <w:tc>
          <w:tcPr>
            <w:tcW w:w="220" w:type="dxa"/>
            <w:vAlign w:val="bottom"/>
          </w:tcPr>
          <w:p>
            <w:pPr>
              <w:spacing w:after="0"/>
              <w:rPr>
                <w:sz w:val="19"/>
                <w:szCs w:val="19"/>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$0.632</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$0.634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$0.641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Overall trading volume growth is primarily attributable to increased uncertainty regarding interest rates and increased volatility in the equity markets. We believe that an increase in the use of automated trading systems by our customers also contributed to volume growth.</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20"/>
        <w:spacing w:after="0" w:line="357" w:lineRule="auto"/>
        <w:rPr>
          <w:sz w:val="20"/>
          <w:szCs w:val="20"/>
          <w:color w:val="auto"/>
        </w:rPr>
      </w:pPr>
      <w:r>
        <w:rPr>
          <w:rFonts w:ascii="Arial" w:cs="Arial" w:eastAsia="Arial" w:hAnsi="Arial"/>
          <w:sz w:val="15"/>
          <w:szCs w:val="15"/>
          <w:color w:val="auto"/>
        </w:rPr>
        <w:t>Trading volume for interest rate products grew for the quarter and year-to-date periods primarily as a result of market reactions to inflationary concerns and unease surrounding the sub-prime debt market. We also believe that volume increases are attributable to growth in the use of automated trading systems.</w:t>
      </w:r>
    </w:p>
    <w:p>
      <w:pPr>
        <w:ind w:left="460" w:right="20"/>
        <w:spacing w:after="0" w:line="268" w:lineRule="auto"/>
        <w:rPr>
          <w:sz w:val="20"/>
          <w:szCs w:val="20"/>
          <w:color w:val="auto"/>
        </w:rPr>
      </w:pPr>
      <w:r>
        <w:rPr>
          <w:rFonts w:ascii="Arial" w:cs="Arial" w:eastAsia="Arial" w:hAnsi="Arial"/>
          <w:sz w:val="18"/>
          <w:szCs w:val="18"/>
          <w:color w:val="auto"/>
        </w:rPr>
        <w:t>Quarter to date, average daily volume for electronically-traded CME Eurodollar futures contracts increased 20% to an average 2.1 million contracts per day when compared with the same period in 2006. In addition, the average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daily volume of CME Eurodollar options traded electronically grew to 106,000 contracts in the second quarter of 2007 from 89,000 contracts for the same period in 2006.</w:t>
      </w:r>
    </w:p>
    <w:p>
      <w:pPr>
        <w:spacing w:after="0" w:line="5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Year to date, volume for CME Eurodollar futures contracts traded electronically increased 29% to an average of 2.2 million contracts per day in 2007 when compared with the first six months of 2006. Additionally, volume for electronically-traded CME Eurodollar options increased to an average of 100,000 contracts per day in 2007 from 71,000 contracts per day for the same period in 2006.</w:t>
      </w:r>
    </w:p>
    <w:p>
      <w:pPr>
        <w:spacing w:after="0" w:line="59"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To increase electronic trading of CME Eurodollar options, we launched an incentive program in April 2006. The program provided a reduced fee schedule through June 2007 for customers meeting percentage thresholds for electronic trading of CME Eurodollar options. In addition, we have reduced CME Globex fees for electronically-traded Eurodollar options from $0.25 per trade to $0.15 per trade for members and from $0.55 per trade to $0.25 per trade for non-members, effective from May 1, 2007 through December 31, 2007.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We believe the increase in average daily volume for equity products for both the quarter and year to date was due in part to new market participants and additional usage of automated trading systems by our customers. Year to date, volume growth was largely attributable to higher market volatility, as measured by the CBOE Volatility Index, which occurred primarily in March 2007.</w:t>
      </w:r>
    </w:p>
    <w:p>
      <w:pPr>
        <w:spacing w:after="0" w:line="59"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Quarter to date, the overall growth in equity products includes an increase in average daily volume for CME E-mini S&amp;P 500 futures and options of 18% to 1.4 million contracts per day in 2007 compared with the same period in 2006. In addition, the average daily volume for our electronically traded E-mini equity options increased to an average of 81,000 contracts per day in 2007 from 42,000 for the same period in 2006.</w:t>
      </w:r>
    </w:p>
    <w:p>
      <w:pPr>
        <w:spacing w:after="0" w:line="26" w:lineRule="exact"/>
        <w:rPr>
          <w:sz w:val="20"/>
          <w:szCs w:val="20"/>
          <w:color w:val="auto"/>
        </w:rPr>
      </w:pPr>
    </w:p>
    <w:p>
      <w:pPr>
        <w:ind w:left="460" w:right="240"/>
        <w:spacing w:after="0" w:line="306" w:lineRule="auto"/>
        <w:rPr>
          <w:sz w:val="20"/>
          <w:szCs w:val="20"/>
          <w:color w:val="auto"/>
        </w:rPr>
      </w:pPr>
      <w:r>
        <w:rPr>
          <w:rFonts w:ascii="Arial" w:cs="Arial" w:eastAsia="Arial" w:hAnsi="Arial"/>
          <w:sz w:val="16"/>
          <w:szCs w:val="16"/>
          <w:color w:val="auto"/>
        </w:rPr>
        <w:t>Year to date, growth in equity products was experienced primarily in the E-mini S&amp;P 500 contracts which increased by 31% to an average of 1.4 million contracts per day in 2007 compared with the same period in 2006. Year to date, the average daily volume of our E-mini equity index options traded electronically increased to 74,000 contracts in 2007 from 34,000 contracts for the same period in 2006.</w:t>
      </w:r>
    </w:p>
    <w:p>
      <w:pPr>
        <w:spacing w:after="0" w:line="26" w:lineRule="exact"/>
        <w:rPr>
          <w:sz w:val="20"/>
          <w:szCs w:val="20"/>
          <w:color w:val="auto"/>
        </w:rPr>
      </w:pPr>
    </w:p>
    <w:p>
      <w:pPr>
        <w:jc w:val="both"/>
        <w:ind w:left="460" w:right="40"/>
        <w:spacing w:after="0" w:line="306" w:lineRule="auto"/>
        <w:rPr>
          <w:sz w:val="20"/>
          <w:szCs w:val="20"/>
          <w:color w:val="auto"/>
        </w:rPr>
      </w:pPr>
      <w:r>
        <w:rPr>
          <w:rFonts w:ascii="Arial" w:cs="Arial" w:eastAsia="Arial" w:hAnsi="Arial"/>
          <w:sz w:val="16"/>
          <w:szCs w:val="16"/>
          <w:color w:val="auto"/>
        </w:rPr>
        <w:t>As announced in June 2007, our license to list Russell-based contracts will terminate in September 2007. Open contracts will continue to be listed through expiration. The last contracts will expire in September 2008. Through June 30, average daily volume for Russell-based contracts was 221,000 for 2007. We will be launching new E-mini S&amp;P small cap futures and options contracts, based on the S&amp;P 600 Index, to replace the Russell-based contracts.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increase in trading volume of foreign exchange products was fueled in part by declines in the U.S. dollar relative to other major currencies. We believe that the entrance of new market participants using automated trading systems and market reactions to events in the fixed income market also contributed to volume growth. In the second quarter and the first six months of 2007, electronically-traded volume accounted for 90% of total foreign exchange product volume, compared with 88% and 86% during the second quarter and the first six months of 2006,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A decrease in the average rate, or revenue, per contract partially offset increases in average daily volume in the second quarter and in the first six months of 2007.</w:t>
      </w:r>
    </w:p>
    <w:p>
      <w:pPr>
        <w:spacing w:after="0" w:line="20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While volume increased 10% for the second quarter, the average rate per contract decreased by 1% to $0.624 from $0.632 for the same period in 2006, primarily due to the following factors:</w:t>
      </w:r>
    </w:p>
    <w:p>
      <w:pPr>
        <w:spacing w:after="0" w:line="51" w:lineRule="exact"/>
        <w:rPr>
          <w:sz w:val="20"/>
          <w:szCs w:val="20"/>
          <w:color w:val="auto"/>
        </w:rPr>
      </w:pPr>
    </w:p>
    <w:p>
      <w:pPr>
        <w:ind w:left="900" w:right="1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Trades executed by member and special program customers, as a percentage of total trading volume, increased to 85% in the second quarter of 2007 compared with 84% during the same period in 2006. We believe that increased volume from automated trading systems, which typically receive member rates, contributed to this increase.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volume growth from interest rate and foreign exchange products resulted in incentives and discounts which reduced the average rate per contract by $0.060 in the second quarter of 2007 compared with $0.55 in the same period of 2006.</w:t>
      </w:r>
    </w:p>
    <w:p>
      <w:pPr>
        <w:spacing w:after="0" w:line="13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Year to date, the average rate per contract decreased by 1% to $0.634 from $0.641 when compared with the same period in 2006. This decrease in rate per contract was primarily due to the following factors:</w:t>
      </w:r>
    </w:p>
    <w:p>
      <w:pPr>
        <w:spacing w:after="0" w:line="51" w:lineRule="exact"/>
        <w:rPr>
          <w:sz w:val="20"/>
          <w:szCs w:val="20"/>
          <w:color w:val="auto"/>
        </w:rPr>
      </w:pPr>
    </w:p>
    <w:p>
      <w:pPr>
        <w:jc w:val="both"/>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trades executed by member and special program customers, as a percentage of total trades, increased from 84% in 2006 to 85% in 2007. We believe this shift is primarily attributable to growth in volume generated from automated trading systems, which typically receive member rates.</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incentives and discounts due to increased trading volume from interest rate and foreign exchange products resulted in an unfavorable impact on the average rate per contract of $0.056 in 2007 compared with $0.054 in 2006.</w:t>
      </w:r>
    </w:p>
    <w:p>
      <w:pPr>
        <w:spacing w:after="0" w:line="13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the second quarter and the first six months of 2007, an increase in the percentage of trades executed on the CME Globex platform partially offset the overall decrease in the average rate per contract. In general, we assess higher fees on electronically executed trades. We also experienced a shift in volume from interest rate products to higher-priced E-mini equity products. As a percentage of total volume, E-mini equity volume increased by 1% in the second quarter and year to date when compared with the same periods in 2006.</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on behalf of their customers. At the end of the quarter we had approximately 90 clearing firms. One firm represented approximately 11% of our clearing and transaction fees revenue for the first six months of 2007. Should a clearing firm discontinue operations, we believe the customer portion of that firm’s trading activity would likely transfer to other clearing firms of the exchange. Therefore, we do not believe this exposes us to significant risk from the loss of revenue earned from a particular firm.</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u w:val="single" w:color="auto"/>
          <w:color w:val="auto"/>
        </w:rPr>
        <w:t>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revenues for the second quarter and year to date is primarily due to our current agreement with NYMEX and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volume at CBOT.</w:t>
      </w:r>
    </w:p>
    <w:p>
      <w:pPr>
        <w:spacing w:after="0" w:line="13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2007, revenues generated from trade matching services provided to NYMEX totaled $13.5 million and $26.1 million in the second quarter and year to date, respectively. This revenue is based on average daily volume of 0.7 million contracts for both the second quarter and year to date. Our 10-year agreement with NYMEX, which began in June 2006, generated revenues of $0.6 million in the second quarter of 2006.</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CBOT had average daily volumes of 4.0 million and 3.9 million contracts for the second quarter and year to date, respectively, representing a 21% and 23% increase, respectively, when compared with the same periods in 2006. This increase in volume produced incremental revenues of $4.0 and $7.7 million for the second quarter and year to date, respectively, when compared with the same periods in 2006.</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u w:val="single" w:color="auto"/>
          <w:color w:val="auto"/>
        </w:rPr>
        <w:t>Quotation Data Fees.</w:t>
      </w:r>
      <w:r>
        <w:rPr>
          <w:rFonts w:ascii="Arial" w:cs="Arial" w:eastAsia="Arial" w:hAnsi="Arial"/>
          <w:sz w:val="16"/>
          <w:szCs w:val="16"/>
          <w:i w:val="1"/>
          <w:iCs w:val="1"/>
          <w:color w:val="auto"/>
        </w:rPr>
        <w:t xml:space="preserve"> </w:t>
      </w:r>
      <w:r>
        <w:rPr>
          <w:rFonts w:ascii="Arial" w:cs="Arial" w:eastAsia="Arial" w:hAnsi="Arial"/>
          <w:sz w:val="16"/>
          <w:szCs w:val="16"/>
          <w:color w:val="auto"/>
        </w:rPr>
        <w:t>On January 1, 2007, we implemented an increase in our market data fees. Users of our basic service currently pay $50 per month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market data screen, or device, compared with $40 per month in 2006. This fee increase combined with fee increases in other quotation data services contributed additional revenue of $4.7 million and $9.5 million for the second quarter and year to date, respectively, when compared with the same periods in 2006. This increase was partially offset by a slight decrease in the number of devices used by our customers.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Year to date, the two largest resellers of our market data generated approximately 55% of our quotation data fees revenue in 2007. However, we consider exposure to significant risk of revenue loss to be minimal. In the event one of these vendors no longer subscribes to our market data, we believe the majority of that vendor’s customers would likely subscribe to our market data through another reseller.</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u w:val="single" w:color="auto"/>
          <w:color w:val="auto"/>
        </w:rPr>
        <w:t>Other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revenue increased in 2007 when compared with 2006 primarily due to an increase in trading gains generated by GFX Corporation (GFX),</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acquisition of Swapstream, and services provided to FXMarketSpace Limited (FXMS).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4"/>
          </w:tcPr>
          <w:p>
            <w:pPr>
              <w:ind w:left="200"/>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9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3"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82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w w:val="81"/>
              </w:rPr>
              <w:t>Change</w:t>
            </w:r>
          </w:p>
        </w:tc>
        <w:tc>
          <w:tcPr>
            <w:tcW w:w="50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3"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Professional fees and outside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50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50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Marketing, advertising and public relations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136.8</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115.4</w:t>
            </w:r>
          </w:p>
        </w:tc>
        <w:tc>
          <w:tcPr>
            <w:tcW w:w="8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228.3</w:t>
            </w:r>
          </w:p>
        </w:tc>
        <w:tc>
          <w:tcPr>
            <w:tcW w:w="2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Expense Highlights</w:t>
      </w:r>
      <w:r>
        <w:rPr>
          <w:rFonts w:ascii="Arial" w:cs="Arial" w:eastAsia="Arial" w:hAnsi="Arial"/>
          <w:sz w:val="18"/>
          <w:szCs w:val="18"/>
          <w:color w:val="auto"/>
        </w:rPr>
        <w:t>. Increases in total expenses for the second quarter and year-to-date periods were driven primarily by the following factors:</w:t>
      </w:r>
    </w:p>
    <w:p>
      <w:pPr>
        <w:spacing w:after="0" w:line="90" w:lineRule="exact"/>
        <w:rPr>
          <w:sz w:val="20"/>
          <w:szCs w:val="20"/>
          <w:color w:val="auto"/>
        </w:rPr>
      </w:pPr>
    </w:p>
    <w:p>
      <w:pPr>
        <w:ind w:left="900" w:right="4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salary increases and rising costs of related benefits as well as increases in average headcount and stock-based compensation resulted in higher compensation and benefits expense.</w:t>
      </w:r>
    </w:p>
    <w:p>
      <w:pPr>
        <w:spacing w:after="0" w:line="5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advertising and public relations increased primarily due to ongoing media advertising related to our global brand campaign and advertising costs related to the merger with CBOT Holdings.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Improvements to our infrastructure and facilities required additional purchases of equipment and software, which resulted in increased depreciation and technology maintenance expense.</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merger-related expenses were $7.0 million and $8.7 million in the second quarter and the first six months of 2007, respectively. Merger-related expenses are primarily attributable to integration planning, advertising and public relations.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2007, Louisiana Municipal Police Employees’ Retirement System (LAMPERS) filed a class action complaint against CBOT Holdings, its directors and CME Holdings. Subsequently, we reached a settlement with LAMPERS, which was contingent on the closing of the merger. Subject to final approval of the court, we have agreed to pay LAMPERS’ counsel fees and expenses up to $7.4 million. We expect to recognize these settlement costs in the third quarter of 2007.</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u w:val="single" w:color="auto"/>
          <w:color w:val="auto"/>
        </w:rPr>
        <w:t>Compensation and Benefits</w:t>
      </w:r>
      <w:r>
        <w:rPr>
          <w:rFonts w:ascii="Arial" w:cs="Arial" w:eastAsia="Arial" w:hAnsi="Arial"/>
          <w:sz w:val="18"/>
          <w:szCs w:val="18"/>
          <w:color w:val="auto"/>
        </w:rPr>
        <w:t>. The net increase for the second quarter and year to date, when compared with the same periods in 2006, consisted primarily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56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40" w:type="dxa"/>
            <w:vAlign w:val="bottom"/>
            <w:gridSpan w:val="3"/>
            <w:vMerge w:val="continue"/>
          </w:tcPr>
          <w:p>
            <w:pPr>
              <w:spacing w:after="0"/>
              <w:rPr>
                <w:sz w:val="12"/>
                <w:szCs w:val="12"/>
                <w:color w:val="auto"/>
              </w:rPr>
            </w:pPr>
          </w:p>
        </w:tc>
        <w:tc>
          <w:tcPr>
            <w:tcW w:w="184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w w:val="90"/>
              </w:rPr>
              <w:t>Quarter to Date</w:t>
            </w:r>
          </w:p>
        </w:tc>
        <w:tc>
          <w:tcPr>
            <w:tcW w:w="7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Year to 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8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Annual salary increases and changes in benefits and employer taxes, net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2.5</w:t>
            </w: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 earnings</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1.4</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Capitalization of software development</w:t>
            </w: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Bonus</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(0.6)</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900" w:right="1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headcount increased by 7%, or about 100 employees, in the second quarter and first half of 2007 compared with the same periods in 2006. These increases were due primarily to an increase in hiring to support technology initiatives such as NYMEX and FXMS. As of June 30, 2007, we had approximately 1,450 employees.</w:t>
      </w:r>
    </w:p>
    <w:p>
      <w:pPr>
        <w:spacing w:after="0" w:line="59"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increased primarily due to recognition of additional expense related to the options granted in June of 2007 and the full impact in 2007 of the expense related to the June 2006 grant. In addition, there was an increase in the total fair value of options granted in 2006 relative to prior year grants.</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on our non-qualified deferred compensation plan balances are included in compensation and benefits expense but do not affect net income because of an equal and offsetting change in investment income.</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second quarter and first six months of 2007, there was an increase in compensation and benefits expense primarily due to a decrease in software development related to FXMS.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second quarter of 2007, there was a decrease in the bonus expense accrued under the provisions of our annual incentive plan when compared with the same period in 2006. During the second quarter of 2006, we experienced a significant increase in operating results when compared to the first quarter of that year. As a result, bonus expense in the second quarter of 2006 increased significantly to attain the appropriate level of year-to-date expense. Year to date 2007, bonus expense accrued under the provisions of our annual incentive plan increased as a result of a larger target pool due to higher salaries and headcount offset by a decrease in performance relative to the cash earnings target.</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u w:val="single" w:color="auto"/>
          <w:color w:val="auto"/>
        </w:rPr>
        <w:t>Communications</w:t>
      </w:r>
      <w:r>
        <w:rPr>
          <w:rFonts w:ascii="Arial" w:cs="Arial" w:eastAsia="Arial" w:hAnsi="Arial"/>
          <w:sz w:val="18"/>
          <w:szCs w:val="18"/>
          <w:color w:val="auto"/>
        </w:rPr>
        <w:t>. Continued growth in customer and data center connections and bandwidth upgrades contributed to an increase in expense for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year-to-date periods when compared with the same periods in 2006.</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u w:val="single" w:color="auto"/>
          <w:color w:val="auto"/>
        </w:rPr>
        <w:t>Technology Support Services</w:t>
      </w:r>
      <w:r>
        <w:rPr>
          <w:rFonts w:ascii="Arial" w:cs="Arial" w:eastAsia="Arial" w:hAnsi="Arial"/>
          <w:sz w:val="18"/>
          <w:szCs w:val="18"/>
          <w:color w:val="auto"/>
        </w:rPr>
        <w:t>. Expense increased in the second quarter and for the year-to-date period when compared with the same periods in 2006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maintenance and service contracts put in place to support technology investments. Additional investments in technology, including an upgrade to our network and mainframe system in 2006, led to increased ongoing maintenance costs as part of a planned system expansion to increase capacity for peak volumes of transactions processed electronically.</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u w:val="single" w:color="auto"/>
          <w:color w:val="auto"/>
        </w:rPr>
        <w:t>Professional Fees and Outside Services</w:t>
      </w:r>
      <w:r>
        <w:rPr>
          <w:rFonts w:ascii="Arial" w:cs="Arial" w:eastAsia="Arial" w:hAnsi="Arial"/>
          <w:sz w:val="18"/>
          <w:szCs w:val="18"/>
          <w:color w:val="auto"/>
        </w:rPr>
        <w:t>. Total professional fees and outside services include merger-related costs of $3.4 million and $4.5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second quarter and first six months of 2007.</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Technology-related and other professional fees, net of amounts capitalized for internally developed software, increased by $1.8 million and $3.1 million for the second quarter and year-to-date periods, respectively, primarily due to consulting services to support merger integration as well as other non-capitalizable software development initiatives.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Additionally, legal fees increased $0.3 million for the second quarter compared with the same period in 2006 due to litigation costs related to the ongoing antitrust suit filed by Eurex U.S. in 2003, as well as legal proceedings arising as a result of our merger with CBOT. For the first six months of 2007, legal fees decreased by $0.3 million as additional legal fees related to litigation were more than offset by a decrease in legal fees incurred for strategic initiatives in process during 2006 that were subsequently completed.</w:t>
      </w:r>
    </w:p>
    <w:p>
      <w:pPr>
        <w:spacing w:after="0" w:line="14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i w:val="1"/>
          <w:iCs w:val="1"/>
          <w:u w:val="single" w:color="auto"/>
          <w:color w:val="auto"/>
        </w:rPr>
        <w:t>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of 2007 and 2006 property additions exceeded the depreciation and amortization of assets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become fully depreciated or retired since January 1, 2006, resulting in an increase in depreciation and amortization expense. Additionally, there was an increase in amortization expense for intangible assets related to Swapstream and FXMS.</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Property additions for 2007 and 2006 are summarized below. Technology-related assets include purchases of computers and related equipment, software, the cost of developing internal use software and the build-out of our data centers. During the second quarter and first six months of 2007, increased spending for improvements to our newly leased Chicago office space resulted in a decrease in technology-related assets as a percentage of total additions.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8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Ended June 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320" w:type="dxa"/>
            <w:vAlign w:val="bottom"/>
            <w:gridSpan w:val="3"/>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$22.9</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$50.1</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u w:val="single" w:color="auto"/>
          <w:color w:val="auto"/>
        </w:rPr>
        <w:t>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We entered into two leases for additional office space in Chicago and London during the second half of 2006. These new leases resulted in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rent and utilities expense for both the quarter and year-to-date periods in 2007.</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u w:val="single" w:color="auto"/>
          <w:color w:val="auto"/>
        </w:rPr>
        <w:t>Licensing and Other Fee Agreements</w:t>
      </w:r>
      <w:r>
        <w:rPr>
          <w:rFonts w:ascii="Arial" w:cs="Arial" w:eastAsia="Arial" w:hAnsi="Arial"/>
          <w:sz w:val="16"/>
          <w:szCs w:val="16"/>
          <w:color w:val="auto"/>
        </w:rPr>
        <w:t>. Higher average daily trading volume in licensed products, particularly E-mini S&amp;P products, resulted in additional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$0.7 million and $2.4 million, respectively, for the second quarter and first six months of 2007 when compared with the same periods in 2006.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second quarter, the increase in these expenses was completely offset by a $0.9 million reduction in costs incurred under a fee sharing arrangement with Singapore Exchange Limited (SGX), which was eliminated, effective February 5, 2007, under the terms of our renewed agreement. Year to date, the increase was partially offset by a $1.4 million reduction in SGX costs.</w:t>
      </w:r>
    </w:p>
    <w:p>
      <w:pPr>
        <w:spacing w:after="0" w:line="14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u w:val="single" w:color="auto"/>
          <w:color w:val="auto"/>
        </w:rPr>
        <w:t>Marketing, Advertising, and Public Relations</w:t>
      </w:r>
      <w:r>
        <w:rPr>
          <w:rFonts w:ascii="Arial" w:cs="Arial" w:eastAsia="Arial" w:hAnsi="Arial"/>
          <w:sz w:val="16"/>
          <w:szCs w:val="16"/>
          <w:color w:val="auto"/>
        </w:rPr>
        <w:t>. Expense increased for the second quarter and year-to-date periods when compared with the same periods in 2006</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ongoing media advertising in connection with the global brand campaign launched in the third quarter of 2006 and merger-related activities. Merger-related advertising and public relations resulted in incremental expense of $1.6 million and $1.7 million in the second quarter and year to date, respectively. Year to date, efforts to redesign and expand customer education programs also contributed to the increase in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Quarter</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Ended June 30,</w:t>
            </w:r>
          </w:p>
        </w:tc>
        <w:tc>
          <w:tcPr>
            <w:tcW w:w="4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6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600" w:type="dxa"/>
            <w:vAlign w:val="bottom"/>
            <w:gridSpan w:val="2"/>
          </w:tcPr>
          <w:p>
            <w:pPr>
              <w:jc w:val="center"/>
              <w:ind w:left="40"/>
              <w:spacing w:after="0" w:line="143" w:lineRule="exact"/>
              <w:rPr>
                <w:sz w:val="20"/>
                <w:szCs w:val="20"/>
                <w:color w:val="auto"/>
              </w:rPr>
            </w:pPr>
            <w:r>
              <w:rPr>
                <w:rFonts w:ascii="Arial" w:cs="Arial" w:eastAsia="Arial" w:hAnsi="Arial"/>
                <w:sz w:val="14"/>
                <w:szCs w:val="14"/>
                <w:b w:val="1"/>
                <w:bCs w:val="1"/>
                <w:color w:val="auto"/>
                <w:w w:val="89"/>
              </w:rPr>
              <w:t>2006</w:t>
            </w:r>
          </w:p>
        </w:tc>
        <w:tc>
          <w:tcPr>
            <w:tcW w:w="260" w:type="dxa"/>
            <w:vAlign w:val="bottom"/>
          </w:tcPr>
          <w:p>
            <w:pPr>
              <w:spacing w:after="0"/>
              <w:rPr>
                <w:sz w:val="12"/>
                <w:szCs w:val="12"/>
                <w:color w:val="auto"/>
              </w:rPr>
            </w:pPr>
          </w:p>
        </w:tc>
        <w:tc>
          <w:tcPr>
            <w:tcW w:w="80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640" w:type="dxa"/>
            <w:vAlign w:val="bottom"/>
            <w:gridSpan w:val="2"/>
          </w:tcPr>
          <w:p>
            <w:pPr>
              <w:jc w:val="center"/>
              <w:ind w:left="79"/>
              <w:spacing w:after="0" w:line="143" w:lineRule="exact"/>
              <w:rPr>
                <w:sz w:val="20"/>
                <w:szCs w:val="20"/>
                <w:color w:val="auto"/>
              </w:rPr>
            </w:pPr>
            <w:r>
              <w:rPr>
                <w:rFonts w:ascii="Arial" w:cs="Arial" w:eastAsia="Arial" w:hAnsi="Arial"/>
                <w:sz w:val="14"/>
                <w:szCs w:val="14"/>
                <w:b w:val="1"/>
                <w:bCs w:val="1"/>
                <w:color w:val="auto"/>
                <w:w w:val="89"/>
              </w:rPr>
              <w:t>2006</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Securities lending interest income</w:t>
            </w: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78"/>
              </w:rPr>
              <w:t>52</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26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lending interest expense</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78"/>
              </w:rPr>
              <w:t>51</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Equity in losses of unconsolidated subsidiaries</w:t>
            </w: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(3.4)</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78"/>
              </w:rPr>
              <w:t>31</w:t>
            </w:r>
          </w:p>
        </w:tc>
        <w:tc>
          <w:tcPr>
            <w:tcW w:w="3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i w:val="1"/>
          <w:iCs w:val="1"/>
          <w:u w:val="single" w:color="auto"/>
          <w:color w:val="auto"/>
        </w:rPr>
        <w:t>Investment Income.</w:t>
      </w:r>
      <w:r>
        <w:rPr>
          <w:rFonts w:ascii="Arial" w:cs="Arial" w:eastAsia="Arial" w:hAnsi="Arial"/>
          <w:sz w:val="15"/>
          <w:szCs w:val="15"/>
          <w:i w:val="1"/>
          <w:iCs w:val="1"/>
          <w:color w:val="auto"/>
        </w:rPr>
        <w:t xml:space="preserve"> </w:t>
      </w:r>
      <w:r>
        <w:rPr>
          <w:rFonts w:ascii="Arial" w:cs="Arial" w:eastAsia="Arial" w:hAnsi="Arial"/>
          <w:sz w:val="15"/>
          <w:szCs w:val="15"/>
          <w:color w:val="auto"/>
        </w:rPr>
        <w:t>When compared with the same periods in 2006, investment income increased in the second quarter and year to date due to additional cash</w:t>
      </w:r>
      <w:r>
        <w:rPr>
          <w:rFonts w:ascii="Arial" w:cs="Arial" w:eastAsia="Arial" w:hAnsi="Arial"/>
          <w:sz w:val="15"/>
          <w:szCs w:val="15"/>
          <w:i w:val="1"/>
          <w:iCs w:val="1"/>
          <w:color w:val="auto"/>
        </w:rPr>
        <w:t xml:space="preserve"> </w:t>
      </w:r>
      <w:r>
        <w:rPr>
          <w:rFonts w:ascii="Arial" w:cs="Arial" w:eastAsia="Arial" w:hAnsi="Arial"/>
          <w:sz w:val="15"/>
          <w:szCs w:val="15"/>
          <w:color w:val="auto"/>
        </w:rPr>
        <w:t>from operations as well as a rise in short-term interest rates. We reinvested funds from maturing investments in liquid, short-term investments in anticipation of our merger with CBOT Holdings and planned share repurchase. We expect investment balances to decrease once we complete our tender offer. Annualized average rates of return and average investment balances indicated in the table below include short-term investments classified as cash and cash equivalents, marketable securities and a portion of clearing firms’ cash performance bonds and security deposits, but exclude our non-qualified deferred compensation plan.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5"/>
              </w:rPr>
              <w:t>Ended June 30,</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Ended June 30,</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7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jc w:val="right"/>
              <w:ind w:right="39"/>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62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7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Change</w:t>
            </w: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6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0.50%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0.64%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$1,615</w:t>
            </w:r>
          </w:p>
        </w:tc>
        <w:tc>
          <w:tcPr>
            <w:tcW w:w="220" w:type="dxa"/>
            <w:vAlign w:val="bottom"/>
          </w:tcPr>
          <w:p>
            <w:pPr>
              <w:spacing w:after="0"/>
              <w:rPr>
                <w:sz w:val="19"/>
                <w:szCs w:val="19"/>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$1,579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3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income due to balance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Increase in income due to rate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exclude non-qualified deferred compensation plan earnings from this analysis, as there is an equal and offsetting amount in compensation and benefits expense. The increase in investment income related to these investments represented $1.4 million and $1.0 million of the total increase in investment income for the second quarter and year to date, respectively.</w:t>
      </w:r>
    </w:p>
    <w:p>
      <w:pPr>
        <w:spacing w:after="0" w:line="14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u w:val="single" w:color="auto"/>
          <w:color w:val="auto"/>
        </w:rPr>
        <w:t>Securities Lending Interest Income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and year-to-date periods, the average rate earned and paid increased in 2007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same period in 2006 due to rising market interest rates. In the second quarter of 2007, the spread between the average rate earned and the average rate paid grew due to an increase in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demand for the types of securities we had available to lend through this program. Year to date, a decrease in demand during the first quarter partially offset the increase during the second quarter resulting in a minimal change to the net earned. In the second quarter and year-to-date periods, the average daily balance of funds invested increased primarily due to expanded lending relationships that increased the number of eligible securities available for lending.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Quarter</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4"/>
                <w:szCs w:val="14"/>
                <w:b w:val="1"/>
                <w:bCs w:val="1"/>
                <w:color w:val="auto"/>
                <w:w w:val="85"/>
              </w:rPr>
              <w:t>Ended June 30,</w:t>
            </w: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(dollars in billions)</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500" w:type="dxa"/>
            <w:vAlign w:val="bottom"/>
            <w:gridSpan w:val="2"/>
          </w:tcPr>
          <w:p>
            <w:pPr>
              <w:jc w:val="center"/>
              <w:ind w:left="22"/>
              <w:spacing w:after="0" w:line="143"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4"/>
                <w:szCs w:val="14"/>
                <w:b w:val="1"/>
                <w:bCs w:val="1"/>
                <w:color w:val="auto"/>
                <w:w w:val="81"/>
              </w:rPr>
              <w:t>Change</w:t>
            </w:r>
          </w:p>
        </w:tc>
        <w:tc>
          <w:tcPr>
            <w:tcW w:w="4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40" w:type="dxa"/>
            <w:vAlign w:val="bottom"/>
            <w:gridSpan w:val="2"/>
          </w:tcPr>
          <w:p>
            <w:pPr>
              <w:jc w:val="center"/>
              <w:ind w:left="79"/>
              <w:spacing w:after="0" w:line="143" w:lineRule="exact"/>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0.7</w:t>
            </w:r>
          </w:p>
        </w:tc>
        <w:tc>
          <w:tcPr>
            <w:tcW w:w="6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4"/>
              </w:rPr>
              <w:t>$ 2.6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  0.4</w:t>
            </w:r>
          </w:p>
        </w:tc>
        <w:tc>
          <w:tcPr>
            <w:tcW w:w="0" w:type="dxa"/>
            <w:vAlign w:val="bottom"/>
          </w:tcPr>
          <w:p>
            <w:pPr>
              <w:spacing w:after="0"/>
              <w:rPr>
                <w:sz w:val="1"/>
                <w:szCs w:val="1"/>
                <w:color w:val="auto"/>
              </w:rPr>
            </w:pPr>
          </w:p>
        </w:tc>
      </w:tr>
      <w:tr>
        <w:trPr>
          <w:trHeight w:val="322"/>
        </w:trPr>
        <w:tc>
          <w:tcPr>
            <w:tcW w:w="6860" w:type="dxa"/>
            <w:vAlign w:val="bottom"/>
            <w:gridSpan w:val="2"/>
          </w:tcPr>
          <w:p>
            <w:pPr>
              <w:spacing w:after="0"/>
              <w:rPr>
                <w:sz w:val="20"/>
                <w:szCs w:val="20"/>
                <w:color w:val="auto"/>
              </w:rPr>
            </w:pPr>
            <w:r>
              <w:rPr>
                <w:rFonts w:ascii="Arial" w:cs="Arial" w:eastAsia="Arial" w:hAnsi="Arial"/>
                <w:sz w:val="18"/>
                <w:szCs w:val="18"/>
                <w:color w:val="auto"/>
              </w:rPr>
              <w:t>Annualized average rate earned</w:t>
            </w:r>
          </w:p>
        </w:tc>
        <w:tc>
          <w:tcPr>
            <w:tcW w:w="860" w:type="dxa"/>
            <w:vAlign w:val="bottom"/>
            <w:gridSpan w:val="3"/>
          </w:tcPr>
          <w:p>
            <w:pPr>
              <w:jc w:val="right"/>
              <w:ind w:right="32"/>
              <w:spacing w:after="0"/>
              <w:rPr>
                <w:sz w:val="20"/>
                <w:szCs w:val="20"/>
                <w:color w:val="auto"/>
              </w:rPr>
            </w:pPr>
            <w:r>
              <w:rPr>
                <w:rFonts w:ascii="Arial" w:cs="Arial" w:eastAsia="Arial" w:hAnsi="Arial"/>
                <w:sz w:val="18"/>
                <w:szCs w:val="18"/>
                <w:color w:val="auto"/>
              </w:rPr>
              <w:t>5.38%</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5.00%</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0.38%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4.75%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0.32</w:t>
            </w:r>
          </w:p>
        </w:tc>
        <w:tc>
          <w:tcPr>
            <w:tcW w:w="6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0.13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Equity in Losses of Unconsolidated Subsidiaries</w:t>
      </w:r>
      <w:r>
        <w:rPr>
          <w:rFonts w:ascii="Arial" w:cs="Arial" w:eastAsia="Arial" w:hAnsi="Arial"/>
          <w:sz w:val="18"/>
          <w:szCs w:val="18"/>
          <w:color w:val="auto"/>
        </w:rPr>
        <w:t>. For the second quarter and year-to-date periods of 2007, this includes losses from our investment in FXMS of</w:t>
      </w:r>
      <w:r>
        <w:rPr>
          <w:rFonts w:ascii="Arial" w:cs="Arial" w:eastAsia="Arial" w:hAnsi="Arial"/>
          <w:sz w:val="18"/>
          <w:szCs w:val="18"/>
          <w:i w:val="1"/>
          <w:iCs w:val="1"/>
          <w:color w:val="auto"/>
        </w:rPr>
        <w:t xml:space="preserve"> </w:t>
      </w:r>
      <w:r>
        <w:rPr>
          <w:rFonts w:ascii="Arial" w:cs="Arial" w:eastAsia="Arial" w:hAnsi="Arial"/>
          <w:sz w:val="18"/>
          <w:szCs w:val="18"/>
          <w:color w:val="auto"/>
        </w:rPr>
        <w:t>$3.2 million and $6.1 million, respectively. FXMS, our joint venture with Reuters, was established in the second half of 2006. In addition, there was a decrease in our share of losses from OneChicago, LLC for both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effective tax rate increased to 39.9% in the second quarter of 2007 from 39.1% for the same period in 2006. Year to date, the effective tax rate increased to 39.8% from 39.2%. The increase in the second quarter and year-to-date periods of 2007 was due primarily to the impact of a valuation allowance required for the net operating losses generated by our Swapstream operations. These net operating losses will not be recognized until there is a pattern of operating income from these operations. The impact of the valuation allowance was partially offset by an increase in investment income from tax-advantaged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was $260.8 million in the first six months of 2007 compared with $195.0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2006. Net cash provided by operating activities increased primarily due to an increase in net income when compared to 2006. In 2007, year-to-date net cash provided by operating activities was $4.9 million higher than net income. Adjustments to net income consisted primarily $40.4 million in depreciation and amortization, partially offset by a $37.3 million increase in accounts receivable. Accounts receivable in any period result primarily from the clearing and transaction fees billed in the last month of the reporting period.</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used in investing activities was $14.1 million in 2007 compared with $5.9 million for the same period in 2006. The increase in cash used was due to merger-related costs of $19.1 million, capital contributions to FXMS of $14.5 million and an increase in net purchases of property of $10.6 million. This increase in cash used was partially offset by additional proceeds from maturities of marketable securities, net of purchases, of $35.3 million, which were reinvested in cash and cash equivalents.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used in financing activities was $41.3 million in 2007 compared with $17.9 million for the same period in 2006. The increase in cash used was primarily due to a $16.4 million increase in cash dividends to shareholders as a result of our increased cash earnings in 2006 over the prior year. Prior year’s cash earnings is the basis used to determine the amount of the current year’s dividend.</w:t>
      </w:r>
    </w:p>
    <w:p>
      <w:pPr>
        <w:spacing w:after="0" w:line="140"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maintain an $800.0 million line of credit with a consortium of banks to be used in certain situations. The line of credit continues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collateralized by clearing firm security deposits held by us in the form of U.S. Treasury or agency securities, as well as security deposit funds in the second Interest Earning Facility and any performance bond deposits of the defaulting firm. The line of credit can only be drawn on to the extent it is collateralized. Collateral available and on deposit was $1.2 billion at June 30,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use CME-owned U.S. Treasury securities as performance bond collateral in lieu of, or in combination with, irrevocable letters of credit for our mutual offset agreement with SGX. Our policy provides that we can pledge U.S. Treasury securities up to a maximum of $100.0 million measured as the aggregate fair value at the time of the most recent collateral adjustment. At June 30, 2007, we were contingently liable on irrevocable letters of credit totaling $94.0 million and had pledged securities with a fair value of $65.6 million.</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CME also guarantees a $5.0 million standby letter of credit for GFX. The beneficiary of the letter of credit is the clearing firm that is used by GFX to execute and maintain its futures position. The letter of credit will be utilized in the event GFX defaults in meeting performance bond requirements to its clearing firm.</w:t>
      </w:r>
    </w:p>
    <w:p>
      <w:pPr>
        <w:spacing w:after="0" w:line="8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On August 1, 2007, we commenced a tender offer to repurchase up to 6.3 million shares of CME Group Class A common stock. In conjunction with this repurchase, we have entered into a lending arrangement to borrow up to $3.0 billion through a short-term revolving facility.</w:t>
      </w:r>
    </w:p>
    <w:p>
      <w:pPr>
        <w:spacing w:after="0" w:line="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cash equivalents totaled $1.2 billion at June 30, 2007 and $1.0 billion at December 31, 2006. The balance retained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cash equivalents is a function of anticipated or possible short-term cash needs, prevailing interest rates, our interest rates, our investment policy, alternative investment choices, and cash requirements related to our merger with CBOT Holdings and planned tender offer. As of June 30, 2007, total capitalized merger-related transaction costs were $34.9 million, of which $22.2 million was incurred during the first six months of 2007.</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Current net deferred tax assets of $10.1 million and $7.2 million are included in other current assets at June 30, 2007 and December 31, 2006, respectively. At June 30, 2007 and December 31, 2006, non-current net deferred tax assets, which are included in other assets, were $41.5 million and $30.9 million, respectively. Net deferred tax assets result primarily from depreciation and amortization, internally developed software, stock-based compensation and pension costs. Total acquired and accumulated net operating losses related to Swapstream were valued at $10.4 million as of June 30, 2007. Since Swapstream has not yet developed a pattern of operating income, our assessment at June 30, 2007 is that we do not believe that we currently meet the more-likely-than-not threshold that would allow us to realize the value of acquired and accumulated foreign net operating losses in the future. As a result, the deferred tax benefit arising from these net operating losses has been fully reserved.</w:t>
      </w:r>
    </w:p>
    <w:p>
      <w:pPr>
        <w:spacing w:after="0" w:line="11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Historically, we have met our funding requirements from operations. If operations do not provide sufficient funds to meet capital expenditure requirements, cash and cash equivalents or marketable securities can be reduced to provide the needed funds; assets can be acquired through capital leases; or we can issue debt. In addition, we believe we can fund potential future acquisitions with a combination of cash on hand, debt financing and the issuance of equity securities.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Cash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Cash earnings is the primary financial metric used by us to measure our performance and is the basis for calculating dividends to shareholders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incentive payments to employees. It is calculated as net income plus depreciation and amortization expense (excluding amortization of intangible assets), plus stock-based compensation net of its tax effect and less capital expenditures. Depreciation and amortization and capital expenditure amounts used in the calculation exclude the impact of landlord-funded leasehold improvements. Cash earnings for the six months ended June 30, 2007 and 2006 is calculated as follows (in millions):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8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9"/>
        </w:trPr>
        <w:tc>
          <w:tcPr>
            <w:tcW w:w="8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2006, the Financial Accounting Standards Board (FASB) issued Statement of Financial Accounting Standards (SFAS) No. 157, “Fair Value Measurements,” which provides guidance for using fair value to measure assets and liabilities by defining fair value, establishing a framework for measuring fair value, and expanding disclosures about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fair value measurements. The provisions of this statement are effective for fiscal years beginning after November 15, 2007. We are currently assessing the impact, if any, that adoption will have on our consolidated financial statements.</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The provisions of this statement are effective for fiscal years beginning after November 15, 2007. The impact of the adoption will be dependent on the extent to which we elect to measure eligible items at fair value. We are currently assessing the impact, if any, that adoption will have on our consolidated financial statements.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2007, the Emerging Issues Task Force (EITF) reached consensus on Issue No. 06-11, “Accounting for Income Tax Benefits of Dividends on Share-Based Payment Awards.” EITF Issue No. 06-11 requires that we record the tax benefit related to dividends paid on restricted stock that will vest as an increase to additional paid-in capital. We currently account for this tax benefit as a reduction to income tax expense. The provisions of this issue are effective for tax benefits on dividends declared in fiscal years beginning after December 15, 2007, on a prospective basis. We do not expect the impact of adoption to be material to our consolidated financial statements.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and foreign currency exchange rates. There was no material change in our exposure to market risks during the first six months of 2007. Information regarding market risks as of December 31, 2006 is contained in Item 7A of our 2006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right="80" w:firstLine="8"/>
        <w:spacing w:after="0" w:line="298" w:lineRule="auto"/>
        <w:tabs>
          <w:tab w:leader="none" w:pos="239"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Controls and Procedures. </w:t>
      </w:r>
      <w:r>
        <w:rPr>
          <w:rFonts w:ascii="Arial" w:cs="Arial" w:eastAsia="Arial" w:hAnsi="Arial"/>
          <w:sz w:val="16"/>
          <w:szCs w:val="16"/>
          <w:color w:val="auto"/>
        </w:rPr>
        <w:t>Our management, with the participation of our Chief Executive Officer and Chief Financial Officer, has evaluated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2" w:lineRule="exact"/>
        <w:rPr>
          <w:rFonts w:ascii="Arial" w:cs="Arial" w:eastAsia="Arial" w:hAnsi="Arial"/>
          <w:sz w:val="16"/>
          <w:szCs w:val="16"/>
          <w:color w:val="auto"/>
        </w:rPr>
      </w:pPr>
    </w:p>
    <w:p>
      <w:pPr>
        <w:ind w:right="240" w:firstLine="8"/>
        <w:spacing w:after="0" w:line="294"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our internal control over financial reporting (as such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Rules 13a-15(f) and 15d-15(f) under the Exchange Act) during the fiscal quarter to which this report relates that have materially affected, or are reasonably likely to materially affect, our internal control over financial reporting. On July 12, 2007, CBOT Holdings was merged into CME Holdings. We are currently in the process of incorporating the internal controls and procedures of CBOT Holdings and its subsidiaries and we are evaluating the impact of the merger on our internal controls and procedures. The results of our evaluation will be included in the Quarterly Report for the third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March 16, 2007, Louisiana Municipal Police Employees’ Retirement System (LAMPERS) filed a class action complaint in the Delaware Court of Chancery against CBOT Holdings, its directors and CME Holdings. The complaint alleges, among other things, that CBOT Holdings and its directors breached their fiduciary duties related to the sale of CBOT Holdings by approving allegedly improper deal protection devices including a $240 million termination fee and a no-shop/no-talk provision. The complaint further alleges that CME Holdings aided and abetted the alleged breaches of fiduciary duty. Based on revisions to the merger providing for the special dividend of $9.14 per share payable to each shareholder of CBOT Holdings Class A common stock at the effective time of the merger and the granting of appraisal rights to holders of shares of CBOT Holdings, the Company and LAMPERS reached a memorandum of understanding for the settlement of this litigation, which was contingent upon the closing of the merger and remains subject to final approval of the court. As part of the settlement, CME Holdings has agreed to pay the fees and expenses of plaintiff’s counsel approved by the court in an amount not to exceed $7.4 million. We expect the settlement to be approved by the court in the third quarter.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Other than the following updates, there have been no material changes to the Risk Factors contained in our Annual Report on Form 10-K for the year ended December 31, 2006, filed with the Securities and Exchange Commission (SEC) on March 1, 2007, and in our Quarterly Report on Form 10-Q for the quarter ended March 31, 2007, filed with the SEC on May 8,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A key element of our strategy is to provide transaction processing, clearing and related services to third parties. If we are unable to continue to realize the benefits from providing these services, our revenues will be adversely impacted.</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Providing third-party transaction processing, clearing and related services is a key element of our strategy. We have an agreement with NYMEX, which began in June 2006, to be the exclusive trading service provider for NYMEX’s energy futures and options contracts and certain of their other products on our CME Globex platform. The initial term of the NYMEX agreement is for ten years from the date of launch with rolling three-year extensions. Additionally, prior to our merger with CBOT Holdings, we derived a significant amount of revenue from our transaction processing services agreement that we entered into with CBOT in 2003. In 2006, 2005 and 2004, we generated $90.1 million, $68.7 million and $55.9 million, respectively, in processing services revenue primarily from our agreement with CBOT. Our future revenues from providing processing services to NYMEX or others will be dependent on the third party’s trading volume, which is subject to a number of factors beyond its control. For example, NYMEX’s ability to maintain or expand its trading volume and operate its business, as a futures exchange, is subject to the same types of risks to which we are subject. Any significant decrease in the trading volume at these exchanges will result in a corresponding decrease in our realized benefits from our processing services agreements. Our net income from the processing services we provide will also depend on our ability to control our costs associated with providing such services.</w:t>
      </w:r>
    </w:p>
    <w:p>
      <w:pPr>
        <w:spacing w:after="0" w:line="12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cannot assure you that we will enter into additional agreements to provide processing services or that our existing agreement with NYMEX will not be terminated prior to the end of its term or that any agreement would be renewed after its initial term or that any renewal will be on terms as favorable to us. For example, under the terms of our agreement with NYMEX, either party between the fifth and sixth anniversary of the first launch date may terminate the contract by providing notice and paying the other party a termination fee. Any such event could have an adverse effect on our revenues.</w:t>
      </w:r>
    </w:p>
    <w:p>
      <w:pPr>
        <w:spacing w:after="0" w:line="11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We depend on third party suppliers and service providers for a number of services that are important to our business. An interruption or cessation of an important supply or service by any third party could have a material adverse effect on our business.</w:t>
      </w:r>
    </w:p>
    <w:p>
      <w:pPr>
        <w:spacing w:after="0" w:line="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 Additionally, as a result of our merger with CBOT Holdings, until we transition CBOT’s products to our electronic trading platform, we will be relying on AtosEuronext Market Solutions to support CBOT’s electronic trading platform, e-cbot. We cannot assure you that any of these providers will be able to continue to provide these services in an efficient, cost-effective manner or that they will be able to adequately expand their services to meet our needs. An interruption in or the cessation of an important supply or service by any third party and our inability to make alternative arrangements in a timely manner, or at all, would result in lost revenue and higher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 with CBOT Holdings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all of the anticipated benefits of our merger with CBOT Holdings.</w:t>
      </w:r>
    </w:p>
    <w:p>
      <w:pPr>
        <w:spacing w:after="0" w:line="17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On July 12, 2007, CME Holdings completed its merger with CBOT Holdings and CBOT Holdings was merged with and into CME Holdings. The success of the merger will depend, in part, on our ability to achieve the anticipated cost synergies and other strategic benefits from combining the businesses of CME Holdings and CBOT Holdings. We expect CME Group to benefit from operational synergies resulting from the consolidation of capabilities and elimination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redundancies as well as greater efficiencies from increased scale, market integration and more automation. However, to realize these anticipated benefits, we must successfully combine the businesses of CME Holdings and CBOT Holdings. If we are not able to achieve these objectives, the anticipated cost synergies and other strategic benefits of the merger may not be realized fully or at all or may take longer to realize than expected. We may fail to realize some or all of the anticipated benefits of the transaction in the amounts and times projected for a number of reasons, including that the integration may take longer than anticipated or be more costly than anticipated.</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CME Holdings and CBOT Holdings in the expected time frame may adversely affect CME Group’s future results.</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Prior to the completion of the merger, CME Holdings and CBOT Holdings historically operated as independent companies. The management of CME Group may face significant challenges in consolidating the functions of CME Holdings and CBOT Holdings and their subsidiaries, integrating their technologies, organizations, procedures, policies and operations, as well as addressing differences in the business cultures of the two companies and retaining key personnel. In connection with the merger, CME Group will integrate certain operations of CME and CBOT, including consolidating the two trading floors, transitioning CBOT’s electronic trading to CME’s Globex platform, consolidating their market data services and consolidating regulatory functions. The integration process is complex and time consuming, and requires substantial resources and effort. The integration process and other disruptions resulting from the merger may also disrupt our ongoing businesses or cause inconsistencies in standards, controls, procedures and policies that adversely affect our relationships with members of CME and CBOT and other market participants, employees, regulators and others with whom we have business or other dealings. In addition, difficulties in integrating the businesses or regulatory functions of CME Holdings and CBOT Holdings could harm the reputation of CME Group.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costs in connection with the merger and will continue to incur costs in connection with the merger.</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CME Holdings and CBOT Holdings have incurred significant costs associated with transaction fees, professional services and other costs related to the merger and CME Group will continue to incur additional costs, including restructuring costs, in connection with the integration of the business. Specifically, through June 30, 2007, CME Holdings and CBOT Holdings have incurred approximately $57.3 million for transaction costs related to the merger. Although CME Group expects that the realization of efficiencies related to the integration of the businesses will offset incremental transaction, merger-related and restructuring costs over time, this net benefit may not be achieved in the near term, or at all.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guarantee that the Board of Directors of CME Group will be in compliance with CFTC core principles relating to conflicts of interest.</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February 1, 2007, the CFTC issued recommendations as to an appropriate means for designated contract markets to comply with the core principle requiring self-regulatory organizations to mitigate potential conflicts of interest. The recommendations require at least 35% of the board of directors of a designated contract market to be directors with no material relationship with the exchange, including memberships on the exchange. As a result of our merger, our Board of Directors is now comprised of 30 members of which nine have no industry affiliation other than service on our Board. We have not yet completed our assessment as to whether such directors would be considered to have no material relationship with the exchange for purposes of the CFTC recommendation. We cannot guarantee that our Board will be in compliance with the recommendations. To the extent we are not in compliance, we will be required to demonstrate to the CFTC how we otherwise met the requirements of the core principle.</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incur significant indebtedness in order to finance the fixed price tender offer and the guarantee of the Chicago Board of Options Exchange exercise right privileges, which may limit our operating flexibility.</w:t>
      </w:r>
    </w:p>
    <w:p>
      <w:pPr>
        <w:spacing w:after="0" w:line="13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August 1, 2007, we launched a fixed price tender offer to purchase up to 6,250,000 shares at a price of $560.00 per share. Assuming that we purchase 6,250,000 shares in the tender offer, we expect that the aggregate purchase price, including all related fees and expenses, will be approximately $3.5 billion. We expect to fund the purchase of the shares tendered in the tender offer and the payment of related fees and expenses from issuances of commercial paper under a commercial paper facility or borrowings under our revolving loan facility, which provides for up to $3.0 billion and will serve as a back stop to our commercial paper program, and cash on hand. This incurrence of indebtedness may:</w:t>
      </w:r>
    </w:p>
    <w:p>
      <w:pPr>
        <w:spacing w:after="0" w:line="35" w:lineRule="exact"/>
        <w:rPr>
          <w:sz w:val="20"/>
          <w:szCs w:val="20"/>
          <w:color w:val="auto"/>
        </w:rPr>
      </w:pPr>
    </w:p>
    <w:p>
      <w:pPr>
        <w:ind w:left="900" w:right="2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CME Group to dedicate a significant portion of its cash flow from operations to payments on its debt, thereby reducing the availability of cash flow to fund capital expenditures, to pursue other acquisitions or investments in new technologies, to pay dividends and for general corporate purposes;</w:t>
      </w:r>
    </w:p>
    <w:p>
      <w:pPr>
        <w:spacing w:after="0" w:line="59"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CME Group’s vulnerability to general adverse economic conditions, including increases in interest rates if the borrowings bear interest at variable rates;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CME Group’s flexibility in planning for, or reacting to, changes in or challenges relating to its business and industry.</w:t>
      </w:r>
    </w:p>
    <w:p>
      <w:pPr>
        <w:spacing w:after="0" w:line="17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Additionally, in connection with the merger we granted eligible holders of Chicago Board of Options Exchange (“CBOE”) exercise right privileges, (i) the right to continue as a class member in the CBOE lawsuit with all of its recovery potential and a guarantee, even if the lawsuit is lost or settled, of up to a $250,000 payment; or (ii) for members who do not want to pursue the lawsuit, the right to sell their exercise right privilege to us for $250,000 payable in the third quarter. The expenses related to this guarantee are not determinable at this time and we cannot assure you that such expenses will not be material. To the extent they are material they could require is to dedicate a significant portion of our cash flows to satisfy this obligation.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8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88"/>
              </w:rPr>
              <w:t>(a) Total Number of</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8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Part of Publicly</w:t>
            </w:r>
          </w:p>
        </w:tc>
        <w:tc>
          <w:tcPr>
            <w:tcW w:w="8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Class A</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 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Announced Trading</w:t>
            </w:r>
          </w:p>
        </w:tc>
        <w:tc>
          <w:tcPr>
            <w:tcW w:w="8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8"/>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spacing w:after="0"/>
              <w:rPr>
                <w:sz w:val="14"/>
                <w:szCs w:val="14"/>
                <w:color w:val="auto"/>
              </w:rPr>
            </w:pPr>
          </w:p>
        </w:tc>
        <w:tc>
          <w:tcPr>
            <w:tcW w:w="19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Shares Purchased</w:t>
            </w: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Paid Per 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8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May 1 to May 31</w:t>
            </w:r>
          </w:p>
        </w:tc>
        <w:tc>
          <w:tcPr>
            <w:tcW w:w="820" w:type="dxa"/>
            <w:vAlign w:val="bottom"/>
          </w:tcPr>
          <w:p>
            <w:pPr>
              <w:spacing w:after="0"/>
              <w:rPr>
                <w:sz w:val="18"/>
                <w:szCs w:val="18"/>
                <w:color w:val="auto"/>
              </w:rPr>
            </w:pPr>
          </w:p>
        </w:tc>
        <w:tc>
          <w:tcPr>
            <w:tcW w:w="19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280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550.10</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3"/>
          </w:tcPr>
          <w:p>
            <w:pPr>
              <w:ind w:left="172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550.10</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of the share amounts set forth in the above table represent shares of the Company’s Class A common stock that were surrendered to the Company in order to fulfill tax withholding obligations of employees upon the vesting of restricted stock on June 14 and June 15, 2007.</w:t>
      </w:r>
    </w:p>
    <w:p>
      <w:pPr>
        <w:sectPr>
          <w:pgSz w:w="11900" w:h="16838" w:orient="portrait"/>
          <w:cols w:equalWidth="0" w:num="1">
            <w:col w:w="11420"/>
          </w:cols>
          <w:pgMar w:left="240" w:top="459"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131"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20" w:firstLine="464"/>
        <w:spacing w:after="0" w:line="268"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Annual Meeting of Shareholders of Chicago Mercantile Exchange Holdings Inc. (the “Annual Meeting”) was held on April 25, 2007. The matters voted on at the meeting, and the results of the voting, were as follows: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election of seven Equity Directors (elected by Class A and Class B shareholders voting together as a single class) to serve on the Board until</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2009. The results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Equity Director Nominee</w:t>
            </w:r>
          </w:p>
        </w:tc>
        <w:tc>
          <w:tcPr>
            <w:tcW w:w="320" w:type="dxa"/>
            <w:vAlign w:val="bottom"/>
          </w:tcPr>
          <w:p>
            <w:pPr>
              <w:spacing w:after="0"/>
              <w:rPr>
                <w:sz w:val="15"/>
                <w:szCs w:val="15"/>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b w:val="1"/>
                <w:bCs w:val="1"/>
                <w:color w:val="auto"/>
              </w:rPr>
              <w:t>Votes For</w:t>
            </w:r>
          </w:p>
        </w:tc>
        <w:tc>
          <w:tcPr>
            <w:tcW w:w="3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Votes Withheld</w:t>
            </w:r>
          </w:p>
        </w:tc>
      </w:tr>
      <w:tr>
        <w:trPr>
          <w:trHeight w:val="195"/>
        </w:trPr>
        <w:tc>
          <w:tcPr>
            <w:tcW w:w="8080" w:type="dxa"/>
            <w:vAlign w:val="bottom"/>
          </w:tcPr>
          <w:p>
            <w:pPr>
              <w:spacing w:after="0" w:line="195" w:lineRule="exact"/>
              <w:rPr>
                <w:sz w:val="20"/>
                <w:szCs w:val="20"/>
                <w:color w:val="auto"/>
              </w:rPr>
            </w:pPr>
            <w:r>
              <w:rPr>
                <w:rFonts w:ascii="Arial" w:cs="Arial" w:eastAsia="Arial" w:hAnsi="Arial"/>
                <w:sz w:val="18"/>
                <w:szCs w:val="18"/>
                <w:color w:val="auto"/>
              </w:rPr>
              <w:t>Craig S. Donohue</w:t>
            </w:r>
          </w:p>
        </w:tc>
        <w:tc>
          <w:tcPr>
            <w:tcW w:w="32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29,992,549</w:t>
            </w:r>
          </w:p>
        </w:tc>
        <w:tc>
          <w:tcPr>
            <w:tcW w:w="30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439,654</w:t>
            </w:r>
          </w:p>
        </w:tc>
        <w:tc>
          <w:tcPr>
            <w:tcW w:w="20" w:type="dxa"/>
            <w:vAlign w:val="bottom"/>
          </w:tcPr>
          <w:p>
            <w:pPr>
              <w:spacing w:after="0"/>
              <w:rPr>
                <w:sz w:val="16"/>
                <w:szCs w:val="16"/>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Terrence A. Duffy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28,742,895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1,689,308</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Daniel R. Glickman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29,792,317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639,886</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William P. Miller II</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29,773,686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658,517</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James E. Oliff</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29,671,497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760,706</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John F. Sandner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29,818,830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613,373</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Terry L. Savage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29,852,149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580,054</w:t>
            </w:r>
          </w:p>
        </w:tc>
      </w:tr>
    </w:tbl>
    <w:p>
      <w:pPr>
        <w:spacing w:after="0" w:line="196" w:lineRule="exact"/>
        <w:rPr>
          <w:sz w:val="20"/>
          <w:szCs w:val="20"/>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of one Class B-1 director from a slate of two candidates (elected by Class B-1 shareholders only) to serve on the Board until 2009. The results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B-1 Director Nominee*</w:t>
            </w:r>
          </w:p>
        </w:tc>
        <w:tc>
          <w:tcPr>
            <w:tcW w:w="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Abstentions</w:t>
            </w:r>
          </w:p>
        </w:tc>
      </w:tr>
      <w:tr>
        <w:trPr>
          <w:trHeight w:val="195"/>
        </w:trPr>
        <w:tc>
          <w:tcPr>
            <w:tcW w:w="8060" w:type="dxa"/>
            <w:vAlign w:val="bottom"/>
          </w:tcPr>
          <w:p>
            <w:pPr>
              <w:spacing w:after="0" w:line="195" w:lineRule="exact"/>
              <w:rPr>
                <w:sz w:val="20"/>
                <w:szCs w:val="20"/>
                <w:color w:val="auto"/>
              </w:rPr>
            </w:pPr>
            <w:r>
              <w:rPr>
                <w:rFonts w:ascii="Arial" w:cs="Arial" w:eastAsia="Arial" w:hAnsi="Arial"/>
                <w:sz w:val="18"/>
                <w:szCs w:val="18"/>
                <w:color w:val="auto"/>
              </w:rPr>
              <w:t>David G. Hill</w:t>
            </w:r>
          </w:p>
        </w:tc>
        <w:tc>
          <w:tcPr>
            <w:tcW w:w="60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212</w:t>
            </w:r>
          </w:p>
        </w:tc>
        <w:tc>
          <w:tcPr>
            <w:tcW w:w="20" w:type="dxa"/>
            <w:vAlign w:val="bottom"/>
          </w:tcPr>
          <w:p>
            <w:pPr>
              <w:spacing w:after="0"/>
              <w:rPr>
                <w:sz w:val="16"/>
                <w:szCs w:val="16"/>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William G. Salatich, Jr.</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182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69850</wp:posOffset>
            </wp:positionV>
            <wp:extent cx="617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3" w:lineRule="exact"/>
        <w:rPr>
          <w:sz w:val="20"/>
          <w:szCs w:val="20"/>
          <w:color w:val="auto"/>
        </w:rPr>
      </w:pPr>
    </w:p>
    <w:p>
      <w:pPr>
        <w:ind w:left="900" w:right="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Robert O. Kabat, Sr. was also nominated for election as a Class B-1 director. On March 29, 2007, the Company notified the Class B-1 shareholders that Mr. Kabat had passed away.</w:t>
      </w:r>
    </w:p>
    <w:p>
      <w:pPr>
        <w:spacing w:after="0" w:line="172" w:lineRule="exact"/>
        <w:rPr>
          <w:sz w:val="20"/>
          <w:szCs w:val="20"/>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election of one Class B-2 director from a slate of two candidates (elected by Class B-2 shareholders only) to serve on the Board until 2009. The results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B-2 Director Nominee</w:t>
            </w:r>
          </w:p>
        </w:tc>
        <w:tc>
          <w:tcPr>
            <w:tcW w:w="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Abstentions</w:t>
            </w:r>
          </w:p>
        </w:tc>
      </w:tr>
      <w:tr>
        <w:trPr>
          <w:trHeight w:val="195"/>
        </w:trPr>
        <w:tc>
          <w:tcPr>
            <w:tcW w:w="8060" w:type="dxa"/>
            <w:vAlign w:val="bottom"/>
          </w:tcPr>
          <w:p>
            <w:pPr>
              <w:spacing w:after="0" w:line="195" w:lineRule="exact"/>
              <w:rPr>
                <w:sz w:val="20"/>
                <w:szCs w:val="20"/>
                <w:color w:val="auto"/>
              </w:rPr>
            </w:pPr>
            <w:r>
              <w:rPr>
                <w:rFonts w:ascii="Arial" w:cs="Arial" w:eastAsia="Arial" w:hAnsi="Arial"/>
                <w:sz w:val="18"/>
                <w:szCs w:val="18"/>
                <w:color w:val="auto"/>
              </w:rPr>
              <w:t>John D. Newhouse</w:t>
            </w:r>
          </w:p>
        </w:tc>
        <w:tc>
          <w:tcPr>
            <w:tcW w:w="60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6"/>
                <w:szCs w:val="16"/>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David J. Wescott</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296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bl>
    <w:p>
      <w:pPr>
        <w:spacing w:after="0" w:line="196" w:lineRule="exact"/>
        <w:rPr>
          <w:sz w:val="20"/>
          <w:szCs w:val="20"/>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election of one Class B-3 director from a slate of two candidates (elected by Class B-3 shareholders only) to serve on the Board until 2009. The results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B-3 Director Nominee</w:t>
            </w:r>
          </w:p>
        </w:tc>
        <w:tc>
          <w:tcPr>
            <w:tcW w:w="466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Votes For</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Abstentions</w:t>
            </w:r>
          </w:p>
        </w:tc>
      </w:tr>
      <w:tr>
        <w:trPr>
          <w:trHeight w:val="195"/>
        </w:trPr>
        <w:tc>
          <w:tcPr>
            <w:tcW w:w="3400" w:type="dxa"/>
            <w:vAlign w:val="bottom"/>
          </w:tcPr>
          <w:p>
            <w:pPr>
              <w:spacing w:after="0" w:line="195" w:lineRule="exact"/>
              <w:rPr>
                <w:sz w:val="20"/>
                <w:szCs w:val="20"/>
                <w:color w:val="auto"/>
              </w:rPr>
            </w:pPr>
            <w:r>
              <w:rPr>
                <w:rFonts w:ascii="Arial" w:cs="Arial" w:eastAsia="Arial" w:hAnsi="Arial"/>
                <w:sz w:val="18"/>
                <w:szCs w:val="18"/>
                <w:color w:val="auto"/>
              </w:rPr>
              <w:t>Jeffrey R. Carter</w:t>
            </w:r>
          </w:p>
        </w:tc>
        <w:tc>
          <w:tcPr>
            <w:tcW w:w="5260" w:type="dxa"/>
            <w:vAlign w:val="bottom"/>
            <w:gridSpan w:val="2"/>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166</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391</w:t>
            </w:r>
          </w:p>
        </w:tc>
        <w:tc>
          <w:tcPr>
            <w:tcW w:w="20" w:type="dxa"/>
            <w:vAlign w:val="bottom"/>
          </w:tcPr>
          <w:p>
            <w:pPr>
              <w:spacing w:after="0"/>
              <w:rPr>
                <w:sz w:val="16"/>
                <w:szCs w:val="16"/>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Gary M. Katler</w:t>
            </w:r>
          </w:p>
        </w:tc>
        <w:tc>
          <w:tcPr>
            <w:tcW w:w="6420" w:type="dxa"/>
            <w:vAlign w:val="bottom"/>
            <w:gridSpan w:val="4"/>
          </w:tcPr>
          <w:p>
            <w:pPr>
              <w:jc w:val="right"/>
              <w:ind w:right="600"/>
              <w:spacing w:after="0"/>
              <w:rPr>
                <w:sz w:val="20"/>
                <w:szCs w:val="20"/>
                <w:color w:val="auto"/>
              </w:rPr>
            </w:pPr>
            <w:r>
              <w:rPr>
                <w:rFonts w:ascii="Arial" w:cs="Arial" w:eastAsia="Arial" w:hAnsi="Arial"/>
                <w:sz w:val="18"/>
                <w:szCs w:val="18"/>
                <w:color w:val="auto"/>
              </w:rPr>
              <w:t>325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r>
      <w:tr>
        <w:trPr>
          <w:trHeight w:val="365"/>
        </w:trPr>
        <w:tc>
          <w:tcPr>
            <w:tcW w:w="3400" w:type="dxa"/>
            <w:vAlign w:val="bottom"/>
          </w:tcPr>
          <w:p>
            <w:pPr>
              <w:spacing w:after="0"/>
              <w:rPr>
                <w:sz w:val="24"/>
                <w:szCs w:val="24"/>
                <w:color w:val="auto"/>
              </w:rPr>
            </w:pPr>
          </w:p>
        </w:tc>
        <w:tc>
          <w:tcPr>
            <w:tcW w:w="4660" w:type="dxa"/>
            <w:vAlign w:val="bottom"/>
          </w:tcPr>
          <w:p>
            <w:pPr>
              <w:jc w:val="right"/>
              <w:ind w:right="2632"/>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Election of Class B Nominating Committees</w:t>
      </w:r>
    </w:p>
    <w:p>
      <w:pPr>
        <w:spacing w:after="0" w:line="90" w:lineRule="exact"/>
        <w:rPr>
          <w:sz w:val="20"/>
          <w:szCs w:val="20"/>
          <w:color w:val="auto"/>
        </w:rPr>
      </w:pPr>
    </w:p>
    <w:p>
      <w:pPr>
        <w:ind w:left="9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election of five members of the Class B-1 Nominating Committee from a slate of ten candidates (elected by Class B-1 shareholders only). The results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B-1 Nominating Committee Nominee</w:t>
            </w:r>
          </w:p>
        </w:tc>
        <w:tc>
          <w:tcPr>
            <w:tcW w:w="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Abstentions</w:t>
            </w:r>
          </w:p>
        </w:tc>
      </w:tr>
      <w:tr>
        <w:trPr>
          <w:trHeight w:val="195"/>
        </w:trPr>
        <w:tc>
          <w:tcPr>
            <w:tcW w:w="8060" w:type="dxa"/>
            <w:vAlign w:val="bottom"/>
          </w:tcPr>
          <w:p>
            <w:pPr>
              <w:spacing w:after="0" w:line="195" w:lineRule="exact"/>
              <w:rPr>
                <w:sz w:val="20"/>
                <w:szCs w:val="20"/>
                <w:color w:val="auto"/>
              </w:rPr>
            </w:pPr>
            <w:r>
              <w:rPr>
                <w:rFonts w:ascii="Arial" w:cs="Arial" w:eastAsia="Arial" w:hAnsi="Arial"/>
                <w:sz w:val="18"/>
                <w:szCs w:val="18"/>
                <w:color w:val="auto"/>
              </w:rPr>
              <w:t>Thomas A. Bentley</w:t>
            </w:r>
          </w:p>
        </w:tc>
        <w:tc>
          <w:tcPr>
            <w:tcW w:w="60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193</w:t>
            </w:r>
          </w:p>
        </w:tc>
        <w:tc>
          <w:tcPr>
            <w:tcW w:w="20" w:type="dxa"/>
            <w:vAlign w:val="bottom"/>
          </w:tcPr>
          <w:p>
            <w:pPr>
              <w:spacing w:after="0"/>
              <w:rPr>
                <w:sz w:val="16"/>
                <w:szCs w:val="16"/>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Joseph F. Carava, Jr.</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82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Michael J. Downs</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143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Larry S. Fields</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155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John C. Garrity</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149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Lonnie Klein</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148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William F. Kulp</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125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Brian J. Muno</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William J. Rinn III</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Robert D. Wharton</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77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r>
    </w:tbl>
    <w:p>
      <w:pPr>
        <w:spacing w:after="0" w:line="196" w:lineRule="exact"/>
        <w:rPr>
          <w:sz w:val="20"/>
          <w:szCs w:val="20"/>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election of five members of the Class B-2 Nominating Committee from a slate of ten candidates (elected by Class B-2 shareholders only). The results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B-2 Nominating Committee Nominee</w:t>
            </w:r>
          </w:p>
        </w:tc>
        <w:tc>
          <w:tcPr>
            <w:tcW w:w="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Abstentions</w:t>
            </w:r>
          </w:p>
        </w:tc>
      </w:tr>
      <w:tr>
        <w:trPr>
          <w:trHeight w:val="195"/>
        </w:trPr>
        <w:tc>
          <w:tcPr>
            <w:tcW w:w="8060" w:type="dxa"/>
            <w:vAlign w:val="bottom"/>
          </w:tcPr>
          <w:p>
            <w:pPr>
              <w:spacing w:after="0" w:line="195" w:lineRule="exact"/>
              <w:rPr>
                <w:sz w:val="20"/>
                <w:szCs w:val="20"/>
                <w:color w:val="auto"/>
              </w:rPr>
            </w:pPr>
            <w:r>
              <w:rPr>
                <w:rFonts w:ascii="Arial" w:cs="Arial" w:eastAsia="Arial" w:hAnsi="Arial"/>
                <w:sz w:val="18"/>
                <w:szCs w:val="18"/>
                <w:color w:val="auto"/>
              </w:rPr>
              <w:t>Robert A. Bergin</w:t>
            </w:r>
          </w:p>
        </w:tc>
        <w:tc>
          <w:tcPr>
            <w:tcW w:w="60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314</w:t>
            </w:r>
          </w:p>
        </w:tc>
        <w:tc>
          <w:tcPr>
            <w:tcW w:w="20" w:type="dxa"/>
            <w:vAlign w:val="bottom"/>
          </w:tcPr>
          <w:p>
            <w:pPr>
              <w:spacing w:after="0"/>
              <w:rPr>
                <w:sz w:val="16"/>
                <w:szCs w:val="16"/>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Denis P. Duffey</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192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Richard J. Duran</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170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Jeffrey C. Holcomb</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155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Donald J. Lanphere, Jr.</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196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Brian J. McCormick</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124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Paul S. Mermel</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117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Michael J. Moss</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157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Ronald A. Pankau</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214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Barry D. Ward</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214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bl>
    <w:p>
      <w:pPr>
        <w:spacing w:after="0" w:line="27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Approval of an Amendment to the Chicago Mercantile Exchange Holdings Inc. Omnibus Stock Plan</w:t>
      </w:r>
    </w:p>
    <w:p>
      <w:pPr>
        <w:spacing w:after="0" w:line="90"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A proposal to approve an amendment to the Chicago Mercantile Exchange Holdings Inc. Omnibus Stock Plan (approved by Class A and Class B shareholders voting together as a single class). The results were as follows:</w:t>
      </w:r>
    </w:p>
    <w:p>
      <w:pPr>
        <w:spacing w:after="0" w:line="156"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6"/>
              </w:rPr>
              <w:t>Abstentions/ Broker</w:t>
            </w:r>
          </w:p>
        </w:tc>
      </w:tr>
      <w:tr>
        <w:trPr>
          <w:trHeight w:val="181"/>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4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4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Non-Votes</w:t>
            </w:r>
          </w:p>
        </w:tc>
      </w:tr>
      <w:tr>
        <w:trPr>
          <w:trHeight w:val="209"/>
        </w:trPr>
        <w:tc>
          <w:tcPr>
            <w:tcW w:w="2560" w:type="dxa"/>
            <w:vAlign w:val="bottom"/>
          </w:tcPr>
          <w:p>
            <w:pPr>
              <w:jc w:val="right"/>
              <w:ind w:right="822"/>
              <w:spacing w:after="0" w:line="202" w:lineRule="exact"/>
              <w:rPr>
                <w:sz w:val="20"/>
                <w:szCs w:val="20"/>
                <w:color w:val="auto"/>
              </w:rPr>
            </w:pPr>
            <w:r>
              <w:rPr>
                <w:rFonts w:ascii="Arial" w:cs="Arial" w:eastAsia="Arial" w:hAnsi="Arial"/>
                <w:sz w:val="18"/>
                <w:szCs w:val="18"/>
                <w:color w:val="auto"/>
              </w:rPr>
              <w:t>23,288,246</w:t>
            </w:r>
          </w:p>
        </w:tc>
        <w:tc>
          <w:tcPr>
            <w:tcW w:w="140" w:type="dxa"/>
            <w:vAlign w:val="bottom"/>
          </w:tcPr>
          <w:p>
            <w:pPr>
              <w:spacing w:after="0"/>
              <w:rPr>
                <w:sz w:val="18"/>
                <w:szCs w:val="18"/>
                <w:color w:val="auto"/>
              </w:rPr>
            </w:pPr>
          </w:p>
        </w:tc>
        <w:tc>
          <w:tcPr>
            <w:tcW w:w="2260" w:type="dxa"/>
            <w:vAlign w:val="bottom"/>
          </w:tcPr>
          <w:p>
            <w:pPr>
              <w:jc w:val="right"/>
              <w:ind w:right="702"/>
              <w:spacing w:after="0"/>
              <w:rPr>
                <w:sz w:val="20"/>
                <w:szCs w:val="20"/>
                <w:color w:val="auto"/>
              </w:rPr>
            </w:pPr>
            <w:r>
              <w:rPr>
                <w:rFonts w:ascii="Arial" w:cs="Arial" w:eastAsia="Arial" w:hAnsi="Arial"/>
                <w:sz w:val="18"/>
                <w:szCs w:val="18"/>
                <w:color w:val="auto"/>
              </w:rPr>
              <w:t>2,042,774</w:t>
            </w:r>
          </w:p>
        </w:tc>
        <w:tc>
          <w:tcPr>
            <w:tcW w:w="1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280,623</w:t>
            </w:r>
          </w:p>
        </w:tc>
      </w:tr>
    </w:tbl>
    <w:p>
      <w:pPr>
        <w:spacing w:after="0" w:line="26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Approval of an Amendment to the Chicago Mercantile Exchange Holdings Inc. Annual Incentive Plan</w:t>
      </w:r>
    </w:p>
    <w:p>
      <w:pPr>
        <w:spacing w:after="0" w:line="90"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A proposal to approve an amendment to the Chicago Mercantile Exchange Holdings Inc. Annual Incentive Plan (approved by Class A and Class B shareholders voting together as a single class). The results were as follows:</w:t>
      </w:r>
    </w:p>
    <w:p>
      <w:pPr>
        <w:spacing w:after="0" w:line="156"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Abstentions/Broker</w:t>
            </w:r>
          </w:p>
        </w:tc>
      </w:tr>
      <w:tr>
        <w:trPr>
          <w:trHeight w:val="181"/>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4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4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Non-Votes</w:t>
            </w:r>
          </w:p>
        </w:tc>
      </w:tr>
      <w:tr>
        <w:trPr>
          <w:trHeight w:val="209"/>
        </w:trPr>
        <w:tc>
          <w:tcPr>
            <w:tcW w:w="2560" w:type="dxa"/>
            <w:vAlign w:val="bottom"/>
          </w:tcPr>
          <w:p>
            <w:pPr>
              <w:jc w:val="right"/>
              <w:ind w:right="822"/>
              <w:spacing w:after="0" w:line="202" w:lineRule="exact"/>
              <w:rPr>
                <w:sz w:val="20"/>
                <w:szCs w:val="20"/>
                <w:color w:val="auto"/>
              </w:rPr>
            </w:pPr>
            <w:r>
              <w:rPr>
                <w:rFonts w:ascii="Arial" w:cs="Arial" w:eastAsia="Arial" w:hAnsi="Arial"/>
                <w:sz w:val="18"/>
                <w:szCs w:val="18"/>
                <w:color w:val="auto"/>
              </w:rPr>
              <w:t>28,274,201</w:t>
            </w:r>
          </w:p>
        </w:tc>
        <w:tc>
          <w:tcPr>
            <w:tcW w:w="140" w:type="dxa"/>
            <w:vAlign w:val="bottom"/>
          </w:tcPr>
          <w:p>
            <w:pPr>
              <w:spacing w:after="0"/>
              <w:rPr>
                <w:sz w:val="18"/>
                <w:szCs w:val="18"/>
                <w:color w:val="auto"/>
              </w:rPr>
            </w:pPr>
          </w:p>
        </w:tc>
        <w:tc>
          <w:tcPr>
            <w:tcW w:w="2260" w:type="dxa"/>
            <w:vAlign w:val="bottom"/>
          </w:tcPr>
          <w:p>
            <w:pPr>
              <w:jc w:val="right"/>
              <w:ind w:right="702"/>
              <w:spacing w:after="0"/>
              <w:rPr>
                <w:sz w:val="20"/>
                <w:szCs w:val="20"/>
                <w:color w:val="auto"/>
              </w:rPr>
            </w:pPr>
            <w:r>
              <w:rPr>
                <w:rFonts w:ascii="Arial" w:cs="Arial" w:eastAsia="Arial" w:hAnsi="Arial"/>
                <w:sz w:val="18"/>
                <w:szCs w:val="18"/>
                <w:color w:val="auto"/>
              </w:rPr>
              <w:t>1,892,665</w:t>
            </w:r>
          </w:p>
        </w:tc>
        <w:tc>
          <w:tcPr>
            <w:tcW w:w="1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265,336</w:t>
            </w:r>
          </w:p>
        </w:tc>
      </w:tr>
      <w:tr>
        <w:trPr>
          <w:trHeight w:val="356"/>
        </w:trPr>
        <w:tc>
          <w:tcPr>
            <w:tcW w:w="2560" w:type="dxa"/>
            <w:vAlign w:val="bottom"/>
          </w:tcPr>
          <w:p>
            <w:pPr>
              <w:spacing w:after="0"/>
              <w:rPr>
                <w:sz w:val="24"/>
                <w:szCs w:val="24"/>
                <w:color w:val="auto"/>
              </w:rPr>
            </w:pPr>
          </w:p>
        </w:tc>
        <w:tc>
          <w:tcPr>
            <w:tcW w:w="2400" w:type="dxa"/>
            <w:vAlign w:val="bottom"/>
            <w:gridSpan w:val="2"/>
          </w:tcPr>
          <w:p>
            <w:pPr>
              <w:jc w:val="right"/>
              <w:ind w:right="1162"/>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Ratification of Appointment of Independent Registered Public Accounting Firm</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 proposal to ratify the appointment of Ernst &amp; Young LLP to serve as the independent registered public accounting firm for Chicago Mercantile Exchange Holdings Inc. for the fiscal year ending December 31, 2007 (ratified by Class A and Class B shareholders voting together as a single class). The results were as follows:</w:t>
      </w:r>
    </w:p>
    <w:p>
      <w:pPr>
        <w:spacing w:after="0" w:line="176" w:lineRule="exact"/>
        <w:rPr>
          <w:sz w:val="20"/>
          <w:szCs w:val="20"/>
          <w:color w:val="auto"/>
        </w:rPr>
      </w:pPr>
    </w:p>
    <w:tbl>
      <w:tblPr>
        <w:tblLayout w:type="fixed"/>
        <w:tblInd w:w="2080" w:type="dxa"/>
        <w:tblCellMar>
          <w:top w:w="0" w:type="dxa"/>
          <w:left w:w="0" w:type="dxa"/>
          <w:bottom w:w="0" w:type="dxa"/>
          <w:right w:w="0" w:type="dxa"/>
        </w:tblCellMar>
      </w:tblPr>
      <w:tr>
        <w:trPr>
          <w:trHeight w:val="181"/>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4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4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09"/>
        </w:trPr>
        <w:tc>
          <w:tcPr>
            <w:tcW w:w="2560" w:type="dxa"/>
            <w:vAlign w:val="bottom"/>
          </w:tcPr>
          <w:p>
            <w:pPr>
              <w:jc w:val="right"/>
              <w:ind w:right="822"/>
              <w:spacing w:after="0" w:line="202" w:lineRule="exact"/>
              <w:rPr>
                <w:sz w:val="20"/>
                <w:szCs w:val="20"/>
                <w:color w:val="auto"/>
              </w:rPr>
            </w:pPr>
            <w:r>
              <w:rPr>
                <w:rFonts w:ascii="Arial" w:cs="Arial" w:eastAsia="Arial" w:hAnsi="Arial"/>
                <w:sz w:val="18"/>
                <w:szCs w:val="18"/>
                <w:color w:val="auto"/>
              </w:rPr>
              <w:t>30,042,436</w:t>
            </w:r>
          </w:p>
        </w:tc>
        <w:tc>
          <w:tcPr>
            <w:tcW w:w="140" w:type="dxa"/>
            <w:vAlign w:val="bottom"/>
          </w:tcPr>
          <w:p>
            <w:pPr>
              <w:spacing w:after="0"/>
              <w:rPr>
                <w:sz w:val="18"/>
                <w:szCs w:val="18"/>
                <w:color w:val="auto"/>
              </w:rPr>
            </w:pPr>
          </w:p>
        </w:tc>
        <w:tc>
          <w:tcPr>
            <w:tcW w:w="2260" w:type="dxa"/>
            <w:vAlign w:val="bottom"/>
          </w:tcPr>
          <w:p>
            <w:pPr>
              <w:jc w:val="right"/>
              <w:ind w:right="762"/>
              <w:spacing w:after="0"/>
              <w:rPr>
                <w:sz w:val="20"/>
                <w:szCs w:val="20"/>
                <w:color w:val="auto"/>
              </w:rPr>
            </w:pPr>
            <w:r>
              <w:rPr>
                <w:rFonts w:ascii="Arial" w:cs="Arial" w:eastAsia="Arial" w:hAnsi="Arial"/>
                <w:sz w:val="18"/>
                <w:szCs w:val="18"/>
                <w:color w:val="auto"/>
              </w:rPr>
              <w:t>202,274</w:t>
            </w:r>
          </w:p>
        </w:tc>
        <w:tc>
          <w:tcPr>
            <w:tcW w:w="140" w:type="dxa"/>
            <w:vAlign w:val="bottom"/>
          </w:tcPr>
          <w:p>
            <w:pPr>
              <w:spacing w:after="0"/>
              <w:rPr>
                <w:sz w:val="18"/>
                <w:szCs w:val="18"/>
                <w:color w:val="auto"/>
              </w:rPr>
            </w:pPr>
          </w:p>
        </w:tc>
        <w:tc>
          <w:tcPr>
            <w:tcW w:w="2180" w:type="dxa"/>
            <w:vAlign w:val="bottom"/>
          </w:tcPr>
          <w:p>
            <w:pPr>
              <w:jc w:val="right"/>
              <w:ind w:right="722"/>
              <w:spacing w:after="0"/>
              <w:rPr>
                <w:sz w:val="20"/>
                <w:szCs w:val="20"/>
                <w:color w:val="auto"/>
              </w:rPr>
            </w:pPr>
            <w:r>
              <w:rPr>
                <w:rFonts w:ascii="Arial" w:cs="Arial" w:eastAsia="Arial" w:hAnsi="Arial"/>
                <w:sz w:val="18"/>
                <w:szCs w:val="18"/>
                <w:color w:val="auto"/>
              </w:rPr>
              <w:t>187,493</w:t>
            </w: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Chicago Mercantile Exchange Holdings Inc. Amended and Restated Employee Stock Purchase Plan.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Summary of Agreement between Chicago Mercantile Exchange Inc. and Terrence A. Duffy, effective as of June 6, 2007.</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Certification—Craig S. Donohue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Section 302 Certification—James E. Parisi</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2007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CHICAGO MERCANTILE EXCHANGE HOLDINGS INC. </w:t>
      </w:r>
      <w:r>
        <w:rPr>
          <w:rFonts w:ascii="Arial" w:cs="Arial" w:eastAsia="Arial" w:hAnsi="Arial"/>
          <w:sz w:val="18"/>
          <w:szCs w:val="18"/>
          <w:color w:val="auto"/>
        </w:rPr>
        <w:t>(Registrant)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Parisi</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James E. Parisi</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Managing Director and Chief Financial Officer</w:t>
            </w:r>
          </w:p>
        </w:tc>
      </w:tr>
    </w:tbl>
    <w:p>
      <w:pPr>
        <w:sectPr>
          <w:pgSz w:w="11900" w:h="16838" w:orient="portrait"/>
          <w:cols w:equalWidth="0" w:num="2">
            <w:col w:w="5820" w:space="720"/>
            <w:col w:w="4880"/>
          </w:cols>
          <w:pgMar w:left="240" w:top="459" w:right="2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MERCANTILE EXCHANGE HOLDINGS INC.</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EMPLOYEE STOCK PURCHASE PLAN</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(amended and restated as of April 26, 2007)</w:t>
      </w:r>
    </w:p>
    <w:p>
      <w:pPr>
        <w:spacing w:after="0" w:line="159" w:lineRule="exact"/>
        <w:rPr>
          <w:sz w:val="20"/>
          <w:szCs w:val="20"/>
          <w:color w:val="auto"/>
        </w:rPr>
      </w:pPr>
    </w:p>
    <w:p>
      <w:pPr>
        <w:ind w:right="160" w:firstLine="464"/>
        <w:spacing w:after="0" w:line="296" w:lineRule="auto"/>
        <w:tabs>
          <w:tab w:leader="none" w:pos="676"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Chicago Mercantile Exchange Holdings Inc. Employee Stock Purchase Plan (the “Plan”) is established for the benefit of employees of</w:t>
      </w:r>
      <w:r>
        <w:rPr>
          <w:rFonts w:ascii="Arial" w:cs="Arial" w:eastAsia="Arial" w:hAnsi="Arial"/>
          <w:sz w:val="16"/>
          <w:szCs w:val="16"/>
          <w:b w:val="1"/>
          <w:bCs w:val="1"/>
          <w:color w:val="auto"/>
        </w:rPr>
        <w:t xml:space="preserve"> </w:t>
      </w:r>
      <w:r>
        <w:rPr>
          <w:rFonts w:ascii="Arial" w:cs="Arial" w:eastAsia="Arial" w:hAnsi="Arial"/>
          <w:sz w:val="16"/>
          <w:szCs w:val="16"/>
          <w:color w:val="auto"/>
        </w:rPr>
        <w:t>Chicago Mercantile Exchange Holdings Inc. (the “Company”) and its Designated Subsidiaries. The Plan is intended to provide the employees of the Company and its Designated Subsidiaries with an opportunity to purchase shares of Class A common stock of the Company (the “Shares”). It is the intention of the Company that the Plan qualify as an “employee stock purchase plan” within the meaning of Section 423 of the Internal Revenue Code of 1986, as amended (the “Code”), and the Plan shall be construed in a manner consistent with the requirements of such Section of the Code.</w:t>
      </w:r>
    </w:p>
    <w:p>
      <w:pPr>
        <w:spacing w:after="0" w:line="107" w:lineRule="exact"/>
        <w:rPr>
          <w:rFonts w:ascii="Arial" w:cs="Arial" w:eastAsia="Arial" w:hAnsi="Arial"/>
          <w:sz w:val="16"/>
          <w:szCs w:val="16"/>
          <w:b w:val="1"/>
          <w:bCs w:val="1"/>
          <w:color w:val="auto"/>
        </w:rPr>
      </w:pPr>
    </w:p>
    <w:p>
      <w:pPr>
        <w:ind w:left="680" w:hanging="216"/>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left="680" w:hanging="216"/>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171" w:lineRule="exact"/>
        <w:rPr>
          <w:rFonts w:ascii="Arial" w:cs="Arial" w:eastAsia="Arial" w:hAnsi="Arial"/>
          <w:sz w:val="18"/>
          <w:szCs w:val="18"/>
          <w:b w:val="1"/>
          <w:bCs w:val="1"/>
          <w:color w:val="auto"/>
        </w:rPr>
      </w:pPr>
    </w:p>
    <w:p>
      <w:pPr>
        <w:ind w:right="700" w:firstLine="464"/>
        <w:spacing w:after="0" w:line="275" w:lineRule="auto"/>
        <w:tabs>
          <w:tab w:leader="none" w:pos="68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Capitalization” </w:t>
      </w:r>
      <w:r>
        <w:rPr>
          <w:rFonts w:ascii="Arial" w:cs="Arial" w:eastAsia="Arial" w:hAnsi="Arial"/>
          <w:sz w:val="18"/>
          <w:szCs w:val="18"/>
          <w:color w:val="auto"/>
        </w:rPr>
        <w:t>shall mean any merger, reorganization, consolidation, recapitalization, liquidation, stock dividend, split-up, share</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other similar change in the corporate structure of the Company affecting the Shares.</w:t>
      </w:r>
    </w:p>
    <w:p>
      <w:pPr>
        <w:spacing w:after="0" w:line="119" w:lineRule="exact"/>
        <w:rPr>
          <w:rFonts w:ascii="Arial" w:cs="Arial" w:eastAsia="Arial" w:hAnsi="Arial"/>
          <w:sz w:val="18"/>
          <w:szCs w:val="18"/>
          <w:b w:val="1"/>
          <w:bCs w:val="1"/>
          <w:color w:val="auto"/>
        </w:rPr>
      </w:pPr>
    </w:p>
    <w:p>
      <w:pPr>
        <w:ind w:left="680" w:hanging="216"/>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 from time to time.</w:t>
      </w:r>
    </w:p>
    <w:p>
      <w:pPr>
        <w:spacing w:after="0" w:line="171" w:lineRule="exact"/>
        <w:rPr>
          <w:rFonts w:ascii="Arial" w:cs="Arial" w:eastAsia="Arial" w:hAnsi="Arial"/>
          <w:sz w:val="18"/>
          <w:szCs w:val="18"/>
          <w:b w:val="1"/>
          <w:bCs w:val="1"/>
          <w:color w:val="auto"/>
        </w:rPr>
      </w:pPr>
    </w:p>
    <w:p>
      <w:pPr>
        <w:ind w:right="40" w:firstLine="464"/>
        <w:spacing w:after="0" w:line="275" w:lineRule="auto"/>
        <w:tabs>
          <w:tab w:leader="none" w:pos="68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the Compensation Committee or any other committee of members of the Board appointed by the Board to administer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to perform the functions of the Committee as set forth herein.</w:t>
      </w:r>
    </w:p>
    <w:p>
      <w:pPr>
        <w:spacing w:after="0" w:line="119" w:lineRule="exact"/>
        <w:rPr>
          <w:rFonts w:ascii="Arial" w:cs="Arial" w:eastAsia="Arial" w:hAnsi="Arial"/>
          <w:sz w:val="18"/>
          <w:szCs w:val="18"/>
          <w:b w:val="1"/>
          <w:bCs w:val="1"/>
          <w:color w:val="auto"/>
        </w:rPr>
      </w:pPr>
    </w:p>
    <w:p>
      <w:pPr>
        <w:ind w:left="680" w:hanging="216"/>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Chicago Mercantile Exchange Holdings Inc., a Delaware corporation, and any successor corporation.</w:t>
      </w:r>
    </w:p>
    <w:p>
      <w:pPr>
        <w:spacing w:after="0" w:line="171" w:lineRule="exact"/>
        <w:rPr>
          <w:rFonts w:ascii="Arial" w:cs="Arial" w:eastAsia="Arial" w:hAnsi="Arial"/>
          <w:sz w:val="18"/>
          <w:szCs w:val="18"/>
          <w:b w:val="1"/>
          <w:bCs w:val="1"/>
          <w:color w:val="auto"/>
        </w:rPr>
      </w:pPr>
    </w:p>
    <w:p>
      <w:pPr>
        <w:ind w:right="100" w:firstLine="464"/>
        <w:spacing w:after="0" w:line="310" w:lineRule="auto"/>
        <w:tabs>
          <w:tab w:leader="none" w:pos="647"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“Continuous Status as an Employee” </w:t>
      </w:r>
      <w:r>
        <w:rPr>
          <w:rFonts w:ascii="Arial" w:cs="Arial" w:eastAsia="Arial" w:hAnsi="Arial"/>
          <w:sz w:val="16"/>
          <w:szCs w:val="16"/>
          <w:color w:val="auto"/>
        </w:rPr>
        <w:t>shall mean the absence of any interruption or termination of service as an Employee. Continuous Status as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not be considered interrupted in the case of a leave of absence agreed to in writing by the Employee’s Employer, if such leave is for a continuous period of not more than three months or if re-employment upon the expiration of such leave is guaranteed by contract or statute.</w:t>
      </w:r>
    </w:p>
    <w:p>
      <w:pPr>
        <w:spacing w:after="0" w:line="97" w:lineRule="exact"/>
        <w:rPr>
          <w:rFonts w:ascii="Arial" w:cs="Arial" w:eastAsia="Arial" w:hAnsi="Arial"/>
          <w:sz w:val="16"/>
          <w:szCs w:val="16"/>
          <w:b w:val="1"/>
          <w:bCs w:val="1"/>
          <w:color w:val="auto"/>
        </w:rPr>
      </w:pPr>
    </w:p>
    <w:p>
      <w:pPr>
        <w:jc w:val="both"/>
        <w:ind w:right="620" w:firstLine="464"/>
        <w:spacing w:after="0" w:line="378" w:lineRule="auto"/>
        <w:tabs>
          <w:tab w:leader="none" w:pos="676"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“Designated Subsidiaries” </w:t>
      </w:r>
      <w:r>
        <w:rPr>
          <w:rFonts w:ascii="Arial" w:cs="Arial" w:eastAsia="Arial" w:hAnsi="Arial"/>
          <w:sz w:val="15"/>
          <w:szCs w:val="15"/>
          <w:color w:val="auto"/>
        </w:rPr>
        <w:t>shall mean the Subsidiaries of the Company which have been designated by the Board from time to time in its sole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as eligible to participate in the Plan, which may include corporations which become subsidiaries of the Company after the adoption of the Plan.</w:t>
      </w:r>
    </w:p>
    <w:p>
      <w:pPr>
        <w:spacing w:after="0" w:line="50" w:lineRule="exact"/>
        <w:rPr>
          <w:rFonts w:ascii="Arial" w:cs="Arial" w:eastAsia="Arial" w:hAnsi="Arial"/>
          <w:sz w:val="15"/>
          <w:szCs w:val="15"/>
          <w:b w:val="1"/>
          <w:bCs w:val="1"/>
          <w:color w:val="auto"/>
        </w:rPr>
      </w:pPr>
    </w:p>
    <w:p>
      <w:pPr>
        <w:ind w:right="200" w:firstLine="464"/>
        <w:spacing w:after="0" w:line="262" w:lineRule="auto"/>
        <w:tabs>
          <w:tab w:leader="none" w:pos="68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person, including an officer, who is an employee of the Company or a Designated Subsidiary of the Company;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an Employee shall not include any individual whose customary period of employment is for five months or less in any calendar year or whose customary employment is 20 hours or less per week.</w:t>
      </w:r>
    </w:p>
    <w:p>
      <w:pPr>
        <w:sectPr>
          <w:pgSz w:w="11900" w:h="16838" w:orient="portrait"/>
          <w:cols w:equalWidth="0" w:num="1">
            <w:col w:w="11420"/>
          </w:cols>
          <w:pgMar w:left="240" w:top="125" w:right="239" w:bottom="1440" w:gutter="0" w:footer="0" w:header="0"/>
        </w:sectPr>
      </w:pPr>
    </w:p>
    <w:bookmarkStart w:id="30" w:name="page31"/>
    <w:bookmarkEnd w:id="30"/>
    <w:p>
      <w:pPr>
        <w:ind w:left="-80" w:right="340" w:firstLine="464"/>
        <w:spacing w:after="0" w:line="275" w:lineRule="auto"/>
        <w:tabs>
          <w:tab w:leader="none" w:pos="557"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“Employer” </w:t>
      </w:r>
      <w:r>
        <w:rPr>
          <w:rFonts w:ascii="Arial" w:cs="Arial" w:eastAsia="Arial" w:hAnsi="Arial"/>
          <w:sz w:val="18"/>
          <w:szCs w:val="18"/>
          <w:color w:val="auto"/>
        </w:rPr>
        <w:t>shall mean, as to any particular Employee, the corporation which employs such Employee, whether it is the Company or a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the Company.</w:t>
      </w:r>
    </w:p>
    <w:p>
      <w:pPr>
        <w:spacing w:after="0" w:line="119" w:lineRule="exact"/>
        <w:rPr>
          <w:rFonts w:ascii="Arial" w:cs="Arial" w:eastAsia="Arial" w:hAnsi="Arial"/>
          <w:sz w:val="18"/>
          <w:szCs w:val="18"/>
          <w:b w:val="1"/>
          <w:bCs w:val="1"/>
          <w:color w:val="auto"/>
        </w:rPr>
      </w:pPr>
    </w:p>
    <w:p>
      <w:pPr>
        <w:ind w:left="580" w:hanging="196"/>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w:t>
      </w:r>
    </w:p>
    <w:p>
      <w:pPr>
        <w:spacing w:after="0" w:line="171" w:lineRule="exact"/>
        <w:rPr>
          <w:rFonts w:ascii="Arial" w:cs="Arial" w:eastAsia="Arial" w:hAnsi="Arial"/>
          <w:sz w:val="18"/>
          <w:szCs w:val="18"/>
          <w:b w:val="1"/>
          <w:bCs w:val="1"/>
          <w:color w:val="auto"/>
        </w:rPr>
      </w:pPr>
    </w:p>
    <w:p>
      <w:pPr>
        <w:ind w:left="-80" w:right="900" w:firstLine="464"/>
        <w:spacing w:after="0" w:line="275" w:lineRule="auto"/>
        <w:tabs>
          <w:tab w:leader="none" w:pos="56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Date” </w:t>
      </w:r>
      <w:r>
        <w:rPr>
          <w:rFonts w:ascii="Arial" w:cs="Arial" w:eastAsia="Arial" w:hAnsi="Arial"/>
          <w:sz w:val="18"/>
          <w:szCs w:val="18"/>
          <w:color w:val="auto"/>
        </w:rPr>
        <w:t>shall mean the Trading Day that occurs on or immediately following the six month anniversary of the Offering Date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the Purchase Period, except as the Committee may otherwise provide.</w:t>
      </w:r>
    </w:p>
    <w:p>
      <w:pPr>
        <w:spacing w:after="0" w:line="119" w:lineRule="exact"/>
        <w:rPr>
          <w:rFonts w:ascii="Arial" w:cs="Arial" w:eastAsia="Arial" w:hAnsi="Arial"/>
          <w:sz w:val="18"/>
          <w:szCs w:val="18"/>
          <w:b w:val="1"/>
          <w:bCs w:val="1"/>
          <w:color w:val="auto"/>
        </w:rPr>
      </w:pPr>
    </w:p>
    <w:p>
      <w:pPr>
        <w:ind w:left="-80" w:right="140" w:firstLine="464"/>
        <w:spacing w:after="0" w:line="258" w:lineRule="auto"/>
        <w:tabs>
          <w:tab w:leader="none" w:pos="557"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per Share as of a particular date shall mean (i) the closing sales price per Share on such date, as reported by the Composite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reporting system or if not so reported, as reported by the New York Stock Exchange or (ii) in the event the Shares are not traded on such date, the closing price per Share, as so reported on the immediately preceding date on which trading occurred, or if not so reported, as reported by any national securities exchange on which the Shares are listed.</w:t>
      </w:r>
    </w:p>
    <w:p>
      <w:pPr>
        <w:spacing w:after="0" w:line="136" w:lineRule="exact"/>
        <w:rPr>
          <w:rFonts w:ascii="Arial" w:cs="Arial" w:eastAsia="Arial" w:hAnsi="Arial"/>
          <w:sz w:val="18"/>
          <w:szCs w:val="18"/>
          <w:b w:val="1"/>
          <w:bCs w:val="1"/>
          <w:color w:val="auto"/>
        </w:rPr>
      </w:pPr>
    </w:p>
    <w:p>
      <w:pPr>
        <w:ind w:left="-80" w:firstLine="464"/>
        <w:spacing w:after="0" w:line="275" w:lineRule="auto"/>
        <w:tabs>
          <w:tab w:leader="none" w:pos="65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“Offering Date” </w:t>
      </w:r>
      <w:r>
        <w:rPr>
          <w:rFonts w:ascii="Arial" w:cs="Arial" w:eastAsia="Arial" w:hAnsi="Arial"/>
          <w:sz w:val="18"/>
          <w:szCs w:val="18"/>
          <w:color w:val="auto"/>
        </w:rPr>
        <w:t>shall mean the first Trading Day of each Purchase Period of the Plan. The Offering Date of a Purchase Period is the grant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offered in such Purchase Period.</w:t>
      </w:r>
    </w:p>
    <w:p>
      <w:pPr>
        <w:spacing w:after="0" w:line="119" w:lineRule="exact"/>
        <w:rPr>
          <w:rFonts w:ascii="Arial" w:cs="Arial" w:eastAsia="Arial" w:hAnsi="Arial"/>
          <w:sz w:val="18"/>
          <w:szCs w:val="18"/>
          <w:b w:val="1"/>
          <w:bCs w:val="1"/>
          <w:color w:val="auto"/>
        </w:rPr>
      </w:pPr>
    </w:p>
    <w:p>
      <w:pPr>
        <w:ind w:left="620" w:hanging="236"/>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Employee who participates in the Plan.</w:t>
      </w:r>
    </w:p>
    <w:p>
      <w:pPr>
        <w:spacing w:after="0" w:line="171" w:lineRule="exact"/>
        <w:rPr>
          <w:rFonts w:ascii="Arial" w:cs="Arial" w:eastAsia="Arial" w:hAnsi="Arial"/>
          <w:sz w:val="18"/>
          <w:szCs w:val="18"/>
          <w:b w:val="1"/>
          <w:bCs w:val="1"/>
          <w:color w:val="auto"/>
        </w:rPr>
      </w:pPr>
    </w:p>
    <w:p>
      <w:pPr>
        <w:ind w:left="600" w:hanging="216"/>
        <w:spacing w:after="0"/>
        <w:tabs>
          <w:tab w:leader="none" w:pos="6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Chicago Mercantile Exchange Holdings Inc. Employee Stock Purchase Plan, as amended from time to time.</w:t>
      </w:r>
    </w:p>
    <w:p>
      <w:pPr>
        <w:spacing w:after="0" w:line="171" w:lineRule="exact"/>
        <w:rPr>
          <w:rFonts w:ascii="Arial" w:cs="Arial" w:eastAsia="Arial" w:hAnsi="Arial"/>
          <w:sz w:val="18"/>
          <w:szCs w:val="18"/>
          <w:b w:val="1"/>
          <w:bCs w:val="1"/>
          <w:color w:val="auto"/>
        </w:rPr>
      </w:pPr>
    </w:p>
    <w:p>
      <w:pPr>
        <w:ind w:left="-80" w:right="140" w:firstLine="464"/>
        <w:spacing w:after="0" w:line="339" w:lineRule="auto"/>
        <w:tabs>
          <w:tab w:leader="none" w:pos="60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Period” </w:t>
      </w:r>
      <w:r>
        <w:rPr>
          <w:rFonts w:ascii="Arial" w:cs="Arial" w:eastAsia="Arial" w:hAnsi="Arial"/>
          <w:sz w:val="16"/>
          <w:szCs w:val="16"/>
          <w:color w:val="auto"/>
        </w:rPr>
        <w:t>shall mean each approximately six-month period commencing on the Trading Day next following the last previous Exercise Date</w:t>
      </w:r>
      <w:r>
        <w:rPr>
          <w:rFonts w:ascii="Arial" w:cs="Arial" w:eastAsia="Arial" w:hAnsi="Arial"/>
          <w:sz w:val="16"/>
          <w:szCs w:val="16"/>
          <w:b w:val="1"/>
          <w:bCs w:val="1"/>
          <w:color w:val="auto"/>
        </w:rPr>
        <w:t xml:space="preserve"> </w:t>
      </w:r>
      <w:r>
        <w:rPr>
          <w:rFonts w:ascii="Arial" w:cs="Arial" w:eastAsia="Arial" w:hAnsi="Arial"/>
          <w:sz w:val="16"/>
          <w:szCs w:val="16"/>
          <w:color w:val="auto"/>
        </w:rPr>
        <w:t>and ending on the Trading Day that occurs on or immediately following the six month anniversary of the commencement of the Purchase Period.</w:t>
      </w:r>
    </w:p>
    <w:p>
      <w:pPr>
        <w:spacing w:after="0" w:line="74" w:lineRule="exact"/>
        <w:rPr>
          <w:rFonts w:ascii="Arial" w:cs="Arial" w:eastAsia="Arial" w:hAnsi="Arial"/>
          <w:sz w:val="16"/>
          <w:szCs w:val="16"/>
          <w:b w:val="1"/>
          <w:bCs w:val="1"/>
          <w:color w:val="auto"/>
        </w:rPr>
      </w:pPr>
    </w:p>
    <w:p>
      <w:pPr>
        <w:ind w:left="620" w:hanging="236"/>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mean shares of the Class A common stock of the Company.</w:t>
      </w:r>
    </w:p>
    <w:p>
      <w:pPr>
        <w:spacing w:after="0" w:line="171" w:lineRule="exact"/>
        <w:rPr>
          <w:rFonts w:ascii="Arial" w:cs="Arial" w:eastAsia="Arial" w:hAnsi="Arial"/>
          <w:sz w:val="18"/>
          <w:szCs w:val="18"/>
          <w:b w:val="1"/>
          <w:bCs w:val="1"/>
          <w:color w:val="auto"/>
        </w:rPr>
      </w:pPr>
    </w:p>
    <w:p>
      <w:pPr>
        <w:jc w:val="both"/>
        <w:ind w:left="-80" w:right="20" w:firstLine="464"/>
        <w:spacing w:after="0" w:line="310" w:lineRule="auto"/>
        <w:tabs>
          <w:tab w:leader="none" w:pos="57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shall mean any corporation (other than the Company) in an unbroken chain of corporations beginning with the Company if,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granting an option, each of the corporations other than the last corporation in the unbroken chain owns shares possessing fifty percent (50%) or more of the total combined voting power of all classes of shares in one of the other corporations in such chain.</w:t>
      </w:r>
    </w:p>
    <w:p>
      <w:pPr>
        <w:spacing w:after="0" w:line="97" w:lineRule="exact"/>
        <w:rPr>
          <w:rFonts w:ascii="Arial" w:cs="Arial" w:eastAsia="Arial" w:hAnsi="Arial"/>
          <w:sz w:val="16"/>
          <w:szCs w:val="16"/>
          <w:b w:val="1"/>
          <w:bCs w:val="1"/>
          <w:color w:val="auto"/>
        </w:rPr>
      </w:pPr>
    </w:p>
    <w:p>
      <w:pPr>
        <w:ind w:left="580" w:hanging="196"/>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shall mean a day on which the New York Stock Exchange is open for trading.</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 Eligibility</w:t>
      </w:r>
      <w:r>
        <w:rPr>
          <w:rFonts w:ascii="Arial" w:cs="Arial" w:eastAsia="Arial" w:hAnsi="Arial"/>
          <w:sz w:val="18"/>
          <w:szCs w:val="18"/>
          <w:color w:val="auto"/>
        </w:rPr>
        <w:t>.</w:t>
      </w:r>
    </w:p>
    <w:p>
      <w:pPr>
        <w:spacing w:after="0" w:line="177" w:lineRule="exact"/>
        <w:rPr>
          <w:sz w:val="20"/>
          <w:szCs w:val="20"/>
          <w:color w:val="auto"/>
        </w:rPr>
      </w:pPr>
    </w:p>
    <w:p>
      <w:pPr>
        <w:jc w:val="both"/>
        <w:ind w:left="-80" w:right="60" w:firstLine="464"/>
        <w:spacing w:after="0" w:line="256" w:lineRule="auto"/>
        <w:tabs>
          <w:tab w:leader="none" w:pos="5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the requirements of Section 3.b. hereof, any person who is an Employee as of an Offering Date shall be eligible to participate in the Plan and be granted an option for the Purchase Period commencing on such Offering Date. Notwithstanding the foregoing, the Committee may, in its discretion and to the extent permissible under Section 423 of the Code, exclude all or a portion of Employees who are highly compensated Employees within the meaning of Section 423(b)(4)(D) of the Code from participation in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74" w:right="299" w:bottom="1440" w:gutter="0" w:footer="0" w:header="0"/>
        </w:sectPr>
      </w:pPr>
    </w:p>
    <w:bookmarkStart w:id="31" w:name="page32"/>
    <w:bookmarkEnd w:id="31"/>
    <w:p>
      <w:pPr>
        <w:ind w:left="672" w:hanging="216"/>
        <w:spacing w:after="0"/>
        <w:tabs>
          <w:tab w:leader="none" w:pos="672" w:val="left"/>
        </w:tabs>
        <w:numPr>
          <w:ilvl w:val="1"/>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provisions of the Plan to the contrary, no Employee shall be granted an option under the Plan if, immediately after the grant,</w:t>
      </w:r>
    </w:p>
    <w:p>
      <w:pPr>
        <w:spacing w:after="0" w:line="38" w:lineRule="exact"/>
        <w:rPr>
          <w:rFonts w:ascii="Arial" w:cs="Arial" w:eastAsia="Arial" w:hAnsi="Arial"/>
          <w:sz w:val="16"/>
          <w:szCs w:val="16"/>
          <w:color w:val="auto"/>
        </w:rPr>
      </w:pPr>
    </w:p>
    <w:p>
      <w:pPr>
        <w:ind w:left="-8" w:right="80" w:firstLine="8"/>
        <w:spacing w:after="0" w:line="252" w:lineRule="auto"/>
        <w:tabs>
          <w:tab w:leader="none" w:pos="2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Employee (or any other person whose shares would be attributed to such Employee pursuant to Section 424(d) of the Code) would own shares and/or hold outstanding options to purchase shares possessing five percent (5%) or more of the total combined voting power or value of all classes of shares of the Company or of any Subsidiary or Parent of the Company, or (ii) such Employee’s right to purchase shares under all employee stock purchase plans (as described in Section 423 of the Code) of the Company and any Subsidiary of the Company would accrue at a rate which exceeds twenty-five thousand dollars ($25,000) of Fair Market Value of such shares (determined at the time such option is granted) for any calendar year in which such option would be outstanding at any time. Any amounts received from an Employee which cannot be used to purchase Shares as a result of this limitation will be returned as soon as possible to the Employee without interest.</w:t>
      </w:r>
    </w:p>
    <w:p>
      <w:pPr>
        <w:spacing w:after="0" w:line="141" w:lineRule="exact"/>
        <w:rPr>
          <w:sz w:val="20"/>
          <w:szCs w:val="20"/>
          <w:color w:val="auto"/>
        </w:rPr>
      </w:pPr>
    </w:p>
    <w:p>
      <w:pPr>
        <w:ind w:left="-8" w:firstLine="464"/>
        <w:spacing w:after="0" w:line="258" w:lineRule="auto"/>
        <w:tabs>
          <w:tab w:leader="none" w:pos="66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Periods; Duration of Plan. </w:t>
      </w:r>
      <w:r>
        <w:rPr>
          <w:rFonts w:ascii="Arial" w:cs="Arial" w:eastAsia="Arial" w:hAnsi="Arial"/>
          <w:sz w:val="18"/>
          <w:szCs w:val="18"/>
          <w:color w:val="auto"/>
        </w:rPr>
        <w:t>The Plan shall be implemented by a series of consecutive Purchase Periods. The Plan shall continue until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in accordance with Section 18 hereof. Subject to Section 18 hereof, the Committee shall have the power to change the duration and/or the frequency of Purchase Periods with respect to future offerings. In no event, however, shall any option granted hereunder be exercisable more than 27 months from its date of grant.</w:t>
      </w:r>
    </w:p>
    <w:p>
      <w:pPr>
        <w:spacing w:after="0" w:line="136" w:lineRule="exact"/>
        <w:rPr>
          <w:rFonts w:ascii="Arial" w:cs="Arial" w:eastAsia="Arial" w:hAnsi="Arial"/>
          <w:sz w:val="18"/>
          <w:szCs w:val="18"/>
          <w:b w:val="1"/>
          <w:bCs w:val="1"/>
          <w:color w:val="auto"/>
        </w:rPr>
      </w:pPr>
    </w:p>
    <w:p>
      <w:pPr>
        <w:ind w:left="672" w:hanging="216"/>
        <w:spacing w:after="0"/>
        <w:tabs>
          <w:tab w:leader="none" w:pos="67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 Participation; Price</w:t>
      </w:r>
      <w:r>
        <w:rPr>
          <w:rFonts w:ascii="Arial" w:cs="Arial" w:eastAsia="Arial" w:hAnsi="Arial"/>
          <w:sz w:val="18"/>
          <w:szCs w:val="18"/>
          <w:color w:val="auto"/>
        </w:rPr>
        <w:t>.</w:t>
      </w:r>
    </w:p>
    <w:p>
      <w:pPr>
        <w:spacing w:after="0" w:line="177" w:lineRule="exact"/>
        <w:rPr>
          <w:sz w:val="20"/>
          <w:szCs w:val="20"/>
          <w:color w:val="auto"/>
        </w:rPr>
      </w:pPr>
    </w:p>
    <w:p>
      <w:pPr>
        <w:ind w:left="-8" w:right="40" w:firstLine="464"/>
        <w:spacing w:after="0" w:line="259" w:lineRule="auto"/>
        <w:tabs>
          <w:tab w:leader="none" w:pos="6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each Offering Date the Company shall commence an offering by granting each eligible Employee who has elected to become a Participant an option to purchase Shares, subject to the limitations set forth in Sections 3.b. and 11 hereof. Each option so granted shall be exercisable for the number of Shares described in Section 7 hereof and shall be exercisable only on the Exercise Date.</w:t>
      </w:r>
    </w:p>
    <w:p>
      <w:pPr>
        <w:spacing w:after="0" w:line="140" w:lineRule="exact"/>
        <w:rPr>
          <w:rFonts w:ascii="Arial" w:cs="Arial" w:eastAsia="Arial" w:hAnsi="Arial"/>
          <w:sz w:val="18"/>
          <w:szCs w:val="18"/>
          <w:color w:val="auto"/>
        </w:rPr>
      </w:pPr>
    </w:p>
    <w:p>
      <w:pPr>
        <w:jc w:val="both"/>
        <w:ind w:left="-8" w:right="160" w:firstLine="464"/>
        <w:spacing w:after="0" w:line="294" w:lineRule="auto"/>
        <w:tabs>
          <w:tab w:leader="none" w:pos="668"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eligible Employee may elect to become a Participant in the Plan with respect to a Purchase Period by filing a subscription agreement with his or her Employer authorizing payroll deductions in accordance with Section 6 hereof and filing it with the Company or the Employer in accordance with the form’s instructions at least ten (10) business days prior to the applicable Offering Date, unless a later time for filing the subscription agreement is set by the Committee for all Employees with respect to a given offering. Such authorization will remain in effect for subsequent Purchase Periods, until modified or terminated by the Participant by giving written notice to his or her Employer prior to the next occurring Exercise Date.</w:t>
      </w:r>
    </w:p>
    <w:p>
      <w:pPr>
        <w:spacing w:after="0" w:line="115" w:lineRule="exact"/>
        <w:rPr>
          <w:rFonts w:ascii="Arial" w:cs="Arial" w:eastAsia="Arial" w:hAnsi="Arial"/>
          <w:sz w:val="16"/>
          <w:szCs w:val="16"/>
          <w:color w:val="auto"/>
        </w:rPr>
      </w:pPr>
    </w:p>
    <w:p>
      <w:pPr>
        <w:ind w:left="672" w:hanging="216"/>
        <w:spacing w:after="0"/>
        <w:tabs>
          <w:tab w:leader="none" w:pos="6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option price per share shall be 90% of the Fair Market Value of a Share on the Exercise Date.</w:t>
      </w:r>
    </w:p>
    <w:p>
      <w:pPr>
        <w:spacing w:after="0" w:line="16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6. Payroll Deductions</w:t>
      </w:r>
      <w:r>
        <w:rPr>
          <w:rFonts w:ascii="Arial" w:cs="Arial" w:eastAsia="Arial" w:hAnsi="Arial"/>
          <w:sz w:val="18"/>
          <w:szCs w:val="18"/>
          <w:color w:val="auto"/>
        </w:rPr>
        <w:t>.</w:t>
      </w:r>
    </w:p>
    <w:p>
      <w:pPr>
        <w:spacing w:after="0" w:line="177" w:lineRule="exact"/>
        <w:rPr>
          <w:sz w:val="20"/>
          <w:szCs w:val="20"/>
          <w:color w:val="auto"/>
        </w:rPr>
      </w:pPr>
    </w:p>
    <w:p>
      <w:pPr>
        <w:ind w:left="-8" w:right="40" w:firstLine="464"/>
        <w:spacing w:after="0" w:line="306" w:lineRule="auto"/>
        <w:tabs>
          <w:tab w:leader="none" w:pos="6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the provisions hereof, a Participant may, in accordance with rules and procedures adopted by the Committee, authorize a payroll deduction of any whole percentage from one percent to ten percent of such Participant’s annual base salary each pay period (the permissible range within such percentages to be determined by the Committee from time to time). A Participant may increase or decrease such payroll deduction (including a cessation of</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32" w:name="page33"/>
    <w:bookmarkEnd w:id="32"/>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payroll deductions) at any time, by filing a new authorization form with his or her Employer. All payroll deductions made by a Participant shall be credited to such Participant’s bookkeeping account under the Plan.</w:t>
      </w:r>
    </w:p>
    <w:p>
      <w:pPr>
        <w:spacing w:after="0" w:line="132" w:lineRule="exact"/>
        <w:rPr>
          <w:sz w:val="20"/>
          <w:szCs w:val="20"/>
          <w:color w:val="auto"/>
        </w:rPr>
      </w:pPr>
    </w:p>
    <w:p>
      <w:pPr>
        <w:ind w:right="320" w:firstLine="464"/>
        <w:spacing w:after="0" w:line="306" w:lineRule="auto"/>
        <w:tabs>
          <w:tab w:leader="none" w:pos="6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Section 3.b. hereof, a Participant’s payroll deductions shall be decreased to 0% at any time during a Purchase Period. Payroll deductions shall automatically recommence at the rate provided in such Participant’s subscription agreement (prior to the reduction) at the start of the first Purchase Period commencing in the following calendar year.</w:t>
      </w:r>
    </w:p>
    <w:p>
      <w:pPr>
        <w:spacing w:after="0" w:line="106" w:lineRule="exact"/>
        <w:rPr>
          <w:rFonts w:ascii="Arial" w:cs="Arial" w:eastAsia="Arial" w:hAnsi="Arial"/>
          <w:sz w:val="16"/>
          <w:szCs w:val="16"/>
          <w:color w:val="auto"/>
        </w:rPr>
      </w:pPr>
    </w:p>
    <w:p>
      <w:pPr>
        <w:ind w:right="80" w:firstLine="464"/>
        <w:spacing w:after="0" w:line="306" w:lineRule="auto"/>
        <w:tabs>
          <w:tab w:leader="none" w:pos="6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Participant may withdraw from the Plan as provided in Section 9, which will terminate his or her payroll deductions for the Purchase Period in which such withdrawal occurs. The Committee may, in its discretion, limit the number of rate changes by Participants during a Purchase Period. A change in rate shall be effective as of the next practicable payroll period following the date of filing of the new subscription agreement.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Exercise of Option</w:t>
      </w:r>
      <w:r>
        <w:rPr>
          <w:rFonts w:ascii="Arial" w:cs="Arial" w:eastAsia="Arial" w:hAnsi="Arial"/>
          <w:sz w:val="18"/>
          <w:szCs w:val="18"/>
          <w:color w:val="auto"/>
        </w:rPr>
        <w:t>.</w:t>
      </w:r>
    </w:p>
    <w:p>
      <w:pPr>
        <w:spacing w:after="0" w:line="177" w:lineRule="exact"/>
        <w:rPr>
          <w:sz w:val="20"/>
          <w:szCs w:val="20"/>
          <w:color w:val="auto"/>
        </w:rPr>
      </w:pPr>
    </w:p>
    <w:p>
      <w:pPr>
        <w:ind w:firstLine="464"/>
        <w:spacing w:after="0" w:line="256" w:lineRule="auto"/>
        <w:tabs>
          <w:tab w:leader="none" w:pos="6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a Participant withdraws from the Plan as provided in Section 9 hereof, or unless the Committee otherwise provides, such Participant’s election to purchase Shares shall be exercised automatically on the Exercise Date, and the maximum number of Shares (excluding any fractional Share) subject to such option will be purchased for such Participant at the applicable option price with the accumulated payroll deductions credited to the Participant’s account under the Plan.</w:t>
      </w:r>
    </w:p>
    <w:p>
      <w:pPr>
        <w:spacing w:after="0" w:line="143" w:lineRule="exact"/>
        <w:rPr>
          <w:rFonts w:ascii="Arial" w:cs="Arial" w:eastAsia="Arial" w:hAnsi="Arial"/>
          <w:sz w:val="18"/>
          <w:szCs w:val="18"/>
          <w:color w:val="auto"/>
        </w:rPr>
      </w:pPr>
    </w:p>
    <w:p>
      <w:pPr>
        <w:jc w:val="both"/>
        <w:ind w:right="320" w:firstLine="464"/>
        <w:spacing w:after="0" w:line="259" w:lineRule="auto"/>
        <w:tabs>
          <w:tab w:leader="none" w:pos="6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cash balance remaining in a Participant’s account after an Exercise Date will be carried forward to the Participant’s account for the purchase of Shares on the next Exercise Date if the Participant does not elect to cease to participate in the Plan. A Participant who has elected to cease participation in the Plan will receive a cash payment equal to the cash balance of his or her account.</w:t>
      </w:r>
    </w:p>
    <w:p>
      <w:pPr>
        <w:spacing w:after="0" w:line="134" w:lineRule="exact"/>
        <w:rPr>
          <w:sz w:val="20"/>
          <w:szCs w:val="20"/>
          <w:color w:val="auto"/>
        </w:rPr>
      </w:pPr>
    </w:p>
    <w:p>
      <w:pPr>
        <w:ind w:right="80" w:firstLine="464"/>
        <w:spacing w:after="0" w:line="296" w:lineRule="auto"/>
        <w:tabs>
          <w:tab w:leader="none" w:pos="676"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of Shares. </w:t>
      </w:r>
      <w:r>
        <w:rPr>
          <w:rFonts w:ascii="Arial" w:cs="Arial" w:eastAsia="Arial" w:hAnsi="Arial"/>
          <w:sz w:val="16"/>
          <w:szCs w:val="16"/>
          <w:color w:val="auto"/>
        </w:rPr>
        <w:t>As promptly as practicable after each Exercise Date, the number of full Shares purchased by each Participant shall be evidenced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manner as the Committee may deem appropriate, including book-entry registration or issuance of one or more stock certificates. Unless otherwise determined by the Committee, Shares delivered to a Participant hereunder may not be assigned, transferred, pledged or otherwise disposed of in any way by the Participant during the six month period following such delivery to the Participant (other than by will, the laws of descent and distribution) and the Shares shall bear a legend denoting such restrictions as may be determined by the Committee to be appropriate.</w:t>
      </w:r>
    </w:p>
    <w:p>
      <w:pPr>
        <w:spacing w:after="0" w:line="107" w:lineRule="exact"/>
        <w:rPr>
          <w:rFonts w:ascii="Arial" w:cs="Arial" w:eastAsia="Arial" w:hAnsi="Arial"/>
          <w:sz w:val="16"/>
          <w:szCs w:val="16"/>
          <w:b w:val="1"/>
          <w:bCs w:val="1"/>
          <w:color w:val="auto"/>
        </w:rPr>
      </w:pPr>
    </w:p>
    <w:p>
      <w:pPr>
        <w:ind w:left="680" w:hanging="216"/>
        <w:spacing w:after="0"/>
        <w:tabs>
          <w:tab w:leader="none" w:pos="6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Termination of Employment</w:t>
      </w:r>
      <w:r>
        <w:rPr>
          <w:rFonts w:ascii="Arial" w:cs="Arial" w:eastAsia="Arial" w:hAnsi="Arial"/>
          <w:sz w:val="18"/>
          <w:szCs w:val="18"/>
          <w:color w:val="auto"/>
        </w:rPr>
        <w:t>.</w:t>
      </w:r>
    </w:p>
    <w:p>
      <w:pPr>
        <w:spacing w:after="0" w:line="177" w:lineRule="exact"/>
        <w:rPr>
          <w:sz w:val="20"/>
          <w:szCs w:val="20"/>
          <w:color w:val="auto"/>
        </w:rPr>
      </w:pPr>
    </w:p>
    <w:p>
      <w:pPr>
        <w:ind w:right="140" w:firstLine="464"/>
        <w:spacing w:after="0" w:line="255" w:lineRule="auto"/>
        <w:tabs>
          <w:tab w:leader="none" w:pos="6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Participant may withdraw at any time all, but not less than all, cash amounts in his or her account under the Plan that have not been used to purchase Shares by giving written notice to the Company prior to the next occurring Exercise Date. All such cash amount credited to such Participant’s account shall be paid to such Participant promptly after receipt of such Participant’s notice of withdrawal and such Participant’s option for the Purchase Period in which the withdrawal occurs shall be automatically terminated. No further payroll deductions for the purchase of Shares will be made for such Participant during such Purchase Period.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3" w:name="page34"/>
    <w:bookmarkEnd w:id="33"/>
    <w:p>
      <w:pPr>
        <w:ind w:left="-20" w:right="180" w:firstLine="464"/>
        <w:spacing w:after="0" w:line="306" w:lineRule="auto"/>
        <w:tabs>
          <w:tab w:leader="none" w:pos="656"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termination of a Participant’s Continuous Status as an Employee during a Purchase Period for any reason, including voluntary termination, retirement or death, the cash amounts credited to such Participant’s account that have not been used to purchase Shares shall be returned to such Participant and such Participant’s option for the Purchase Period in which the termination occurs will be automatically terminated.</w:t>
      </w:r>
    </w:p>
    <w:p>
      <w:pPr>
        <w:spacing w:after="0" w:line="106" w:lineRule="exact"/>
        <w:rPr>
          <w:rFonts w:ascii="Arial" w:cs="Arial" w:eastAsia="Arial" w:hAnsi="Arial"/>
          <w:sz w:val="16"/>
          <w:szCs w:val="16"/>
          <w:color w:val="auto"/>
        </w:rPr>
      </w:pPr>
    </w:p>
    <w:p>
      <w:pPr>
        <w:ind w:left="-20" w:right="280" w:firstLine="464"/>
        <w:spacing w:after="0" w:line="268" w:lineRule="auto"/>
        <w:tabs>
          <w:tab w:leader="none" w:pos="6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Participant’s withdrawal from a Purchase Period will not have any effect upon such Participant’s eligibility to participate in a succeeding Purchase Period or in any similar plan which may hereafter be adopted by the Company.</w:t>
      </w:r>
    </w:p>
    <w:p>
      <w:pPr>
        <w:spacing w:after="0" w:line="126" w:lineRule="exact"/>
        <w:rPr>
          <w:sz w:val="20"/>
          <w:szCs w:val="20"/>
          <w:color w:val="auto"/>
        </w:rPr>
      </w:pPr>
    </w:p>
    <w:p>
      <w:pPr>
        <w:ind w:left="760" w:hanging="316"/>
        <w:spacing w:after="0"/>
        <w:tabs>
          <w:tab w:leader="none" w:pos="7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or be payable with respect to any cash amount credited to a Participant under the Plan.</w:t>
      </w:r>
    </w:p>
    <w:p>
      <w:pPr>
        <w:spacing w:after="0" w:line="171" w:lineRule="exact"/>
        <w:rPr>
          <w:rFonts w:ascii="Arial" w:cs="Arial" w:eastAsia="Arial" w:hAnsi="Arial"/>
          <w:sz w:val="18"/>
          <w:szCs w:val="18"/>
          <w:b w:val="1"/>
          <w:bCs w:val="1"/>
          <w:color w:val="auto"/>
        </w:rPr>
      </w:pPr>
    </w:p>
    <w:p>
      <w:pPr>
        <w:ind w:left="740" w:hanging="296"/>
        <w:spacing w:after="0"/>
        <w:tabs>
          <w:tab w:leader="none" w:pos="7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177" w:lineRule="exact"/>
        <w:rPr>
          <w:sz w:val="20"/>
          <w:szCs w:val="20"/>
          <w:color w:val="auto"/>
        </w:rPr>
      </w:pPr>
    </w:p>
    <w:p>
      <w:pPr>
        <w:ind w:left="-20" w:firstLine="464"/>
        <w:spacing w:after="0" w:line="288" w:lineRule="auto"/>
        <w:tabs>
          <w:tab w:leader="none" w:pos="6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adjustment as provided in Section 16 hereof, the maximum number of Shares which shall be reserved for sale under the Plan shall be 40,000 Shares. If any option granted under the Plan shall expire or terminate for any reason without having been exercised in full or shall cease for any reason to be exercisable in whole or in part, the unpurchased Shares subject thereto shall again be available under the Plan. Such reserved Shares shall be either authorized and unissued Shares or Shares which have been reacquired by the Company. If the total number of Shares which would otherwise be purchased pursuant to options granted hereunder on an Exercise Date exceeds the number of Shares then available under the Plan (after deduction of all Shares for which options have been exercised or are then outstanding), the Committee shall make a pro rata allocation of the Shares remaining available for option grant in as uniform a manner as shall be practicable and as it shall determine to be equitable and in compliance with the provisions of Section 423 of the Code. In such event, the Committee shall give written notice to each Participant of such reduction of the number of option Shares affected thereby and shall similarly reduce the rate of payroll deductions, if necessary.</w:t>
      </w:r>
    </w:p>
    <w:p>
      <w:pPr>
        <w:spacing w:after="0" w:line="119" w:lineRule="exact"/>
        <w:rPr>
          <w:rFonts w:ascii="Arial" w:cs="Arial" w:eastAsia="Arial" w:hAnsi="Arial"/>
          <w:sz w:val="16"/>
          <w:szCs w:val="16"/>
          <w:color w:val="auto"/>
        </w:rPr>
      </w:pPr>
    </w:p>
    <w:p>
      <w:pPr>
        <w:ind w:left="-20" w:right="20" w:firstLine="464"/>
        <w:spacing w:after="0" w:line="268"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Plan will be registered in the name of the Participant or, at the election of the Participant, in the name of the Participant and another person as joint tenants with rights of survivorship.</w:t>
      </w:r>
    </w:p>
    <w:p>
      <w:pPr>
        <w:spacing w:after="0" w:line="126" w:lineRule="exact"/>
        <w:rPr>
          <w:sz w:val="20"/>
          <w:szCs w:val="20"/>
          <w:color w:val="auto"/>
        </w:rPr>
      </w:pPr>
    </w:p>
    <w:p>
      <w:pPr>
        <w:ind w:left="-20" w:right="20" w:firstLine="464"/>
        <w:spacing w:after="0" w:line="289" w:lineRule="auto"/>
        <w:tabs>
          <w:tab w:leader="none" w:pos="734"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shall be administered by the Committee, and the Committee may select administrator(s) to whom its duties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hereunder may be delegated.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Except as otherwise provided by the Committee, each Employer shall be charged with all expenses incurred in the administration of the Plan with respect to such Employer’s Employees.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All decisions, determinations and interpretations of the Committee shall be final and binding on all persons, including the Company, the Participant (or any person claiming any rights under the Plan from or through any Participant) and any shareholder.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34" w:name="page35"/>
    <w:bookmarkEnd w:id="34"/>
    <w:p>
      <w:pPr>
        <w:ind w:left="-40" w:right="100" w:firstLine="464"/>
        <w:spacing w:after="0" w:line="310" w:lineRule="auto"/>
        <w:tabs>
          <w:tab w:leader="none" w:pos="72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Transferability. </w:t>
      </w:r>
      <w:r>
        <w:rPr>
          <w:rFonts w:ascii="Arial" w:cs="Arial" w:eastAsia="Arial" w:hAnsi="Arial"/>
          <w:sz w:val="16"/>
          <w:szCs w:val="16"/>
          <w:color w:val="auto"/>
        </w:rPr>
        <w:t>Neither cash amounts credited to a Participant’s account nor any rights with regard to the exercise of an option or to receive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may be assigned, transferred, pledged or otherwise disposed of in any way by the Participant. Any such attempt at assignment, transfer, pledge or other disposition shall be without effect, except that the Company may treat such act as an election to withdraw funds in accordance with Section 9 hereof.</w:t>
      </w:r>
    </w:p>
    <w:p>
      <w:pPr>
        <w:spacing w:after="0" w:line="97" w:lineRule="exact"/>
        <w:rPr>
          <w:rFonts w:ascii="Arial" w:cs="Arial" w:eastAsia="Arial" w:hAnsi="Arial"/>
          <w:sz w:val="16"/>
          <w:szCs w:val="16"/>
          <w:b w:val="1"/>
          <w:bCs w:val="1"/>
          <w:color w:val="auto"/>
        </w:rPr>
      </w:pPr>
    </w:p>
    <w:p>
      <w:pPr>
        <w:ind w:left="-40" w:right="220" w:firstLine="464"/>
        <w:spacing w:after="0" w:line="275" w:lineRule="auto"/>
        <w:tabs>
          <w:tab w:leader="none" w:pos="7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Funds. </w:t>
      </w:r>
      <w:r>
        <w:rPr>
          <w:rFonts w:ascii="Arial" w:cs="Arial" w:eastAsia="Arial" w:hAnsi="Arial"/>
          <w:sz w:val="18"/>
          <w:szCs w:val="18"/>
          <w:color w:val="auto"/>
        </w:rPr>
        <w:t>All payroll deductions received or held by the Company under the Plan may be used by the Company for any corporate purpose,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obligated to segregate such funds.</w:t>
      </w:r>
    </w:p>
    <w:p>
      <w:pPr>
        <w:spacing w:after="0" w:line="119" w:lineRule="exact"/>
        <w:rPr>
          <w:rFonts w:ascii="Arial" w:cs="Arial" w:eastAsia="Arial" w:hAnsi="Arial"/>
          <w:sz w:val="18"/>
          <w:szCs w:val="18"/>
          <w:b w:val="1"/>
          <w:bCs w:val="1"/>
          <w:color w:val="auto"/>
        </w:rPr>
      </w:pPr>
    </w:p>
    <w:p>
      <w:pPr>
        <w:ind w:left="-40" w:firstLine="464"/>
        <w:spacing w:after="0" w:line="262" w:lineRule="auto"/>
        <w:tabs>
          <w:tab w:leader="none" w:pos="7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w:t>
      </w:r>
      <w:r>
        <w:rPr>
          <w:rFonts w:ascii="Arial" w:cs="Arial" w:eastAsia="Arial" w:hAnsi="Arial"/>
          <w:sz w:val="18"/>
          <w:szCs w:val="18"/>
          <w:color w:val="auto"/>
        </w:rPr>
        <w:t>Individual accounts will be maintained for each Participant in the Plan. Statements of account will be given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following each Purchase Period, which statements will set forth the amounts of payroll deductions, the per Share purchase price, the number of Shares purchased and the remaining cash balance, if any.</w:t>
      </w:r>
    </w:p>
    <w:p>
      <w:pPr>
        <w:spacing w:after="0" w:line="132" w:lineRule="exact"/>
        <w:rPr>
          <w:rFonts w:ascii="Arial" w:cs="Arial" w:eastAsia="Arial" w:hAnsi="Arial"/>
          <w:sz w:val="18"/>
          <w:szCs w:val="18"/>
          <w:b w:val="1"/>
          <w:bCs w:val="1"/>
          <w:color w:val="auto"/>
        </w:rPr>
      </w:pPr>
    </w:p>
    <w:p>
      <w:pPr>
        <w:ind w:left="-40" w:right="140" w:firstLine="464"/>
        <w:spacing w:after="0" w:line="339" w:lineRule="auto"/>
        <w:tabs>
          <w:tab w:leader="none" w:pos="724"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Effect of Certain Changes. </w:t>
      </w:r>
      <w:r>
        <w:rPr>
          <w:rFonts w:ascii="Arial" w:cs="Arial" w:eastAsia="Arial" w:hAnsi="Arial"/>
          <w:sz w:val="15"/>
          <w:szCs w:val="15"/>
          <w:color w:val="auto"/>
        </w:rPr>
        <w:t>In the event of a Change in Capitalization, the Committee shall conclusively determine the appropriate equitable</w:t>
      </w:r>
      <w:r>
        <w:rPr>
          <w:rFonts w:ascii="Arial" w:cs="Arial" w:eastAsia="Arial" w:hAnsi="Arial"/>
          <w:sz w:val="15"/>
          <w:szCs w:val="15"/>
          <w:b w:val="1"/>
          <w:bCs w:val="1"/>
          <w:color w:val="auto"/>
        </w:rPr>
        <w:t xml:space="preserve"> </w:t>
      </w:r>
      <w:r>
        <w:rPr>
          <w:rFonts w:ascii="Arial" w:cs="Arial" w:eastAsia="Arial" w:hAnsi="Arial"/>
          <w:sz w:val="15"/>
          <w:szCs w:val="15"/>
          <w:color w:val="auto"/>
        </w:rPr>
        <w:t>adjustments, if any, to be made under the Plan, including without limitation adjustments to the number of Shares which have been authorized for issuance under the Plan but have not yet been placed under option, as well as the price per Share covered by each option under the Plan which has not yet been exercised.</w:t>
      </w:r>
    </w:p>
    <w:p>
      <w:pPr>
        <w:spacing w:after="0" w:line="79" w:lineRule="exact"/>
        <w:rPr>
          <w:rFonts w:ascii="Arial" w:cs="Arial" w:eastAsia="Arial" w:hAnsi="Arial"/>
          <w:sz w:val="15"/>
          <w:szCs w:val="15"/>
          <w:b w:val="1"/>
          <w:bCs w:val="1"/>
          <w:color w:val="auto"/>
        </w:rPr>
      </w:pPr>
    </w:p>
    <w:p>
      <w:pPr>
        <w:ind w:left="-40" w:right="80" w:firstLine="464"/>
        <w:spacing w:after="0" w:line="258" w:lineRule="auto"/>
        <w:tabs>
          <w:tab w:leader="none" w:pos="721"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Subject to the Board’s right to discontinue the Plan (and thereby end its Term) pursuant to Section 18 hereof, the Term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last Purchase Period) shall end on the tenth anniversary of the commencement of the first Purchase Period. Upon any discontinuance of the Plan, unless the Committee shall determine otherwise, any assets remaining in the Participants’ accounts under the Plan shall be delivered to the respective Participant (or the Participant’s legal representative) as soon as practicable.</w:t>
      </w:r>
    </w:p>
    <w:p>
      <w:pPr>
        <w:spacing w:after="0" w:line="136" w:lineRule="exact"/>
        <w:rPr>
          <w:rFonts w:ascii="Arial" w:cs="Arial" w:eastAsia="Arial" w:hAnsi="Arial"/>
          <w:sz w:val="18"/>
          <w:szCs w:val="18"/>
          <w:b w:val="1"/>
          <w:bCs w:val="1"/>
          <w:color w:val="auto"/>
        </w:rPr>
      </w:pPr>
    </w:p>
    <w:p>
      <w:pPr>
        <w:ind w:left="-40" w:firstLine="464"/>
        <w:spacing w:after="0" w:line="255" w:lineRule="auto"/>
        <w:tabs>
          <w:tab w:leader="none" w:pos="71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and Discontinuance of Plan. </w:t>
      </w:r>
      <w:r>
        <w:rPr>
          <w:rFonts w:ascii="Arial" w:cs="Arial" w:eastAsia="Arial" w:hAnsi="Arial"/>
          <w:sz w:val="18"/>
          <w:szCs w:val="18"/>
          <w:color w:val="auto"/>
        </w:rPr>
        <w:t>The Board may at any time amend, suspend or discontinue the Plan. Except as provided in Section 16</w:t>
      </w:r>
      <w:r>
        <w:rPr>
          <w:rFonts w:ascii="Arial" w:cs="Arial" w:eastAsia="Arial" w:hAnsi="Arial"/>
          <w:sz w:val="18"/>
          <w:szCs w:val="18"/>
          <w:b w:val="1"/>
          <w:bCs w:val="1"/>
          <w:color w:val="auto"/>
        </w:rPr>
        <w:t xml:space="preserve"> </w:t>
      </w:r>
      <w:r>
        <w:rPr>
          <w:rFonts w:ascii="Arial" w:cs="Arial" w:eastAsia="Arial" w:hAnsi="Arial"/>
          <w:sz w:val="18"/>
          <w:szCs w:val="18"/>
          <w:color w:val="auto"/>
        </w:rPr>
        <w:t>hereof, no such suspension or discontinuance may adversely affect options previously granted and no amendment may make any change in any option theretofore granted which adversely affects the rights of any Participant which accrued prior to the date of effectiveness of such amendment without the consent of such Participant. No amendment shall be effective unless it receives the requisite approval of the shareholders of the Company if such shareholder approval of such amendment is required to comply with Section 423 of the Code or to comply with any other applicable law, regulation or stock exchange or national or international quotation system rule.</w:t>
      </w:r>
    </w:p>
    <w:p>
      <w:pPr>
        <w:spacing w:after="0" w:line="139" w:lineRule="exact"/>
        <w:rPr>
          <w:rFonts w:ascii="Arial" w:cs="Arial" w:eastAsia="Arial" w:hAnsi="Arial"/>
          <w:sz w:val="18"/>
          <w:szCs w:val="18"/>
          <w:b w:val="1"/>
          <w:bCs w:val="1"/>
          <w:color w:val="auto"/>
        </w:rPr>
      </w:pPr>
    </w:p>
    <w:p>
      <w:pPr>
        <w:ind w:left="-40" w:right="40" w:firstLine="464"/>
        <w:spacing w:after="0" w:line="339" w:lineRule="auto"/>
        <w:tabs>
          <w:tab w:leader="none" w:pos="724"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the Plan shall be deemed to have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given when received in the form specified by the Company at the location, or by the person, designated by the Company for the receipt thereof.</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4" w:right="279" w:bottom="1440" w:gutter="0" w:footer="0" w:header="0"/>
        </w:sectPr>
      </w:pPr>
    </w:p>
    <w:bookmarkStart w:id="35" w:name="page36"/>
    <w:bookmarkEnd w:id="35"/>
    <w:p>
      <w:pPr>
        <w:ind w:lef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 Regulations and Other Approvals; Governing Law</w:t>
      </w:r>
      <w:r>
        <w:rPr>
          <w:rFonts w:ascii="Arial" w:cs="Arial" w:eastAsia="Arial" w:hAnsi="Arial"/>
          <w:sz w:val="18"/>
          <w:szCs w:val="18"/>
          <w:color w:val="auto"/>
        </w:rPr>
        <w:t>.</w:t>
      </w:r>
    </w:p>
    <w:p>
      <w:pPr>
        <w:spacing w:after="0" w:line="177" w:lineRule="exact"/>
        <w:rPr>
          <w:sz w:val="20"/>
          <w:szCs w:val="20"/>
          <w:color w:val="auto"/>
        </w:rPr>
      </w:pPr>
    </w:p>
    <w:p>
      <w:pPr>
        <w:ind w:left="-100" w:right="420" w:firstLine="464"/>
        <w:spacing w:after="0" w:line="332" w:lineRule="auto"/>
        <w:tabs>
          <w:tab w:leader="none" w:pos="563"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Plan and the rights of all persons claiming hereunder shall be construed and determined in accordance with the laws of the State of Delaware without giving effect to the choice of law principles thereof, except to the extent that such law is preempted by federal law.</w:t>
      </w:r>
    </w:p>
    <w:p>
      <w:pPr>
        <w:spacing w:after="0" w:line="85" w:lineRule="exact"/>
        <w:rPr>
          <w:rFonts w:ascii="Arial" w:cs="Arial" w:eastAsia="Arial" w:hAnsi="Arial"/>
          <w:sz w:val="16"/>
          <w:szCs w:val="16"/>
          <w:color w:val="auto"/>
        </w:rPr>
      </w:pPr>
    </w:p>
    <w:p>
      <w:pPr>
        <w:ind w:left="-100" w:right="100" w:firstLine="464"/>
        <w:spacing w:after="0" w:line="259" w:lineRule="auto"/>
        <w:tabs>
          <w:tab w:leader="none" w:pos="5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obligation of the Company to sell or deliver Shares with respect to options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34" w:lineRule="exact"/>
        <w:rPr>
          <w:sz w:val="20"/>
          <w:szCs w:val="20"/>
          <w:color w:val="auto"/>
        </w:rPr>
      </w:pPr>
    </w:p>
    <w:p>
      <w:pPr>
        <w:ind w:left="-100" w:firstLine="464"/>
        <w:spacing w:after="0" w:line="296" w:lineRule="auto"/>
        <w:tabs>
          <w:tab w:leader="none" w:pos="66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of Taxes. </w:t>
      </w:r>
      <w:r>
        <w:rPr>
          <w:rFonts w:ascii="Arial" w:cs="Arial" w:eastAsia="Arial" w:hAnsi="Arial"/>
          <w:sz w:val="16"/>
          <w:szCs w:val="16"/>
          <w:color w:val="auto"/>
        </w:rPr>
        <w:t>If the Participant makes a disposition, within the meaning of Section 424(c) of the Code and regulations promulgated</w:t>
      </w:r>
      <w:r>
        <w:rPr>
          <w:rFonts w:ascii="Arial" w:cs="Arial" w:eastAsia="Arial" w:hAnsi="Arial"/>
          <w:sz w:val="16"/>
          <w:szCs w:val="16"/>
          <w:b w:val="1"/>
          <w:bCs w:val="1"/>
          <w:color w:val="auto"/>
        </w:rPr>
        <w:t xml:space="preserve"> </w:t>
      </w:r>
      <w:r>
        <w:rPr>
          <w:rFonts w:ascii="Arial" w:cs="Arial" w:eastAsia="Arial" w:hAnsi="Arial"/>
          <w:sz w:val="16"/>
          <w:szCs w:val="16"/>
          <w:color w:val="auto"/>
        </w:rPr>
        <w:t>thereunder, of any Share or Shares issued to such Participant pursuant to such Participant’s exercise of an option, and such disposition occurs within the two-year period commencing on the applicable Offering Date or within the one-year period commencing on the day after the applicable Exercise Date, such Participant shall, within ten (10) days of such disposition, notify the Company thereof and thereafter immediately deliver to the Company any amount of Federal, state or local income taxes and other amounts which the Company informs the Participant the Company is required to withhold.</w:t>
      </w:r>
    </w:p>
    <w:p>
      <w:pPr>
        <w:spacing w:after="0" w:line="107" w:lineRule="exact"/>
        <w:rPr>
          <w:rFonts w:ascii="Arial" w:cs="Arial" w:eastAsia="Arial" w:hAnsi="Arial"/>
          <w:sz w:val="16"/>
          <w:szCs w:val="16"/>
          <w:b w:val="1"/>
          <w:bCs w:val="1"/>
          <w:color w:val="auto"/>
        </w:rPr>
      </w:pPr>
    </w:p>
    <w:p>
      <w:pPr>
        <w:jc w:val="both"/>
        <w:ind w:left="-100" w:right="120" w:firstLine="464"/>
        <w:spacing w:after="0" w:line="258" w:lineRule="auto"/>
        <w:tabs>
          <w:tab w:leader="none" w:pos="66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At-Will and Limitation of Rights. </w:t>
      </w:r>
      <w:r>
        <w:rPr>
          <w:rFonts w:ascii="Arial" w:cs="Arial" w:eastAsia="Arial" w:hAnsi="Arial"/>
          <w:sz w:val="18"/>
          <w:szCs w:val="18"/>
          <w:color w:val="auto"/>
        </w:rPr>
        <w:t>This Plan is strictly a voluntary undertaking on the part of the Company and shall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between the Employer and any person, or consideration for, or an inducement or condition of, the employment of any person. Nothing contained in the Plan shall alter or supersede the employment at-will relationship, or other employment agreement provisions if applicable, between the Employer and its Employees.</w:t>
      </w:r>
    </w:p>
    <w:p>
      <w:pPr>
        <w:spacing w:after="0" w:line="136" w:lineRule="exact"/>
        <w:rPr>
          <w:rFonts w:ascii="Arial" w:cs="Arial" w:eastAsia="Arial" w:hAnsi="Arial"/>
          <w:sz w:val="18"/>
          <w:szCs w:val="18"/>
          <w:b w:val="1"/>
          <w:bCs w:val="1"/>
          <w:color w:val="auto"/>
        </w:rPr>
      </w:pPr>
    </w:p>
    <w:p>
      <w:pPr>
        <w:ind w:left="680" w:hanging="316"/>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Plan shall be effective upon the approval of the Plan by the shareholders of the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40" w:top="274" w:right="3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agreement among Chicago Mercantile Exchange Inc. and Terrence A. Duffy, effective as of June 6, 2007</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June 6, 2007, in recognition of the services that Terrence A. Duffy provides as the Executive Chairman of Chicago Mercantile Exchange Holdings Inc., which is now named CME Group (the “Company”), the Compensation Committee of the Board of Directors of the Company authorized management, subject to annual review by the Committee, to self-insure the supplemental life and long-term disability coverage amounts necessary to provide Mr. Duffy with the same level of life and long-term disability coverage generally provided to employees of Chicago Mercantile Exchange Inc. under the Company’s group life and long-term disability policies. The Committee also authorized the Company to gross up the self-insured supplemental life insurance amount to account for any taxes on such amount owed by Mr. Duffy’s beneficiaries. Pursuant to this agreement, Mr. Duffy would be entitled to disability insurance benefits based on two-thirds of base pay and life insurance benefits based on three times base pay.</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Chicago Mercantile Exchange Holdings Inc., which is now named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2007</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report on Form 10-Q of Chicago Mercantile Exchange Holdings Inc., which is now named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2007</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the Quarterly Report on Form 10-Q of Chicago Mercantile Exchange Holdings Inc., which is now named CME Group Inc. (the “Company”) for the quarter ended June 30, 2007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32" w:lineRule="exact"/>
        <w:rPr>
          <w:sz w:val="20"/>
          <w:szCs w:val="20"/>
          <w:color w:val="auto"/>
        </w:rPr>
      </w:pPr>
    </w:p>
    <w:p>
      <w:pPr>
        <w:ind w:left="1380" w:hanging="258"/>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380" w:hanging="258"/>
        <w:spacing w:after="0"/>
        <w:tabs>
          <w:tab w:leader="none" w:pos="1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2007</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lvl w:ilvl="1">
      <w:lvlJc w:val="left"/>
      <w:lvlText w:val="(%2)"/>
      <w:numFmt w:val="lowerLetter"/>
      <w:start w:val="3"/>
    </w:lvl>
  </w:abstractNum>
  <w:abstractNum w:abstractNumId="16">
    <w:nsid w:val="77465F01"/>
    <w:multiLevelType w:val="hybridMultilevel"/>
    <w:lvl w:ilvl="0">
      <w:lvlJc w:val="left"/>
      <w:lvlText w:val="%1."/>
      <w:numFmt w:val="decimal"/>
      <w:start w:val="1"/>
    </w:lvl>
    <w:lvl w:ilvl="1">
      <w:lvlJc w:val="left"/>
      <w:lvlText w:val="%2"/>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2"/>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lowerLetter"/>
      <w:start w:val="3"/>
    </w:lvl>
  </w:abstractNum>
  <w:abstractNum w:abstractNumId="21">
    <w:nsid w:val="51EAD36B"/>
    <w:multiLevelType w:val="hybridMultilevel"/>
    <w:lvl w:ilvl="0">
      <w:lvlJc w:val="left"/>
      <w:lvlText w:val="%1."/>
      <w:numFmt w:val="lowerLetter"/>
      <w:start w:val="4"/>
    </w:lvl>
  </w:abstractNum>
  <w:abstractNum w:abstractNumId="22">
    <w:nsid w:val="2D517796"/>
    <w:multiLevelType w:val="hybridMultilevel"/>
    <w:lvl w:ilvl="0">
      <w:lvlJc w:val="left"/>
      <w:lvlText w:val="%1."/>
      <w:numFmt w:val="decimal"/>
      <w:start w:val="2"/>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2"/>
    </w:lvl>
  </w:abstractNum>
  <w:abstractNum w:abstractNumId="25">
    <w:nsid w:val="3855585C"/>
    <w:multiLevelType w:val="hybridMultilevel"/>
    <w:lvl w:ilvl="0">
      <w:lvlJc w:val="left"/>
      <w:lvlText w:val="%1."/>
      <w:numFmt w:val="decimal"/>
      <w:start w:val="3"/>
    </w:lvl>
  </w:abstractNum>
  <w:abstractNum w:abstractNumId="26">
    <w:nsid w:val="70A64E2A"/>
    <w:multiLevelType w:val="hybridMultilevel"/>
    <w:lvl w:ilvl="0">
      <w:lvlJc w:val="left"/>
      <w:lvlText w:val="%1."/>
      <w:numFmt w:val="decimal"/>
      <w:start w:val="4"/>
    </w:lvl>
  </w:abstractNum>
  <w:abstractNum w:abstractNumId="27">
    <w:nsid w:val="6A2342EC"/>
    <w:multiLevelType w:val="hybridMultilevel"/>
    <w:lvl w:ilvl="0">
      <w:lvlJc w:val="left"/>
      <w:lvlText w:val="%1."/>
      <w:numFmt w:val="decimal"/>
      <w:start w:val="5"/>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9"/>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Roman"/>
      <w:start w:val="1"/>
    </w:lvl>
    <w:lvl w:ilvl="1">
      <w:lvlJc w:val="left"/>
      <w:lvlText w:val="%2."/>
      <w:numFmt w:val="lowerLetter"/>
      <w:start w:val="2"/>
    </w:lvl>
  </w:abstractNum>
  <w:abstractNum w:abstractNumId="33">
    <w:nsid w:val="7A6D8D3C"/>
    <w:multiLevelType w:val="hybridMultilevel"/>
    <w:lvl w:ilvl="0">
      <w:lvlJc w:val="left"/>
      <w:lvlText w:val="(%1)"/>
      <w:numFmt w:val="lowerRoman"/>
      <w:start w:val="1"/>
    </w:lvl>
    <w:lvl w:ilvl="1">
      <w:lvlJc w:val="left"/>
      <w:lvlText w:val="%2"/>
      <w:numFmt w:val="lowerLetter"/>
      <w:start w:val="1"/>
    </w:lvl>
  </w:abstractNum>
  <w:abstractNum w:abstractNumId="34">
    <w:nsid w:val="4B588F54"/>
    <w:multiLevelType w:val="hybridMultilevel"/>
    <w:lvl w:ilvl="0">
      <w:lvlJc w:val="left"/>
      <w:lvlText w:val="%1."/>
      <w:numFmt w:val="decimal"/>
      <w:start w:val="4"/>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decimal"/>
      <w:start w:val="8"/>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decimal"/>
      <w:start w:val="10"/>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decimal"/>
      <w:start w:val="12"/>
    </w:lvl>
  </w:abstractNum>
  <w:abstractNum w:abstractNumId="45">
    <w:nsid w:val="79A1DEAA"/>
    <w:multiLevelType w:val="hybridMultilevel"/>
    <w:lvl w:ilvl="0">
      <w:lvlJc w:val="left"/>
      <w:lvlText w:val="%1."/>
      <w:numFmt w:val="decimal"/>
      <w:start w:val="13"/>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decimal"/>
      <w:start w:val="2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5"/>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decimal"/>
      <w:start w:val="5"/>
    </w:lvl>
  </w:abstractNum>
  <w:abstractNum w:abstractNumId="55">
    <w:nsid w:val="39386575"/>
    <w:multiLevelType w:val="hybridMultilevel"/>
    <w:lvl w:ilvl="0">
      <w:lvlJc w:val="left"/>
      <w:lvlText w:val="%1)"/>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2019-12-15T04:20:18Z</dcterms:created>
  <dcterms:modified xsi:type="dcterms:W3CDTF">2019-12-15T04:20:18Z</dcterms:modified>
</cp:coreProperties>
</file>