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rFonts w:ascii="MS PGothic" w:cs="MS PGothic" w:eastAsia="MS PGothic" w:hAnsi="MS PGothic"/>
          <w:sz w:val="22"/>
          <w:szCs w:val="22"/>
          <w:color w:val="auto"/>
        </w:rPr>
      </w:pPr>
    </w:p>
    <w:p>
      <w:pPr>
        <w:ind w:left="398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30, 2018</w:t>
      </w:r>
    </w:p>
    <w:p>
      <w:pPr>
        <w:spacing w:after="0" w:line="16" w:lineRule="exact"/>
        <w:rPr>
          <w:rFonts w:ascii="MS PGothic" w:cs="MS PGothic" w:eastAsia="MS PGothic" w:hAnsi="MS PGothic"/>
          <w:sz w:val="22"/>
          <w:szCs w:val="22"/>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001-31553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1"/>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18"/>
                <w:szCs w:val="18"/>
                <w:color w:val="auto"/>
              </w:rPr>
            </w:pPr>
          </w:p>
        </w:tc>
      </w:tr>
      <w:tr>
        <w:trPr>
          <w:trHeight w:val="166"/>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4"/>
                <w:szCs w:val="14"/>
                <w:color w:val="auto"/>
              </w:rPr>
            </w:pPr>
          </w:p>
        </w:tc>
      </w:tr>
      <w:tr>
        <w:trPr>
          <w:trHeight w:val="234"/>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0"/>
                <w:szCs w:val="20"/>
                <w:color w:val="auto"/>
              </w:rPr>
            </w:pP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2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tabs>
          <w:tab w:leader="none" w:pos="128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6020" w:space="720"/>
            <w:col w:w="4660"/>
          </w:cols>
          <w:pgMar w:left="240" w:top="233" w:right="2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3">
            <w:col w:w="1400" w:space="160"/>
            <w:col w:w="4460" w:space="720"/>
            <w:col w:w="4660"/>
          </w:cols>
          <w:pgMar w:left="240" w:top="233" w:right="259" w:bottom="1440" w:gutter="0" w:footer="0" w:header="0"/>
          <w:type w:val="continuous"/>
        </w:sectPr>
      </w:pPr>
    </w:p>
    <w:p>
      <w:pPr>
        <w:spacing w:after="0" w:line="31"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42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July 11, 2018 was as follows: 340,577,215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June 30, 2018 and December 31, 2017</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Six Months Ended June 30, 2018 and 2017</w:t>
              </w:r>
            </w:hyperlink>
          </w:p>
        </w:tc>
        <w:tc>
          <w:tcPr>
            <w:tcW w:w="33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and Six Months Ended June 30, 2018 and 2017</w:t>
              </w:r>
            </w:hyperlink>
          </w:p>
        </w:tc>
        <w:tc>
          <w:tcPr>
            <w:tcW w:w="224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Six Months Ended June 30, 2018 and 2017</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10">
              <w:r>
                <w:rPr>
                  <w:rFonts w:ascii="Arial" w:cs="Arial" w:eastAsia="Arial" w:hAnsi="Arial"/>
                  <w:sz w:val="16"/>
                  <w:szCs w:val="16"/>
                  <w:color w:val="0000EE"/>
                  <w:w w:val="90"/>
                </w:rPr>
                <w:t>Consolidated Statements of Cash Flows for the Six Months Ended June 30, 2018 and 2017</w:t>
              </w:r>
            </w:hyperlink>
          </w:p>
        </w:tc>
        <w:tc>
          <w:tcPr>
            <w:tcW w:w="3900" w:type="dxa"/>
            <w:vAlign w:val="bottom"/>
            <w:gridSpan w:val="4"/>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30">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4"/>
          </w:tcPr>
          <w:p>
            <w:pPr>
              <w:spacing w:after="0"/>
              <w:rPr>
                <w:sz w:val="24"/>
                <w:szCs w:val="24"/>
                <w:color w:val="auto"/>
              </w:rPr>
            </w:pPr>
          </w:p>
        </w:tc>
        <w:tc>
          <w:tcPr>
            <w:tcW w:w="364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30">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30">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30">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3">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54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(CDS) contracts. CME exited the CDS clearing business in March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our brand's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of the ultimate impact of the Tax Cuts and Jobs Act (2017 Tax Act).</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2018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80" w:type="dxa"/>
            <w:vAlign w:val="bottom"/>
            <w:tcBorders>
              <w:bottom w:val="single" w:sz="8" w:color="CCEEFF"/>
            </w:tcBorders>
          </w:tcPr>
          <w:p>
            <w:pPr>
              <w:spacing w:after="0"/>
              <w:rPr>
                <w:sz w:val="24"/>
                <w:szCs w:val="24"/>
                <w:color w:val="auto"/>
              </w:rPr>
            </w:pPr>
          </w:p>
        </w:tc>
        <w:tc>
          <w:tcPr>
            <w:tcW w:w="68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70"/>
        </w:trPr>
        <w:tc>
          <w:tcPr>
            <w:tcW w:w="1280" w:type="dxa"/>
            <w:vAlign w:val="bottom"/>
            <w:shd w:val="clear" w:color="auto" w:fill="CCEEFF"/>
          </w:tcPr>
          <w:p>
            <w:pPr>
              <w:spacing w:after="0"/>
              <w:rPr>
                <w:sz w:val="23"/>
                <w:szCs w:val="23"/>
                <w:color w:val="auto"/>
              </w:rPr>
            </w:pPr>
          </w:p>
        </w:tc>
        <w:tc>
          <w:tcPr>
            <w:tcW w:w="6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Current Assets:</w:t>
            </w:r>
          </w:p>
        </w:tc>
        <w:tc>
          <w:tcPr>
            <w:tcW w:w="6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1,903.6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 of $3.0 and $2.2</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359.7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 (includes $1,635.5 and $0 in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36,885.2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44,185.3</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net of accumulated depreciation and amortization of $726.9 and $676.6</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399.7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2,346.3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 (includes $1.4 and $2.4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1,394.4</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6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69,199.3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75,791.2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1,456.3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44,185.3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37,179.6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45,672.9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Long-term debt</w:t>
            </w:r>
          </w:p>
        </w:tc>
        <w:tc>
          <w:tcPr>
            <w:tcW w:w="6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4,857.7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8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w:t>
            </w: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68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53,379.4</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8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Preferred stock, $0.01 par value, 10,000 shares authorized at June 30, 2018 and December 31, 2017;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none issued</w:t>
            </w:r>
          </w:p>
        </w:tc>
        <w:tc>
          <w:tcPr>
            <w:tcW w:w="6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A common stock, $0.01 par value, 1,000,000 shares authorized at June 30, 2018 and December 31,</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2"/>
              </w:rPr>
              <w:t>2017; 339,520 and 339,235 shares issued and outstanding as of June 30, 2018 and December 31, 2017,</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80" w:type="dxa"/>
            <w:vAlign w:val="bottom"/>
          </w:tcPr>
          <w:p>
            <w:pPr>
              <w:ind w:left="380"/>
              <w:spacing w:after="0"/>
              <w:rPr>
                <w:sz w:val="20"/>
                <w:szCs w:val="20"/>
                <w:color w:val="auto"/>
              </w:rPr>
            </w:pPr>
            <w:r>
              <w:rPr>
                <w:rFonts w:ascii="Arial" w:cs="Arial" w:eastAsia="Arial" w:hAnsi="Arial"/>
                <w:sz w:val="18"/>
                <w:szCs w:val="18"/>
                <w:color w:val="auto"/>
                <w:w w:val="92"/>
              </w:rPr>
              <w:t>respectively</w:t>
            </w: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June 30, 2018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and December 31, 2017</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17,928.3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17,896.9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69,199.3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75,791.2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1,584.0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1,853.9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282.3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1,206.1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1,344.3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528.7</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566.1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1,164.9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815.6</w:t>
            </w:r>
          </w:p>
        </w:tc>
      </w:tr>
      <w:tr>
        <w:trPr>
          <w:trHeight w:val="217"/>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339,465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338,556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339,386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338,448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340,872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340,020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340,838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339,974</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843.0</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339,235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1,164.9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$1.40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 update on tax effects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related to accumulated other comprehensive income and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339,520</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23,123.6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$1.32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Impact of adoption of standards update on employee share-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payments,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338,673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17,873.8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815.6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Realized and unrealized gains on privately-held equity investments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Income tax expense reclassified from accumulated other comprehensive income upon final sale of</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BM&amp;FBOVESPA shares</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privately-held equity investments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privately-held equity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(1,546.1)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 payment for derivative contract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(1,534.1)</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514"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1,960.3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1,362.3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restricted cash</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476.2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and Commodity Exchange, Inc. (COMEX). CME, CBOT, NYMEX, COMEX and their subsidiaries are referred to collectively as “the exchange” in the notes to the consolidated financial statements. The clearing house is a division of CME.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2018 and December 31, 2017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2017, filed with the Securities and Exchange Commission (SEC) on February 28,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May 2014, the Financial Accounting Standards Board (FASB) issued a new standard on revenue recognition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company implemented this standard as of January 1, 2018 using the modified retrospective approach with the cumulative effect of initially applying the guidance recognized at the date of initial adoption. Management recognized an $8.7 million reduction to the opening balance of retained earnings as of January 1, 2018, which it believes to be an immaterial impact to the consolidated financial statements. The adjustment to the opening balance of retained earnings primarily relates to a deferral of a portion of clearing and transaction fees revenue earned and recognized subsequent to the contract trade execution date. The on-going application of the new standard is not expected to have a material impact on the company's financial statements.</w:t>
      </w:r>
    </w:p>
    <w:p>
      <w:pPr>
        <w:spacing w:after="0" w:line="12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January 2016, the FASB issued a standards update that changes how entities measure certain equity investments. It does not change the guidance for classifying and measuring investments in debt securities, loans and equity method investments.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previously classified as available-for-sale in other comprehensive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changes. The company adopted this guidance on January 1, 2018. During the six months ended June 30, 2018, the company recorded an increase to the fair values of some of our privately-held equity investments of $70.0 million, which is presented in investment income on the consolidated statement of income.</w:t>
      </w:r>
    </w:p>
    <w:p>
      <w:pPr>
        <w:spacing w:after="0" w:line="15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statements of cash flows. The amendments require that statements of cash flows explain the change during the period in the total of cash, cash equivalents, as well as amounts described as restricted cash on the consolidated balance sheets. This guidance was adopted on January 1, 2018 using the retrospective approach. The statements of cash flows show an increase in our cash balances of $829.8 million for the six months ended June 30, 2018 and a decrease in our cash balances of $545.9 million for the six months ended June 30, 2017.</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March 2017, the FASB issued a standards update that changes certain presentation and disclosure requirements for employers that sponsor defined benefit pension as well as other postretirement benefit plans. Defined benefit pension cost and postretirement benefit cost (net benefit cost) are comprised of several components that reflect different aspects of an employer’s financial arrangements as well as the cost of benefits provided to the employees. Under previous accounting guidance, those components were aggregated for reporting in the financial statements within compensation and benefits on the consolidated statements of income. The amendments in the update require that the service cost component is reported in the same line as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compensation costs, whereas the other components of net benefit cost are required to be presented on the consolidated statements of income separately from the service cost component. This update was adopted as of January 1, 2018 with retrospective application to the earliest period presented. Total net pension expense remains unchanged upon adoption of the standards update. Following the reclassification, pension expense consists of the following for the periods presented: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recognized in compensation and benefits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3"/>
              </w:rPr>
              <w:t>Other components of pension expense recognized in other non-operating income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pension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February 2018, the FASB issued guidance that gives entities the option to reclassify to retained earnings the tax effects related to items in accumulated other comprehensive income (AOCI) that were previously stranded within AOCI as a result of applying the Tax Cuts and Jobs Act (2017 Tax Act). An entity that elects to reclassify these amounts must reclassify stranded tax effects related to the change in federal tax rate for all items accounted for within AOCI. Entities can also elect to reclassify other stranded tax effects that relate to the 2017 Tax Act but do not directly relate to the change in federal rate. Tax effects that are stranded in AOCI for other reasons may not be reclassified. These amendments should be applied either in the period of adoption as a cumulative adjustment to the opening balance of retained earnings or retrospectively to each period in which the effect of the 2017 Tax Act is recognized. This guidance is effective for entities with fiscal years beginning after December 15, 2018. The company early adopted this guidance as of January 1, 2018, resulting in an adjustment of $3.8 million to reduce beginning retained earnings and increase AOCI. Tax effects from previously stranded items are released from AOCI when the entire portfolio of similar items is liquidated.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February 2016, the FASB issued a standards update that requires lessees to recognize on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Adoption of the guidance in 2019 will result in the gross-up of the consolidated balance sheets to reflect the present value of the lease payments over the lease term and offsetting lease liability at the lease commencement date. Presentation of lease expense and the pattern of expense recognition on the consolidated statements of income is expected to remain materially consistent with existing lease accounting guidance.</w:t>
      </w:r>
    </w:p>
    <w:p>
      <w:pPr>
        <w:spacing w:after="0" w:line="13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available-for-sale debt securities and requires entities to determine whether all or a portion of the unrealized loss on an available-for-sale debt security is a credit loss. Severity and duration of the unrealized loss are no longer permissible factors in concluding whether a credit loss exists. Entities will recognize improvements to estimated credit losses on available-for-sale debt securities immediately in earnings rather than as interest income over time. The standard is effective for reporting periods beginning after December 15, 2019. The standard’s provisions must be applied as a cumulative adjustment to retained earnings as of the beginning of the first reporting period in which the guidance is effective. Early adoption is permitted for reporting periods beginning in 2019. The company does not believe that the adoption of this guidance will have a material impact on the consolidated financial statements.</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August 2017, the FASB issued a standards update that amends the existing hedge accounting model to enable entities to better reflect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The guidance is effective for fiscal years beginning after December 15, 2018. Early adoption is permitted. The company does not believe that the adoption of this standard will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color w:val="auto"/>
        </w:rPr>
        <w:t>The majority of revenue is comprised of clearing and transaction fees. The company accounts for revenue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“Revenue from Contracts with Customers,” which was adopted on January 1, 2018, using the modified retrospective approach. The new standard introduces a framework for recognizing revenue that focuses on the transfer of control rather than risks and rewards. The company recognized a one-time adjustment of $8.7 million within the opening balance of retained earnings as of January 1, 2018 as a result of adopting this standard. This deferral of revenue is primarily related to the outstanding performance obligations for clearing and transaction fees for longer-term cleared swap products.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Clearing and transaction fees</w:t>
      </w:r>
      <w:r>
        <w:rPr>
          <w:rFonts w:ascii="Arial" w:cs="Arial" w:eastAsia="Arial" w:hAnsi="Arial"/>
          <w:sz w:val="16"/>
          <w:szCs w:val="16"/>
          <w:color w:val="auto"/>
        </w:rPr>
        <w:t>. Clearing and transaction fees include electronic trading fees, surcharges for privately-negotiated transactions,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volume-related charges for exchange-traded and cleared swaps contracts. Clearing and transaction fees are assessed upfront at the time of trade execution. As such, the company recognizes the majority of the fee revenue upon successful execution of the trade. The minimal remaining portion of the fee revenue related to clearing activities performed after the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These assumptions include the average number of days that a contract remains in open interest, contract turnover, average revenue per day, and revenue remaining in open interest at the end of each period.</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nature of contracts gives rise to several types of variable consideration, including incentive tiers, incentives associated with market maker programs and other fee discounts. The company includes fee discounts and incentives in the estimated transaction price when there is a basis to reasonably estimate the amount of the fee. These estimates are based on historical experience, anticipated performance, and best judgment at the time. Because of the company's certainty in estimating these amounts, they are included in the transaction price of contracts.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represents revenue from the dissemination of market data to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charges to members and clearing firms that utilize various telecommunications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communications services. Fees for these services are generally billed monthly. These services are satisfied over time and revenue is recognized on a monthly basis as the customers receive and consume the benefit of the services.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fees for collateral management, fees for trade order routing through agreements from various strategic relationships,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services to members and clearing firms. Collateral management fees are charged to clearing firms that have collateral on deposit with CME to meet their minimum performance bond and guaranty fund obligations. These fees are calculated based on daily collateral balances and are billed monthly. This fee revenue is recognized as billed as the customers receive and consume the benefits of the services.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 disaggregation of revenue from contracts with customers for the quarters and six months ended June 30, 2018 and 2017:</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247.7</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226.5</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Metal</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95.8</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and credit default swap</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clearing and transaction fees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1,879.7</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1,584.0</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1,059.6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924.6</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2,168.6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1,853.9</w:t>
            </w:r>
          </w:p>
        </w:tc>
      </w:tr>
      <w:tr>
        <w:trPr>
          <w:trHeight w:val="311"/>
        </w:trPr>
        <w:tc>
          <w:tcPr>
            <w:tcW w:w="6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Services transferred over time</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295.2</w:t>
            </w: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charges and miscellaneous revenues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1,059.6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924.6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2,168.6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1,853.9</w:t>
            </w: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reported on the consolidated balance sheets on a contract-by-contract basis at the end of each reporting period. For annual licenses and upfront fee arrangements, the company generally bills customers upon contract execution. These payments are recognized as revenue over time as the obligations under the contracts are satisfied. Changes in the contract liability balances during the six months ended June 30, 2018 were not materially impacted by any other factors. The balance of contract liabilities was $25.0 million and $3.9 million as of June 30, 2018 and December 31,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i w:val="1"/>
          <w:iCs w:val="1"/>
          <w:color w:val="auto"/>
        </w:rPr>
        <w:t xml:space="preserve">Performance Bonds and Guaranty Fund Contributions. </w:t>
      </w:r>
      <w:r>
        <w:rPr>
          <w:rFonts w:ascii="Arial" w:cs="Arial" w:eastAsia="Arial" w:hAnsi="Arial"/>
          <w:sz w:val="18"/>
          <w:szCs w:val="18"/>
          <w:color w:val="auto"/>
        </w:rPr>
        <w:t>CME has been designated as a systemically important financial market utility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Oversight Council and is authorized to establish and maintain a cash account at the Federal Reserve Bank of Chicago. At June 30, 2018, CME maintained $27.3 billion within the cash account at the Federal Reserve Bank of Chicago.</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for all futures and options contracts twice a day (once a day for</w:t>
      </w:r>
      <w:r>
        <w:rPr>
          <w:rFonts w:ascii="Arial" w:cs="Arial" w:eastAsia="Arial" w:hAnsi="Arial"/>
          <w:sz w:val="18"/>
          <w:szCs w:val="18"/>
          <w:i w:val="1"/>
          <w:iCs w:val="1"/>
          <w:color w:val="auto"/>
        </w:rPr>
        <w:t xml:space="preserve"> </w:t>
      </w:r>
      <w:r>
        <w:rPr>
          <w:rFonts w:ascii="Arial" w:cs="Arial" w:eastAsia="Arial" w:hAnsi="Arial"/>
          <w:sz w:val="18"/>
          <w:szCs w:val="18"/>
          <w:color w:val="auto"/>
        </w:rPr>
        <w:t>CME's cleared-only interest rate swap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1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CME's cleared-only interest rate swap contracts, the maximum exposure related to CME's guarantee would be one full day of changes in fair value of all open positions, before considering CME's ability to access defaulting clearing firms' collateral. CME exited the CDS clearing business in March 2018.</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six months of 2018, the clearing house transferred an average of approximately $3.5 billion a day through its clearing systems for settlement from clearing firms whose positions had lost value to clearing firms whose positions had gained value. The clearing house reduces its guarantee exposure through initial and maintenance performance bond requirements and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mandatory guaranty fund contributions. The company believes that its guarantee liability is immaterial and therefore has not recorded any liability at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2018 and December 31, 2017:</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1,847.8</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1,849.0</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amortization expense for intangible assets was $23.6 million and $24.0 million for the quarters ended June 30, 2018 and 2017, respectively. Total amortization expense for intangible assets was $47.3 million and $48.0 million for the six months ended June 30, 2018 and 2017, respectively. As of June 30, 2018, the future estimated amortization expense related to amortizable intangible assets is expected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2021</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2023</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1,328.2</w:t>
            </w:r>
          </w:p>
        </w:tc>
      </w:tr>
      <w:tr>
        <w:trPr>
          <w:trHeight w:val="513"/>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June 2018, the company completed offerings of $500.0 million of 3.75% fixed rate notes due June 2028 and $700.0 million of 4.15% fixed rate notes due June 2048. The company intends to use the net proceeds from the offering, together with cash on hand, to finance the cash consideration for the proposed acquisition of NEX Group plc (NEX).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2018 and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746.0</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744.9</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million fixed rate notes due June 2028, stated rate of 3.75%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742.2</w:t>
            </w: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$700.0 million fixed rate notes due June 2048, stated rate of 4.15%</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3,419.0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2,233.1</w:t>
            </w: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April 27, 2018, the Court informed the parties that it reached a preliminary decision to grant CBOT's and CME's motion for summary judgment on the antitrust claims. The Court is expected to issue a written decision finalizing that decision and dismissing the entire case. In the meantime, the previously set trial date has been vacated.</w:t>
      </w:r>
    </w:p>
    <w:p>
      <w:pPr>
        <w:spacing w:after="0" w:line="10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 believes that the resolution of any of these matters on an individual or aggregate basis will not have a material impact on its consolidated financial position or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as none were probable and estimable as of June 30, 2018 and December 31, 2017.</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2018.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standby letters of credit. At June 30, 2018, CME was contingently liable to SGX on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June 30, 2018.</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June 30, 2018.</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Impact of adoption of standards update on tax effects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w w:val="97"/>
              </w:rPr>
              <w:t>related to accumulated other comprehensive income</w:t>
            </w: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If quoted prices are not available to determine fair value, the company uses other inputs that are directly observable.</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Level 2 assets and liabilities generally consist of asset-backed securities, equity investments and long-term debt notes. Asset-backed securities were measured at fair value based on matrix pricing using prices of similar securities with similar inputs such as maturity dates, interest rates and credit ratings. The fair values of the equity investments and long-term debt notes were based on quoted market prices.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Level 3 liabilities include a foreign exchange forward contract. The company is using the foreign exchange forward contract to mitigate certain exposure to foreign exchange rate fluctuation related to the anticipated acquisition of NEX. The forward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contract was measured at fair value based on assumptions made by management regarding expectations on the settlement date as well as directly observable market inputs, including GBP forward rates, spot rates, and discount factors. Significant changes in these observable inputs may have a material impact on the fair value of the forward contract as these amounts affect the timing and extent of cash flows under the contract. Changes to the settlement date assumption do not have a material impact on the fair value of the forward contract. Changes in fair value of this contract are recognized within other non-operating income (expense) on the consolidated statements of income.</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June 30, 2018 were classified in their entirety based on the lowest level of input that was significant to each asset and liability's fair value measurement. The following table presents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 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80.9</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level 3 liability valued at fair value on a recurring basis during the first six months of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Forward Contract</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Unrealized losses included in other non-operating (income) expense</w:t>
            </w:r>
          </w:p>
        </w:tc>
        <w:tc>
          <w:tcPr>
            <w:tcW w:w="34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June 30, 2018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six months of 2018. There were no other level 3 assets or liabilities valued at fair value on a recurring or non-recurring basis during the first six months of 2018. During the second quarter of 2018, the company recognized mark-to-market increases in fair value of $70.0 million related to certain privately-held equity investments based on observable market price changes for an identical or similar investment of the same issuer. The fair values of these investments totaled $75.4 million and were considered level 2 and nonrecurring.</w:t>
      </w:r>
    </w:p>
    <w:p>
      <w:pPr>
        <w:spacing w:after="0" w:line="24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June 30, 2018,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$750.0 million fixed rate notes due September 2022, stated rate of 3.00%</w:t>
            </w:r>
          </w:p>
        </w:tc>
        <w:tc>
          <w:tcPr>
            <w:tcW w:w="4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w w:val="99"/>
              </w:rPr>
              <w:t>$750.0 million fixed rate notes due March 2025, stated rate of 3.00%</w:t>
            </w:r>
          </w:p>
        </w:tc>
        <w:tc>
          <w:tcPr>
            <w:tcW w:w="48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725.8</w:t>
            </w:r>
          </w:p>
        </w:tc>
      </w:tr>
      <w:tr>
        <w:trPr>
          <w:trHeight w:val="27"/>
        </w:trPr>
        <w:tc>
          <w:tcPr>
            <w:tcW w:w="54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million fixed rate notes due June 2028, stated rate of 3.75%</w:t>
            </w:r>
          </w:p>
        </w:tc>
        <w:tc>
          <w:tcPr>
            <w:tcW w:w="4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504.4</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w w:val="92"/>
              </w:rPr>
              <w:t>$750.0 million fixed rate notes due September 2043, stated rate of 5.30%</w:t>
            </w:r>
          </w:p>
        </w:tc>
        <w:tc>
          <w:tcPr>
            <w:tcW w:w="48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883.2</w:t>
            </w:r>
          </w:p>
        </w:tc>
      </w:tr>
      <w:tr>
        <w:trPr>
          <w:trHeight w:val="27"/>
        </w:trPr>
        <w:tc>
          <w:tcPr>
            <w:tcW w:w="54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$700.0 million fixed rate notes due June 2048, stated rate of 4.15%</w:t>
            </w:r>
          </w:p>
        </w:tc>
        <w:tc>
          <w:tcPr>
            <w:tcW w:w="4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708.1</w:t>
            </w:r>
          </w:p>
        </w:tc>
      </w:tr>
      <w:tr>
        <w:trPr>
          <w:trHeight w:val="459"/>
        </w:trPr>
        <w:tc>
          <w:tcPr>
            <w:tcW w:w="5460" w:type="dxa"/>
            <w:vAlign w:val="bottom"/>
          </w:tcPr>
          <w:p>
            <w:pPr>
              <w:spacing w:after="0"/>
              <w:rPr>
                <w:sz w:val="24"/>
                <w:szCs w:val="24"/>
                <w:color w:val="auto"/>
              </w:rPr>
            </w:pPr>
          </w:p>
        </w:tc>
        <w:tc>
          <w:tcPr>
            <w:tcW w:w="4800" w:type="dxa"/>
            <w:vAlign w:val="bottom"/>
          </w:tcPr>
          <w:p>
            <w:pPr>
              <w:jc w:val="right"/>
              <w:ind w:right="437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restricted stock and performance share awards were as follows for the periods presented: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ind w:left="680"/>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339,465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338,556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339,386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338,448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340,872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340,020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340,838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339,974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2017.</w:t>
      </w:r>
    </w:p>
    <w:p>
      <w:pPr>
        <w:spacing w:after="0" w:line="12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and Commodity Exchange, Inc. (COMEX), collectively, unless otherwise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30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1,059.6</w:t>
            </w:r>
          </w:p>
        </w:tc>
        <w:tc>
          <w:tcPr>
            <w:tcW w:w="4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924.6</w:t>
            </w:r>
          </w:p>
        </w:tc>
        <w:tc>
          <w:tcPr>
            <w:tcW w:w="1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2,168.6</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1,853.9</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319.4</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647.8</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17</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89.9</w:t>
            </w:r>
          </w:p>
        </w:tc>
        <w:tc>
          <w:tcPr>
            <w:tcW w:w="4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32.1</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181</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137.7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566.1</w:t>
            </w:r>
          </w:p>
        </w:tc>
        <w:tc>
          <w:tcPr>
            <w:tcW w:w="4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415.8</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1,164.9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815.6</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43</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1.22</w:t>
            </w:r>
          </w:p>
        </w:tc>
        <w:tc>
          <w:tcPr>
            <w:tcW w:w="138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1,347.8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783.4</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72</w:t>
            </w:r>
          </w:p>
        </w:tc>
      </w:tr>
      <w:tr>
        <w:trPr>
          <w:trHeight w:val="351"/>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906.1</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1,879.7</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1,584.0</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3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w:t>
            </w: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1,059.6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2,168.6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1,853.9</w:t>
            </w:r>
          </w:p>
        </w:tc>
        <w:tc>
          <w:tcPr>
            <w:tcW w:w="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1,175.0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1,036.5</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2,529.4</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889.1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776.1</w:t>
            </w:r>
          </w:p>
        </w:tc>
        <w:tc>
          <w:tcPr>
            <w:tcW w:w="1420" w:type="dxa"/>
            <w:vAlign w:val="bottom"/>
          </w:tcPr>
          <w:p>
            <w:pPr>
              <w:jc w:val="right"/>
              <w:ind w:right="214"/>
              <w:spacing w:after="0"/>
              <w:rPr>
                <w:sz w:val="20"/>
                <w:szCs w:val="20"/>
                <w:color w:val="auto"/>
              </w:rPr>
            </w:pPr>
            <w:r>
              <w:rPr>
                <w:rFonts w:ascii="Arial" w:cs="Arial" w:eastAsia="Arial" w:hAnsi="Arial"/>
                <w:sz w:val="18"/>
                <w:szCs w:val="18"/>
                <w:color w:val="auto"/>
              </w:rPr>
              <w:t>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1,845.6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1,550.8</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0.757</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0.749</w:t>
            </w:r>
          </w:p>
        </w:tc>
        <w:tc>
          <w:tcPr>
            <w:tcW w:w="1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0.730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0.740</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estimate the following net increases in clearing and transaction fees based on changes in total contract volumes and changes in average rate per contract for futures and options during the second quarter and first six months of 2018 when compared with the same periods in 2017.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(decrease) due to changes in average rate per contract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9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10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14"/>
                <w:szCs w:val="14"/>
                <w:color w:val="auto"/>
              </w:rPr>
            </w:pPr>
          </w:p>
        </w:tc>
      </w:tr>
      <w:tr>
        <w:trPr>
          <w:trHeight w:val="192"/>
        </w:trPr>
        <w:tc>
          <w:tcPr>
            <w:tcW w:w="52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Change</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8,210</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12 %</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8,686</w:t>
            </w: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2,707</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14</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2,736</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879</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18</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887</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1,492</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1,377</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Energy</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2,632</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2,565</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533</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522</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9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18,359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4"/>
              </w:rPr>
              <w:t>16,453</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9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4"/>
              </w:rPr>
              <w:t>16,773</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w w:val="94"/>
              </w:rPr>
              <w:t>14,582</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18,182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w w:val="94"/>
              </w:rPr>
              <w:t>14,763</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1,115</w:t>
            </w: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756</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772</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4"/>
              </w:rPr>
              <w:t>16,453</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4"/>
              </w:rPr>
              <w:t>16,773</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21"/>
                <w:szCs w:val="21"/>
                <w:color w:val="auto"/>
              </w:rPr>
            </w:pPr>
          </w:p>
        </w:tc>
      </w:tr>
    </w:tbl>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Overall market volatility was higher in the first half of 2018 compared with the same period in 2017. We believe the markets continued to experience uncertainty surrounding the Federal Reserve's interest rate policy in 2018. In June, the Federal Open Markets Committee (FOMC) raised the federal funds rate for the second time in 2018, which led to volatility across multiple asset classes. During the first half of 2018, uncertainties regarding United States' trade policies and the potential for changes in tariff rates as well as the anticipation of increased United States' government spending and the potential for future inflation also contributed to ongoing market uncertainty. We believe these factors led to the overall increases in contract volumes.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8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2017</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1,919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9 %</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2,350</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1,946</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775</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5</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968</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1,227</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1,464</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1,598</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1,537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2,259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1,883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2,395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1,931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24</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1,235</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24</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1,301</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532</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580</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382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52</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430</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13</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465</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277</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27</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280</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Overall interest rate contract volumes increased in the second quarter and first six months of 2018 when compared with the same periods in 2017 largely due to volatility caused by continued uncertainty surrounding future interest rate hikes by the Federal Reserve, including volatility caused by the federal funds rate increase by the FOMC in March and June 2018. In addition, we believe interest rate volatility resulted from increased issuance of U.S. Treasury bills by the U.S. Department of Treasury. We also believe the increase in contract volume in the first half of 2018 when compared with the same period in 2017 was due to the uncertainty surrounding the United States' foreign trade policies, future rates of inflation and the potential for increased government spending.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3"/>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Pr>
          <w:p>
            <w:pPr>
              <w:jc w:val="right"/>
              <w:ind w:right="561"/>
              <w:spacing w:after="0"/>
              <w:rPr>
                <w:sz w:val="20"/>
                <w:szCs w:val="20"/>
                <w:color w:val="auto"/>
              </w:rPr>
            </w:pPr>
            <w:r>
              <w:rPr>
                <w:rFonts w:ascii="Arial" w:cs="Arial" w:eastAsia="Arial" w:hAnsi="Arial"/>
                <w:sz w:val="18"/>
                <w:szCs w:val="18"/>
                <w:color w:val="auto"/>
              </w:rPr>
              <w:t>2,173</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2,116</w:t>
            </w:r>
          </w:p>
        </w:tc>
        <w:tc>
          <w:tcPr>
            <w:tcW w:w="144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2,556</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2,182</w:t>
            </w: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17%</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418</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304</w:t>
            </w:r>
          </w:p>
        </w:tc>
        <w:tc>
          <w:tcPr>
            <w:tcW w:w="1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37</w:t>
            </w:r>
          </w:p>
        </w:tc>
        <w:tc>
          <w:tcPr>
            <w:tcW w:w="15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456</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259</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76</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second quarter and first six months of 2018 when compared with the same periods in 2017, overall equity contract volumes increased due to overall higher equity market volatility, as measured by the CBOE Volatility Index and CBOE Nasdaq-100 Volatility Index. We believe the comparatively higher volatility is caused by greater uncertainty surrounding the Federal Reserve's interest rate policy and the continued uncertainty surrounding the United States' foreign trade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2017</w:t>
            </w:r>
          </w:p>
        </w:tc>
        <w:tc>
          <w:tcPr>
            <w:tcW w:w="14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336</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57 %</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333</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151</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169</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137</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146</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115</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26</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124</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92</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34</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96</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97</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Overall foreign exchange contract volumes increased in the second quarter and first six months of 2018 when compared with the same periods in 2017. Increases in Euro contract volumes were largely driven by overall high volatility, which we believe was caused by market uncertainty resulting from different monetary policies by the European Central Bank and the Federal Reserve. Australian dollar contract volumes were higher due to volatile commodity markets and uncertainty surrounding the United States' foreign trade policies. We believe the increases in British pound contract volumes were attributed to the ongoing</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60"/>
        <w:spacing w:after="0" w:line="454" w:lineRule="auto"/>
        <w:rPr>
          <w:sz w:val="20"/>
          <w:szCs w:val="20"/>
          <w:color w:val="auto"/>
        </w:rPr>
      </w:pPr>
      <w:r>
        <w:rPr>
          <w:rFonts w:ascii="Arial" w:cs="Arial" w:eastAsia="Arial" w:hAnsi="Arial"/>
          <w:sz w:val="18"/>
          <w:szCs w:val="18"/>
          <w:color w:val="auto"/>
        </w:rPr>
        <w:t xml:space="preserve">uncertainty from the United Kingdom European Union membership referendum as well as the potential for future interest rate hikes. </w:t>
      </w:r>
      <w:r>
        <w:rPr>
          <w:rFonts w:ascii="Arial" w:cs="Arial" w:eastAsia="Arial" w:hAnsi="Arial"/>
          <w:sz w:val="18"/>
          <w:szCs w:val="18"/>
          <w:i w:val="1"/>
          <w:iCs w:val="1"/>
          <w:color w:val="auto"/>
        </w:rPr>
        <w:t>Agricultural Commodity Products</w:t>
      </w: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2017</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597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557</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18%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373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34</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358</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320" w:type="dxa"/>
            <w:vAlign w:val="bottom"/>
          </w:tcPr>
          <w:p>
            <w:pPr>
              <w:ind w:left="960"/>
              <w:spacing w:after="0"/>
              <w:rPr>
                <w:sz w:val="20"/>
                <w:szCs w:val="20"/>
                <w:color w:val="auto"/>
              </w:rPr>
            </w:pPr>
            <w:r>
              <w:rPr>
                <w:rFonts w:ascii="Arial" w:cs="Arial" w:eastAsia="Arial" w:hAnsi="Arial"/>
                <w:sz w:val="18"/>
                <w:szCs w:val="18"/>
                <w:color w:val="auto"/>
              </w:rPr>
              <w:t>31</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284</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279</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21</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the second quarter and first six months of 2018 when compared with the same periods in 2017, overall agricultural commodity contract volume increases were driven by higher corn and soybean contract volumes, which we believe resulted from higher price volatility in 2018. We believe the increases in volatility resulted from uncertainty surrounding crop production due to drought conditions over the winter months in South America. In addition, we believe the overall increases in commodity contract volumes were attributable to volatility caused by concern surrounding the United States' foreign trade policies.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2017</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1,591</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7 %</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1,567</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484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(16)</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572</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590</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409</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413</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Overall energy contract volumes remained flat in the second quarter and increased slightly in the first six months of 2018 when compared with the same periods in 2017. We believe the increases in crude oil contract volumes were caused by volatility resulting from a shift in crude oil supplies, as United States crude oil production continued to exhibit strong growth in 2018. Natural gas contract volumes decreased due to lower price volatility caused by milder temperature outlooks across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2017</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383</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409</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35%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146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43</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142</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99</w:t>
            </w:r>
          </w:p>
        </w:tc>
        <w:tc>
          <w:tcPr>
            <w:tcW w:w="1320" w:type="dxa"/>
            <w:vAlign w:val="bottom"/>
          </w:tcPr>
          <w:p>
            <w:pPr>
              <w:ind w:left="960"/>
              <w:spacing w:after="0"/>
              <w:rPr>
                <w:sz w:val="20"/>
                <w:szCs w:val="20"/>
                <w:color w:val="auto"/>
              </w:rPr>
            </w:pPr>
            <w:r>
              <w:rPr>
                <w:rFonts w:ascii="Arial" w:cs="Arial" w:eastAsia="Arial" w:hAnsi="Arial"/>
                <w:sz w:val="18"/>
                <w:szCs w:val="18"/>
                <w:color w:val="auto"/>
              </w:rPr>
              <w:t>44</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115</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112</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18</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the increases in metal contract volumes in the second quarter and first six months of 2018 when compared with the same periods in 2017 were due to international investors using gold and other precious metals as safe-haven alternative investments to other volatile markets in the first half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average rate per contract increased slightly in the second quarter when compared with the same period in 2017. The increase was largely due to strong agricultural commodity volume as well as lower discounts on certain equity products. The overall increase was partially offset by a shift in product mix. Energy contract volume decreased by 2 percentage points as a percentage of total volume, while nearly all other product lines increased by a combined 2 percentage points as a percentage of total volume. In general, energy contracts have a higher rate per contract compared with nearly all other product lines.</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average rate per contract decreased slightly in the first six months of 2018 when compared with the same period in 2017 largely due to a shift in product mix. Energy contract volume decreased by 2 percentage points as a percentage of total volume, while nearly all other product lines increased by a combined 2 percentage points as a percentage of total volume. The average</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rate per contract also decreased slightly in the first six months of 2018 due to an increase in trades executed by members, as a percentage of total trading volume.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another firm represented 11% of our clearing and transaction fees in the first six months of 2018.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increases in market data and information services revenues in the second quarter and first six months of 2018 when compared with the same periods in 2017 were attributable to an increase in fees for basic real-time market data service to $105 per month from $85 per month beginning in the second quarter of 2018. The increases were partially offset by modest declines in screen counts due to cost-cutting initiatives at member firms.</w:t>
      </w:r>
    </w:p>
    <w:p>
      <w:pPr>
        <w:spacing w:after="0" w:line="16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42% of our market data and information services revenue in the first six months of 2018.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2017</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58.2</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647.8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increased by $73.3 million and $113.0 million in the second quarter and first six months of 2018 when compared with the same periods in 2017. The following table shows the estimated impacts of key factors resulting in the changes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9"/>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Amount of</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second quarter and first six months of 2018 when compared with the same periods in 2017 were as follows:</w:t>
      </w:r>
    </w:p>
    <w:p>
      <w:pPr>
        <w:spacing w:after="0" w:line="237" w:lineRule="exact"/>
        <w:rPr>
          <w:sz w:val="20"/>
          <w:szCs w:val="20"/>
          <w:color w:val="auto"/>
        </w:rPr>
      </w:pPr>
    </w:p>
    <w:p>
      <w:pPr>
        <w:ind w:left="660" w:right="2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of 2018, we recognized a net loss of $47.3 million primarily due to the decline in the British pound versus U.S. dollar exchange rate on $1.6 billion of restricted cash held for the acquisition of NEX Group plc (NEX), which is denominated in British pounds, compared with a net gain of $4.6 million on favorable changes in exchange rates on foreign cash balances in the second quarter of 2017. In the first six months of 2018, we recognized a net loss of $48.9 million, compared to a net gain of $7.1 million in the first six months of 2017. Gains and losses from exchange rate fluctuations result when subsidiaries with a U.S. dollar functional currency hold cash as well as certain other monetary assets and liabilities denominated in foreign currencies.</w:t>
      </w:r>
    </w:p>
    <w:p>
      <w:pPr>
        <w:spacing w:after="0" w:line="19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Licensing and other fee agreement expenses increased due to higher fees related to revenue sharing agreements for certain equity contracts due to both increases in volume and an increase in license rates for certain products.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fees and outside service expenses increased compared with the same periods in 2017, largely due to higher fees incurred in 2018 as a result of our pending transaction with NEX and the Eurex litigation.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Bonus expense increased due to improved performance relative to our cash earnings target in 2018 when compared with 2017 performance relative to our 2017 cash earnings target.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and benefit expenses increased as a result of higher average headcount primarily in our international locations as well as normal cost of living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3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(116.9)</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134</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c>
          <w:tcPr>
            <w:tcW w:w="13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181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Investment income increased in the second quarter and first six months of 2018, when compared with the same periods in 2017, largely due to increases in earnings from cash performance bond and guaranty fund contributions that are reinvested, which resulted primarily from higher average reinvestment balances and higher rates of interest earned in the cash account at the Federal Reserve Bank of Chicago. In addition, we recognized realized and unrealized gains of $88.2 million on some privately- held equity investments in the second quarter of 2018. During 2017, we recognized a net gain of $86.5 million on the sale of our remaining ownership interest in BM&amp;FBOVESPA, S.A. (BM&amp;FBOVESPA).</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increases in equity in net earnings (losses) of unconsolidated subsidiaries in the second quarter and first six months of 2018 when compared with the same periods in 2017.</w:t>
      </w:r>
    </w:p>
    <w:p>
      <w:pPr>
        <w:spacing w:after="0" w:line="11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recognized higher expenses in the second quarter and first six months of 2018 when compared with the same periods in 2017 related to the distribution of interest earned on performance bond collateral reinvestment to the clearing firms. In the second quarter of 2018, we also recognized a loss of $36.9 million on our foreign exchange option and forward contracts used to mitigate certain exposure to foreign exchange rate fluctuation on the anticipated currency required to facilitate the NEX transaction. These expenses are included in other non-operating income (expense) on the 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25.2%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24.6%</w:t>
            </w: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overall decreases in the effective tax rate in the second quarter and first six months of 2018 were primarily due to a reduction in the federal statutory rate from 35% to 21% on January 1, 2018. Also, in the first quarter of 2017, income tax</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expense was recognized pursuant to the sale of the remaining BM&amp;FBOVESPA shares. This expense was partially offset by the benefits recognized in the second quarter of 2017 from settling various federal and state tax audit issues.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six months of 2018 when compared with the same period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largely attributable to the increase in trading volume as well as lower overall tax payments due to the reduction in the federal tax rate. The increase is also due to higher investment income related to our reinvestment of cash performance bonds and guaranty fund collateral, net of the distribution of interest earned to the clearing firms. Net cash provided by investing activities decreased in the first six months of 2018 when compared with the same period of 2017. In the first quarter of 2017, we received proceeds from our sale of BM&amp;FBOVESPA shares. Cash used in financing activities was lower in the first six months of 2018 when compared with the same period in 2017 due to proceeds received from the recent debt offering in the second quarter of 2018. The company intends to use the net proceeds from the offering, together with cash on hand, to finance the cash consideration for the acquisition of NEX.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June 2028, stated rate of 3.75%</w:t>
            </w:r>
          </w:p>
        </w:tc>
        <w:tc>
          <w:tcPr>
            <w:tcW w:w="3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rate notes due June 2048, stated rate of 4.15%</w:t>
            </w:r>
          </w:p>
        </w:tc>
        <w:tc>
          <w:tcPr>
            <w:tcW w:w="3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700.0</w:t>
            </w:r>
          </w:p>
        </w:tc>
      </w:tr>
      <w:tr>
        <w:trPr>
          <w:trHeight w:val="27"/>
        </w:trPr>
        <w:tc>
          <w:tcPr>
            <w:tcW w:w="74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June 2018, we completed offerings of $500.0 million of 3.75% fixed rate notes due June 2028 and $700.0 million of 4.15% fixed rate notes due June 2048. We intend to use the net proceeds from the offering, together with cash on hand, to finance the cash consideration for the acquisition of NEX. In the event that the NEX acquisition is not finalized by June 30, 2019 or the acquisition agreement is terminated, we are required to make an offer to repurchase these fixed rate notes at a price equal to 101% of the principal amount, plus accrued and unpaid interest.</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deposited by defaulting clearing members can be used to collateralize the facility. At June 30, 2018, guaranty funds available to collateralize the facility totaled $7.5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June 30, 2018,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we were in compliance with the various financial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June 30, 2018, the letters of credit totaled $285.0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June 30,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$1.1 billion and $1.9 billion at June 30, 2018 and December 31, 2017,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March 2018, we announced that we reached an agreement to acquire NEX in a transaction valued at £10 per share, consisting of 500 pence in cash and 0.0444 CME Group shares. We have received approval by NEX shareholders, but the proposed transaction is pending approvals by regulators. The transaction is expected to close in the second half of 2018. As of June 30, 2018, $1.6 billion of cash has been restricted related to the proposed transaction with NEX. In conjunction with the proposed transaction, we also purchased a foreign exchange forward contract to mitigate certain exposure to foreign exchange rate fluctuation on anticipated currency required to facilitate the acquisition. The foreign exchange forward contract has a notional value of £670 million and expires in April 2019. We recognized a loss of $6.9 million within other non-operating income (expense) on the consolidated statements of income in the second quarter of 2018 related to the forward contract. In the first quarter of 2018, we also purchased a foreign exchange option contract to mitigate certain exposure to foreign exchange rate fluctuation on anticipated currency required to facilitate the acquisition. The foreign exchange option had a notional value of £1.6 billion and expired in July 2018. We recognized a loss of $30.0 million in other non-operating income (expense) in the second quarter of 2018 related to the option contract. In connection with the acquisition, we maintain a 364-day bridge credit agreement with total commitments of approximately £0.7 billion. The proceeds from this bridge facility can only be used to fund the cash payment of the acquisition.</w:t>
      </w:r>
    </w:p>
    <w:p>
      <w:pPr>
        <w:spacing w:after="0" w:line="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CFTC as a U.S. Derivatives Clearing Organization (DCO). DCOs are required to maintain capital,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CME, CBOT, NYMEX and COMEX are regulated by the CFTC as Designated Contract Markets (DCM). DCMs are required to maintain capital, as defined by the CFTC, in an amount at least equal to one year of projected operating expenses as well as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liquid securities or a line of credit at least equal to six months of projected operating expenses. Our DCMs are in compliance with all DCM financial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Refer to Note 2. Accounting Policies in our notes to the consolidated financial statements for information on new and recently adopted accounting pronouncements that are applicable to us.</w:t>
      </w:r>
    </w:p>
    <w:p>
      <w:pPr>
        <w:spacing w:after="0" w:line="28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2017. Refer to Item 7A. of CME Group’s Annual Report on Form 10-K for the year ended December 31, 2017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firstLine="8"/>
        <w:spacing w:after="0" w:line="273"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June 30, 2018,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28, 2018.</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2018.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162.31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159.30</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601</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169.10</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163.98</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purchased consist of an aggregate of 1,424 shares of Class A common stock surrendered in the second quarter of 2018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0"/>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600" w:type="dxa"/>
            <w:vAlign w:val="bottom"/>
            <w:tcBorders>
              <w:bottom w:val="single" w:sz="8" w:color="0000FF"/>
            </w:tcBorders>
            <w:gridSpan w:val="7"/>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Eighth Supplemental Indenture (including the form of 3.750% Notes due 2028), dated as of June 21, 2018, between CME Group Inc.</w:t>
              </w:r>
            </w:hyperlink>
          </w:p>
        </w:tc>
        <w:tc>
          <w:tcPr>
            <w:tcW w:w="1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0">
              <w:r>
                <w:rPr>
                  <w:rFonts w:ascii="Arial" w:cs="Arial" w:eastAsia="Arial" w:hAnsi="Arial"/>
                  <w:sz w:val="18"/>
                  <w:szCs w:val="18"/>
                  <w:color w:val="0000FF"/>
                  <w:w w:val="92"/>
                </w:rPr>
                <w:t>and U.S. Bank National Association (incorporated by reference to Exhibit 4.2 to CME Group Inc.’s Current Report on Form 8-K, filed</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with the SEC on June 21, 2018).</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26"/>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Ninth Supplemental Indenture (including the form of 4.150% Notes due 2048), dated as of June 21, 2018, between CME Group Inc.</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and U.S. Bank National Association (incorporated by reference to Exhibit 4.3 to CME Group Inc.’s Current Report on Form 8-K, filed</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with the SEC on June 21, 2018).</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Amended and Restated Agreement, effective as of May 8, 2018, by and between CME Group Inc. and Terrence A. Duffy (incorporated</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by reference to Exhibit 10.1 to CME Group Inc.’s Current Report on Form 8-K, filed with the SEC on May 9, 2018).</w:t>
              </w:r>
            </w:hyperlink>
          </w:p>
        </w:tc>
        <w:tc>
          <w:tcPr>
            <w:tcW w:w="1320" w:type="dxa"/>
            <w:vAlign w:val="bottom"/>
            <w:gridSpan w:val="4"/>
          </w:tcPr>
          <w:p>
            <w:pPr>
              <w:spacing w:after="0"/>
              <w:rPr>
                <w:sz w:val="17"/>
                <w:szCs w:val="17"/>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32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Section 302 Certification—Terrence A. Duffy</w:t>
              </w:r>
            </w:hyperlink>
          </w:p>
        </w:tc>
        <w:tc>
          <w:tcPr>
            <w:tcW w:w="6420" w:type="dxa"/>
            <w:vAlign w:val="bottom"/>
            <w:gridSpan w:val="6"/>
          </w:tcPr>
          <w:p>
            <w:pPr>
              <w:spacing w:after="0"/>
              <w:rPr>
                <w:sz w:val="24"/>
                <w:szCs w:val="24"/>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Section 302 Certification—John W. Pietrowicz</w:t>
              </w:r>
            </w:hyperlink>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82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Section 906 Certification</w:t>
              </w:r>
            </w:hyperlink>
          </w:p>
        </w:tc>
        <w:tc>
          <w:tcPr>
            <w:tcW w:w="1560" w:type="dxa"/>
            <w:vAlign w:val="bottom"/>
            <w:tcBorders>
              <w:top w:val="single" w:sz="8" w:color="0000FF"/>
            </w:tcBorders>
            <w:gridSpan w:val="3"/>
          </w:tcPr>
          <w:p>
            <w:pPr>
              <w:spacing w:after="0"/>
              <w:rPr>
                <w:sz w:val="24"/>
                <w:szCs w:val="24"/>
                <w:color w:val="auto"/>
              </w:rPr>
            </w:pPr>
          </w:p>
        </w:tc>
        <w:tc>
          <w:tcPr>
            <w:tcW w:w="6360" w:type="dxa"/>
            <w:vAlign w:val="bottom"/>
            <w:gridSpan w:val="5"/>
          </w:tcPr>
          <w:p>
            <w:pPr>
              <w:spacing w:after="0"/>
              <w:rPr>
                <w:sz w:val="24"/>
                <w:szCs w:val="24"/>
                <w:color w:val="auto"/>
              </w:rPr>
            </w:pPr>
          </w:p>
        </w:tc>
      </w:tr>
      <w:tr>
        <w:trPr>
          <w:trHeight w:val="453"/>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(1)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08"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125"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2018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2018</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0" Type="http://schemas.openxmlformats.org/officeDocument/2006/relationships/hyperlink" Target="http://www.sec.gov/Archives/edgar/data/1156375/000119312518199544/d771010dex42.htm" TargetMode="External"/><Relationship Id="rId11" Type="http://schemas.openxmlformats.org/officeDocument/2006/relationships/hyperlink" Target="http://www.sec.gov/Archives/edgar/data/1156375/000119312518199544/d771010dex43.htm" TargetMode="External"/><Relationship Id="rId12" Type="http://schemas.openxmlformats.org/officeDocument/2006/relationships/hyperlink" Target="http://www.sec.gov/Archives/edgar/data/1156375/000119312518156901/d5765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2019-12-28T21:10:11Z</dcterms:created>
  <dcterms:modified xsi:type="dcterms:W3CDTF">2019-12-28T21:10:11Z</dcterms:modified>
</cp:coreProperties>
</file>