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28" w:lineRule="exact"/>
        <w:rPr>
          <w:rFonts w:ascii="MS PGothic" w:cs="MS PGothic" w:eastAsia="MS PGothic" w:hAnsi="MS PGothic"/>
          <w:sz w:val="21"/>
          <w:szCs w:val="21"/>
          <w:color w:val="auto"/>
        </w:rPr>
      </w:pPr>
    </w:p>
    <w:p>
      <w:pPr>
        <w:ind w:left="374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For the quarterly period ended September 30, 2015</w:t>
      </w:r>
    </w:p>
    <w:p>
      <w:pPr>
        <w:spacing w:after="0" w:line="198" w:lineRule="exact"/>
        <w:rPr>
          <w:rFonts w:ascii="MS PGothic" w:cs="MS PGothic" w:eastAsia="MS PGothic" w:hAnsi="MS PGothic"/>
          <w:sz w:val="21"/>
          <w:szCs w:val="21"/>
          <w:color w:val="auto"/>
        </w:rPr>
      </w:pPr>
    </w:p>
    <w:p>
      <w:pPr>
        <w:ind w:left="5580" w:hanging="106"/>
        <w:spacing w:after="0"/>
        <w:tabs>
          <w:tab w:leader="none" w:pos="5580"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 -</w:t>
      </w:r>
    </w:p>
    <w:p>
      <w:pPr>
        <w:spacing w:after="0" w:line="18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340"/>
          </w:cols>
          <w:pgMar w:left="240" w:top="229" w:right="319" w:bottom="1440" w:gutter="0" w:footer="0" w:header="0"/>
        </w:sectPr>
      </w:pPr>
    </w:p>
    <w:p>
      <w:pPr>
        <w:spacing w:after="0" w:line="12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sectPr>
          <w:pgSz w:w="11900" w:h="16838" w:orient="portrait"/>
          <w:cols w:equalWidth="0" w:num="2">
            <w:col w:w="6080" w:space="720"/>
            <w:col w:w="4540"/>
          </w:cols>
          <w:pgMar w:left="240" w:top="229" w:right="3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001-31553</w:t>
      </w:r>
    </w:p>
    <w:p>
      <w:pPr>
        <w:sectPr>
          <w:pgSz w:w="11900" w:h="16838" w:orient="portrait"/>
          <w:cols w:equalWidth="0" w:num="1">
            <w:col w:w="11340"/>
          </w:cols>
          <w:pgMar w:left="240" w:top="229" w:right="319" w:bottom="1440" w:gutter="0" w:footer="0" w:header="0"/>
          <w:type w:val="continuous"/>
        </w:sectPr>
      </w:pPr>
    </w:p>
    <w:p>
      <w:pPr>
        <w:spacing w:after="0" w:line="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CME GROUP INC.</w:t>
      </w:r>
    </w:p>
    <w:p>
      <w:pPr>
        <w:spacing w:after="0" w:line="1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6520" w:type="dxa"/>
            <w:vAlign w:val="bottom"/>
          </w:tcPr>
          <w:p>
            <w:pPr>
              <w:jc w:val="center"/>
              <w:ind w:right="329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36-4459170</w:t>
            </w:r>
          </w:p>
        </w:tc>
      </w:tr>
      <w:tr>
        <w:trPr>
          <w:trHeight w:val="178"/>
        </w:trPr>
        <w:tc>
          <w:tcPr>
            <w:tcW w:w="6520" w:type="dxa"/>
            <w:vAlign w:val="bottom"/>
          </w:tcPr>
          <w:p>
            <w:pPr>
              <w:jc w:val="center"/>
              <w:ind w:right="329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4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520" w:type="dxa"/>
            <w:vAlign w:val="bottom"/>
          </w:tcPr>
          <w:p>
            <w:pPr>
              <w:jc w:val="center"/>
              <w:ind w:right="32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4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9"/>
        </w:trPr>
        <w:tc>
          <w:tcPr>
            <w:tcW w:w="6520" w:type="dxa"/>
            <w:vAlign w:val="bottom"/>
          </w:tcPr>
          <w:p>
            <w:pPr>
              <w:jc w:val="center"/>
              <w:ind w:right="3299"/>
              <w:spacing w:after="0"/>
              <w:rPr>
                <w:sz w:val="20"/>
                <w:szCs w:val="20"/>
                <w:color w:val="auto"/>
              </w:rPr>
            </w:pPr>
            <w:r>
              <w:rPr>
                <w:rFonts w:ascii="Times New Roman" w:cs="Times New Roman" w:eastAsia="Times New Roman" w:hAnsi="Times New Roman"/>
                <w:sz w:val="18"/>
                <w:szCs w:val="18"/>
                <w:b w:val="1"/>
                <w:bCs w:val="1"/>
                <w:color w:val="auto"/>
                <w:w w:val="99"/>
              </w:rPr>
              <w:t>20 South Wacker Drive, Chicago, Illinois</w:t>
            </w:r>
          </w:p>
        </w:tc>
        <w:tc>
          <w:tcPr>
            <w:tcW w:w="15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20"/>
        </w:trPr>
        <w:tc>
          <w:tcPr>
            <w:tcW w:w="6520" w:type="dxa"/>
            <w:vAlign w:val="bottom"/>
          </w:tcPr>
          <w:p>
            <w:pPr>
              <w:jc w:val="center"/>
              <w:ind w:right="3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4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0"/>
        </w:trPr>
        <w:tc>
          <w:tcPr>
            <w:tcW w:w="6520" w:type="dxa"/>
            <w:vAlign w:val="bottom"/>
          </w:tcPr>
          <w:p>
            <w:pPr>
              <w:jc w:val="center"/>
              <w:ind w:left="2359"/>
              <w:spacing w:after="0"/>
              <w:rPr>
                <w:sz w:val="20"/>
                <w:szCs w:val="20"/>
                <w:color w:val="auto"/>
              </w:rPr>
            </w:pPr>
            <w:r>
              <w:rPr>
                <w:rFonts w:ascii="Times New Roman" w:cs="Times New Roman" w:eastAsia="Times New Roman" w:hAnsi="Times New Roman"/>
                <w:sz w:val="18"/>
                <w:szCs w:val="18"/>
                <w:b w:val="1"/>
                <w:bCs w:val="1"/>
                <w:color w:val="auto"/>
                <w:w w:val="99"/>
              </w:rPr>
              <w:t>(312) 930-1000</w:t>
            </w:r>
          </w:p>
        </w:tc>
        <w:tc>
          <w:tcPr>
            <w:tcW w:w="1540" w:type="dxa"/>
            <w:vAlign w:val="bottom"/>
          </w:tcPr>
          <w:p>
            <w:pPr>
              <w:spacing w:after="0"/>
              <w:rPr>
                <w:sz w:val="24"/>
                <w:szCs w:val="24"/>
                <w:color w:val="auto"/>
              </w:rPr>
            </w:pPr>
          </w:p>
        </w:tc>
      </w:tr>
      <w:tr>
        <w:trPr>
          <w:trHeight w:val="274"/>
        </w:trPr>
        <w:tc>
          <w:tcPr>
            <w:tcW w:w="6520" w:type="dxa"/>
            <w:vAlign w:val="bottom"/>
          </w:tcPr>
          <w:p>
            <w:pPr>
              <w:jc w:val="center"/>
              <w:ind w:left="23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40" w:type="dxa"/>
            <w:vAlign w:val="bottom"/>
          </w:tcPr>
          <w:p>
            <w:pPr>
              <w:spacing w:after="0"/>
              <w:rPr>
                <w:sz w:val="23"/>
                <w:szCs w:val="23"/>
                <w:color w:val="auto"/>
              </w:rPr>
            </w:pPr>
          </w:p>
        </w:tc>
      </w:tr>
      <w:tr>
        <w:trPr>
          <w:trHeight w:val="321"/>
        </w:trPr>
        <w:tc>
          <w:tcPr>
            <w:tcW w:w="6520" w:type="dxa"/>
            <w:vAlign w:val="bottom"/>
          </w:tcPr>
          <w:p>
            <w:pPr>
              <w:jc w:val="center"/>
              <w:ind w:left="235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540" w:type="dxa"/>
            <w:vAlign w:val="bottom"/>
          </w:tcPr>
          <w:p>
            <w:pPr>
              <w:spacing w:after="0"/>
              <w:rPr>
                <w:sz w:val="24"/>
                <w:szCs w:val="24"/>
                <w:color w:val="auto"/>
              </w:rPr>
            </w:pPr>
          </w:p>
        </w:tc>
      </w:tr>
    </w:tbl>
    <w:p>
      <w:pPr>
        <w:spacing w:after="0" w:line="1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43" w:lineRule="exact"/>
        <w:rPr>
          <w:sz w:val="24"/>
          <w:szCs w:val="24"/>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2960" w:val="left"/>
          <w:tab w:leader="none" w:pos="36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04" w:lineRule="exact"/>
        <w:rPr>
          <w:sz w:val="24"/>
          <w:szCs w:val="24"/>
          <w:color w:val="auto"/>
        </w:rPr>
      </w:pPr>
    </w:p>
    <w:p>
      <w:pPr>
        <w:jc w:val="center"/>
        <w:ind w:right="1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w:t>
      </w:r>
    </w:p>
    <w:p>
      <w:pPr>
        <w:spacing w:after="0" w:line="207" w:lineRule="exact"/>
        <w:tabs>
          <w:tab w:leader="none" w:pos="7260" w:val="left"/>
          <w:tab w:leader="none" w:pos="7960" w:val="left"/>
        </w:tabs>
        <w:rPr>
          <w:sz w:val="20"/>
          <w:szCs w:val="20"/>
          <w:color w:val="auto"/>
        </w:rPr>
      </w:pPr>
      <w:r>
        <w:rPr>
          <w:rFonts w:ascii="Times New Roman" w:cs="Times New Roman" w:eastAsia="Times New Roman" w:hAnsi="Times New Roman"/>
          <w:sz w:val="18"/>
          <w:szCs w:val="18"/>
          <w:color w:val="auto"/>
        </w:rPr>
        <w:t>period that the registrant was required to submit and post such files).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04"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29" w:right="319" w:bottom="1440" w:gutter="0" w:footer="0" w:header="0"/>
          <w:type w:val="continuous"/>
        </w:sectPr>
      </w:pPr>
    </w:p>
    <w:p>
      <w:pPr>
        <w:spacing w:after="0" w:line="23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Accelerated filer</w:t>
        <w:tab/>
        <w:t>o</w:t>
      </w:r>
    </w:p>
    <w:p>
      <w:pPr>
        <w:spacing w:after="0" w:line="200" w:lineRule="exact"/>
        <w:rPr>
          <w:sz w:val="24"/>
          <w:szCs w:val="24"/>
          <w:color w:val="auto"/>
        </w:rPr>
      </w:pPr>
    </w:p>
    <w:p>
      <w:pPr>
        <w:sectPr>
          <w:pgSz w:w="11900" w:h="16838" w:orient="portrait"/>
          <w:cols w:equalWidth="0" w:num="2">
            <w:col w:w="7120" w:space="720"/>
            <w:col w:w="3500"/>
          </w:cols>
          <w:pgMar w:left="240" w:top="229" w:right="319" w:bottom="1440" w:gutter="0" w:footer="0" w:header="0"/>
          <w:type w:val="continuous"/>
        </w:sectPr>
      </w:pPr>
    </w:p>
    <w:p>
      <w:pPr>
        <w:spacing w:after="0" w:line="8"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 o</w:t>
      </w:r>
    </w:p>
    <w:p>
      <w:pPr>
        <w:spacing w:after="0" w:line="149" w:lineRule="exact"/>
        <w:rPr>
          <w:sz w:val="24"/>
          <w:szCs w:val="24"/>
          <w:color w:val="auto"/>
        </w:rPr>
      </w:pPr>
    </w:p>
    <w:p>
      <w:pPr>
        <w:sectPr>
          <w:pgSz w:w="11900" w:h="16838" w:orient="portrait"/>
          <w:cols w:equalWidth="0" w:num="3">
            <w:col w:w="2500" w:space="160"/>
            <w:col w:w="4460" w:space="720"/>
            <w:col w:w="3500"/>
          </w:cols>
          <w:pgMar w:left="240" w:top="229" w:right="31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88" w:lineRule="exact"/>
        <w:rPr>
          <w:sz w:val="24"/>
          <w:szCs w:val="24"/>
          <w:color w:val="auto"/>
        </w:rPr>
      </w:pPr>
    </w:p>
    <w:p>
      <w:pPr>
        <w:ind w:left="7780"/>
        <w:spacing w:after="0" w:line="207" w:lineRule="exact"/>
        <w:tabs>
          <w:tab w:leader="none" w:pos="84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6"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of October 14, 2015 was as follows: 338,233,253 shares of Class A common stock, $0.01 par value; 625 shares of Class B-1 common stock, $0.01 par value; 813 shares of Class B-2 common stock, $0.01 par value; 1,287 shares of Class B-3 common stock, $0.01 par value; and 413 shares of Class B-4 common stock, $0.01 par value.</w:t>
      </w:r>
    </w:p>
    <w:p>
      <w:pPr>
        <w:spacing w:after="0" w:line="25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40"/>
          </w:cols>
          <w:pgMar w:left="240" w:top="229" w:right="31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512"/>
        </w:trPr>
        <w:tc>
          <w:tcPr>
            <w:tcW w:w="2760" w:type="dxa"/>
            <w:vAlign w:val="bottom"/>
            <w:tcBorders>
              <w:bottom w:val="single" w:sz="8" w:color="0000EE"/>
            </w:tcBorders>
            <w:gridSpan w:val="10"/>
          </w:tcPr>
          <w:p>
            <w:pPr>
              <w:spacing w:after="0"/>
              <w:rPr>
                <w:rFonts w:ascii="Times New Roman" w:cs="Times New Roman" w:eastAsia="Times New Roman" w:hAnsi="Times New Roman"/>
                <w:sz w:val="16"/>
                <w:szCs w:val="16"/>
                <w:b w:val="1"/>
                <w:bCs w:val="1"/>
                <w:color w:val="0000EE"/>
                <w:w w:val="99"/>
              </w:rPr>
            </w:pPr>
            <w:hyperlink w:anchor="page2">
              <w:r>
                <w:rPr>
                  <w:rFonts w:ascii="Times New Roman" w:cs="Times New Roman" w:eastAsia="Times New Roman" w:hAnsi="Times New Roman"/>
                  <w:sz w:val="16"/>
                  <w:szCs w:val="16"/>
                  <w:b w:val="1"/>
                  <w:bCs w:val="1"/>
                  <w:color w:val="0000EE"/>
                  <w:w w:val="99"/>
                </w:rPr>
                <w:t>PART I. FINANCIAL INFORMATION</w:t>
              </w:r>
            </w:hyperlink>
          </w:p>
        </w:tc>
        <w:tc>
          <w:tcPr>
            <w:tcW w:w="7940" w:type="dxa"/>
            <w:vAlign w:val="bottom"/>
            <w:gridSpan w:val="10"/>
          </w:tcPr>
          <w:p>
            <w:pPr>
              <w:spacing w:after="0"/>
              <w:rPr>
                <w:sz w:val="24"/>
                <w:szCs w:val="24"/>
                <w:color w:val="auto"/>
              </w:rPr>
            </w:pPr>
          </w:p>
        </w:tc>
        <w:tc>
          <w:tcPr>
            <w:tcW w:w="680" w:type="dxa"/>
            <w:vAlign w:val="bottom"/>
          </w:tcPr>
          <w:p>
            <w:pPr>
              <w:jc w:val="right"/>
              <w:spacing w:after="0"/>
              <w:rPr>
                <w:rFonts w:ascii="Times New Roman" w:cs="Times New Roman" w:eastAsia="Times New Roman" w:hAnsi="Times New Roman"/>
                <w:sz w:val="18"/>
                <w:szCs w:val="18"/>
                <w:color w:val="auto"/>
              </w:rPr>
            </w:pPr>
            <w:hyperlink w:anchor="page2">
              <w:r>
                <w:rPr>
                  <w:rFonts w:ascii="Times New Roman" w:cs="Times New Roman" w:eastAsia="Times New Roman" w:hAnsi="Times New Roman"/>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9780" w:type="dxa"/>
            <w:vAlign w:val="bottom"/>
            <w:gridSpan w:val="19"/>
          </w:tcPr>
          <w:p>
            <w:pPr>
              <w:spacing w:after="0"/>
              <w:rPr>
                <w:rFonts w:ascii="Times New Roman" w:cs="Times New Roman" w:eastAsia="Times New Roman" w:hAnsi="Times New Roman"/>
                <w:sz w:val="16"/>
                <w:szCs w:val="16"/>
                <w:b w:val="1"/>
                <w:bCs w:val="1"/>
                <w:color w:val="0000EE"/>
              </w:rPr>
            </w:pPr>
            <w:hyperlink w:anchor="page4">
              <w:r>
                <w:rPr>
                  <w:rFonts w:ascii="Times New Roman" w:cs="Times New Roman" w:eastAsia="Times New Roman" w:hAnsi="Times New Roman"/>
                  <w:sz w:val="16"/>
                  <w:szCs w:val="16"/>
                  <w:b w:val="1"/>
                  <w:bCs w:val="1"/>
                  <w:color w:val="0000EE"/>
                </w:rPr>
                <w:t>Financial Statements</w:t>
              </w:r>
            </w:hyperlink>
          </w:p>
        </w:tc>
        <w:tc>
          <w:tcPr>
            <w:tcW w:w="68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vMerge w:val="restart"/>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Consolidated Balance Sheets at September 30, 2015 and December 31, 2014</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vMerge w:val="restart"/>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6</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980" w:type="dxa"/>
            <w:vAlign w:val="bottom"/>
            <w:tcBorders>
              <w:bottom w:val="single" w:sz="8" w:color="0000EE"/>
            </w:tcBorders>
            <w:gridSpan w:val="17"/>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Consolidated Statements of Income for the Quarters and Nine Months Ended September 30, 2015 and 2014</w:t>
              </w:r>
            </w:hyperlink>
          </w:p>
        </w:tc>
        <w:tc>
          <w:tcPr>
            <w:tcW w:w="2800" w:type="dxa"/>
            <w:vAlign w:val="bottom"/>
            <w:gridSpan w:val="2"/>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Consolidated Statements of Comprehensive Income for the Quarters and Nine Months Ended September 30, 2015 and 2014</w:t>
              </w:r>
            </w:hyperlink>
          </w:p>
        </w:tc>
        <w:tc>
          <w:tcPr>
            <w:tcW w:w="68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8020" w:type="dxa"/>
            <w:vAlign w:val="bottom"/>
            <w:tcBorders>
              <w:top w:val="single" w:sz="8" w:color="0000EE"/>
            </w:tcBorders>
            <w:gridSpan w:val="18"/>
          </w:tcPr>
          <w:p>
            <w:pPr>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Consolidated Statements of Equity for the Nine Months Ended September 30, 2015 and 2014</w:t>
              </w:r>
            </w:hyperlink>
          </w:p>
        </w:tc>
        <w:tc>
          <w:tcPr>
            <w:tcW w:w="1760" w:type="dxa"/>
            <w:vAlign w:val="bottom"/>
          </w:tcPr>
          <w:p>
            <w:pPr>
              <w:spacing w:after="0"/>
              <w:rPr>
                <w:sz w:val="24"/>
                <w:szCs w:val="24"/>
                <w:color w:val="auto"/>
              </w:rPr>
            </w:pPr>
          </w:p>
        </w:tc>
        <w:tc>
          <w:tcPr>
            <w:tcW w:w="68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680" w:type="dxa"/>
            <w:vAlign w:val="bottom"/>
            <w:vMerge w:val="restart"/>
          </w:tcPr>
          <w:p>
            <w:pPr>
              <w:jc w:val="right"/>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10</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380" w:type="dxa"/>
            <w:vAlign w:val="bottom"/>
            <w:tcBorders>
              <w:bottom w:val="single" w:sz="8" w:color="0000EE"/>
            </w:tcBorders>
            <w:gridSpan w:val="16"/>
          </w:tcPr>
          <w:p>
            <w:pPr>
              <w:spacing w:after="0"/>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color w:val="0000EE"/>
                </w:rPr>
                <w:t>Consolidated Statements of Cash Flows for the Nine Months Ended September 30, 2015 and 2014</w:t>
              </w:r>
            </w:hyperlink>
          </w:p>
        </w:tc>
        <w:tc>
          <w:tcPr>
            <w:tcW w:w="3400" w:type="dxa"/>
            <w:vAlign w:val="bottom"/>
            <w:gridSpan w:val="3"/>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Times New Roman" w:cs="Times New Roman" w:eastAsia="Times New Roman" w:hAnsi="Times New Roman"/>
                <w:sz w:val="16"/>
                <w:szCs w:val="16"/>
                <w:color w:val="0000EE"/>
              </w:rPr>
            </w:pPr>
            <w:hyperlink w:anchor="page10">
              <w:r>
                <w:rPr>
                  <w:rFonts w:ascii="Times New Roman" w:cs="Times New Roman" w:eastAsia="Times New Roman" w:hAnsi="Times New Roman"/>
                  <w:sz w:val="16"/>
                  <w:szCs w:val="16"/>
                  <w:color w:val="0000EE"/>
                </w:rPr>
                <w:t>Notes to Unaudited Consolidated Financial Statements</w:t>
              </w:r>
            </w:hyperlink>
          </w:p>
        </w:tc>
        <w:tc>
          <w:tcPr>
            <w:tcW w:w="680" w:type="dxa"/>
            <w:vAlign w:val="bottom"/>
          </w:tcPr>
          <w:p>
            <w:pPr>
              <w:jc w:val="right"/>
              <w:spacing w:after="0"/>
              <w:rPr>
                <w:rFonts w:ascii="Times New Roman" w:cs="Times New Roman" w:eastAsia="Times New Roman" w:hAnsi="Times New Roman"/>
                <w:sz w:val="18"/>
                <w:szCs w:val="18"/>
                <w:color w:val="auto"/>
              </w:rPr>
            </w:pPr>
            <w:hyperlink w:anchor="page10">
              <w:r>
                <w:rPr>
                  <w:rFonts w:ascii="Times New Roman" w:cs="Times New Roman" w:eastAsia="Times New Roman" w:hAnsi="Times New Roman"/>
                  <w:sz w:val="18"/>
                  <w:szCs w:val="18"/>
                  <w:color w:val="auto"/>
                </w:rPr>
                <w:t>11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680" w:type="dxa"/>
            <w:vAlign w:val="bottom"/>
            <w:vMerge w:val="restart"/>
          </w:tcPr>
          <w:p>
            <w:pPr>
              <w:jc w:val="right"/>
              <w:spacing w:after="0"/>
              <w:rPr>
                <w:rFonts w:ascii="Times New Roman" w:cs="Times New Roman" w:eastAsia="Times New Roman" w:hAnsi="Times New Roman"/>
                <w:sz w:val="18"/>
                <w:szCs w:val="18"/>
                <w:color w:val="auto"/>
              </w:rPr>
            </w:pPr>
            <w:hyperlink w:anchor="page17">
              <w:r>
                <w:rPr>
                  <w:rFonts w:ascii="Times New Roman" w:cs="Times New Roman" w:eastAsia="Times New Roman" w:hAnsi="Times New Roman"/>
                  <w:sz w:val="18"/>
                  <w:szCs w:val="18"/>
                  <w:color w:val="auto"/>
                </w:rPr>
                <w:t>18</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780" w:type="dxa"/>
            <w:vAlign w:val="bottom"/>
            <w:gridSpan w:val="19"/>
          </w:tcPr>
          <w:p>
            <w:pPr>
              <w:spacing w:after="0"/>
              <w:rPr>
                <w:rFonts w:ascii="Times New Roman" w:cs="Times New Roman" w:eastAsia="Times New Roman" w:hAnsi="Times New Roman"/>
                <w:sz w:val="16"/>
                <w:szCs w:val="16"/>
                <w:b w:val="1"/>
                <w:bCs w:val="1"/>
                <w:color w:val="0000EE"/>
              </w:rPr>
            </w:pPr>
            <w:hyperlink w:anchor="page17">
              <w:r>
                <w:rPr>
                  <w:rFonts w:ascii="Times New Roman" w:cs="Times New Roman" w:eastAsia="Times New Roman" w:hAnsi="Times New Roman"/>
                  <w:sz w:val="16"/>
                  <w:szCs w:val="16"/>
                  <w:b w:val="1"/>
                  <w:bCs w:val="1"/>
                  <w:color w:val="0000EE"/>
                </w:rPr>
                <w:t>Management’s Discussion and Analysis of Financial Condition and Results of Operations</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420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6"/>
                <w:szCs w:val="16"/>
                <w:b w:val="1"/>
                <w:bCs w:val="1"/>
                <w:color w:val="0000EE"/>
              </w:rPr>
            </w:pPr>
            <w:hyperlink w:anchor="page27">
              <w:r>
                <w:rPr>
                  <w:rFonts w:ascii="Times New Roman" w:cs="Times New Roman" w:eastAsia="Times New Roman" w:hAnsi="Times New Roman"/>
                  <w:sz w:val="16"/>
                  <w:szCs w:val="16"/>
                  <w:b w:val="1"/>
                  <w:bCs w:val="1"/>
                  <w:color w:val="0000EE"/>
                </w:rPr>
                <w:t>Quantitative and Qualitative Disclosures About Market Risk</w:t>
              </w:r>
            </w:hyperlink>
          </w:p>
        </w:tc>
        <w:tc>
          <w:tcPr>
            <w:tcW w:w="1940" w:type="dxa"/>
            <w:vAlign w:val="bottom"/>
            <w:tcBorders>
              <w:top w:val="single" w:sz="8" w:color="0000EE"/>
            </w:tcBorders>
            <w:gridSpan w:val="3"/>
          </w:tcPr>
          <w:p>
            <w:pPr>
              <w:spacing w:after="0"/>
              <w:rPr>
                <w:sz w:val="24"/>
                <w:szCs w:val="24"/>
                <w:color w:val="auto"/>
              </w:rPr>
            </w:pPr>
          </w:p>
        </w:tc>
        <w:tc>
          <w:tcPr>
            <w:tcW w:w="3640" w:type="dxa"/>
            <w:vAlign w:val="bottom"/>
            <w:gridSpan w:val="4"/>
          </w:tcPr>
          <w:p>
            <w:pPr>
              <w:spacing w:after="0"/>
              <w:rPr>
                <w:sz w:val="24"/>
                <w:szCs w:val="24"/>
                <w:color w:val="auto"/>
              </w:rPr>
            </w:pPr>
          </w:p>
        </w:tc>
        <w:tc>
          <w:tcPr>
            <w:tcW w:w="68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1720" w:type="dxa"/>
            <w:vAlign w:val="bottom"/>
            <w:tcBorders>
              <w:bottom w:val="single" w:sz="8" w:color="0000EE"/>
            </w:tcBorders>
            <w:gridSpan w:val="8"/>
          </w:tcPr>
          <w:p>
            <w:pPr>
              <w:spacing w:after="0"/>
              <w:rPr>
                <w:rFonts w:ascii="Times New Roman" w:cs="Times New Roman" w:eastAsia="Times New Roman" w:hAnsi="Times New Roman"/>
                <w:sz w:val="16"/>
                <w:szCs w:val="16"/>
                <w:b w:val="1"/>
                <w:bCs w:val="1"/>
                <w:color w:val="0000EE"/>
                <w:w w:val="99"/>
              </w:rPr>
            </w:pPr>
            <w:hyperlink w:anchor="page27">
              <w:r>
                <w:rPr>
                  <w:rFonts w:ascii="Times New Roman" w:cs="Times New Roman" w:eastAsia="Times New Roman" w:hAnsi="Times New Roman"/>
                  <w:sz w:val="16"/>
                  <w:szCs w:val="16"/>
                  <w:b w:val="1"/>
                  <w:bCs w:val="1"/>
                  <w:color w:val="0000EE"/>
                  <w:w w:val="99"/>
                </w:rPr>
                <w:t>Controls and Procedures</w:t>
              </w:r>
            </w:hyperlink>
          </w:p>
        </w:tc>
        <w:tc>
          <w:tcPr>
            <w:tcW w:w="8060" w:type="dxa"/>
            <w:vAlign w:val="bottom"/>
            <w:gridSpan w:val="11"/>
          </w:tcPr>
          <w:p>
            <w:pPr>
              <w:spacing w:after="0"/>
              <w:rPr>
                <w:sz w:val="24"/>
                <w:szCs w:val="24"/>
                <w:color w:val="auto"/>
              </w:rPr>
            </w:pPr>
          </w:p>
        </w:tc>
        <w:tc>
          <w:tcPr>
            <w:tcW w:w="68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27</w:t>
              </w:r>
            </w:hyperlink>
          </w:p>
        </w:tc>
        <w:tc>
          <w:tcPr>
            <w:tcW w:w="0" w:type="dxa"/>
            <w:vAlign w:val="bottom"/>
          </w:tcPr>
          <w:p>
            <w:pPr>
              <w:spacing w:after="0"/>
              <w:rPr>
                <w:sz w:val="1"/>
                <w:szCs w:val="1"/>
                <w:color w:val="auto"/>
              </w:rPr>
            </w:pPr>
          </w:p>
        </w:tc>
      </w:tr>
      <w:tr>
        <w:trPr>
          <w:trHeight w:val="358"/>
        </w:trPr>
        <w:tc>
          <w:tcPr>
            <w:tcW w:w="10700" w:type="dxa"/>
            <w:vAlign w:val="bottom"/>
            <w:gridSpan w:val="20"/>
          </w:tcPr>
          <w:p>
            <w:pPr>
              <w:spacing w:after="0"/>
              <w:rPr>
                <w:rFonts w:ascii="Times New Roman" w:cs="Times New Roman" w:eastAsia="Times New Roman" w:hAnsi="Times New Roman"/>
                <w:sz w:val="16"/>
                <w:szCs w:val="16"/>
                <w:b w:val="1"/>
                <w:bCs w:val="1"/>
                <w:color w:val="0000EE"/>
              </w:rPr>
            </w:pPr>
            <w:hyperlink w:anchor="page27">
              <w:r>
                <w:rPr>
                  <w:rFonts w:ascii="Times New Roman" w:cs="Times New Roman" w:eastAsia="Times New Roman" w:hAnsi="Times New Roman"/>
                  <w:sz w:val="16"/>
                  <w:szCs w:val="16"/>
                  <w:b w:val="1"/>
                  <w:bCs w:val="1"/>
                  <w:color w:val="0000EE"/>
                </w:rPr>
                <w:t>PART II. OTHER INFORMATION</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85"/>
        </w:trPr>
        <w:tc>
          <w:tcPr>
            <w:tcW w:w="9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2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6"/>
                <w:szCs w:val="16"/>
                <w:b w:val="1"/>
                <w:bCs w:val="1"/>
                <w:color w:val="0000EE"/>
                <w:w w:val="99"/>
              </w:rPr>
            </w:pPr>
            <w:hyperlink w:anchor="page27">
              <w:r>
                <w:rPr>
                  <w:rFonts w:ascii="Times New Roman" w:cs="Times New Roman" w:eastAsia="Times New Roman" w:hAnsi="Times New Roman"/>
                  <w:sz w:val="16"/>
                  <w:szCs w:val="16"/>
                  <w:b w:val="1"/>
                  <w:bCs w:val="1"/>
                  <w:color w:val="0000EE"/>
                  <w:w w:val="99"/>
                </w:rPr>
                <w:t>Legal Proceedings</w:t>
              </w:r>
            </w:hyperlink>
          </w:p>
        </w:tc>
        <w:tc>
          <w:tcPr>
            <w:tcW w:w="300" w:type="dxa"/>
            <w:vAlign w:val="bottom"/>
            <w:tcBorders>
              <w:top w:val="single" w:sz="8" w:color="0000EE"/>
            </w:tcBorders>
            <w:gridSpan w:val="2"/>
          </w:tcPr>
          <w:p>
            <w:pPr>
              <w:spacing w:after="0"/>
              <w:rPr>
                <w:sz w:val="24"/>
                <w:szCs w:val="24"/>
                <w:color w:val="auto"/>
              </w:rPr>
            </w:pPr>
          </w:p>
        </w:tc>
        <w:tc>
          <w:tcPr>
            <w:tcW w:w="8220" w:type="dxa"/>
            <w:vAlign w:val="bottom"/>
            <w:gridSpan w:val="13"/>
          </w:tcPr>
          <w:p>
            <w:pPr>
              <w:spacing w:after="0"/>
              <w:rPr>
                <w:sz w:val="24"/>
                <w:szCs w:val="24"/>
                <w:color w:val="auto"/>
              </w:rPr>
            </w:pPr>
          </w:p>
        </w:tc>
        <w:tc>
          <w:tcPr>
            <w:tcW w:w="68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1A.</w:t>
            </w:r>
          </w:p>
        </w:tc>
        <w:tc>
          <w:tcPr>
            <w:tcW w:w="880" w:type="dxa"/>
            <w:vAlign w:val="bottom"/>
            <w:tcBorders>
              <w:bottom w:val="single" w:sz="8" w:color="0000EE"/>
            </w:tcBorders>
            <w:gridSpan w:val="3"/>
          </w:tcPr>
          <w:p>
            <w:pPr>
              <w:spacing w:after="0"/>
              <w:rPr>
                <w:rFonts w:ascii="Times New Roman" w:cs="Times New Roman" w:eastAsia="Times New Roman" w:hAnsi="Times New Roman"/>
                <w:sz w:val="16"/>
                <w:szCs w:val="16"/>
                <w:b w:val="1"/>
                <w:bCs w:val="1"/>
                <w:color w:val="0000EE"/>
                <w:w w:val="99"/>
              </w:rPr>
            </w:pPr>
            <w:hyperlink w:anchor="page28">
              <w:r>
                <w:rPr>
                  <w:rFonts w:ascii="Times New Roman" w:cs="Times New Roman" w:eastAsia="Times New Roman" w:hAnsi="Times New Roman"/>
                  <w:sz w:val="16"/>
                  <w:szCs w:val="16"/>
                  <w:b w:val="1"/>
                  <w:bCs w:val="1"/>
                  <w:color w:val="0000EE"/>
                  <w:w w:val="99"/>
                </w:rPr>
                <w:t>Risk Factors</w:t>
              </w:r>
            </w:hyperlink>
          </w:p>
        </w:tc>
        <w:tc>
          <w:tcPr>
            <w:tcW w:w="8900" w:type="dxa"/>
            <w:vAlign w:val="bottom"/>
            <w:gridSpan w:val="16"/>
          </w:tcPr>
          <w:p>
            <w:pPr>
              <w:spacing w:after="0"/>
              <w:rPr>
                <w:sz w:val="24"/>
                <w:szCs w:val="24"/>
                <w:color w:val="auto"/>
              </w:rPr>
            </w:pPr>
          </w:p>
        </w:tc>
        <w:tc>
          <w:tcPr>
            <w:tcW w:w="68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9780" w:type="dxa"/>
            <w:vAlign w:val="bottom"/>
            <w:gridSpan w:val="19"/>
          </w:tcPr>
          <w:p>
            <w:pPr>
              <w:spacing w:after="0"/>
              <w:rPr>
                <w:rFonts w:ascii="Times New Roman" w:cs="Times New Roman" w:eastAsia="Times New Roman" w:hAnsi="Times New Roman"/>
                <w:sz w:val="16"/>
                <w:szCs w:val="16"/>
                <w:b w:val="1"/>
                <w:bCs w:val="1"/>
                <w:color w:val="0000EE"/>
              </w:rPr>
            </w:pPr>
            <w:hyperlink w:anchor="page28">
              <w:r>
                <w:rPr>
                  <w:rFonts w:ascii="Times New Roman" w:cs="Times New Roman" w:eastAsia="Times New Roman" w:hAnsi="Times New Roman"/>
                  <w:sz w:val="16"/>
                  <w:szCs w:val="16"/>
                  <w:b w:val="1"/>
                  <w:bCs w:val="1"/>
                  <w:color w:val="0000EE"/>
                </w:rPr>
                <w:t>Unregistered Sales of Equity Securities and Use of Proceeds</w:t>
              </w:r>
            </w:hyperlink>
          </w:p>
        </w:tc>
        <w:tc>
          <w:tcPr>
            <w:tcW w:w="68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4100" w:type="dxa"/>
            <w:vAlign w:val="bottom"/>
            <w:tcBorders>
              <w:top w:val="single" w:sz="8" w:color="0000EE"/>
            </w:tcBorders>
            <w:gridSpan w:val="11"/>
          </w:tcPr>
          <w:p>
            <w:pPr>
              <w:spacing w:after="0"/>
              <w:rPr>
                <w:rFonts w:ascii="Times New Roman" w:cs="Times New Roman" w:eastAsia="Times New Roman" w:hAnsi="Times New Roman"/>
                <w:sz w:val="16"/>
                <w:szCs w:val="16"/>
                <w:b w:val="1"/>
                <w:bCs w:val="1"/>
                <w:color w:val="0000EE"/>
              </w:rPr>
            </w:pPr>
            <w:hyperlink w:anchor="page28">
              <w:r>
                <w:rPr>
                  <w:rFonts w:ascii="Times New Roman" w:cs="Times New Roman" w:eastAsia="Times New Roman" w:hAnsi="Times New Roman"/>
                  <w:sz w:val="16"/>
                  <w:szCs w:val="16"/>
                  <w:b w:val="1"/>
                  <w:bCs w:val="1"/>
                  <w:color w:val="0000EE"/>
                </w:rPr>
                <w:t>Mine Safety Disclosures</w:t>
              </w:r>
            </w:hyperlink>
          </w:p>
        </w:tc>
        <w:tc>
          <w:tcPr>
            <w:tcW w:w="5680" w:type="dxa"/>
            <w:vAlign w:val="bottom"/>
            <w:gridSpan w:val="8"/>
          </w:tcPr>
          <w:p>
            <w:pPr>
              <w:spacing w:after="0"/>
              <w:rPr>
                <w:sz w:val="24"/>
                <w:szCs w:val="24"/>
                <w:color w:val="auto"/>
              </w:rPr>
            </w:pPr>
          </w:p>
        </w:tc>
        <w:tc>
          <w:tcPr>
            <w:tcW w:w="68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1640" w:type="dxa"/>
            <w:vAlign w:val="bottom"/>
            <w:tcBorders>
              <w:top w:val="single" w:sz="8" w:color="0000EE"/>
            </w:tcBorders>
            <w:gridSpan w:val="7"/>
          </w:tcPr>
          <w:p>
            <w:pPr>
              <w:spacing w:after="0"/>
              <w:rPr>
                <w:rFonts w:ascii="Times New Roman" w:cs="Times New Roman" w:eastAsia="Times New Roman" w:hAnsi="Times New Roman"/>
                <w:sz w:val="16"/>
                <w:szCs w:val="16"/>
                <w:b w:val="1"/>
                <w:bCs w:val="1"/>
                <w:color w:val="0000EE"/>
              </w:rPr>
            </w:pPr>
            <w:hyperlink w:anchor="page28">
              <w:r>
                <w:rPr>
                  <w:rFonts w:ascii="Times New Roman" w:cs="Times New Roman" w:eastAsia="Times New Roman" w:hAnsi="Times New Roman"/>
                  <w:sz w:val="16"/>
                  <w:szCs w:val="16"/>
                  <w:b w:val="1"/>
                  <w:bCs w:val="1"/>
                  <w:color w:val="0000EE"/>
                </w:rPr>
                <w:t>Exhibits</w:t>
              </w:r>
            </w:hyperlink>
          </w:p>
        </w:tc>
        <w:tc>
          <w:tcPr>
            <w:tcW w:w="8140" w:type="dxa"/>
            <w:vAlign w:val="bottom"/>
            <w:gridSpan w:val="12"/>
          </w:tcPr>
          <w:p>
            <w:pPr>
              <w:spacing w:after="0"/>
              <w:rPr>
                <w:sz w:val="24"/>
                <w:szCs w:val="24"/>
                <w:color w:val="auto"/>
              </w:rPr>
            </w:pPr>
          </w:p>
        </w:tc>
        <w:tc>
          <w:tcPr>
            <w:tcW w:w="68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20" w:type="dxa"/>
            <w:vAlign w:val="bottom"/>
            <w:gridSpan w:val="17"/>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EE"/>
            </w:tcBorders>
            <w:gridSpan w:val="2"/>
          </w:tcPr>
          <w:p>
            <w:pPr>
              <w:spacing w:after="0"/>
              <w:rPr>
                <w:rFonts w:ascii="Times New Roman" w:cs="Times New Roman" w:eastAsia="Times New Roman" w:hAnsi="Times New Roman"/>
                <w:sz w:val="16"/>
                <w:szCs w:val="16"/>
                <w:b w:val="1"/>
                <w:bCs w:val="1"/>
                <w:color w:val="0000EE"/>
                <w:w w:val="98"/>
              </w:rPr>
            </w:pPr>
            <w:hyperlink w:anchor="page29">
              <w:r>
                <w:rPr>
                  <w:rFonts w:ascii="Times New Roman" w:cs="Times New Roman" w:eastAsia="Times New Roman" w:hAnsi="Times New Roman"/>
                  <w:sz w:val="16"/>
                  <w:szCs w:val="16"/>
                  <w:b w:val="1"/>
                  <w:bCs w:val="1"/>
                  <w:color w:val="0000EE"/>
                  <w:w w:val="98"/>
                </w:rPr>
                <w:t>SIGNATURES</w:t>
              </w:r>
            </w:hyperlink>
          </w:p>
        </w:tc>
        <w:tc>
          <w:tcPr>
            <w:tcW w:w="9660" w:type="dxa"/>
            <w:vAlign w:val="bottom"/>
            <w:gridSpan w:val="18"/>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4960" w:type="dxa"/>
            <w:vAlign w:val="bottom"/>
            <w:gridSpan w:val="13"/>
          </w:tcPr>
          <w:p>
            <w:pPr>
              <w:ind w:left="470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otherwise indicated, references to CME Group Inc. (CME Group or the company) products include references to products listed on one of its regulated exchanges or clearing houses: Chicago Mercantile Exchange Inc. (CME), Board of Trade of the City of Chicago, Inc. (CBOT), New York Mercantile Exchange, Inc. (NYMEX), Commodity Exchange, Inc. (COMEX), CME Clearing Europe Limited (CMECE) and CME Europe Limited (CME Europe). The products listed are subject to the rules and regulations of the particular entity and the applicable rulebook should be consulted. Unless otherwise indicated, references to NYMEX include its subsidiary, COMEX. The clearing houses include CME Clearing, which is our U.S. clearing house and a division of CME, and CMECE. In addition, CME serves as a swap execution facility, which is a regulated platform for swap trading, and serves as a swap data repository, which provides public data on swap transactions and stores confidential swap data for regulatory purposes.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Contract Volume and Average Rate per Contract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regarding contract volume and average rate per contract exclude our credit default swaps and interest rate swaps contracts.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Information</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KCBT and Kansas City Board of Trade are trademarks of The Board of Trade of Kansas City, Missouri,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50" w:lineRule="exact"/>
        <w:rPr>
          <w:sz w:val="20"/>
          <w:szCs w:val="20"/>
          <w:color w:val="auto"/>
        </w:rPr>
      </w:pPr>
    </w:p>
    <w:p>
      <w:pPr>
        <w:ind w:left="660" w:right="2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by foreign and domestic entities, including increased competition from new entrants into our markets and consolidation of existing entities;</w:t>
      </w:r>
    </w:p>
    <w:p>
      <w:pPr>
        <w:spacing w:after="0" w:line="53"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68"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fixed costs and expenses if our revenues decline;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customers, develop strategic relationships and attract new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offer our products outside the United States;</w:t>
      </w:r>
    </w:p>
    <w:p>
      <w:pPr>
        <w:spacing w:after="0" w:line="117"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non-U.S. regulations, including the impact of any changes in domestic and non-U.S. laws or government policy with respect to our industry, such as any changes to regulations and policies that require increased financial and operational resources from us or our customers;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right="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protecting our intellectual property rights and our ability to operate our business without violating the intellectual property rights of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revenue from our market data as a result of decreased demand;</w:t>
      </w:r>
    </w:p>
    <w:p>
      <w:pPr>
        <w:spacing w:after="0" w:line="117" w:lineRule="exact"/>
        <w:rPr>
          <w:rFonts w:ascii="Times New Roman" w:cs="Times New Roman" w:eastAsia="Times New Roman" w:hAnsi="Times New Roman"/>
          <w:sz w:val="18"/>
          <w:szCs w:val="18"/>
          <w:color w:val="auto"/>
        </w:rPr>
      </w:pPr>
    </w:p>
    <w:p>
      <w:pPr>
        <w:ind w:left="660" w:right="240" w:hanging="328"/>
        <w:spacing w:after="0" w:line="313"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3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financial safeguards package to adequately protect us from the credit risks of clearing members;</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price levels and volatility in the derivatives markets and in underlying equity, foreign exchange, interest rate and commodities markets;</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and maintain our growth effectively;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and control the costs associated with our strategy for acquisitions, investments and alliances;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funds and/or manage our indebtedness to allow us to continue to invest in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customer consolidation;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trading and clearing activity;</w:t>
      </w:r>
    </w:p>
    <w:p>
      <w:pPr>
        <w:spacing w:after="0" w:line="11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transaction tax or user fee on futures and options on futures transactions and/or repeal of the 60/40 tax treatment of such transactions;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material legal proceedings;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of the futures business.</w:t>
      </w:r>
    </w:p>
    <w:p>
      <w:pPr>
        <w:spacing w:after="0" w:line="27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a detailed discussion of these and other factors that might affect our performance, see Item 1A. of our Annual Report on Form 10-K, filed with the Securities and Exchange Commission on February 26, 2015 and Item 1A. of this Quarterly Report on Form 10-Q.</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40"/>
          </w:cols>
          <w:pgMar w:left="240" w:top="121" w:right="3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7"/>
        </w:trPr>
        <w:tc>
          <w:tcPr>
            <w:tcW w:w="1240" w:type="dxa"/>
            <w:vAlign w:val="bottom"/>
          </w:tcPr>
          <w:p>
            <w:pPr>
              <w:spacing w:after="0"/>
              <w:rPr>
                <w:sz w:val="24"/>
                <w:szCs w:val="24"/>
                <w:color w:val="auto"/>
              </w:rPr>
            </w:pPr>
          </w:p>
        </w:tc>
        <w:tc>
          <w:tcPr>
            <w:tcW w:w="688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CME GROUP INC. AND SUBSIDIARIES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688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(dollars in millions, except par value data; shares in thousands)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688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8"/>
              </w:rPr>
              <w:t>(unaudited)</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00"/>
        </w:trPr>
        <w:tc>
          <w:tcPr>
            <w:tcW w:w="1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49"/>
        </w:trPr>
        <w:tc>
          <w:tcPr>
            <w:tcW w:w="1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1,366.1</w:t>
            </w: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74.7</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 of $1.0 and $1.2</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341.2</w:t>
            </w: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current assets (includes $32.0 and $37.0 in restricted cash)</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196.5</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49,321.2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40,566.8</w:t>
            </w:r>
          </w:p>
        </w:tc>
      </w:tr>
      <w:tr>
        <w:trPr>
          <w:trHeight w:val="23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51,458.8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42,545.3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net of accumulated depreciation and amortization of $777.2 and $741.0</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508.9</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Intangible assets—trading products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17,175.3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assets—other,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2,637.4</w:t>
            </w:r>
          </w:p>
        </w:tc>
      </w:tr>
      <w:tr>
        <w:trPr>
          <w:trHeight w:val="243"/>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7,569.0</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(includes $71.6 and $72.4 in restricted cash)</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1,805.6</w:t>
            </w:r>
          </w:p>
        </w:tc>
      </w:tr>
      <w:tr>
        <w:trPr>
          <w:trHeight w:val="237"/>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8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80,949.6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72,241.5</w:t>
            </w:r>
          </w:p>
        </w:tc>
      </w:tr>
      <w:tr>
        <w:trPr>
          <w:trHeight w:val="67"/>
        </w:trPr>
        <w:tc>
          <w:tcPr>
            <w:tcW w:w="8120" w:type="dxa"/>
            <w:vAlign w:val="bottom"/>
            <w:tcBorders>
              <w:bottom w:val="single" w:sz="8" w:color="CCEEFF"/>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1240" w:type="dxa"/>
            <w:vAlign w:val="bottom"/>
            <w:shd w:val="clear" w:color="auto" w:fill="CCEEFF"/>
          </w:tcPr>
          <w:p>
            <w:pPr>
              <w:spacing w:after="0"/>
              <w:rPr>
                <w:sz w:val="24"/>
                <w:szCs w:val="24"/>
                <w:color w:val="auto"/>
              </w:rPr>
            </w:pPr>
          </w:p>
        </w:tc>
        <w:tc>
          <w:tcPr>
            <w:tcW w:w="6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927.5</w:t>
            </w: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49,321.2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40,566.8</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49,598.8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41,531.2</w:t>
            </w:r>
          </w:p>
        </w:tc>
      </w:tr>
      <w:tr>
        <w:trPr>
          <w:trHeight w:val="243"/>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2,107.9</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7,302.7</w:t>
            </w:r>
          </w:p>
        </w:tc>
      </w:tr>
      <w:tr>
        <w:trPr>
          <w:trHeight w:val="243"/>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376.2</w:t>
            </w:r>
          </w:p>
        </w:tc>
      </w:tr>
      <w:tr>
        <w:trPr>
          <w:trHeight w:val="27"/>
        </w:trPr>
        <w:tc>
          <w:tcPr>
            <w:tcW w:w="12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6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59,572.8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51,318.0</w:t>
            </w:r>
          </w:p>
        </w:tc>
      </w:tr>
      <w:tr>
        <w:trPr>
          <w:trHeight w:val="223"/>
        </w:trPr>
        <w:tc>
          <w:tcPr>
            <w:tcW w:w="12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5"/>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Preferred stock, $0.01 par value, 10,000 shares authorized at September 30, 2015 and December 31,</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2014; none issued</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8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Class A common stock, $0.01 par value, 1,000,000 shares authorized at September 30, 2015 and</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December 31, 2014; 336,736 and 335,452 shares issued and outstanding as of September 30, 2015 and</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1"/>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December 31, 2014,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r>
      <w:tr>
        <w:trPr>
          <w:trHeight w:val="225"/>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Class B common stock, $0.01 par value, 3 shares authorized, issued and outstanding as of September 30,</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2015 and December 31, 2014</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17,596.6</w:t>
            </w: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3,771.8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3,317.3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r>
      <w:tr>
        <w:trPr>
          <w:trHeight w:val="23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21,376.8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20,923.5</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80,949.6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72,241.5</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75"/>
        </w:trPr>
        <w:tc>
          <w:tcPr>
            <w:tcW w:w="65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23"/>
                <w:szCs w:val="23"/>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2014</w:t>
            </w:r>
          </w:p>
        </w:tc>
      </w:tr>
      <w:tr>
        <w:trPr>
          <w:trHeight w:val="249"/>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715.0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2,105.0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1,903.3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266.7</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Access and communication fees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61.6</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39.8</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2,513.0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2,271.4</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407.3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99.3</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101.1</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Occupancy and building operations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80.2</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73.2</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994.2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974.5</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1,518.8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1,296.9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Gains (losses) on derivative investments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net earnings (losses) of unconsolidated subsidiaries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Non-Operating</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1,488.3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1,297.6</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477.2</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820.4</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CME Group</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820.6</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Common Share Attributable to CME Group:</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336,323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9"/>
              </w:rPr>
              <w:t>334,424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336,015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334,144</w:t>
            </w: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338,139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9"/>
              </w:rPr>
              <w:t>336,172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337,804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335,820</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75"/>
        </w:trPr>
        <w:tc>
          <w:tcPr>
            <w:tcW w:w="60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23"/>
                <w:szCs w:val="23"/>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820.4</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5"/>
        </w:trPr>
        <w:tc>
          <w:tcPr>
            <w:tcW w:w="6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Reclassification of net (gains) losses on sales included in investment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41"/>
        </w:trPr>
        <w:tc>
          <w:tcPr>
            <w:tcW w:w="6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6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Defined benefit plans: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net actuarial (gains) losses included in compensation and</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benefits expense</w:t>
            </w: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6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5"/>
        </w:trPr>
        <w:tc>
          <w:tcPr>
            <w:tcW w:w="6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Ineffectiveness on cash flow hedges included in (gains) losses 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41"/>
        </w:trPr>
        <w:tc>
          <w:tcPr>
            <w:tcW w:w="6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investments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effective portion of net (gains) losses on cash flow hedges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included in interest expense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r>
      <w:tr>
        <w:trPr>
          <w:trHeight w:val="237"/>
        </w:trPr>
        <w:tc>
          <w:tcPr>
            <w:tcW w:w="6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6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260.2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854.5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798.9</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7"/>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CME Group</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260.2</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854.5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799.1</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9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335,452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17,600.0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20,923.5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CME Group</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955.3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955.3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attributable to CME Group</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on common stock of $1.50 per share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effect related to prior year purchase of non-</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controlling interest</w:t>
            </w: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benefits from option exercises and restricted</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vesting</w:t>
            </w: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Vesting of issued restricted Class A common stock</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issued to Board of Directors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September 30, 2015</w:t>
            </w:r>
          </w:p>
        </w:tc>
        <w:tc>
          <w:tcPr>
            <w:tcW w:w="9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336,736</w:t>
            </w:r>
          </w:p>
        </w:tc>
        <w:tc>
          <w:tcPr>
            <w:tcW w:w="140" w:type="dxa"/>
            <w:vAlign w:val="bottom"/>
          </w:tcPr>
          <w:p>
            <w:pPr>
              <w:spacing w:after="0"/>
              <w:rPr>
                <w:sz w:val="20"/>
                <w:szCs w:val="20"/>
                <w:color w:val="auto"/>
              </w:rPr>
            </w:pPr>
          </w:p>
        </w:tc>
        <w:tc>
          <w:tcPr>
            <w:tcW w:w="7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17,699.6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3,771.8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21,376.8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EQUITY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2"/>
                <w:szCs w:val="12"/>
                <w:color w:val="auto"/>
              </w:rPr>
            </w:pPr>
          </w:p>
        </w:tc>
        <w:tc>
          <w:tcPr>
            <w:tcW w:w="110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333,852</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17,508.2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3,494.6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21,154.8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21,160.5</w:t>
            </w:r>
          </w:p>
        </w:tc>
        <w:tc>
          <w:tcPr>
            <w:tcW w:w="0" w:type="dxa"/>
            <w:vAlign w:val="bottom"/>
          </w:tcPr>
          <w:p>
            <w:pPr>
              <w:spacing w:after="0"/>
              <w:rPr>
                <w:sz w:val="1"/>
                <w:szCs w:val="1"/>
                <w:color w:val="auto"/>
              </w:rPr>
            </w:pPr>
          </w:p>
        </w:tc>
      </w:tr>
      <w:tr>
        <w:trPr>
          <w:trHeight w:val="225"/>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CME Group and non-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820.6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820.4</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attributable to</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5"/>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on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of $1.41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effect and gain related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 purchase of non-</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controlling interests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benefits from</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 exercises and</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5"/>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Vesting of issued restricted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 A common stock</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issued to Board of</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under</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01"/>
        </w:trPr>
        <w:tc>
          <w:tcPr>
            <w:tcW w:w="208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Balance at September 30,</w:t>
            </w:r>
          </w:p>
        </w:tc>
        <w:tc>
          <w:tcPr>
            <w:tcW w:w="92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334,985</w:t>
            </w:r>
          </w:p>
        </w:tc>
        <w:tc>
          <w:tcPr>
            <w:tcW w:w="120" w:type="dxa"/>
            <w:vAlign w:val="bottom"/>
          </w:tcPr>
          <w:p>
            <w:pPr>
              <w:spacing w:after="0"/>
              <w:rPr>
                <w:sz w:val="17"/>
                <w:szCs w:val="17"/>
                <w:color w:val="auto"/>
              </w:rPr>
            </w:pPr>
          </w:p>
        </w:tc>
        <w:tc>
          <w:tcPr>
            <w:tcW w:w="820" w:type="dxa"/>
            <w:vAlign w:val="bottom"/>
            <w:tcBorders>
              <w:top w:val="single" w:sz="8" w:color="auto"/>
            </w:tcBorders>
            <w:vMerge w:val="restart"/>
          </w:tcPr>
          <w:p>
            <w:pPr>
              <w:jc w:val="right"/>
              <w:ind w:right="4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17,564.6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3,842.0</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21,537.1</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21,537.1</w:t>
            </w:r>
          </w:p>
        </w:tc>
        <w:tc>
          <w:tcPr>
            <w:tcW w:w="0" w:type="dxa"/>
            <w:vAlign w:val="bottom"/>
          </w:tcPr>
          <w:p>
            <w:pPr>
              <w:spacing w:after="0"/>
              <w:rPr>
                <w:sz w:val="1"/>
                <w:szCs w:val="1"/>
                <w:color w:val="auto"/>
              </w:rPr>
            </w:pPr>
          </w:p>
        </w:tc>
      </w:tr>
      <w:tr>
        <w:trPr>
          <w:trHeight w:val="250"/>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92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146"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955.3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820.4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BM&amp;FBOVESPA shares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prepayment costs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Undistributed earnings, net of losses, of unconsolidated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1,141.2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788.9</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maturities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available-for-sale marketable securities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property,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 of building property</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in business ventures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 of BM&amp;FBOVESPA shares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 of derivative related to debt issuance</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debt, net of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debt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tax benefits related to employee option exercises and restricted stock vesting</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 of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(2,063.1)</w:t>
            </w:r>
          </w:p>
        </w:tc>
      </w:tr>
      <w:tr>
        <w:trPr>
          <w:trHeight w:val="210"/>
        </w:trPr>
        <w:tc>
          <w:tcPr>
            <w:tcW w:w="85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2,469.7</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1,434.3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1,087.9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 paid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111.4</w:t>
            </w:r>
          </w:p>
        </w:tc>
      </w:tr>
      <w:tr>
        <w:trPr>
          <w:trHeight w:val="270"/>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71"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71"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CME Clearing Europe Limited (CMECE) and CME Europe Limited (CME Europe). CME, CBOT, NYMEX, COMEX, CMECE and CME Europe and their subsidiaries are referred to collectively as “the exchange” in the notes to the consolidated financial statements. The clearing houses include CME Clearing, which is the U.S. clearing house and a division of CME, and CMECE.</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September 30, 2015 and December 31, 2014 and the results of operations and cash flows for the periods indicated. Quarterly results are not necessarily indicative of results for any subsequent period.</w:t>
      </w:r>
    </w:p>
    <w:p>
      <w:pPr>
        <w:spacing w:after="0" w:line="18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should be read in conjunction with the consolidated financial statements and notes thereto in CME Group’s Annual Report on Form 10-K for the year ended December 31, 2014, filed with the Securities and Exchange Commission (SEC) on February 26, 2015.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Performance Bonds and Guaranty Fund Contributions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Bonds and Guaranty Fund Contributions. </w:t>
      </w:r>
      <w:r>
        <w:rPr>
          <w:rFonts w:ascii="Times New Roman" w:cs="Times New Roman" w:eastAsia="Times New Roman" w:hAnsi="Times New Roman"/>
          <w:sz w:val="18"/>
          <w:szCs w:val="18"/>
          <w:color w:val="auto"/>
        </w:rPr>
        <w:t>At September 30, 2015, performance bonds and guaranty fund contribution assets on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include cash and U.S. Treasury securities with maturity dates of 90 days or less. U.S. Treasury securities are purchased by CME, at its discretion, using cash collateral. The benefits, including interest earned, and risks of ownership accrue to CME. Interest earned is included in investment income on the consolidated statements of income. At September 30, 2015, the amortized cost and fair value of the U.S. Treasury securities were both $15.1 billion. The U.S. Treasury securities will mature in the fourth quarter of 2015. Performance bonds and guaranty fund contribution assets also include overnight reverse repurchase agreements that were purchased by CME, at its discretion, using cash collateral. The fair value of the overnight securities under the reverse repurchase agreements was $1.8 billion at September 30, 2015.</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Clearing House Contract Settlement. </w:t>
      </w:r>
      <w:r>
        <w:rPr>
          <w:rFonts w:ascii="Times New Roman" w:cs="Times New Roman" w:eastAsia="Times New Roman" w:hAnsi="Times New Roman"/>
          <w:sz w:val="18"/>
          <w:szCs w:val="18"/>
          <w:color w:val="auto"/>
        </w:rPr>
        <w:t>CME Clearing and CMECE mark-to-market open positions for all futures and options contracts twice a day (once a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CME's cleared-only credit default swap and interest rate swap contracts). Based on values derived from the mark-to-market process, CME Clearing and CMECE require payments from clearing firms whose positions have lost value and make payments to clearing firms whose positions have gained value. Under the extremely unlikely scenario of simultaneous default by every clearing firm who has open positions with unrealized losses, the maximum exposure related to positions other than cleared-only credit default and interest rate swap contracts would be one half day of changes in fair value of all open positions, before considering the clearing houses' ability to access defaulting clearing firms' collateral deposits. For CME's cleared-only credit default swap and interest rate swap contracts, the maximum exposure related to CME Clearing's guarantee would be one full day of changes in fair value of all open positions, before considering CME Clearing's ability to access defaulting clearing firms' collateral. During the first nine months of 2015, CME Clearing and CMECE transferred an average of approximately $4.1 billion a day through their clearing systems for settlement from clearing firms whose positions had lost value to clearing firms whose positions had gained value. CME Clearing and CMECE reduce their guarantee exposure through initial and maintenance performance bond requirements and mandatory guaranty fund contributions. The company believes that its guarantee liability is immaterial and therefore has not recorded any liability at September 30, 2015.</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September 30, 2015 and December 31, 2014:</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Assigned Value</w:t>
            </w:r>
          </w:p>
        </w:tc>
        <w:tc>
          <w:tcPr>
            <w:tcW w:w="160" w:type="dxa"/>
            <w:vAlign w:val="bottom"/>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2"/>
                <w:szCs w:val="12"/>
                <w:color w:val="auto"/>
              </w:rPr>
            </w:pPr>
          </w:p>
        </w:tc>
        <w:tc>
          <w:tcPr>
            <w:tcW w:w="1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Assigned Value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tcPr>
          <w:p>
            <w:pPr>
              <w:jc w:val="right"/>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relationships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2,838.8</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2,108.1</w:t>
            </w:r>
          </w:p>
        </w:tc>
        <w:tc>
          <w:tcPr>
            <w:tcW w:w="4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2,180.0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2,870.6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2,112.7</w:t>
            </w:r>
          </w:p>
        </w:tc>
        <w:tc>
          <w:tcPr>
            <w:tcW w:w="4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2,187.4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 – 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2,562.7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2,637.4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ind w:left="40"/>
              <w:spacing w:after="0" w:line="251" w:lineRule="exact"/>
              <w:rPr>
                <w:sz w:val="20"/>
                <w:szCs w:val="20"/>
                <w:color w:val="auto"/>
              </w:rPr>
            </w:pPr>
            <w:r>
              <w:rPr>
                <w:rFonts w:ascii="Times New Roman" w:cs="Times New Roman" w:eastAsia="Times New Roman" w:hAnsi="Times New Roman"/>
                <w:sz w:val="18"/>
                <w:szCs w:val="18"/>
                <w:color w:val="auto"/>
              </w:rPr>
              <w:t>Trading products</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right="14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Total amortization expense for intangible assets was $24.9 million and $25.3 million for the quarters ended September 30, 2015 and 2014, respectively. Total amortization expense for intangible assets was $74.8 million and $75.7 million for the nine months ended September 30, 2015 and 2014, respectively. As of September 30, 2015, the future estimated amortization expense related to amortizable intangible assets is expected to be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49"/>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2015</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24.7</w:t>
            </w: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96.1</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95.5</w:t>
            </w: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94.7</w:t>
            </w: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1,612.3</w:t>
            </w:r>
          </w:p>
        </w:tc>
      </w:tr>
      <w:tr>
        <w:trPr>
          <w:trHeight w:val="27"/>
        </w:trPr>
        <w:tc>
          <w:tcPr>
            <w:tcW w:w="53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Long-Term Investments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first nine months of 2015, the company sold approximately 18.2 million shares of BM&amp;FBOVESPA S.A. (BM&amp;FBOVESPA) and recognized a net gain of $3.4 million within investment income on the consolidated statements of income. As of September 30, 2015, the company owned an approximate 5% interest in BM&amp;FBOVESPA. At September 30, 2015, the fair value and cost basis of the remaining investment in BM&amp;FBOVESPA was $253.7 million and $340.0 million, respectively. Substantially all of the difference between the cost basis and fair value of the investment as of September 30, 2015 represents previous changes in foreign currency exchange rates that are suspended in accumulated other comprehensive income and released into current operations as the investment is sold.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20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April 2015, the company repaid the $612.5 million fixed rate notes due 2018 and paid a call premium of $60.5 million. As a result of the transaction, the company recognized debt prepayment costs of $61.8 million in the second quarter of 2015, which includes the call premium.</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at September 30, 2015 and December 31, 2014: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69"/>
        </w:trPr>
        <w:tc>
          <w:tcPr>
            <w:tcW w:w="802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$612.5 million fixed rate notes due March 2018, stated rate of 4.40%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611.0</w:t>
            </w:r>
          </w:p>
        </w:tc>
      </w:tr>
      <w:tr>
        <w:trPr>
          <w:trHeight w:val="270"/>
        </w:trPr>
        <w:tc>
          <w:tcPr>
            <w:tcW w:w="80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$750.0 million fixed rate notes due September 2022, stated rate of 3.00% </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23"/>
                <w:szCs w:val="23"/>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748.2</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$750.0 million fixed rate notes due March 2025, stated rate of 3.00% </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2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$750.0 million fixed rate notes due September 2043, stated rate of 5.30% </w:t>
            </w:r>
            <w:r>
              <w:rPr>
                <w:rFonts w:ascii="Times New Roman" w:cs="Times New Roman" w:eastAsia="Times New Roman" w:hAnsi="Times New Roman"/>
                <w:sz w:val="25"/>
                <w:szCs w:val="25"/>
                <w:color w:val="auto"/>
                <w:vertAlign w:val="superscript"/>
              </w:rPr>
              <w:t>(4)</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748.7</w:t>
            </w:r>
          </w:p>
        </w:tc>
      </w:tr>
      <w:tr>
        <w:trPr>
          <w:trHeight w:val="269"/>
        </w:trPr>
        <w:tc>
          <w:tcPr>
            <w:tcW w:w="8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2,241.2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2,107.9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right="3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2010, the company entered into a forward-starting interest rate swap agreement that modified the interest obligation associated with these notes so that the interest payable on the notes effectively became fixed at a rate of 4.46%.</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2014, the company entered into a forward-starting interest rate swap agreement that modified the interest obligation associated with these notes so that the interest payable on the notes effectively became fixed at a rate of 3.11%.</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4.73%.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maturities, at par value, were as follows at September 30,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9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49"/>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2,250.0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Contingencies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Legal and Regulatory Matters. </w:t>
      </w:r>
      <w:r>
        <w:rPr>
          <w:rFonts w:ascii="Times New Roman" w:cs="Times New Roman" w:eastAsia="Times New Roman" w:hAnsi="Times New Roman"/>
          <w:sz w:val="18"/>
          <w:szCs w:val="18"/>
          <w:color w:val="auto"/>
        </w:rPr>
        <w:t>In 2008, Fifth Market, Inc. (Fifth Market) filed a complaint against CME Group and CME in the Delaware District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a permanent injunction against CME's Globex system and unquantified enhanced damages for what the plaintiff alleges is willful infringement of two patents, in addition to costs, expenses and attorneys' fees. The case was stayed pending the outcome of CME's request for reexamination by the U.S. Patent and Trademark Office (USPTO). The reexaminations resulted in some claims being rejected and others being confirmed. In June 2013, the court lifted the stay. The validity of the patents, however, remains subject to further review by the USPTO. CME filed covered business method reviews against both patents for the claims that remain after the reexaminations. All the claims asserted in the litigation have a proceeding instituted against them. The reviews and one reexamination remain under way at the USPTO or are on appeal to the Federal Circuit. Based on its investigation to date and advice from legal counsel, the company believes this suit is without merit and intends to defend itself vigorously against these charges.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Fifth Market legal matter involves an alleged infringement of intellectual property which, due to its nature, involves a potential liability that is uncertain, difficult to quantify and involves a wide range of potential outcomes. We expect the re-examination and the reviews by the USPTO in the Fifth Market matter, including any appeals thereof, to result in a determination of the validity of the patent at issue which we expect will have an impact on the merits of the matter. Given the uncertainty of factors which may potentially impact the resolution of the matter, at this time the company is unable to estimate the reasonably possible loss or range of reasonably possible loss in the unlikely event it were found to be liable at trial in the matter.</w:t>
      </w:r>
    </w:p>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February 2013, the CFTC filed suit against NYMEX and two former employees alleging disclosure of confidential customer information in violation of the Commodity Exchange Act. NYMEX’s motion to dismiss was denied in September 2014. Based on its investigation to date and advice from legal counsel, the company believes that it has strong factual and legal defenses to the claim.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w:t>
      </w:r>
    </w:p>
    <w:p>
      <w:pPr>
        <w:spacing w:after="0" w:line="1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September 30, 2015 and December 31, 2014, the company had accrued $3.5 million and $4.3 million, respectively, for legal and regulatory matters that were probable and estimable.</w:t>
      </w:r>
    </w:p>
    <w:p>
      <w:pPr>
        <w:spacing w:after="0" w:line="160"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Intellectual Property Indemnifications. </w:t>
      </w:r>
      <w:r>
        <w:rPr>
          <w:rFonts w:ascii="Times New Roman" w:cs="Times New Roman" w:eastAsia="Times New Roman" w:hAnsi="Times New Roman"/>
          <w:sz w:val="18"/>
          <w:szCs w:val="18"/>
          <w:color w:val="auto"/>
        </w:rPr>
        <w:t>Certain agreements with customers and other third parties related to accessing the CME platforms; utilizing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services, and licensing CME SPAN software may contain indemnifications from intellectual property claims that may be made against customers and other third parties as a result of their use of the applicable products and/or services. The potential future claims relating to these indemnifications cannot be estimated and therefore no liability has been recorded.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Guarantees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Mutual Offset Agreement. </w:t>
      </w:r>
      <w:r>
        <w:rPr>
          <w:rFonts w:ascii="Times New Roman" w:cs="Times New Roman" w:eastAsia="Times New Roman" w:hAnsi="Times New Roman"/>
          <w:sz w:val="18"/>
          <w:szCs w:val="18"/>
          <w:color w:val="auto"/>
        </w:rPr>
        <w:t>CME and Singapore Exchange Limited (SGX) have a mutual offset agreement with a current term through October 2016.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enables market participants to open a futures position on one exchange and liquidate it on the other. The term of the agreement will automatically renew for a one-year period unless either party provides advance notice of their intent to terminate. CME must maintain U.S. Treasury securities or irrevocable, standby letters of credit as collateral for this agreement. At September 30, 2015, CME was contingently liable to SGX on letters of credit totaling $710.0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September 30, 2015.</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Family Farmer and Rancher Protection Fund. </w:t>
      </w:r>
      <w:r>
        <w:rPr>
          <w:rFonts w:ascii="Times New Roman" w:cs="Times New Roman" w:eastAsia="Times New Roman" w:hAnsi="Times New Roman"/>
          <w:sz w:val="18"/>
          <w:szCs w:val="18"/>
          <w:color w:val="auto"/>
        </w:rPr>
        <w:t>In 2012, the company established the Family Farmer and Rancher Protection Fund (the Fund). The Fund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immaterial and therefore has not recorded any liability at September 30, 2015.</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Accumulated Other Comprehensive Income</w:t>
      </w:r>
    </w:p>
    <w:p>
      <w:pPr>
        <w:spacing w:after="0" w:line="20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attributable to CME Group, including current period other comprehensive income and reclassifications out of accumulated other comprehensive income: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5"/>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income tax benefit (expense)</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attributable to CME Group</w:t>
            </w: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September 30, 2015</w:t>
            </w:r>
          </w:p>
        </w:tc>
        <w:tc>
          <w:tcPr>
            <w:tcW w:w="4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25"/>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income tax benefit (expense)</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attributable to CME Group</w:t>
            </w: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September 30, 2014</w:t>
            </w:r>
          </w:p>
        </w:tc>
        <w:tc>
          <w:tcPr>
            <w:tcW w:w="4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such as quoted prices for similar assets and liabilities in active markets, or inputs other than quoted prices that are directly observable.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Level 1 assets generally include U.S. Treasury securities and investments in publicly traded mutual funds with quoted market prices. In general, the company uses quoted prices in active markets for identical assets to determine the fair value of marketable securities and equity investments. If quoted prices are not available to determine fair value, the company uses other inputs that are directly observable.</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Assets included in level 2 generally consist of asset-backed securities. Asset-backed securities were measured at fair value based on matrix pricing using prices of similar securities with similar inputs such as maturity dates, interest rates and credit ratings.</w:t>
      </w:r>
    </w:p>
    <w:p>
      <w:pPr>
        <w:spacing w:after="0" w:line="10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its contingent consideration liability, considered a level 3 liability, using a discounted cash flow model to calculate the present value of future payouts. The liability was included in level 3 because management used significant unobservable inputs, including a discount rate of 20% and a payout probability of 100%. Significant changes in these inputs, in isolation, would result in a significantly different fair value.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recorded in the consolidated balance sheet as of September 30, 2015 were classified in their entirety based on the lowest level of input that was significant to each asset or liability's fair value measurement. The following tables present financial instruments measured at fair value on a recurring basis: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5"/>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19.2</w:t>
            </w: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52.8</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72.4</w:t>
            </w:r>
          </w:p>
        </w:tc>
      </w:tr>
      <w:tr>
        <w:trPr>
          <w:trHeight w:val="351"/>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5"/>
        </w:trPr>
        <w:tc>
          <w:tcPr>
            <w:tcW w:w="5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70"/>
        </w:trPr>
        <w:tc>
          <w:tcPr>
            <w:tcW w:w="5160" w:type="dxa"/>
            <w:vAlign w:val="bottom"/>
            <w:shd w:val="clear" w:color="auto" w:fill="CCEEFF"/>
          </w:tcPr>
          <w:p>
            <w:pPr>
              <w:ind w:left="500"/>
              <w:spacing w:after="0" w:line="270" w:lineRule="exact"/>
              <w:rPr>
                <w:sz w:val="20"/>
                <w:szCs w:val="20"/>
                <w:color w:val="auto"/>
              </w:rPr>
            </w:pPr>
            <w:r>
              <w:rPr>
                <w:rFonts w:ascii="Times New Roman" w:cs="Times New Roman" w:eastAsia="Times New Roman" w:hAnsi="Times New Roman"/>
                <w:sz w:val="18"/>
                <w:szCs w:val="18"/>
                <w:color w:val="auto"/>
              </w:rPr>
              <w:t xml:space="preserve">U.S. Treasury securities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15,105.0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15,105.0</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investments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271.8</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15,448.9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15,449.2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00" w:right="300" w:hanging="244"/>
        <w:spacing w:after="0" w:line="282" w:lineRule="auto"/>
        <w:tabs>
          <w:tab w:leader="none" w:pos="9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bonds and guaranty fund contributions on the consolidated balance sheet at September 30, 2015 include U.S. Treasury securities purchased with cash collateral.</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were no transfers of assets or liabilities between level 1, level 2 and level 3 during the first nine months of 2015. There were no level 3 assets valued at fair value on a recurring basis during the first nine months of 2015. The following is a reconciliation of level 3 liabilities valued at fair value on a recurring basis during the first nine months of 2015.</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r>
      <w:tr>
        <w:trPr>
          <w:trHeight w:val="249"/>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liability at December 31, 2014</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and unrealized (gains) losses:</w:t>
            </w: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Included in other expenses</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7"/>
        </w:trPr>
        <w:tc>
          <w:tcPr>
            <w:tcW w:w="97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liability at September 30, 2015</w:t>
            </w: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9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level 3 assets or level 3 liabilities valued at fair value on a nonrecurring basis during the first nine months of 2015.</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presents the estimated fair values of long-term debt notes, which are carried at amortized cost on the consolidated balance sheets. The fair values, which are classified as level 2 under the fair value hierarchy, were estimated using quoted market prices. At September 30, 2015, the fair values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$750.0 million fixed rate notes due September 2022, stated rate of 3.00%</w:t>
            </w:r>
          </w:p>
        </w:tc>
        <w:tc>
          <w:tcPr>
            <w:tcW w:w="4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753.9</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$750.0 million fixed rate notes due March 2025, stated rate of 3.00%</w:t>
            </w:r>
          </w:p>
        </w:tc>
        <w:tc>
          <w:tcPr>
            <w:tcW w:w="47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733.8</w:t>
            </w:r>
          </w:p>
        </w:tc>
      </w:tr>
      <w:tr>
        <w:trPr>
          <w:trHeight w:val="27"/>
        </w:trPr>
        <w:tc>
          <w:tcPr>
            <w:tcW w:w="55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$750.0 million fixed rates notes due September 2043, stated rate of 5.30%</w:t>
            </w:r>
          </w:p>
        </w:tc>
        <w:tc>
          <w:tcPr>
            <w:tcW w:w="47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851.7</w:t>
            </w:r>
          </w:p>
        </w:tc>
      </w:tr>
      <w:tr>
        <w:trPr>
          <w:trHeight w:val="459"/>
        </w:trPr>
        <w:tc>
          <w:tcPr>
            <w:tcW w:w="5500" w:type="dxa"/>
            <w:vAlign w:val="bottom"/>
          </w:tcPr>
          <w:p>
            <w:pPr>
              <w:spacing w:after="0"/>
              <w:rPr>
                <w:sz w:val="24"/>
                <w:szCs w:val="24"/>
                <w:color w:val="auto"/>
              </w:rPr>
            </w:pPr>
          </w:p>
        </w:tc>
        <w:tc>
          <w:tcPr>
            <w:tcW w:w="4760" w:type="dxa"/>
            <w:vAlign w:val="bottom"/>
          </w:tcPr>
          <w:p>
            <w:pPr>
              <w:jc w:val="right"/>
              <w:ind w:right="4370"/>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the company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restricted stock and performance share awards were as follows for the periods presented: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6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113"/>
        </w:trPr>
        <w:tc>
          <w:tcPr>
            <w:tcW w:w="652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and performance shares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earnings per share calculation for the periods presented:</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CME Group (in millions)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359.9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955.3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820.6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(in thousands):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336,323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9"/>
              </w:rPr>
              <w:t>334,424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336,015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334,144</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stock options, restricted stock and performance shares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338,139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9"/>
              </w:rPr>
              <w:t>336,172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337,804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335,820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Attributable to CME Group:</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and has determined that there are no subsequent events that require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684"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2014.</w:t>
      </w:r>
    </w:p>
    <w:p>
      <w:pPr>
        <w:spacing w:after="0" w:line="162"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8"/>
          <w:szCs w:val="18"/>
          <w:color w:val="auto"/>
        </w:rPr>
        <w:t>References in this discussion and analysis to “we,” “us” and “our” are to CME Group Inc. (CME Group) and its consolidated subsidiaries, collectively. References to “exchange” are to Chicago Mercantile Exchange Inc. (CME), Board of Trade of the City of Chicago, Inc. (CBOT), New York Mercantile Exchange, Inc. (NYMEX), Commodity Exchange, Inc. (COMEX), CME Clearing Europe Limited (CMECE) and CME Europe Limited (CME Europe), collectively, unless otherwise noted. The clearing houses include CME Clearing, which is the U.S. clearing house and a division of CME, and CMECE.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changes in our financial performance for the periods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80" w:type="dxa"/>
            <w:vAlign w:val="bottom"/>
          </w:tcPr>
          <w:p>
            <w:pPr>
              <w:spacing w:after="0"/>
              <w:rPr>
                <w:sz w:val="13"/>
                <w:szCs w:val="13"/>
                <w:color w:val="auto"/>
              </w:rPr>
            </w:pPr>
          </w:p>
        </w:tc>
      </w:tr>
      <w:tr>
        <w:trPr>
          <w:trHeight w:val="194"/>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80" w:type="dxa"/>
            <w:vAlign w:val="bottom"/>
          </w:tcPr>
          <w:p>
            <w:pPr>
              <w:spacing w:after="0"/>
              <w:rPr>
                <w:sz w:val="16"/>
                <w:szCs w:val="16"/>
                <w:color w:val="auto"/>
              </w:rPr>
            </w:pPr>
          </w:p>
        </w:tc>
      </w:tr>
      <w:tr>
        <w:trPr>
          <w:trHeight w:val="265"/>
        </w:trPr>
        <w:tc>
          <w:tcPr>
            <w:tcW w:w="3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data)</w:t>
            </w:r>
          </w:p>
        </w:tc>
        <w:tc>
          <w:tcPr>
            <w:tcW w:w="1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850.3</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762.4</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12 %</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2,513.0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9"/>
              </w:rPr>
              <w:t>2,271.4</w:t>
            </w:r>
          </w:p>
        </w:tc>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333.9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332.0</w:t>
            </w:r>
          </w:p>
        </w:tc>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994.2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974.5</w:t>
            </w:r>
          </w:p>
        </w:tc>
        <w:tc>
          <w:tcPr>
            <w:tcW w:w="4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57.1%</w:t>
            </w: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CME Group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359.9</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1"/>
                <w:szCs w:val="21"/>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290.0</w:t>
            </w:r>
          </w:p>
        </w:tc>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955.3</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820.6</w:t>
            </w:r>
          </w:p>
        </w:tc>
        <w:tc>
          <w:tcPr>
            <w:tcW w:w="4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5"/>
        </w:trPr>
        <w:tc>
          <w:tcPr>
            <w:tcW w:w="3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 attributable</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1"/>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 CME Group</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0.86</w:t>
            </w:r>
          </w:p>
        </w:tc>
        <w:tc>
          <w:tcPr>
            <w:tcW w:w="144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2.44</w:t>
            </w:r>
          </w:p>
        </w:tc>
        <w:tc>
          <w:tcPr>
            <w:tcW w:w="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1,141.2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788.9</w:t>
            </w:r>
          </w:p>
        </w:tc>
        <w:tc>
          <w:tcPr>
            <w:tcW w:w="4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45</w:t>
            </w:r>
          </w:p>
        </w:tc>
      </w:tr>
      <w:tr>
        <w:trPr>
          <w:trHeight w:val="351"/>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n.m. not meaningful</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6"/>
        </w:trPr>
        <w:tc>
          <w:tcPr>
            <w:tcW w:w="3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4"/>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80" w:type="dxa"/>
            <w:vAlign w:val="bottom"/>
          </w:tcPr>
          <w:p>
            <w:pPr>
              <w:spacing w:after="0"/>
              <w:rPr>
                <w:sz w:val="24"/>
                <w:szCs w:val="24"/>
                <w:color w:val="auto"/>
              </w:rPr>
            </w:pPr>
          </w:p>
        </w:tc>
      </w:tr>
      <w:tr>
        <w:trPr>
          <w:trHeight w:val="194"/>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65"/>
        </w:trPr>
        <w:tc>
          <w:tcPr>
            <w:tcW w:w="3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715.0</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4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2,105.0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1,903.3</w:t>
            </w:r>
          </w:p>
        </w:tc>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4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266.7</w:t>
            </w:r>
          </w:p>
        </w:tc>
        <w:tc>
          <w:tcPr>
            <w:tcW w:w="4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Access and communication fees</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61.6</w:t>
            </w:r>
          </w:p>
        </w:tc>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39.8</w:t>
            </w:r>
          </w:p>
        </w:tc>
        <w:tc>
          <w:tcPr>
            <w:tcW w:w="4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37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850.3</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1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2,513.0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2,271.4</w:t>
            </w:r>
          </w:p>
        </w:tc>
        <w:tc>
          <w:tcPr>
            <w:tcW w:w="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Clearing and Transaction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Futures and Options Contracts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total contract volume, revenue and average rate per contract for futures and options. Total contract volume includes contracts that are traded on our exchange and cleared through CME Clearing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credit default swaps and interest rate swaps. The credit default swaps and interest rate swaps are discussed in a later section.</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20" w:type="dxa"/>
            <w:vAlign w:val="bottom"/>
          </w:tcPr>
          <w:p>
            <w:pPr>
              <w:spacing w:after="0"/>
              <w:rPr>
                <w:sz w:val="13"/>
                <w:szCs w:val="13"/>
                <w:color w:val="auto"/>
              </w:rPr>
            </w:pPr>
          </w:p>
        </w:tc>
      </w:tr>
      <w:tr>
        <w:trPr>
          <w:trHeight w:val="195"/>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14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3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 volume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920.6</w:t>
            </w: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863.4</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2,689.1</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2,492.6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Clearing and transaction fees (in millions)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698.7</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626.3</w:t>
            </w:r>
          </w:p>
        </w:tc>
        <w:tc>
          <w:tcPr>
            <w:tcW w:w="14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2,051.2</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1,861.6</w:t>
            </w: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rate per contract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0.759</w:t>
            </w:r>
          </w:p>
        </w:tc>
        <w:tc>
          <w:tcPr>
            <w:tcW w:w="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0.725</w:t>
            </w:r>
          </w:p>
        </w:tc>
        <w:tc>
          <w:tcPr>
            <w:tcW w:w="14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0.763</w:t>
            </w:r>
          </w:p>
        </w:tc>
        <w:tc>
          <w:tcPr>
            <w:tcW w:w="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0.747</w:t>
            </w:r>
          </w:p>
        </w:tc>
        <w:tc>
          <w:tcPr>
            <w:tcW w:w="1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estimate the following increases in clearing and transaction fees based on changes in total contract volume and changes in average rate per contract for futures and options during the third quarter and first nine months of 2015 when compared with the same periods in 2014.</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40" w:type="dxa"/>
            <w:vAlign w:val="bottom"/>
          </w:tcPr>
          <w:p>
            <w:pPr>
              <w:spacing w:after="0"/>
              <w:rPr>
                <w:sz w:val="13"/>
                <w:szCs w:val="13"/>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95"/>
        </w:trPr>
        <w:tc>
          <w:tcPr>
            <w:tcW w:w="904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249"/>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due to changes in total contract volume</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due to changes in average rate per contract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in clearing and transaction fees</w:t>
            </w: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Volume</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700" w:type="dxa"/>
            <w:vAlign w:val="bottom"/>
            <w:gridSpan w:val="3"/>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20" w:type="dxa"/>
            <w:vAlign w:val="bottom"/>
          </w:tcPr>
          <w:p>
            <w:pPr>
              <w:spacing w:after="0"/>
              <w:rPr>
                <w:sz w:val="13"/>
                <w:szCs w:val="13"/>
                <w:color w:val="auto"/>
              </w:rPr>
            </w:pPr>
          </w:p>
        </w:tc>
      </w:tr>
      <w:tr>
        <w:trPr>
          <w:trHeight w:val="194"/>
        </w:trPr>
        <w:tc>
          <w:tcPr>
            <w:tcW w:w="374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820" w:type="dxa"/>
            <w:vAlign w:val="bottom"/>
            <w:tcBorders>
              <w:bottom w:val="single" w:sz="8" w:color="auto"/>
            </w:tcBorders>
            <w:gridSpan w:val="3"/>
          </w:tcPr>
          <w:p>
            <w:pPr>
              <w:jc w:val="center"/>
              <w:ind w:left="7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r>
      <w:tr>
        <w:trPr>
          <w:trHeight w:val="265"/>
        </w:trPr>
        <w:tc>
          <w:tcPr>
            <w:tcW w:w="3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1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3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Daily Volume by Product Line:</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6,658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7,181</w:t>
            </w: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6,861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2,586</w:t>
            </w:r>
          </w:p>
        </w:tc>
        <w:tc>
          <w:tcPr>
            <w:tcW w:w="134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27</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2,644</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797</w:t>
            </w: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750</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Agricultural commodity</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1,058</w:t>
            </w:r>
          </w:p>
        </w:tc>
        <w:tc>
          <w:tcPr>
            <w:tcW w:w="134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20</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1,103</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1,562</w:t>
            </w: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26</w:t>
            </w: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1,573</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Metal</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309</w:t>
            </w:r>
          </w:p>
        </w:tc>
        <w:tc>
          <w:tcPr>
            <w:tcW w:w="134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14</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328</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1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14,384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13,493</w:t>
            </w: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14,228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13,259</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Daily Volume by Venue:</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Electronic</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12,620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11,627</w:t>
            </w: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9</w:t>
            </w: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12,444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11,404</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Open outcry</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1,208</w:t>
            </w:r>
          </w:p>
        </w:tc>
        <w:tc>
          <w:tcPr>
            <w:tcW w:w="134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(8)</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1,162</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Privately negotiated</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658</w:t>
            </w: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693</w:t>
            </w: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37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14,384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13,493</w:t>
            </w:r>
          </w:p>
        </w:tc>
        <w:tc>
          <w:tcPr>
            <w:tcW w:w="134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14,228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13,259</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Electronic Volume as a Percentage of Total</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Volume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20" w:type="dxa"/>
            <w:vAlign w:val="bottom"/>
          </w:tcPr>
          <w:p>
            <w:pPr>
              <w:spacing w:after="0"/>
              <w:rPr>
                <w:sz w:val="20"/>
                <w:szCs w:val="20"/>
                <w:color w:val="auto"/>
              </w:rPr>
            </w:pPr>
          </w:p>
        </w:tc>
      </w:tr>
    </w:tbl>
    <w:p>
      <w:pPr>
        <w:spacing w:after="0" w:line="1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Overall futures and options contract volume increased in the third quarter and first nine months of 2015 when compared with the same periods in 2014. We believe global market concerns and considerable uncertainty have resulted in increased volatility in equity and foreign exchange markets, leading to increases in volumes. European debt concerns and quantitative easing by the European Central Bank contributed to the strengthening of the U.S. dollar compared with most major currencies. Additionally, the deceleration of the Chinese economy in the third quarter resulted in high volatility within equity markets. This deceleration has also resulted in lower than expected Chinese demand for raw materials, such as copper. As volatility returns, investors have turned to precious metals as a safe haven alternative to the volatile equity markets.</w:t>
      </w:r>
    </w:p>
    <w:p>
      <w:pPr>
        <w:spacing w:after="0" w:line="13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Additionally, large amounts of rain due to changing weather patterns caused by El Nino during 2015 created concerns over planting delays for agricultural commodity products in the United States. We believe this resulted in increases in price volatility across the sector, which has led to increases in overall agricultural commodity contract volumes.</w:t>
      </w:r>
    </w:p>
    <w:p>
      <w:pPr>
        <w:sectPr>
          <w:pgSz w:w="11900" w:h="16838" w:orient="portrait"/>
          <w:cols w:equalWidth="0" w:num="1">
            <w:col w:w="11420"/>
          </w:cols>
          <w:pgMar w:left="240" w:top="121" w:right="2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Crude oil markets continue to show considerable uncertainty regarding the direction of future oil prices. The oversupply of crude oil that began in 2014 continues to weigh on oil prices, while inconsistent drilling data has caused additional volatility and uncertainty. As a result, we believe the additional volatility led to increases in overall energy contract volumes.</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Mixed economic indicators have led to lower market expectations of near-term changes in U.S. interest rates. As a result, interest rate volatility continued to taper off in the second and third quarters of 2015 after a strong first quarter, resulting in declines in interest rate volumes.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Products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40" w:type="dxa"/>
            <w:vAlign w:val="bottom"/>
            <w:gridSpan w:val="2"/>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4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3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Eurodollar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Front 8 futures</w:t>
            </w: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1,544</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1,619</w:t>
            </w: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1,640</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Back 32 futures</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692</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1,082</w:t>
            </w:r>
          </w:p>
        </w:tc>
        <w:tc>
          <w:tcPr>
            <w:tcW w:w="148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(36)</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760</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1,046</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Options</w:t>
            </w: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959</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919</w:t>
            </w:r>
          </w:p>
        </w:tc>
        <w:tc>
          <w:tcPr>
            <w:tcW w:w="1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w:t>
            </w: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926</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841</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10-Year</w:t>
            </w: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1,548</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1,671</w:t>
            </w:r>
          </w:p>
        </w:tc>
        <w:tc>
          <w:tcPr>
            <w:tcW w:w="14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w:t>
            </w: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1,701</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1,683</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5-Year</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829</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914</w:t>
            </w:r>
          </w:p>
        </w:tc>
        <w:tc>
          <w:tcPr>
            <w:tcW w:w="148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846</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888</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bond</w:t>
            </w: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362</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437</w:t>
            </w:r>
          </w:p>
        </w:tc>
        <w:tc>
          <w:tcPr>
            <w:tcW w:w="14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(17)</w:t>
            </w: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377</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418</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2-Year</w:t>
            </w:r>
          </w:p>
        </w:tc>
        <w:tc>
          <w:tcPr>
            <w:tcW w:w="164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346</w:t>
            </w: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308</w:t>
            </w:r>
          </w:p>
        </w:tc>
        <w:tc>
          <w:tcPr>
            <w:tcW w:w="1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12</w:t>
            </w:r>
          </w:p>
        </w:tc>
        <w:tc>
          <w:tcPr>
            <w:tcW w:w="164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358</w:t>
            </w: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281</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Overall interest rate contract volume decreased in the third quarter of 2015 when compared with the same period in 2014 largely due to a decline in longer dated interest rate contract volume. As market participants anticipated a potential change in interest rates in the near term in 2015, we believe they shifted their focus from Back 32 Eurodollar futures and longer dated U.S. Treasury futures and options to shorter term products, including the 2-year U.S. Treasury futures and options. While interest rate volatility remained high in early 2015, changes in macroeconomic factors and a shift from the first quarter's expectations regarding the Federal Reserve interest rate policy change lowered interest rate volatility throughout the second and third quarters of 2015. As a result, overall interest rate contract volume remained relatively flat in the first nine months of 2015 when compared with the same period in 2014.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equity products.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80" w:type="dxa"/>
            <w:vAlign w:val="bottom"/>
            <w:gridSpan w:val="2"/>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2015</w:t>
            </w:r>
          </w:p>
        </w:tc>
        <w:tc>
          <w:tcPr>
            <w:tcW w:w="7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3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E-mini S&amp;P 500 futures and options</w:t>
            </w:r>
          </w:p>
        </w:tc>
        <w:tc>
          <w:tcPr>
            <w:tcW w:w="1640" w:type="dxa"/>
            <w:vAlign w:val="bottom"/>
            <w:tcBorders>
              <w:bottom w:val="single" w:sz="8" w:color="CCEEFF"/>
            </w:tcBorders>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rPr>
              <w:t>2,593</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2,035</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27%</w:t>
            </w:r>
          </w:p>
        </w:tc>
        <w:tc>
          <w:tcPr>
            <w:tcW w:w="1660" w:type="dxa"/>
            <w:vAlign w:val="bottom"/>
            <w:tcBorders>
              <w:bottom w:val="single" w:sz="8" w:color="CCEEFF"/>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2,208</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2,057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E-mini NASDAQ 100 futures and options</w:t>
            </w:r>
          </w:p>
        </w:tc>
        <w:tc>
          <w:tcPr>
            <w:tcW w:w="1640" w:type="dxa"/>
            <w:vAlign w:val="bottom"/>
          </w:tcPr>
          <w:p>
            <w:pPr>
              <w:jc w:val="right"/>
              <w:ind w:right="541"/>
              <w:spacing w:after="0"/>
              <w:rPr>
                <w:sz w:val="20"/>
                <w:szCs w:val="20"/>
                <w:color w:val="auto"/>
              </w:rPr>
            </w:pPr>
            <w:r>
              <w:rPr>
                <w:rFonts w:ascii="Times New Roman" w:cs="Times New Roman" w:eastAsia="Times New Roman" w:hAnsi="Times New Roman"/>
                <w:sz w:val="18"/>
                <w:szCs w:val="18"/>
                <w:color w:val="auto"/>
              </w:rPr>
              <w:t>315</w:t>
            </w: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278</w:t>
            </w:r>
          </w:p>
        </w:tc>
        <w:tc>
          <w:tcPr>
            <w:tcW w:w="96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1660" w:type="dxa"/>
            <w:vAlign w:val="bottom"/>
          </w:tcPr>
          <w:p>
            <w:pPr>
              <w:jc w:val="right"/>
              <w:ind w:right="561"/>
              <w:spacing w:after="0"/>
              <w:rPr>
                <w:sz w:val="20"/>
                <w:szCs w:val="20"/>
                <w:color w:val="auto"/>
              </w:rPr>
            </w:pPr>
            <w:r>
              <w:rPr>
                <w:rFonts w:ascii="Times New Roman" w:cs="Times New Roman" w:eastAsia="Times New Roman" w:hAnsi="Times New Roman"/>
                <w:sz w:val="18"/>
                <w:szCs w:val="18"/>
                <w:color w:val="auto"/>
              </w:rPr>
              <w:t>274</w:t>
            </w: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301</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(9)</w:t>
            </w:r>
          </w:p>
        </w:tc>
      </w:tr>
    </w:tbl>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Overall equity contract volumes increased in the third quarter and first nine months of 2015 when compared with the same period in 2014 due to overall high market volatility, as measured by the CBOE Volatility Index and CBOE Nasdaq-100 Volatility Index. Global economic events led by a deceleration of the Chinese economy in the third quarter of 2015 resulted in periods of high volatility within equity markets. The E-mini NASDAQ contracts did not benefit from macro-level events or increased general market volatility to the same extent as the E-mini S&amp;P 500 because the E-mini NASDAQ contract generally hedges different market risks.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foreign exchange products.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gridSpan w:val="2"/>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4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4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4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3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279</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231</w:t>
            </w: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21 %</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319</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Japanese yen</w:t>
            </w:r>
          </w:p>
        </w:tc>
        <w:tc>
          <w:tcPr>
            <w:tcW w:w="164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rPr>
              <w:t>162</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144</w:t>
            </w:r>
          </w:p>
        </w:tc>
        <w:tc>
          <w:tcPr>
            <w:tcW w:w="1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13</w:t>
            </w:r>
          </w:p>
        </w:tc>
        <w:tc>
          <w:tcPr>
            <w:tcW w:w="164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rPr>
              <w:t>159</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British pound</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w:t>
            </w:r>
          </w:p>
        </w:tc>
        <w:tc>
          <w:tcPr>
            <w:tcW w:w="146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(16)</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112</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113</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Australian dollar</w:t>
            </w:r>
          </w:p>
        </w:tc>
        <w:tc>
          <w:tcPr>
            <w:tcW w:w="164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w:t>
            </w:r>
          </w:p>
        </w:tc>
        <w:tc>
          <w:tcPr>
            <w:tcW w:w="14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rPr>
              <w:t>103</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Canadian dollar</w:t>
            </w:r>
          </w:p>
        </w:tc>
        <w:tc>
          <w:tcPr>
            <w:tcW w:w="164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79</w:t>
            </w: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w:t>
            </w:r>
          </w:p>
        </w:tc>
        <w:tc>
          <w:tcPr>
            <w:tcW w:w="14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22</w:t>
            </w:r>
          </w:p>
        </w:tc>
        <w:tc>
          <w:tcPr>
            <w:tcW w:w="164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76</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Foreign exchange contract volumes increased in the third quarter and first nine months of 2015 when compared with the same periods in 2014 due to quantitative easing and debt concerns in Europe, global economic uncertainty, geopolitical events as well as a strengthening U.S. dollar throughout 2015. We believe these factors led to increases in exchange rate volatility across major currencies, which resulted in higher contract volumes. The increases in foreign exchange contract volumes in the third quarter and first nine months of 2015 were partially offset by decreases in British pound contract volumes due to higher volatility in the third quarter of 2014 caused by a Scottish referendum.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Agricultural Commodity Products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agricultural commodity products.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66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20" w:type="dxa"/>
            <w:vAlign w:val="bottom"/>
          </w:tcPr>
          <w:p>
            <w:pPr>
              <w:spacing w:after="0"/>
              <w:rPr>
                <w:sz w:val="13"/>
                <w:szCs w:val="13"/>
                <w:color w:val="auto"/>
              </w:rPr>
            </w:pPr>
          </w:p>
        </w:tc>
      </w:tr>
      <w:tr>
        <w:trPr>
          <w:trHeight w:val="194"/>
        </w:trPr>
        <w:tc>
          <w:tcPr>
            <w:tcW w:w="3920" w:type="dxa"/>
            <w:vAlign w:val="bottom"/>
          </w:tcPr>
          <w:p>
            <w:pPr>
              <w:spacing w:after="0"/>
              <w:rPr>
                <w:sz w:val="16"/>
                <w:szCs w:val="16"/>
                <w:color w:val="auto"/>
              </w:rPr>
            </w:pPr>
          </w:p>
        </w:tc>
        <w:tc>
          <w:tcPr>
            <w:tcW w:w="16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6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5"/>
        </w:trPr>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14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3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Corn</w:t>
            </w:r>
          </w:p>
        </w:tc>
        <w:tc>
          <w:tcPr>
            <w:tcW w:w="166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448</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321</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40%</w:t>
            </w:r>
          </w:p>
        </w:tc>
        <w:tc>
          <w:tcPr>
            <w:tcW w:w="16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436</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356</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Soybean</w:t>
            </w:r>
          </w:p>
        </w:tc>
        <w:tc>
          <w:tcPr>
            <w:tcW w:w="1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266</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249</w:t>
            </w:r>
          </w:p>
        </w:tc>
        <w:tc>
          <w:tcPr>
            <w:tcW w:w="14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7</w:t>
            </w:r>
          </w:p>
        </w:tc>
        <w:tc>
          <w:tcPr>
            <w:tcW w:w="1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283</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243</w:t>
            </w:r>
          </w:p>
        </w:tc>
        <w:tc>
          <w:tcPr>
            <w:tcW w:w="13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Wheat</w:t>
            </w:r>
          </w:p>
        </w:tc>
        <w:tc>
          <w:tcPr>
            <w:tcW w:w="166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174</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w:t>
            </w:r>
          </w:p>
        </w:tc>
        <w:tc>
          <w:tcPr>
            <w:tcW w:w="144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29</w:t>
            </w:r>
          </w:p>
        </w:tc>
        <w:tc>
          <w:tcPr>
            <w:tcW w:w="16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190</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154</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Soybean oil</w:t>
            </w:r>
          </w:p>
        </w:tc>
        <w:tc>
          <w:tcPr>
            <w:tcW w:w="1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117</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92</w:t>
            </w:r>
          </w:p>
        </w:tc>
        <w:tc>
          <w:tcPr>
            <w:tcW w:w="14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27</w:t>
            </w:r>
          </w:p>
        </w:tc>
        <w:tc>
          <w:tcPr>
            <w:tcW w:w="1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118</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w:t>
            </w:r>
          </w:p>
        </w:tc>
        <w:tc>
          <w:tcPr>
            <w:tcW w:w="13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20</w:t>
            </w:r>
          </w:p>
        </w:tc>
      </w:tr>
    </w:tbl>
    <w:p>
      <w:pPr>
        <w:spacing w:after="0" w:line="9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Agricultural commodity product volumes increased in the third quarter and first nine months of 2015 when compared with the same periods in 2014 due to changes in weather patterns caused by El Niño. Increases in rainfall across the United States during the second and third quarters of 2015 resulted in concerns over planting delays in 2015, which we believe led to increases in volatility within the agricultural commodity markets.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energy products.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80" w:type="dxa"/>
            <w:vAlign w:val="bottom"/>
            <w:gridSpan w:val="2"/>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20" w:type="dxa"/>
            <w:vAlign w:val="bottom"/>
          </w:tcPr>
          <w:p>
            <w:pPr>
              <w:spacing w:after="0"/>
              <w:rPr>
                <w:sz w:val="13"/>
                <w:szCs w:val="13"/>
                <w:color w:val="auto"/>
              </w:rPr>
            </w:pPr>
          </w:p>
        </w:tc>
      </w:tr>
      <w:tr>
        <w:trPr>
          <w:trHeight w:val="194"/>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5"/>
        </w:trPr>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6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14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2015</w:t>
            </w: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3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WTI crude oil</w:t>
            </w:r>
          </w:p>
        </w:tc>
        <w:tc>
          <w:tcPr>
            <w:tcW w:w="166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rPr>
              <w:t>1,001</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719</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39%</w:t>
            </w:r>
          </w:p>
        </w:tc>
        <w:tc>
          <w:tcPr>
            <w:tcW w:w="166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rPr>
              <w:t>1,000</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680</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w:t>
            </w:r>
          </w:p>
        </w:tc>
        <w:tc>
          <w:tcPr>
            <w:tcW w:w="1660" w:type="dxa"/>
            <w:vAlign w:val="bottom"/>
          </w:tcPr>
          <w:p>
            <w:pPr>
              <w:jc w:val="right"/>
              <w:ind w:right="558"/>
              <w:spacing w:after="0"/>
              <w:rPr>
                <w:sz w:val="20"/>
                <w:szCs w:val="20"/>
                <w:color w:val="auto"/>
              </w:rPr>
            </w:pPr>
            <w:r>
              <w:rPr>
                <w:rFonts w:ascii="Times New Roman" w:cs="Times New Roman" w:eastAsia="Times New Roman" w:hAnsi="Times New Roman"/>
                <w:sz w:val="18"/>
                <w:szCs w:val="18"/>
                <w:color w:val="auto"/>
              </w:rPr>
              <w:t>414</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383</w:t>
            </w:r>
          </w:p>
        </w:tc>
        <w:tc>
          <w:tcPr>
            <w:tcW w:w="14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8</w:t>
            </w:r>
          </w:p>
        </w:tc>
        <w:tc>
          <w:tcPr>
            <w:tcW w:w="1660" w:type="dxa"/>
            <w:vAlign w:val="bottom"/>
          </w:tcPr>
          <w:p>
            <w:pPr>
              <w:jc w:val="right"/>
              <w:ind w:right="558"/>
              <w:spacing w:after="0"/>
              <w:rPr>
                <w:sz w:val="20"/>
                <w:szCs w:val="20"/>
                <w:color w:val="auto"/>
              </w:rPr>
            </w:pPr>
            <w:r>
              <w:rPr>
                <w:rFonts w:ascii="Times New Roman" w:cs="Times New Roman" w:eastAsia="Times New Roman" w:hAnsi="Times New Roman"/>
                <w:sz w:val="18"/>
                <w:szCs w:val="18"/>
                <w:color w:val="auto"/>
              </w:rPr>
              <w:t>450</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449</w:t>
            </w:r>
          </w:p>
        </w:tc>
        <w:tc>
          <w:tcPr>
            <w:tcW w:w="13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Refined products</w:t>
            </w:r>
          </w:p>
        </w:tc>
        <w:tc>
          <w:tcPr>
            <w:tcW w:w="166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rPr>
              <w:t>323</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294</w:t>
            </w:r>
          </w:p>
        </w:tc>
        <w:tc>
          <w:tcPr>
            <w:tcW w:w="144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10</w:t>
            </w:r>
          </w:p>
        </w:tc>
        <w:tc>
          <w:tcPr>
            <w:tcW w:w="166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rPr>
              <w:t>327</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289</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Brent crude oil</w:t>
            </w:r>
          </w:p>
        </w:tc>
        <w:tc>
          <w:tcPr>
            <w:tcW w:w="1660" w:type="dxa"/>
            <w:vAlign w:val="bottom"/>
          </w:tcPr>
          <w:p>
            <w:pPr>
              <w:jc w:val="right"/>
              <w:ind w:right="558"/>
              <w:spacing w:after="0"/>
              <w:rPr>
                <w:sz w:val="20"/>
                <w:szCs w:val="20"/>
                <w:color w:val="auto"/>
              </w:rPr>
            </w:pPr>
            <w:r>
              <w:rPr>
                <w:rFonts w:ascii="Times New Roman" w:cs="Times New Roman" w:eastAsia="Times New Roman" w:hAnsi="Times New Roman"/>
                <w:sz w:val="18"/>
                <w:szCs w:val="18"/>
                <w:color w:val="auto"/>
              </w:rPr>
              <w:t>110</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w:t>
            </w:r>
          </w:p>
        </w:tc>
        <w:tc>
          <w:tcPr>
            <w:tcW w:w="14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21</w:t>
            </w:r>
          </w:p>
        </w:tc>
        <w:tc>
          <w:tcPr>
            <w:tcW w:w="1660" w:type="dxa"/>
            <w:vAlign w:val="bottom"/>
          </w:tcPr>
          <w:p>
            <w:pPr>
              <w:jc w:val="right"/>
              <w:ind w:right="558"/>
              <w:spacing w:after="0"/>
              <w:rPr>
                <w:sz w:val="20"/>
                <w:szCs w:val="20"/>
                <w:color w:val="auto"/>
              </w:rPr>
            </w:pPr>
            <w:r>
              <w:rPr>
                <w:rFonts w:ascii="Times New Roman" w:cs="Times New Roman" w:eastAsia="Times New Roman" w:hAnsi="Times New Roman"/>
                <w:sz w:val="18"/>
                <w:szCs w:val="18"/>
                <w:color w:val="auto"/>
              </w:rPr>
              <w:t>112</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13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53</w:t>
            </w:r>
          </w:p>
        </w:tc>
      </w:tr>
    </w:tbl>
    <w:p>
      <w:pPr>
        <w:spacing w:after="0" w:line="90" w:lineRule="exact"/>
        <w:rPr>
          <w:sz w:val="20"/>
          <w:szCs w:val="20"/>
          <w:color w:val="auto"/>
        </w:rPr>
      </w:pPr>
    </w:p>
    <w:p>
      <w:pPr>
        <w:jc w:val="both"/>
        <w:ind w:right="340"/>
        <w:spacing w:after="0" w:line="289" w:lineRule="auto"/>
        <w:rPr>
          <w:sz w:val="20"/>
          <w:szCs w:val="20"/>
          <w:color w:val="auto"/>
        </w:rPr>
      </w:pPr>
      <w:r>
        <w:rPr>
          <w:rFonts w:ascii="Times New Roman" w:cs="Times New Roman" w:eastAsia="Times New Roman" w:hAnsi="Times New Roman"/>
          <w:sz w:val="17"/>
          <w:szCs w:val="17"/>
          <w:color w:val="auto"/>
        </w:rPr>
        <w:t>Overall energy contract volumes increased in the third quarter and first nine months of 2015 when compared with the same periods in 2014 largely due to increases in crude oil trading caused by increased volatility, which we believe resulted from a continuing shift in crude oil supply that began in the fourth quarter of 2014. Additionally, refined products and natural gas contract volumes increased largely due to higher price volatility in the underlying markets.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metal products.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60" w:type="dxa"/>
            <w:vAlign w:val="bottom"/>
            <w:gridSpan w:val="2"/>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92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5"/>
        </w:trPr>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14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3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164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205</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w:t>
            </w:r>
          </w:p>
        </w:tc>
        <w:tc>
          <w:tcPr>
            <w:tcW w:w="14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16%</w:t>
            </w:r>
          </w:p>
        </w:tc>
        <w:tc>
          <w:tcPr>
            <w:tcW w:w="164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202</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Copper</w:t>
            </w:r>
          </w:p>
        </w:tc>
        <w:tc>
          <w:tcPr>
            <w:tcW w:w="16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rPr>
              <w:t>68</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c>
          <w:tcPr>
            <w:tcW w:w="14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26</w:t>
            </w:r>
          </w:p>
        </w:tc>
        <w:tc>
          <w:tcPr>
            <w:tcW w:w="16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rPr>
              <w:t>68</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Silver</w:t>
            </w:r>
          </w:p>
        </w:tc>
        <w:tc>
          <w:tcPr>
            <w:tcW w:w="16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57</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w:t>
            </w:r>
          </w:p>
        </w:tc>
        <w:tc>
          <w:tcPr>
            <w:tcW w:w="14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w:t>
            </w:r>
          </w:p>
        </w:tc>
        <w:tc>
          <w:tcPr>
            <w:tcW w:w="16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60</w:t>
            </w: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39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the market's reaction to the Federal Reserve's ongoing delay in interest rate increases resulted in volatility, causing an increase in gold contract volumes in the third quarter and first nine months of 2015 when compared with the same period of 2014. During 2015, investors turned to gold and other precious metals as a safe haven alternative to the volatile equity markets.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Average Rate per Contract</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average rate per contract increased in the third quarter and first nine months of 2015 when compared with the same periods in 2014 due to shifts in the relative mix of product volume. Agricultural commodity and energy contract volumes, when measured as a percentage of total volume, collectively increased by 3 percentage points in the third quarter of 2015, while interest rate contract volume decreased 7 percentage points. Energy, foreign exchange and agricultural commodity contract volumes, when measured as a percentage of total volume, collectively increased by 3 percentage points in the first nine months of 2015, while interest rate contract volume decreased 3 percentage points. Energy, foreign exchange and agricultural commodity contracts have a higher average rate per contract compared with interest rate contracts.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Cleared-only Swap Contracts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Clearing and transaction fees as presented on the consolidated statements of income include revenues for our cleared-only interest rate swap and credit default swap contracts. In the third quarter of 2015 and 2014, clearing and transaction fees generated from these contracts were $16.3 million and $15.5 million, respectively. In the first nine months of 2015 and 2014, clearing and transaction fees generated from these contracts were $53.8 million and $41.5 million, respectively. The increases in revenues were largely attributable to increased sales efforts centered around customer education.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firm represented 13% of our clearing and transaction fees in the first nine months of 2015.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Sources of Revenue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increases in market data and information services revenues in the third quarter and first nine months of 2015 when compared with the same periods in 2014 were attributable to the reduction of fee waivers for existing customers beginning in 2015. The increases were partially offset by declines in market data subscriber counts attributable to screen count usage adjustments by customer firms as a result of the new market data pricing policies.</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two largest resellers of our market data represented approximately 44% of our market data and information services revenue in the first nine months of 2015.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5"/>
        </w:trPr>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14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3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132.1</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407.3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w:t>
            </w: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24.3</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42.3</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32.2</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99.3</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25.3</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75.7</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32.7</w:t>
            </w: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101.1</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24.7</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71.1</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25.5</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80.2</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37.9</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73.2</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332.0</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994.2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974.5</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expenses increased by $1.9 million and $19.7 million in the third quarter and first nine months of 2015, respectively, when compared with the same periods in 2014. The following table shows the estimated impacts of key factors resulting in changes in operating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00" w:type="dxa"/>
            <w:vAlign w:val="bottom"/>
          </w:tcPr>
          <w:p>
            <w:pPr>
              <w:spacing w:after="0"/>
              <w:rPr>
                <w:sz w:val="13"/>
                <w:szCs w:val="13"/>
                <w:color w:val="auto"/>
              </w:rPr>
            </w:pPr>
          </w:p>
        </w:tc>
        <w:tc>
          <w:tcPr>
            <w:tcW w:w="2520" w:type="dxa"/>
            <w:vAlign w:val="bottom"/>
            <w:gridSpan w:val="3"/>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176"/>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0" w:type="dxa"/>
            <w:vAlign w:val="bottom"/>
          </w:tcPr>
          <w:p>
            <w:pPr>
              <w:spacing w:after="0"/>
              <w:rPr>
                <w:sz w:val="1"/>
                <w:szCs w:val="1"/>
                <w:color w:val="auto"/>
              </w:rPr>
            </w:pPr>
          </w:p>
        </w:tc>
      </w:tr>
      <w:tr>
        <w:trPr>
          <w:trHeight w:val="149"/>
        </w:trPr>
        <w:tc>
          <w:tcPr>
            <w:tcW w:w="5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5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0" w:type="dxa"/>
            <w:vAlign w:val="bottom"/>
          </w:tcPr>
          <w:p>
            <w:pPr>
              <w:spacing w:after="0"/>
              <w:rPr>
                <w:sz w:val="1"/>
                <w:szCs w:val="1"/>
                <w:color w:val="auto"/>
              </w:rPr>
            </w:pPr>
          </w:p>
        </w:tc>
      </w:tr>
      <w:tr>
        <w:trPr>
          <w:trHeight w:val="249"/>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MF Global bankruptcy claim</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Reorganization costs and voluntary exit incentive plan</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License and other fee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taxes and fees</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Bonus expense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rate fluctuation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benefits and employer taxes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expenses, net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increase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overall operating expenses in the third quarter and first nine months of 2015 when compared with the same periods in 2014 were as follows:</w:t>
      </w:r>
    </w:p>
    <w:p>
      <w:pPr>
        <w:spacing w:after="0" w:line="198" w:lineRule="exact"/>
        <w:rPr>
          <w:sz w:val="20"/>
          <w:szCs w:val="20"/>
          <w:color w:val="auto"/>
        </w:rPr>
      </w:pPr>
    </w:p>
    <w:p>
      <w:pPr>
        <w:ind w:left="660" w:right="3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2014, we recognized our claim from the MF Global bankruptcy filing, which occurred in the fourth quarter of 2011, as a reduction of other expenses.</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2015, we recognized severance and other costs related to the closing of the trading floor in the second quarter and a reorganization in the third quarter. In the second quarter of 2014, we recognized expenses associated with our voluntary exit incentive plan.</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licensing and other fee sharing agreements expense in the third quarter and first nine months of 2015 when compared with the same periods in 2014 resulted from higher volumes for equity contracts as well as higher revenue for interest rate swap products.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2015, we recognized additional real estate taxes and fees related to the transfer of the ownership of the NYMEX building, which was acquired in 2008 and sold in 2013.</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expense increased due to performance relative to our 2015 cash earnings target when compared with 2014 performance relative to our 2014 cash earnings target.</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based on company performance that were issued as part of our stock-based compensation program resulted in an increase in stock-based compensation expense in the first nine months of 2015 when compared</w:t>
      </w:r>
    </w:p>
    <w:p>
      <w:pPr>
        <w:sectPr>
          <w:pgSz w:w="11900" w:h="16838" w:orient="portrait"/>
          <w:cols w:equalWidth="0" w:num="1">
            <w:col w:w="11420"/>
          </w:cols>
          <w:pgMar w:left="240" w:top="121"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left="660" w:right="140"/>
        <w:spacing w:after="0" w:line="329" w:lineRule="auto"/>
        <w:rPr>
          <w:sz w:val="20"/>
          <w:szCs w:val="20"/>
          <w:color w:val="auto"/>
        </w:rPr>
      </w:pPr>
      <w:r>
        <w:rPr>
          <w:rFonts w:ascii="Times New Roman" w:cs="Times New Roman" w:eastAsia="Times New Roman" w:hAnsi="Times New Roman"/>
          <w:sz w:val="18"/>
          <w:szCs w:val="18"/>
          <w:color w:val="auto"/>
        </w:rPr>
        <w:t>with the same period in 2014. This increase was partially offset by a decrease in stock-based compensation expense in the third quarter of 2015 due to higher forfeitures resulting from the reorganizations.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Increases in overall operating expenses in the third quarter and first nine months of 2015 when compared with the same periods in 2014 were partially offset by decreases as follows:</w:t>
      </w:r>
    </w:p>
    <w:p>
      <w:pPr>
        <w:spacing w:after="0" w:line="108" w:lineRule="exact"/>
        <w:rPr>
          <w:sz w:val="20"/>
          <w:szCs w:val="20"/>
          <w:color w:val="auto"/>
        </w:rPr>
      </w:pPr>
    </w:p>
    <w:p>
      <w:pPr>
        <w:ind w:left="660" w:right="2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2015, we recognized a net foreign currency loss of $7.2 million, compared with a net loss of $12.8 million in the third quarter of 2014. The reduction in net loss was due to a favorable change in exchange rates on foreign cash balances. Gains and losses from exchange rate fluctuations primarily result when subsidiaries with a U.S. dollar functional currency hold cash as well as certain other monetary assets and liabilities denominated in foreign currencies. We expect to continue to incur gains and losses from exchange rate fluctuations.</w:t>
      </w:r>
    </w:p>
    <w:p>
      <w:pPr>
        <w:spacing w:after="0" w:line="1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non-qualified deferred compensation liability, the impact of which does not affect net income because of an equal and offsetting change in investment income, contributed to a decrease in operating expenses.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expenses decreased as a result of declines in average headcount largely related to reorganizations announced in the fourth quarter of 2014 and the third quarter of 2015 as well as the closing of the trading floor in the second quarter of 2015.</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operating expenses decreased in the third quarter and first nine months of 2015 due to continued efforts towards overall expense reductions.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0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20" w:type="dxa"/>
            <w:vAlign w:val="bottom"/>
          </w:tcPr>
          <w:p>
            <w:pPr>
              <w:spacing w:after="0"/>
              <w:rPr>
                <w:sz w:val="13"/>
                <w:szCs w:val="13"/>
                <w:color w:val="auto"/>
              </w:rPr>
            </w:pPr>
          </w:p>
        </w:tc>
      </w:tr>
      <w:tr>
        <w:trPr>
          <w:trHeight w:val="194"/>
        </w:trPr>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tcPr>
          <w:p>
            <w:pPr>
              <w:spacing w:after="0"/>
              <w:rPr>
                <w:sz w:val="16"/>
                <w:szCs w:val="16"/>
                <w:color w:val="auto"/>
              </w:rPr>
            </w:pPr>
          </w:p>
        </w:tc>
      </w:tr>
      <w:tr>
        <w:trPr>
          <w:trHeight w:val="265"/>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3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Gains (losses) on derivative investments</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34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net earnings (losses) of unconsolidated</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subsidiaries</w:t>
            </w:r>
          </w:p>
        </w:tc>
        <w:tc>
          <w:tcPr>
            <w:tcW w:w="24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13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0"/>
                <w:szCs w:val="20"/>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63.9</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Non-Operating</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3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0.7</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overall decrease in investment income in the third quarter of 2015 when compared with the same period in 2014 was largely due to higher losses on marketable securities related to our non-qualified deferred compensation plan. Gains and losses from securities in the non-qualified deferred compensation plan are offset by an equal amount of compensation and benefits expense. Additionally, we recognized a net loss of $2.5 million on the sale of 3.9 million shares of our investment in BM&amp;FBOVESPA S.A. (BM&amp;FBOVESPA) in the third quarter of 2015. In the first nine months of 2015, we recognized a net gain of $3.4 million on sales of 18.2 million shares of our investment in BM&amp;FBOVESPA. The overall increase in investment income in the first nine months of 2015 was partially offset by a net loss on marketable securities related to our non-qualified deferred compensation plan.</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shows the key impacts in the overall decreases in interest expense and other borrowing costs in the third quarter and first nine months of 2015 when compared with the same periods in 2014: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280" w:type="dxa"/>
            <w:vAlign w:val="bottom"/>
            <w:gridSpan w:val="2"/>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00" w:type="dxa"/>
            <w:vAlign w:val="bottom"/>
            <w:gridSpan w:val="2"/>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5"/>
        </w:trPr>
        <w:tc>
          <w:tcPr>
            <w:tcW w:w="4080" w:type="dxa"/>
            <w:vAlign w:val="bottom"/>
          </w:tcPr>
          <w:p>
            <w:pPr>
              <w:spacing w:after="0"/>
              <w:rPr>
                <w:sz w:val="16"/>
                <w:szCs w:val="16"/>
                <w:color w:val="auto"/>
              </w:rPr>
            </w:pPr>
          </w:p>
        </w:tc>
        <w:tc>
          <w:tcPr>
            <w:tcW w:w="2280" w:type="dxa"/>
            <w:vAlign w:val="bottom"/>
            <w:tcBorders>
              <w:bottom w:val="single" w:sz="8" w:color="auto"/>
            </w:tcBorders>
            <w:gridSpan w:val="2"/>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00" w:type="dxa"/>
            <w:vAlign w:val="bottom"/>
            <w:tcBorders>
              <w:bottom w:val="single" w:sz="8" w:color="auto"/>
            </w:tcBorders>
            <w:gridSpan w:val="2"/>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4"/>
        </w:trPr>
        <w:tc>
          <w:tcPr>
            <w:tcW w:w="40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1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1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borrowings outstanding (in</w:t>
            </w: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millions)</w:t>
            </w:r>
          </w:p>
        </w:tc>
        <w:tc>
          <w:tcPr>
            <w:tcW w:w="11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   2,250.0</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2,112.5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137.5</w:t>
            </w:r>
          </w:p>
        </w:tc>
        <w:tc>
          <w:tcPr>
            <w:tcW w:w="11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   2,283.4</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2,236.6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46.8</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effective yield</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3.71%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(0.44)%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7"/>
        </w:trPr>
        <w:tc>
          <w:tcPr>
            <w:tcW w:w="4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Average cost of borrowings </w:t>
            </w:r>
            <w:r>
              <w:rPr>
                <w:rFonts w:ascii="Times New Roman" w:cs="Times New Roman" w:eastAsia="Times New Roman" w:hAnsi="Times New Roman"/>
                <w:sz w:val="25"/>
                <w:szCs w:val="25"/>
                <w:color w:val="auto"/>
                <w:vertAlign w:val="superscript"/>
              </w:rPr>
              <w:t>(1)</w:t>
            </w:r>
          </w:p>
        </w:tc>
        <w:tc>
          <w:tcPr>
            <w:tcW w:w="11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3.86</w:t>
            </w:r>
          </w:p>
        </w:tc>
        <w:tc>
          <w:tcPr>
            <w:tcW w:w="11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4.36</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(0.50)</w:t>
            </w:r>
          </w:p>
        </w:tc>
        <w:tc>
          <w:tcPr>
            <w:tcW w:w="11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4.05</w:t>
            </w: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4.42</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(0.37)</w:t>
            </w:r>
          </w:p>
        </w:tc>
      </w:tr>
    </w:tbl>
    <w:p>
      <w:pPr>
        <w:spacing w:after="0" w:line="198" w:lineRule="exact"/>
        <w:rPr>
          <w:sz w:val="20"/>
          <w:szCs w:val="20"/>
          <w:color w:val="auto"/>
        </w:rPr>
      </w:pPr>
    </w:p>
    <w:p>
      <w:pPr>
        <w:ind w:left="660" w:right="2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cost of borrowings includes interest, the effective portion of interest rate hedges, discount accretion and debt issuance costs. Commitment fees on line of credit agreements are not included in the average cost of borrowings.</w:t>
      </w:r>
    </w:p>
    <w:p>
      <w:pPr>
        <w:spacing w:after="0" w:line="162" w:lineRule="exact"/>
        <w:rPr>
          <w:sz w:val="20"/>
          <w:szCs w:val="20"/>
          <w:color w:val="auto"/>
        </w:rPr>
      </w:pPr>
    </w:p>
    <w:p>
      <w:pPr>
        <w:jc w:val="both"/>
        <w:ind w:left="60" w:right="420"/>
        <w:spacing w:after="0" w:line="266" w:lineRule="auto"/>
        <w:rPr>
          <w:sz w:val="20"/>
          <w:szCs w:val="20"/>
          <w:color w:val="auto"/>
        </w:rPr>
      </w:pPr>
      <w:r>
        <w:rPr>
          <w:rFonts w:ascii="Times New Roman" w:cs="Times New Roman" w:eastAsia="Times New Roman" w:hAnsi="Times New Roman"/>
          <w:sz w:val="18"/>
          <w:szCs w:val="18"/>
          <w:color w:val="auto"/>
        </w:rPr>
        <w:t>In February 2014, we repaid the $750.0 million 5.75% notes due February 2014, and in April 2015, we repurchased the $612.5 million 4.40% notes due March 2018. In March 2015, we issued $750.0 million 3.0% notes due March 2025. These transactions decreased weighted average effective yield and average cost of borrowings for the third quarter and first nine</w:t>
      </w:r>
    </w:p>
    <w:p>
      <w:pPr>
        <w:sectPr>
          <w:pgSz w:w="11900" w:h="16838" w:orient="portrait"/>
          <w:cols w:equalWidth="0" w:num="1">
            <w:col w:w="11420"/>
          </w:cols>
          <w:pgMar w:left="240" w:top="121"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0" w:right="180"/>
        <w:spacing w:after="0" w:line="266" w:lineRule="auto"/>
        <w:rPr>
          <w:sz w:val="20"/>
          <w:szCs w:val="20"/>
          <w:color w:val="auto"/>
        </w:rPr>
      </w:pPr>
      <w:r>
        <w:rPr>
          <w:rFonts w:ascii="Times New Roman" w:cs="Times New Roman" w:eastAsia="Times New Roman" w:hAnsi="Times New Roman"/>
          <w:sz w:val="18"/>
          <w:szCs w:val="18"/>
          <w:color w:val="auto"/>
        </w:rPr>
        <w:t>months of 2015 when compared with the same periods in 2014. The decreases in interest expense and other borrowing costs caused by a decline in average effective yield and average cost of borrowings were partially offset by increases in weighted average borrowings outstanding in the third quarter and first nine months of 2015 when compared to the same periods in 2014, which resulted from these transactions.</w:t>
      </w:r>
    </w:p>
    <w:p>
      <w:pPr>
        <w:spacing w:after="0" w:line="1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Higher income generated from our S&amp;P/Dow Jones Indices LLC business venture contributed to increases in equity in net earnings (losses) of unconsolidated subsidiaries in the third quarter and first nine months of 2015 when compared with the same periods in 2014.</w:t>
      </w:r>
    </w:p>
    <w:p>
      <w:pPr>
        <w:spacing w:after="0" w:line="10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April 2015, we repurchased the $612.5 million 4.40% notes due 2018 and paid a call premium of $60.5 million. As a result of the transaction, we recognized debt prepayment costs of $61.8 million, including the call premium, as other non-operating income (expense). In the first quarter of 2015, we received a termination fee, net of the portion paid to outside advisers, related to our proposed acquisition of GFI Group Inc. (GFI Group), which was also classified as other non-operating income (expense).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effective tax rates for the periods presented: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934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Quarter Ended September 30</w:t>
            </w:r>
          </w:p>
        </w:tc>
        <w:tc>
          <w:tcPr>
            <w:tcW w:w="86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30.3%</w:t>
            </w:r>
          </w:p>
        </w:tc>
        <w:tc>
          <w:tcPr>
            <w:tcW w:w="1220" w:type="dxa"/>
            <w:vAlign w:val="bottom"/>
            <w:tcBorders>
              <w:bottom w:val="single" w:sz="8" w:color="BFE4FF"/>
            </w:tcBorders>
            <w:shd w:val="clear" w:color="auto" w:fill="BFE4FF"/>
          </w:tcPr>
          <w:p>
            <w:pPr>
              <w:ind w:left="720"/>
              <w:spacing w:after="0"/>
              <w:rPr>
                <w:sz w:val="20"/>
                <w:szCs w:val="20"/>
                <w:color w:val="auto"/>
              </w:rPr>
            </w:pPr>
            <w:r>
              <w:rPr>
                <w:rFonts w:ascii="Times New Roman" w:cs="Times New Roman" w:eastAsia="Times New Roman" w:hAnsi="Times New Roman"/>
                <w:sz w:val="18"/>
                <w:szCs w:val="18"/>
                <w:color w:val="auto"/>
              </w:rPr>
              <w:t>32.4%</w:t>
            </w:r>
          </w:p>
        </w:tc>
      </w:tr>
      <w:tr>
        <w:trPr>
          <w:trHeight w:val="243"/>
        </w:trPr>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35.8</w:t>
            </w:r>
          </w:p>
        </w:tc>
        <w:tc>
          <w:tcPr>
            <w:tcW w:w="1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36.8</w:t>
            </w:r>
          </w:p>
        </w:tc>
      </w:tr>
    </w:tbl>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the third quarter and first nine months of 2015 when compared with the same periods in 2014, the effective tax rates were lower because the deferred income tax benefit resulting from remeasurement of the state and local deferred income tax balances was higher in the third quarter of 2015 compared with similar benefits arising from remeasurement and audit settlements recognized in the third quarter of 2014.</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effective tax rate in the first nine months of 2015 also included additional deferred tax expense recognized due to a state and local income tax law change in the second quarter of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Sources and Uses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operating activities increased in the first nine months of 2015 when compared with the same period of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net cash provided by operating activities was largely attributable to increases in clearing and transaction fees and market data revenues. Net cash used in investing activities decreased in the first nine months of 2015 when compared with the same period of 2014 largely due to proceeds from the sale of shares of our investment in BM&amp;FBOVESPA. Cash used in financing activities was lower in the first nine months of 2015 when compared with the same period in 2014. The decrease was attributable to the issuance of $750.0 million fixed rate notes due March 2025 in the first quarter of 2015, partially offset by the repayment of the $612.5 million fixed rate notes due March 2018 and payment of the call premium in the second quarter of 2015. In the first quarter of 2014, we repaid the $750.0 million fixed rate notes due February 2014.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summarizes our debt outstanding at September 30, 2015: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69"/>
        </w:trPr>
        <w:tc>
          <w:tcPr>
            <w:tcW w:w="742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Fixed rate notes due September 2022, stated rate of 3.00% </w:t>
            </w:r>
            <w:r>
              <w:rPr>
                <w:rFonts w:ascii="Times New Roman" w:cs="Times New Roman" w:eastAsia="Times New Roman" w:hAnsi="Times New Roman"/>
                <w:sz w:val="25"/>
                <w:szCs w:val="25"/>
                <w:color w:val="auto"/>
                <w:vertAlign w:val="superscript"/>
              </w:rPr>
              <w:t>(1)</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750.0</w:t>
            </w:r>
          </w:p>
        </w:tc>
      </w:tr>
      <w:tr>
        <w:trPr>
          <w:trHeight w:val="270"/>
        </w:trPr>
        <w:tc>
          <w:tcPr>
            <w:tcW w:w="74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Fixed rate notes due March 2025, stated rate of 3.00% </w:t>
            </w:r>
            <w:r>
              <w:rPr>
                <w:rFonts w:ascii="Times New Roman" w:cs="Times New Roman" w:eastAsia="Times New Roman" w:hAnsi="Times New Roman"/>
                <w:sz w:val="25"/>
                <w:szCs w:val="25"/>
                <w:color w:val="auto"/>
                <w:vertAlign w:val="superscript"/>
              </w:rPr>
              <w:t>(2)</w:t>
            </w:r>
          </w:p>
        </w:tc>
        <w:tc>
          <w:tcPr>
            <w:tcW w:w="31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750.0</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Fixed rate notes due September 2043, stated rate of 5.30% </w:t>
            </w:r>
            <w:r>
              <w:rPr>
                <w:rFonts w:ascii="Times New Roman" w:cs="Times New Roman" w:eastAsia="Times New Roman" w:hAnsi="Times New Roman"/>
                <w:sz w:val="25"/>
                <w:szCs w:val="25"/>
                <w:color w:val="auto"/>
                <w:vertAlign w:val="superscript"/>
              </w:rPr>
              <w:t>(3)</w:t>
            </w:r>
          </w:p>
        </w:tc>
        <w:tc>
          <w:tcPr>
            <w:tcW w:w="3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750.0</w:t>
            </w:r>
          </w:p>
        </w:tc>
      </w:tr>
    </w:tbl>
    <w:p>
      <w:pPr>
        <w:spacing w:after="0" w:line="198" w:lineRule="exact"/>
        <w:rPr>
          <w:sz w:val="20"/>
          <w:szCs w:val="20"/>
          <w:color w:val="auto"/>
        </w:rPr>
      </w:pPr>
    </w:p>
    <w:p>
      <w:pPr>
        <w:ind w:left="660" w:right="1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2014, we entered into a forward-starting interest rate swap agreement that modified the interest obligation associated with these notes so that the interest payable effectively became fixed at a rate of 3.11%</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2012, we entered into a forward starting interest rate swap agreement that modified the interest obligation associated with these notes so that the interest payable effectively became fixed at a rate of 4.73%.</w:t>
      </w:r>
    </w:p>
    <w:p>
      <w:pPr>
        <w:spacing w:after="0" w:line="13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maintain a $2.3 billion multi-currency revolving senior credit facility with various financial institutions, which matures in March 2020. The proceeds from this facility can be used for general corporate purposes, which includes providing liquidity for our clearing houses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w:t>
      </w:r>
    </w:p>
    <w:p>
      <w:pPr>
        <w:sectPr>
          <w:pgSz w:w="11900" w:h="16838" w:orient="portrait"/>
          <w:cols w:equalWidth="0" w:num="1">
            <w:col w:w="11420"/>
          </w:cols>
          <w:pgMar w:left="240" w:top="121"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penalty. Under this facility, we are required to remain in compliance with a consolidated net worth test, which is defined as our consolidated shareholders' equity at December 31, 2014, giving effect to share repurchases made and special dividends paid during the term of the agreements (and in no event greater than $2.0 billion in aggregate), multiplied by 0.65. We currently do not have any borrowings outstanding under this facility.</w:t>
      </w:r>
    </w:p>
    <w:p>
      <w:pPr>
        <w:spacing w:after="0" w:line="12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maintain a 364-day multi-currency revolving secured credit facility with a consortium of domestic and international banks to be used in certain situations by CME Clearing.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cash or U.S. Treasury securities as well as the performance bond assets of a defaulting firm can be used to collateralize the facility. At September 30, 2015, guaranty funds available to collateralize the facility totaled $7.4 billion. We have the option to request an increase in the line from $7.0 billion to $10.0 billion.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September 30, 2015, we have excess borrowing capacity for general corporate purposes of approximately $2.3 billion under our multi-currency revolving senior credit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2015, we were in compliance with the various covenant requirements of all our debt facilities.</w:t>
      </w:r>
    </w:p>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10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To satisfy our performance bond obligation with Singapore Exchange Limited, we may pledge CME-owned U.S. Treasury securities in lieu of, or in combination with, irrevocable letters of credit. At September 30, 2015, the letters of credit totaled $710.0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credit ratings at September 30, 2015: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358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700" w:type="dxa"/>
            <w:vAlign w:val="bottom"/>
          </w:tcPr>
          <w:p>
            <w:pPr>
              <w:spacing w:after="0"/>
              <w:rPr>
                <w:sz w:val="16"/>
                <w:szCs w:val="16"/>
                <w:color w:val="auto"/>
              </w:rPr>
            </w:pPr>
          </w:p>
        </w:tc>
      </w:tr>
      <w:tr>
        <w:trPr>
          <w:trHeight w:val="208"/>
        </w:trPr>
        <w:tc>
          <w:tcPr>
            <w:tcW w:w="4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Rating Agency</w:t>
            </w:r>
          </w:p>
        </w:tc>
        <w:tc>
          <w:tcPr>
            <w:tcW w:w="358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Standard &amp; Poor’s</w:t>
            </w:r>
          </w:p>
        </w:tc>
        <w:tc>
          <w:tcPr>
            <w:tcW w:w="3580" w:type="dxa"/>
            <w:vAlign w:val="bottom"/>
            <w:tcBorders>
              <w:bottom w:val="single" w:sz="8" w:color="CCEEFF"/>
            </w:tcBorders>
            <w:shd w:val="clear" w:color="auto" w:fill="CCEEFF"/>
          </w:tcPr>
          <w:p>
            <w:pPr>
              <w:jc w:val="center"/>
              <w:ind w:left="1659"/>
              <w:spacing w:after="0"/>
              <w:rPr>
                <w:sz w:val="20"/>
                <w:szCs w:val="20"/>
                <w:color w:val="auto"/>
              </w:rPr>
            </w:pPr>
            <w:r>
              <w:rPr>
                <w:rFonts w:ascii="Times New Roman" w:cs="Times New Roman" w:eastAsia="Times New Roman" w:hAnsi="Times New Roman"/>
                <w:sz w:val="18"/>
                <w:szCs w:val="18"/>
                <w:color w:val="auto"/>
                <w:w w:val="99"/>
              </w:rPr>
              <w:t>A1+</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Stable</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Moody’s Investors Service</w:t>
            </w:r>
          </w:p>
        </w:tc>
        <w:tc>
          <w:tcPr>
            <w:tcW w:w="3580" w:type="dxa"/>
            <w:vAlign w:val="bottom"/>
          </w:tcPr>
          <w:p>
            <w:pPr>
              <w:jc w:val="center"/>
              <w:ind w:left="1659"/>
              <w:spacing w:after="0"/>
              <w:rPr>
                <w:sz w:val="20"/>
                <w:szCs w:val="20"/>
                <w:color w:val="auto"/>
              </w:rPr>
            </w:pPr>
            <w:r>
              <w:rPr>
                <w:rFonts w:ascii="Times New Roman" w:cs="Times New Roman" w:eastAsia="Times New Roman" w:hAnsi="Times New Roman"/>
                <w:sz w:val="18"/>
                <w:szCs w:val="18"/>
                <w:color w:val="auto"/>
              </w:rPr>
              <w:t>P1</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Stable</w:t>
            </w:r>
          </w:p>
        </w:tc>
      </w:tr>
    </w:tbl>
    <w:p>
      <w:pPr>
        <w:spacing w:after="0" w:line="9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4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Liquidity and Cash Management</w:t>
      </w:r>
      <w:r>
        <w:rPr>
          <w:rFonts w:ascii="Times New Roman" w:cs="Times New Roman" w:eastAsia="Times New Roman" w:hAnsi="Times New Roman"/>
          <w:sz w:val="18"/>
          <w:szCs w:val="18"/>
          <w:color w:val="auto"/>
        </w:rPr>
        <w:t>. Cash and cash equivalents totaled $1.4 billion at September 30, 2015 and December 31, 2014. The balance retained 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8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Net current deferred tax assets of $29.2 million and $24.4 million were included in other current assets at September 30, 2015 and December 31, 2014, respectively. Total net current deferred tax assets are primarily attributable to stock-based compensation and accrued expenses.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long-term deferred tax liabilities were $7.3 billion at September 30, 2015 and December 31, 2014. Net deferred tax liabilities are principally the result of purchase accounting for intangible assets in our various mergers, including CBOT Holdings, Inc. and NYMEX Holdings, Inc.</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Valuation allowances of $137.2 million and $99.2 million have been provided on deferred tax assets at September 30, 2015 and December 31, 2014, respectively. At September 30, 2015 and December 31, 2014, valuation allowances were related to certain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domestic net operating losses, foreign net operating losses as well as built in capital losses for which we do not believe that we currently meet the more-likely-than-not-threshold for recognition.</w:t>
      </w:r>
    </w:p>
    <w:p>
      <w:pPr>
        <w:spacing w:after="0" w:line="16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Regulatory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CME is regulated by the U.S. Commodity Futures Trading Commission (CFTC) as a U.S. Derivatives Clearing 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DCO under Title VIII of the Dodd-Frank Wall Street Reform and Consumer Protection Act. As a result, CME must comply with the requirements for financial resources and liquidity resources. CME is in compliance with all DCO financial requirements.</w:t>
      </w:r>
    </w:p>
    <w:p>
      <w:pPr>
        <w:spacing w:after="0" w:line="15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 new standard on revenue recognition that replaces numerous, industry-specific requirements and converges U.S. accounting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new standard was intended to become effective in the first annual period beginning after December 15, 2016, but in August 2015, FASB extended the deadline by one year. This guidance may be adopted using one of two transition methods, which we are still evaluating along with the impact of the new standard on our consolidated financial statements.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April 2015, the FASB issued a standards update that changes the presentation of debt issuance costs. The update requires entities to present debt issuance costs related to a recognized debt liability as a deduction from the carrying value of the debt liability. The update, which applies retrospectively upon adoption, is effective for reporting periods beginning after December 15, 2015. Early adoption is allowed. Adoption of the update will change the presentation of debt issuance costs and the carrying value of debt in our consolidated balance sheets. Adoption of the update is considered a change in accounting policy and will be disclosed accordingly. We believe the change in presentation will be immaterial to our consolidated financial statements.</w:t>
      </w:r>
    </w:p>
    <w:p>
      <w:pPr>
        <w:spacing w:after="0" w:line="207"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2014. Refer to Item 7A. of CME Group’s Annual Report on Form 10-K for the year ended December 31, 2014 for additional information.</w:t>
      </w:r>
    </w:p>
    <w:p>
      <w:pPr>
        <w:spacing w:after="0" w:line="226"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48" w:lineRule="exact"/>
        <w:rPr>
          <w:sz w:val="20"/>
          <w:szCs w:val="20"/>
          <w:color w:val="auto"/>
        </w:rPr>
      </w:pPr>
    </w:p>
    <w:p>
      <w:pPr>
        <w:jc w:val="both"/>
        <w:ind w:right="20" w:firstLine="8"/>
        <w:spacing w:after="0" w:line="261" w:lineRule="auto"/>
        <w:tabs>
          <w:tab w:leader="none" w:pos="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80" w:lineRule="exact"/>
        <w:rPr>
          <w:rFonts w:ascii="Times New Roman" w:cs="Times New Roman" w:eastAsia="Times New Roman" w:hAnsi="Times New Roman"/>
          <w:sz w:val="18"/>
          <w:szCs w:val="18"/>
          <w:color w:val="auto"/>
        </w:rPr>
      </w:pPr>
    </w:p>
    <w:p>
      <w:pPr>
        <w:ind w:right="60" w:firstLine="8"/>
        <w:spacing w:after="0" w:line="25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See “Legal and Regulatory Matters” in Note 6. Contingencies to the Consolidated Financial Statements for updates to CME Group’s existing legal proceedings disclosure which is incorporated herein by reference. Note 6. Contingencies includes updates to the legal proceedings disclosed in the company’s Annual Report on Form 10-K, filed with the SEC on February 26, 2015.</w:t>
      </w:r>
    </w:p>
    <w:p>
      <w:pPr>
        <w:spacing w:after="0" w:line="226"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There have been no material updates to the Risk Factors disclosure included in the company’s Annual Report on Form 10-K, filed with the SEC on February 26, 2015.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42"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Issuer Purchases of Equity Securities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3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 Total Number of Class A</w:t>
            </w:r>
          </w:p>
        </w:tc>
        <w:tc>
          <w:tcPr>
            <w:tcW w:w="22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2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28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 Announced</w:t>
            </w:r>
          </w:p>
        </w:tc>
        <w:tc>
          <w:tcPr>
            <w:tcW w:w="228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195"/>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9"/>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 to July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873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99.43</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 to August 31</w:t>
            </w:r>
          </w:p>
        </w:tc>
        <w:tc>
          <w:tcPr>
            <w:tcW w:w="1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1,867</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93.97</w:t>
            </w:r>
          </w:p>
        </w:tc>
        <w:tc>
          <w:tcPr>
            <w:tcW w:w="238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 to September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153,558</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95.01</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156,298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95.02</w:t>
            </w:r>
          </w:p>
        </w:tc>
        <w:tc>
          <w:tcPr>
            <w:tcW w:w="2040" w:type="dxa"/>
            <w:vAlign w:val="bottom"/>
            <w:tcBorders>
              <w:top w:val="single" w:sz="8" w:color="auto"/>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4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consist of an aggregate of 156,298 shares of Class A common stock surrendered in the third quarter of 2015 to satisfy employees’ tax obligations upon the vesting of restricted stock.</w:t>
      </w:r>
    </w:p>
    <w:p>
      <w:pPr>
        <w:spacing w:after="0" w:line="212"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73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1">
              <w:r>
                <w:rPr>
                  <w:rFonts w:ascii="Times New Roman" w:cs="Times New Roman" w:eastAsia="Times New Roman" w:hAnsi="Times New Roman"/>
                  <w:sz w:val="18"/>
                  <w:szCs w:val="18"/>
                  <w:color w:val="0000EE"/>
                  <w:w w:val="97"/>
                </w:rPr>
                <w:t>Table of Contents</w:t>
              </w:r>
            </w:hyperlink>
          </w:p>
        </w:tc>
        <w:tc>
          <w:tcPr>
            <w:tcW w:w="1240" w:type="dxa"/>
            <w:vAlign w:val="bottom"/>
          </w:tcPr>
          <w:p>
            <w:pPr>
              <w:spacing w:after="0"/>
              <w:rPr>
                <w:sz w:val="17"/>
                <w:szCs w:val="17"/>
                <w:color w:val="auto"/>
              </w:rPr>
            </w:pPr>
          </w:p>
        </w:tc>
        <w:tc>
          <w:tcPr>
            <w:tcW w:w="846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460" w:type="dxa"/>
            <w:vAlign w:val="bottom"/>
          </w:tcPr>
          <w:p>
            <w:pPr>
              <w:spacing w:after="0"/>
              <w:rPr>
                <w:sz w:val="24"/>
                <w:szCs w:val="24"/>
                <w:color w:val="auto"/>
              </w:rPr>
            </w:pPr>
          </w:p>
        </w:tc>
      </w:tr>
      <w:tr>
        <w:trPr>
          <w:trHeight w:val="549"/>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9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Amendment to the Recognition and Retention Plan for Members of the COMEX Division of the New York Mercantile Exchange,</w:t>
            </w:r>
          </w:p>
        </w:tc>
      </w:tr>
      <w:tr>
        <w:trPr>
          <w:trHeight w:val="234"/>
        </w:trPr>
        <w:tc>
          <w:tcPr>
            <w:tcW w:w="1280" w:type="dxa"/>
            <w:vAlign w:val="bottom"/>
          </w:tcPr>
          <w:p>
            <w:pPr>
              <w:spacing w:after="0"/>
              <w:rPr>
                <w:sz w:val="20"/>
                <w:szCs w:val="20"/>
                <w:color w:val="auto"/>
              </w:rPr>
            </w:pPr>
          </w:p>
        </w:tc>
        <w:tc>
          <w:tcPr>
            <w:tcW w:w="9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dated October 22, 2015.</w:t>
            </w:r>
          </w:p>
        </w:tc>
      </w:tr>
      <w:tr>
        <w:trPr>
          <w:trHeight w:val="446"/>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Certification—Phupinder S. Gill</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Certification—John W. Pietrowicz</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240" w:top="108" w:right="679" w:bottom="1440" w:gutter="0" w:footer="0" w:header="0"/>
        </w:sectPr>
      </w:pPr>
    </w:p>
    <w:bookmarkStart w:id="29" w:name="page30"/>
    <w:bookmarkEnd w:id="29"/>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(Registrant)</w:t>
      </w:r>
    </w:p>
    <w:p>
      <w:pPr>
        <w:spacing w:after="0" w:line="369" w:lineRule="exact"/>
        <w:rPr>
          <w:sz w:val="20"/>
          <w:szCs w:val="20"/>
          <w:color w:val="auto"/>
        </w:rPr>
      </w:pPr>
    </w:p>
    <w:p>
      <w:pPr>
        <w:ind w:left="40"/>
        <w:spacing w:after="0"/>
        <w:tabs>
          <w:tab w:leader="none" w:pos="5160" w:val="left"/>
          <w:tab w:leader="none" w:pos="7920" w:val="left"/>
        </w:tabs>
        <w:rPr>
          <w:sz w:val="20"/>
          <w:szCs w:val="20"/>
          <w:color w:val="auto"/>
        </w:rPr>
      </w:pPr>
      <w:r>
        <w:rPr>
          <w:rFonts w:ascii="Times New Roman" w:cs="Times New Roman" w:eastAsia="Times New Roman" w:hAnsi="Times New Roman"/>
          <w:sz w:val="18"/>
          <w:szCs w:val="18"/>
          <w:color w:val="auto"/>
        </w:rPr>
        <w:t>Dated: November 6,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 &amp; Senior Managing</w:t>
      </w:r>
    </w:p>
    <w:p>
      <w:pPr>
        <w:spacing w:after="0" w:line="3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Director Finance</w:t>
      </w:r>
    </w:p>
    <w:p>
      <w:pPr>
        <w:spacing w:after="0" w:line="2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240" w:top="576" w:right="4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u w:val="single" w:color="auto"/>
          <w:color w:val="auto"/>
        </w:rPr>
        <w:t>AMENDMENT TO RECOGNITION AND RETENTION PLAN</w:t>
      </w:r>
    </w:p>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This amendment (the “</w:t>
      </w:r>
      <w:r>
        <w:rPr>
          <w:rFonts w:ascii="Arial" w:cs="Arial" w:eastAsia="Arial" w:hAnsi="Arial"/>
          <w:sz w:val="18"/>
          <w:szCs w:val="18"/>
          <w:u w:val="single" w:color="auto"/>
          <w:color w:val="auto"/>
        </w:rPr>
        <w:t>Amendment</w:t>
      </w:r>
      <w:r>
        <w:rPr>
          <w:rFonts w:ascii="Arial" w:cs="Arial" w:eastAsia="Arial" w:hAnsi="Arial"/>
          <w:sz w:val="18"/>
          <w:szCs w:val="18"/>
          <w:color w:val="auto"/>
        </w:rPr>
        <w:t>”), dated October 22, 2015 (the “</w:t>
      </w:r>
      <w:r>
        <w:rPr>
          <w:rFonts w:ascii="Arial" w:cs="Arial" w:eastAsia="Arial" w:hAnsi="Arial"/>
          <w:sz w:val="18"/>
          <w:szCs w:val="18"/>
          <w:u w:val="single" w:color="auto"/>
          <w:color w:val="auto"/>
        </w:rPr>
        <w:t>Amendment Date</w:t>
      </w:r>
      <w:r>
        <w:rPr>
          <w:rFonts w:ascii="Arial" w:cs="Arial" w:eastAsia="Arial" w:hAnsi="Arial"/>
          <w:sz w:val="18"/>
          <w:szCs w:val="18"/>
          <w:color w:val="auto"/>
        </w:rPr>
        <w:t>”), is made by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the New York Mercantile Exchange (“</w:t>
      </w:r>
      <w:r>
        <w:rPr>
          <w:rFonts w:ascii="Arial" w:cs="Arial" w:eastAsia="Arial" w:hAnsi="Arial"/>
          <w:sz w:val="18"/>
          <w:szCs w:val="18"/>
          <w:u w:val="single" w:color="auto"/>
          <w:color w:val="auto"/>
        </w:rPr>
        <w:t>NYMEX</w:t>
      </w:r>
      <w:r>
        <w:rPr>
          <w:rFonts w:ascii="Arial" w:cs="Arial" w:eastAsia="Arial" w:hAnsi="Arial"/>
          <w:sz w:val="18"/>
          <w:szCs w:val="18"/>
          <w:color w:val="auto"/>
        </w:rPr>
        <w:t>”). On August 3, 1994, NYMEX adopted the Recognition and Retention Plan for Members of the COMEX Division of New York Mercantile Exchange (the “</w:t>
      </w:r>
      <w:r>
        <w:rPr>
          <w:rFonts w:ascii="Arial" w:cs="Arial" w:eastAsia="Arial" w:hAnsi="Arial"/>
          <w:sz w:val="18"/>
          <w:szCs w:val="18"/>
          <w:u w:val="single" w:color="auto"/>
          <w:color w:val="auto"/>
        </w:rPr>
        <w:t>Plan</w:t>
      </w:r>
      <w:r>
        <w:rPr>
          <w:rFonts w:ascii="Arial" w:cs="Arial" w:eastAsia="Arial" w:hAnsi="Arial"/>
          <w:sz w:val="18"/>
          <w:szCs w:val="18"/>
          <w:color w:val="auto"/>
        </w:rPr>
        <w:t>”). This Amendment modifies the terms of that Plan.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14" w:lineRule="exact"/>
        <w:rPr>
          <w:sz w:val="20"/>
          <w:szCs w:val="20"/>
          <w:color w:val="auto"/>
        </w:rPr>
      </w:pPr>
    </w:p>
    <w:p>
      <w:pPr>
        <w:ind w:left="660" w:hanging="328"/>
        <w:spacing w:after="0" w:line="323"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WHEREAS, pursuant to Article VI, Section 3 of the Plan, the Board has the power to amend the Plan upon the affirmative vote of a majority of the members of the Board; and</w:t>
      </w:r>
    </w:p>
    <w:p>
      <w:pPr>
        <w:spacing w:after="0" w:line="104" w:lineRule="exact"/>
        <w:rPr>
          <w:rFonts w:ascii="Arial" w:cs="Arial" w:eastAsia="Arial" w:hAnsi="Arial"/>
          <w:sz w:val="18"/>
          <w:szCs w:val="18"/>
          <w:b w:val="1"/>
          <w:bCs w:val="1"/>
          <w:color w:val="auto"/>
        </w:rPr>
      </w:pPr>
    </w:p>
    <w:p>
      <w:pPr>
        <w:ind w:left="660" w:right="20" w:hanging="328"/>
        <w:spacing w:after="0" w:line="323"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WHEREAS, the Board has determined that, in compliance with Article V, Section 3(f) of the Plan, that this Amendment is not “to the detriment of the benefits” of any Participant (as defined in the Plan); and</w:t>
      </w:r>
    </w:p>
    <w:p>
      <w:pPr>
        <w:spacing w:after="0" w:line="104" w:lineRule="exact"/>
        <w:rPr>
          <w:rFonts w:ascii="Arial" w:cs="Arial" w:eastAsia="Arial" w:hAnsi="Arial"/>
          <w:sz w:val="18"/>
          <w:szCs w:val="18"/>
          <w:b w:val="1"/>
          <w:bCs w:val="1"/>
          <w:color w:val="auto"/>
        </w:rPr>
      </w:pPr>
    </w:p>
    <w:p>
      <w:pPr>
        <w:jc w:val="both"/>
        <w:ind w:left="660" w:hanging="328"/>
        <w:spacing w:after="0" w:line="295"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WHEREAS, Article V, Section 3(c) requires NYMEX to pay certain amounts on an annual basis into the Account (as defined in the Plan) and the Board desires to amend such requirements and replace such annual requirements with a current lump sum payment intended to preserve the assets of the Account at an actuarially determined level to cover all future payments to Participants (as defined in the Plan) and/or their Beneficiaries (as defined in the Plan) under the Plan; and</w:t>
      </w:r>
    </w:p>
    <w:p>
      <w:pPr>
        <w:spacing w:after="0" w:line="130" w:lineRule="exact"/>
        <w:rPr>
          <w:rFonts w:ascii="Arial" w:cs="Arial" w:eastAsia="Arial" w:hAnsi="Arial"/>
          <w:sz w:val="18"/>
          <w:szCs w:val="18"/>
          <w:b w:val="1"/>
          <w:bCs w:val="1"/>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WHEREAS the Board now wishes to amend the terms of the Plan as provided hereto.</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notwithstanding any prior agreements, the Board hereby amends the Plan as follows:</w:t>
      </w:r>
    </w:p>
    <w:p>
      <w:pPr>
        <w:spacing w:after="0" w:line="212" w:lineRule="exact"/>
        <w:rPr>
          <w:sz w:val="20"/>
          <w:szCs w:val="20"/>
          <w:color w:val="auto"/>
        </w:rPr>
      </w:pPr>
    </w:p>
    <w:p>
      <w:pPr>
        <w:jc w:val="both"/>
        <w:ind w:left="660" w:hanging="328"/>
        <w:spacing w:after="0" w:line="30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 Annual Payments</w:t>
      </w:r>
      <w:r>
        <w:rPr>
          <w:rFonts w:ascii="Arial" w:cs="Arial" w:eastAsia="Arial" w:hAnsi="Arial"/>
          <w:sz w:val="18"/>
          <w:szCs w:val="18"/>
          <w:color w:val="auto"/>
        </w:rPr>
        <w:t>. Beginning on the Amendment Date and as a result of the payment described in Section 2 below but subject to Section 3 below, NYMEX shall no longer be required to make any annual payments to the Account in connection with the provisions of Article V, Section 3(c) of the Plan.</w:t>
      </w:r>
    </w:p>
    <w:p>
      <w:pPr>
        <w:spacing w:after="0" w:line="123"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Lump Sum Payment</w:t>
      </w:r>
      <w:r>
        <w:rPr>
          <w:rFonts w:ascii="Arial" w:cs="Arial" w:eastAsia="Arial" w:hAnsi="Arial"/>
          <w:sz w:val="18"/>
          <w:szCs w:val="18"/>
          <w:color w:val="auto"/>
        </w:rPr>
        <w:t>. Before December 31, 2015, NYMEX shall make a one-time payment to the Account in an amount intended to preserve the assets of the Account at an actuarially determined level to cover all future payments to Participants (as defined in the Plan) and/or their Beneficiaries (as defined in the Plan) under the Plan.</w:t>
      </w:r>
    </w:p>
    <w:p>
      <w:pPr>
        <w:spacing w:after="0" w:line="123" w:lineRule="exact"/>
        <w:rPr>
          <w:rFonts w:ascii="Arial" w:cs="Arial" w:eastAsia="Arial" w:hAnsi="Arial"/>
          <w:sz w:val="18"/>
          <w:szCs w:val="18"/>
          <w:color w:val="auto"/>
        </w:rPr>
      </w:pPr>
    </w:p>
    <w:p>
      <w:pPr>
        <w:jc w:val="both"/>
        <w:ind w:left="660" w:hanging="328"/>
        <w:spacing w:after="0" w:line="28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Resumption of Annual Payments; Availability of General Corporate Funds</w:t>
      </w:r>
      <w:r>
        <w:rPr>
          <w:rFonts w:ascii="Arial" w:cs="Arial" w:eastAsia="Arial" w:hAnsi="Arial"/>
          <w:sz w:val="18"/>
          <w:szCs w:val="18"/>
          <w:color w:val="auto"/>
        </w:rPr>
        <w:t>. In the event of a future shortfall in the Account as payments under the Plan become due, NYMEX shall resume annual payments required by Article V, Section 3(c) of the Plan until the plan is funded to an amount capable of preserving the assets of the Account at an actuarially determined level to cover all future payments to Participants (as defined in the Plan) and/or their Beneficiaries (as defined in the Plan) under the Plan. In addition, before the Account is fully funded, NYMEX may pay any amounts owed to Participants from the general corporate funds of NYMEX or make any additional contributions to the Account at their discretion. To the extent the Account is fully funded pursuant to Sections 2 and 3 hereto, Article V, Section 3(g) shall be of no further force and effect.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371" w:right="239" w:bottom="1440" w:gutter="0" w:footer="0" w:header="0"/>
        </w:sectPr>
      </w:pPr>
    </w:p>
    <w:bookmarkStart w:id="31" w:name="page32"/>
    <w:bookmarkEnd w:id="31"/>
    <w:p>
      <w:pPr>
        <w:jc w:val="both"/>
        <w:ind w:left="660" w:hanging="328"/>
        <w:spacing w:after="0" w:line="30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Plan Otherwise Unaffected.</w:t>
      </w:r>
      <w:r>
        <w:rPr>
          <w:rFonts w:ascii="Arial" w:cs="Arial" w:eastAsia="Arial" w:hAnsi="Arial"/>
          <w:sz w:val="18"/>
          <w:szCs w:val="18"/>
          <w:color w:val="auto"/>
        </w:rPr>
        <w:t xml:space="preserve"> Except as specifically set forth above in this Amendment, the Plan is otherwise unaffected and shall continue in full force and effect in accordance with its terms and the recitals set forth above are hereby incorporated into this Amendment. To the extent that there is a conflict between this Amendment and the Plan, the terms of this Amendment will prevail.</w:t>
      </w:r>
    </w:p>
    <w:p>
      <w:pPr>
        <w:spacing w:after="0" w:line="123" w:lineRule="exact"/>
        <w:rPr>
          <w:rFonts w:ascii="Arial" w:cs="Arial" w:eastAsia="Arial" w:hAnsi="Arial"/>
          <w:sz w:val="18"/>
          <w:szCs w:val="18"/>
          <w:color w:val="auto"/>
        </w:rPr>
      </w:pPr>
    </w:p>
    <w:p>
      <w:pPr>
        <w:ind w:left="660" w:right="20" w:hanging="328"/>
        <w:spacing w:after="0" w:line="32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All of such counterparts together shall constitute one document at such time as the counterparts are executed.</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hereby authorizes any member of the Retirement Committee to sign and adopt the foregoing amendment to the Plan.</w:t>
      </w:r>
    </w:p>
    <w:p>
      <w:pPr>
        <w:spacing w:after="0" w:line="212" w:lineRule="exact"/>
        <w:rPr>
          <w:sz w:val="20"/>
          <w:szCs w:val="20"/>
          <w:color w:val="auto"/>
        </w:rPr>
      </w:pPr>
    </w:p>
    <w:p>
      <w:pPr>
        <w:ind w:firstLine="324"/>
        <w:spacing w:after="0" w:line="323" w:lineRule="auto"/>
        <w:rPr>
          <w:sz w:val="20"/>
          <w:szCs w:val="20"/>
          <w:color w:val="auto"/>
        </w:rPr>
      </w:pPr>
      <w:r>
        <w:rPr>
          <w:rFonts w:ascii="Arial" w:cs="Arial" w:eastAsia="Arial" w:hAnsi="Arial"/>
          <w:sz w:val="18"/>
          <w:szCs w:val="18"/>
          <w:color w:val="auto"/>
        </w:rPr>
        <w:t>IN WITNESS WHEREOF, the undersigned, a member of the Retirement Committee, hereby adopts the foregoing amendment to the Plan effective the 22 day of October 2015.</w:t>
      </w: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 Hilda Harris Piell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Retirement Committee Member</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73"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Phupinder S. Gill, certify that:</w:t>
      </w:r>
    </w:p>
    <w:p>
      <w:pPr>
        <w:spacing w:after="0" w:line="171" w:lineRule="exact"/>
        <w:rPr>
          <w:sz w:val="20"/>
          <w:szCs w:val="20"/>
          <w:color w:val="auto"/>
        </w:rPr>
      </w:pPr>
    </w:p>
    <w:p>
      <w:pPr>
        <w:ind w:left="840" w:hanging="184"/>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171" w:lineRule="exact"/>
        <w:rPr>
          <w:rFonts w:ascii="Times New Roman" w:cs="Times New Roman" w:eastAsia="Times New Roman" w:hAnsi="Times New Roman"/>
          <w:sz w:val="18"/>
          <w:szCs w:val="18"/>
          <w:color w:val="auto"/>
        </w:rPr>
      </w:pPr>
    </w:p>
    <w:p>
      <w:pPr>
        <w:ind w:right="120" w:firstLine="656"/>
        <w:spacing w:after="0" w:line="282" w:lineRule="auto"/>
        <w:tabs>
          <w:tab w:leader="none" w:pos="8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80" w:firstLine="656"/>
        <w:spacing w:after="0" w:line="282" w:lineRule="auto"/>
        <w:tabs>
          <w:tab w:leader="none" w:pos="8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260" w:firstLine="656"/>
        <w:spacing w:after="0" w:line="266" w:lineRule="auto"/>
        <w:tabs>
          <w:tab w:leader="none" w:pos="8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360" w:firstLine="656"/>
        <w:spacing w:after="0" w:line="266" w:lineRule="auto"/>
        <w:tabs>
          <w:tab w:leader="none" w:pos="8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right="20" w:firstLine="656"/>
        <w:spacing w:after="0" w:line="266" w:lineRule="auto"/>
        <w:tabs>
          <w:tab w:leader="none" w:pos="8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880" w:firstLine="656"/>
        <w:spacing w:after="0" w:line="282" w:lineRule="auto"/>
        <w:tabs>
          <w:tab w:leader="none" w:pos="8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140" w:firstLine="656"/>
        <w:spacing w:after="0" w:line="266" w:lineRule="auto"/>
        <w:tabs>
          <w:tab w:leader="none" w:pos="8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656"/>
        <w:spacing w:after="0" w:line="282" w:lineRule="auto"/>
        <w:tabs>
          <w:tab w:leader="none" w:pos="8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8" w:lineRule="exact"/>
        <w:rPr>
          <w:sz w:val="20"/>
          <w:szCs w:val="20"/>
          <w:color w:val="auto"/>
        </w:rPr>
      </w:pPr>
    </w:p>
    <w:p>
      <w:pPr>
        <w:ind w:right="260" w:firstLine="656"/>
        <w:spacing w:after="0" w:line="282" w:lineRule="auto"/>
        <w:tabs>
          <w:tab w:leader="none" w:pos="83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20" w:firstLine="656"/>
        <w:spacing w:after="0" w:line="282" w:lineRule="auto"/>
        <w:tabs>
          <w:tab w:leader="none" w:pos="8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Dated: November 6, 2015</w:t>
      </w:r>
      <w:r>
        <w:rPr>
          <w:sz w:val="20"/>
          <w:szCs w:val="20"/>
          <w:color w:val="auto"/>
        </w:rPr>
        <w:tab/>
      </w:r>
      <w:r>
        <w:rPr>
          <w:rFonts w:ascii="Times New Roman" w:cs="Times New Roman" w:eastAsia="Times New Roman" w:hAnsi="Times New Roman"/>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Phupinder S. Gill</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420"/>
          </w:cols>
          <w:pgMar w:left="240" w:top="657"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Pietrowicz, certify that:</w:t>
      </w:r>
    </w:p>
    <w:p>
      <w:pPr>
        <w:spacing w:after="0" w:line="171" w:lineRule="exact"/>
        <w:rPr>
          <w:sz w:val="20"/>
          <w:szCs w:val="20"/>
          <w:color w:val="auto"/>
        </w:rPr>
      </w:pPr>
    </w:p>
    <w:p>
      <w:pPr>
        <w:ind w:left="840" w:hanging="184"/>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171" w:lineRule="exact"/>
        <w:rPr>
          <w:rFonts w:ascii="Times New Roman" w:cs="Times New Roman" w:eastAsia="Times New Roman" w:hAnsi="Times New Roman"/>
          <w:sz w:val="18"/>
          <w:szCs w:val="18"/>
          <w:color w:val="auto"/>
        </w:rPr>
      </w:pPr>
    </w:p>
    <w:p>
      <w:pPr>
        <w:ind w:right="120" w:firstLine="656"/>
        <w:spacing w:after="0" w:line="282" w:lineRule="auto"/>
        <w:tabs>
          <w:tab w:leader="none" w:pos="8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80" w:firstLine="656"/>
        <w:spacing w:after="0" w:line="282" w:lineRule="auto"/>
        <w:tabs>
          <w:tab w:leader="none" w:pos="8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260" w:firstLine="656"/>
        <w:spacing w:after="0" w:line="266" w:lineRule="auto"/>
        <w:tabs>
          <w:tab w:leader="none" w:pos="8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360" w:firstLine="656"/>
        <w:spacing w:after="0" w:line="266" w:lineRule="auto"/>
        <w:tabs>
          <w:tab w:leader="none" w:pos="8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right="20" w:firstLine="656"/>
        <w:spacing w:after="0" w:line="266" w:lineRule="auto"/>
        <w:tabs>
          <w:tab w:leader="none" w:pos="8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880" w:firstLine="656"/>
        <w:spacing w:after="0" w:line="282" w:lineRule="auto"/>
        <w:tabs>
          <w:tab w:leader="none" w:pos="8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140" w:firstLine="656"/>
        <w:spacing w:after="0" w:line="266" w:lineRule="auto"/>
        <w:tabs>
          <w:tab w:leader="none" w:pos="8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656"/>
        <w:spacing w:after="0" w:line="282" w:lineRule="auto"/>
        <w:tabs>
          <w:tab w:leader="none" w:pos="8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8" w:lineRule="exact"/>
        <w:rPr>
          <w:sz w:val="20"/>
          <w:szCs w:val="20"/>
          <w:color w:val="auto"/>
        </w:rPr>
      </w:pPr>
    </w:p>
    <w:p>
      <w:pPr>
        <w:ind w:right="260" w:firstLine="656"/>
        <w:spacing w:after="0" w:line="282" w:lineRule="auto"/>
        <w:tabs>
          <w:tab w:leader="none" w:pos="8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20" w:firstLine="656"/>
        <w:spacing w:after="0" w:line="282" w:lineRule="auto"/>
        <w:tabs>
          <w:tab w:leader="none" w:pos="8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18"/>
          <w:szCs w:val="18"/>
          <w:color w:val="auto"/>
        </w:rPr>
        <w:t>Dated: November 6, 2015</w:t>
      </w:r>
      <w:r>
        <w:rPr>
          <w:sz w:val="20"/>
          <w:szCs w:val="20"/>
          <w:color w:val="auto"/>
        </w:rPr>
        <w:tab/>
      </w:r>
      <w:r>
        <w:rPr>
          <w:rFonts w:ascii="Times New Roman" w:cs="Times New Roman" w:eastAsia="Times New Roman" w:hAnsi="Times New Roman"/>
          <w:sz w:val="17"/>
          <w:szCs w:val="17"/>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John W. Pietrowicz</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420"/>
          </w:cols>
          <w:pgMar w:left="240" w:top="657"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CME Group Inc. (the “Company”) for the quarter ended September 30, 2015 as filed with the Securities and Exchange Commission on the date hereof (the “Report”), Phupinder S. Gill,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126" w:lineRule="exact"/>
        <w:rPr>
          <w:sz w:val="20"/>
          <w:szCs w:val="20"/>
          <w:color w:val="auto"/>
        </w:rPr>
      </w:pPr>
    </w:p>
    <w:p>
      <w:pPr>
        <w:ind w:left="1560" w:hanging="255"/>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 Phupinder S. Gill</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John W. Pietrowicz</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2015</w:t>
      </w:r>
    </w:p>
    <w:p>
      <w:pPr>
        <w:spacing w:after="0" w:line="17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108"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upperLetter"/>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4"/>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5"/>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5"/>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2019-12-29T15:20:38Z</dcterms:created>
  <dcterms:modified xsi:type="dcterms:W3CDTF">2019-12-29T15:20:38Z</dcterms:modified>
</cp:coreProperties>
</file>