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OR -</w:t>
      </w:r>
    </w:p>
    <w:p>
      <w:pPr>
        <w:spacing w:after="0" w:line="31"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CME GROUP INC.</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36-4459170</w:t>
      </w:r>
    </w:p>
    <w:p>
      <w:pPr>
        <w:spacing w:after="0" w:line="8" w:lineRule="exact"/>
        <w:rPr>
          <w:sz w:val="24"/>
          <w:szCs w:val="24"/>
          <w:color w:val="auto"/>
        </w:rPr>
      </w:pPr>
    </w:p>
    <w:p>
      <w:pPr>
        <w:ind w:left="1180"/>
        <w:spacing w:after="0"/>
        <w:tabs>
          <w:tab w:leader="none" w:pos="79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140"/>
        <w:spacing w:after="0"/>
        <w:tabs>
          <w:tab w:leader="none" w:pos="78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84"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Arial" w:cs="Arial" w:eastAsia="Arial" w:hAnsi="Arial"/>
          <w:sz w:val="18"/>
          <w:szCs w:val="18"/>
          <w:b w:val="1"/>
          <w:bCs w:val="1"/>
          <w:color w:val="auto"/>
        </w:rPr>
        <w:t>20 South Wacker Drive</w:t>
      </w:r>
      <w:r>
        <w:rPr>
          <w:sz w:val="20"/>
          <w:szCs w:val="20"/>
          <w:color w:val="auto"/>
        </w:rPr>
        <w:tab/>
      </w:r>
      <w:r>
        <w:rPr>
          <w:rFonts w:ascii="Arial" w:cs="Arial" w:eastAsia="Arial" w:hAnsi="Arial"/>
          <w:sz w:val="18"/>
          <w:szCs w:val="18"/>
          <w:b w:val="1"/>
          <w:bCs w:val="1"/>
          <w:color w:val="auto"/>
        </w:rPr>
        <w:t>Chicago</w:t>
      </w:r>
      <w:r>
        <w:rPr>
          <w:sz w:val="20"/>
          <w:szCs w:val="20"/>
          <w:color w:val="auto"/>
        </w:rPr>
        <w:tab/>
      </w:r>
      <w:r>
        <w:rPr>
          <w:rFonts w:ascii="Arial" w:cs="Arial" w:eastAsia="Arial" w:hAnsi="Arial"/>
          <w:sz w:val="18"/>
          <w:szCs w:val="18"/>
          <w:b w:val="1"/>
          <w:bCs w:val="1"/>
          <w:color w:val="auto"/>
        </w:rPr>
        <w:t>Illinois</w:t>
      </w:r>
      <w:r>
        <w:rPr>
          <w:sz w:val="20"/>
          <w:szCs w:val="20"/>
          <w:color w:val="auto"/>
        </w:rPr>
        <w:tab/>
      </w:r>
      <w:r>
        <w:rPr>
          <w:rFonts w:ascii="Arial" w:cs="Arial" w:eastAsia="Arial" w:hAnsi="Arial"/>
          <w:sz w:val="15"/>
          <w:szCs w:val="15"/>
          <w:b w:val="1"/>
          <w:bCs w:val="1"/>
          <w:color w:val="auto"/>
        </w:rPr>
        <w:t>60606</w:t>
      </w:r>
    </w:p>
    <w:p>
      <w:pPr>
        <w:spacing w:after="0" w:line="27" w:lineRule="exact"/>
        <w:rPr>
          <w:sz w:val="24"/>
          <w:szCs w:val="24"/>
          <w:color w:val="auto"/>
        </w:rPr>
      </w:pPr>
    </w:p>
    <w:p>
      <w:pPr>
        <w:ind w:left="186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930-1000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5"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8"/>
                <w:szCs w:val="18"/>
                <w:color w:val="auto"/>
                <w:w w:val="94"/>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48" w:lineRule="exact"/>
        <w:rPr>
          <w:sz w:val="24"/>
          <w:szCs w:val="24"/>
          <w:color w:val="auto"/>
        </w:rPr>
      </w:pPr>
    </w:p>
    <w:p>
      <w:pPr>
        <w:ind w:right="120" w:firstLine="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4" w:lineRule="exact"/>
        <w:rPr>
          <w:sz w:val="24"/>
          <w:szCs w:val="24"/>
          <w:color w:val="auto"/>
        </w:rPr>
      </w:pPr>
    </w:p>
    <w:p>
      <w:pPr>
        <w:ind w:right="180" w:firstLine="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1440" w:val="left"/>
          <w:tab w:leader="none" w:pos="2140" w:val="left"/>
        </w:tabs>
        <w:rPr>
          <w:sz w:val="20"/>
          <w:szCs w:val="20"/>
          <w:color w:val="auto"/>
        </w:rPr>
      </w:pPr>
      <w:r>
        <w:rPr>
          <w:rFonts w:ascii="Arial" w:cs="Arial" w:eastAsia="Arial" w:hAnsi="Arial"/>
          <w:sz w:val="18"/>
          <w:szCs w:val="18"/>
          <w:color w:val="auto"/>
        </w:rPr>
        <w:t>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54" w:lineRule="exact"/>
        <w:rPr>
          <w:sz w:val="24"/>
          <w:szCs w:val="24"/>
          <w:color w:val="auto"/>
        </w:rPr>
      </w:pPr>
    </w:p>
    <w:p>
      <w:pPr>
        <w:ind w:right="140" w:firstLine="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Arial" w:cs="Arial" w:eastAsia="Arial" w:hAnsi="Arial"/>
                <w:sz w:val="16"/>
                <w:szCs w:val="16"/>
                <w:color w:val="auto"/>
                <w:w w:val="92"/>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Arial" w:cs="Arial" w:eastAsia="Arial" w:hAnsi="Arial"/>
                <w:sz w:val="16"/>
                <w:szCs w:val="16"/>
                <w:color w:val="auto"/>
                <w:w w:val="93"/>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8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1" w:lineRule="exact"/>
        <w:rPr>
          <w:sz w:val="24"/>
          <w:szCs w:val="24"/>
          <w:color w:val="auto"/>
        </w:rPr>
      </w:pPr>
    </w:p>
    <w:p>
      <w:pPr>
        <w:ind w:firstLine="162"/>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220"/>
        <w:spacing w:after="0" w:line="207" w:lineRule="exact"/>
        <w:tabs>
          <w:tab w:leader="none" w:pos="2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each of the registrant’s classes of common stock as of October 11, 2023 was as follows: 359,989,838 shares of</w:t>
      </w:r>
    </w:p>
    <w:p>
      <w:pPr>
        <w:spacing w:after="0" w:line="19" w:lineRule="exact"/>
        <w:rPr>
          <w:sz w:val="24"/>
          <w:szCs w:val="24"/>
          <w:color w:val="auto"/>
        </w:rPr>
      </w:pPr>
    </w:p>
    <w:p>
      <w:pPr>
        <w:ind w:right="100"/>
        <w:spacing w:after="0" w:line="260" w:lineRule="auto"/>
        <w:rPr>
          <w:sz w:val="20"/>
          <w:szCs w:val="20"/>
          <w:color w:val="auto"/>
        </w:rPr>
      </w:pPr>
      <w:r>
        <w:rPr>
          <w:rFonts w:ascii="Arial" w:cs="Arial" w:eastAsia="Arial" w:hAnsi="Arial"/>
          <w:sz w:val="18"/>
          <w:szCs w:val="18"/>
          <w:color w:val="auto"/>
        </w:rPr>
        <w:t>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19"/>
          </w:tcPr>
          <w:p>
            <w:pPr>
              <w:spacing w:after="0"/>
              <w:rPr>
                <w:sz w:val="20"/>
                <w:szCs w:val="20"/>
                <w:color w:val="auto"/>
              </w:rPr>
            </w:pPr>
            <w:r>
              <w:rPr>
                <w:rFonts w:ascii="Arial" w:cs="Arial" w:eastAsia="Arial" w:hAnsi="Arial"/>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Item 1.</w:t>
            </w:r>
          </w:p>
        </w:tc>
        <w:tc>
          <w:tcPr>
            <w:tcW w:w="14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b w:val="1"/>
                <w:bCs w:val="1"/>
                <w:color w:val="0000FF"/>
                <w:w w:val="89"/>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Arial" w:cs="Arial" w:eastAsia="Arial" w:hAnsi="Arial"/>
                <w:sz w:val="16"/>
                <w:szCs w:val="16"/>
                <w:color w:val="0000FF"/>
              </w:rPr>
              <w:t>Consolidated Balance Sheets at September 30, 2023 and December 31, 2022</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0"/>
              </w:rPr>
              <w:t>Consolidated Statements of Income for the Quarters and Nine Months Ended September 30, 2023 and 2022</w:t>
            </w:r>
          </w:p>
        </w:tc>
        <w:tc>
          <w:tcPr>
            <w:tcW w:w="2620" w:type="dxa"/>
            <w:vAlign w:val="bottom"/>
            <w:gridSpan w:val="3"/>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Arial" w:cs="Arial" w:eastAsia="Arial" w:hAnsi="Arial"/>
                <w:sz w:val="16"/>
                <w:szCs w:val="16"/>
                <w:color w:val="0000FF"/>
              </w:rPr>
              <w:t>Consolidated Statements of Comprehensive Income for the Quarters and Nine Months Ended September 30, 2023 and 2022</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2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6"/>
                <w:szCs w:val="16"/>
                <w:color w:val="0000FF"/>
                <w:w w:val="90"/>
              </w:rPr>
              <w:t>Consolidated Statements of Equity for the Quarters and Nine Months Ended September 30, 2023 and 2022</w:t>
            </w:r>
          </w:p>
        </w:tc>
        <w:tc>
          <w:tcPr>
            <w:tcW w:w="1100" w:type="dxa"/>
            <w:vAlign w:val="bottom"/>
            <w:tcBorders>
              <w:top w:val="single" w:sz="8" w:color="0000FF"/>
            </w:tcBorders>
            <w:gridSpan w:val="3"/>
          </w:tcPr>
          <w:p>
            <w:pPr>
              <w:spacing w:after="0"/>
              <w:rPr>
                <w:sz w:val="22"/>
                <w:szCs w:val="22"/>
                <w:color w:val="auto"/>
              </w:rPr>
            </w:pPr>
          </w:p>
        </w:tc>
        <w:tc>
          <w:tcPr>
            <w:tcW w:w="15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0"/>
              </w:rPr>
              <w:t>Consolidated Statements of Cash Flows for the Nine Months Ended September 30, 2023 and 2022</w:t>
            </w:r>
          </w:p>
        </w:tc>
        <w:tc>
          <w:tcPr>
            <w:tcW w:w="3220" w:type="dxa"/>
            <w:vAlign w:val="bottom"/>
            <w:gridSpan w:val="5"/>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Arial" w:cs="Arial" w:eastAsia="Arial" w:hAnsi="Arial"/>
                <w:sz w:val="16"/>
                <w:szCs w:val="16"/>
                <w:color w:val="0000FF"/>
              </w:rPr>
              <w:t>Notes to Unaudited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8"/>
          </w:tcPr>
          <w:p>
            <w:pPr>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b w:val="1"/>
                <w:bCs w:val="1"/>
                <w:color w:val="0000FF"/>
                <w:w w:val="92"/>
              </w:rPr>
              <w:t>Quantitative and Qualitative Disclosures About Market Risk</w:t>
            </w:r>
          </w:p>
        </w:tc>
        <w:tc>
          <w:tcPr>
            <w:tcW w:w="1940" w:type="dxa"/>
            <w:vAlign w:val="bottom"/>
            <w:tcBorders>
              <w:top w:val="single" w:sz="8" w:color="0000FF"/>
            </w:tcBorders>
            <w:gridSpan w:val="2"/>
          </w:tcPr>
          <w:p>
            <w:pPr>
              <w:spacing w:after="0"/>
              <w:rPr>
                <w:sz w:val="22"/>
                <w:szCs w:val="22"/>
                <w:color w:val="auto"/>
              </w:rPr>
            </w:pPr>
          </w:p>
        </w:tc>
        <w:tc>
          <w:tcPr>
            <w:tcW w:w="346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w w:val="88"/>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w w:val="87"/>
              </w:rPr>
              <w:t>Legal Proceedings</w:t>
            </w:r>
          </w:p>
        </w:tc>
        <w:tc>
          <w:tcPr>
            <w:tcW w:w="834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89"/>
              </w:rPr>
              <w:t>Risk Factors</w:t>
            </w:r>
          </w:p>
        </w:tc>
        <w:tc>
          <w:tcPr>
            <w:tcW w:w="8720" w:type="dxa"/>
            <w:vAlign w:val="bottom"/>
            <w:gridSpan w:val="15"/>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710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b w:val="1"/>
                <w:bCs w:val="1"/>
                <w:color w:val="0000FF"/>
                <w:w w:val="89"/>
              </w:rPr>
              <w:t>Unregistered Sales of Equity Securities, and Use of Proceeds, and Issuer Purchases of Equity Securities</w:t>
            </w:r>
          </w:p>
        </w:tc>
        <w:tc>
          <w:tcPr>
            <w:tcW w:w="2500" w:type="dxa"/>
            <w:vAlign w:val="bottom"/>
            <w:gridSpan w:val="2"/>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89"/>
              </w:rPr>
              <w:t>Exhibits</w:t>
            </w:r>
          </w:p>
        </w:tc>
        <w:tc>
          <w:tcPr>
            <w:tcW w:w="90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19"/>
          </w:tcPr>
          <w:p>
            <w:pPr>
              <w:spacing w:after="0"/>
              <w:rPr>
                <w:sz w:val="20"/>
                <w:szCs w:val="20"/>
                <w:color w:val="auto"/>
              </w:rPr>
            </w:pPr>
            <w:r>
              <w:rPr>
                <w:rFonts w:ascii="Arial" w:cs="Arial" w:eastAsia="Arial" w:hAnsi="Arial"/>
                <w:sz w:val="16"/>
                <w:szCs w:val="16"/>
                <w:b w:val="1"/>
                <w:bCs w:val="1"/>
                <w:color w:val="0000FF"/>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60" w:type="dxa"/>
            <w:vAlign w:val="bottom"/>
            <w:gridSpan w:val="10"/>
          </w:tcPr>
          <w:p>
            <w:pPr>
              <w:jc w:val="right"/>
              <w:ind w:right="26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amounts regarding contract volume and average rate per contract are for CME Group’s listed futures and options on futures contracts unless otherwise noted.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0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and EBS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(“CME”). All other trademarks are the property of their respective owners.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72" w:lineRule="exact"/>
        <w:rPr>
          <w:sz w:val="20"/>
          <w:szCs w:val="20"/>
          <w:color w:val="auto"/>
        </w:rPr>
      </w:pPr>
    </w:p>
    <w:p>
      <w:pPr>
        <w:ind w:left="660" w:right="1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existing customers at substantially similar trading levels, develop strategic relationships and attract new customers;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globally offer our products and services;</w:t>
      </w:r>
    </w:p>
    <w:p>
      <w:pPr>
        <w:spacing w:after="0" w:line="117"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 or changes to regulations in various jurisdictions;</w:t>
      </w:r>
    </w:p>
    <w:p>
      <w:pPr>
        <w:spacing w:after="0" w:line="117"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8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38" w:lineRule="exact"/>
        <w:rPr>
          <w:rFonts w:ascii="Arial" w:cs="Arial" w:eastAsia="Arial" w:hAnsi="Arial"/>
          <w:sz w:val="17"/>
          <w:szCs w:val="17"/>
          <w:color w:val="auto"/>
        </w:rPr>
      </w:pPr>
    </w:p>
    <w:p>
      <w:pPr>
        <w:ind w:left="660" w:right="20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right="4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rely on;</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right="4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data distribution partners’ actions and our partnership with Google Cloud;</w:t>
      </w:r>
    </w:p>
    <w:p>
      <w:pPr>
        <w:spacing w:after="0" w:line="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variances in earnings on cash accounts and collateral that our clearing house holds for its clients;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CME Group pricing and incentive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aggregation services and internalization on trade flow and volumes;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negative financial impacts from changes to the terms of intellectual property and index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channel partner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a transaction tax or user fee on futures and options transactions and/or repeal of the 60/40 tax treatment of such transactions;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brand and reputation;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for the year ended December 31, 2022, filed with the Securities and Exchange Commission on February 27, 2023 and Item 1A. in Part II of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8"/>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1"/>
              <w:spacing w:after="0"/>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Current Assets:</w:t>
            </w:r>
          </w:p>
        </w:tc>
        <w:tc>
          <w:tcPr>
            <w:tcW w:w="6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2,720.1</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of $7.7 and $8.1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 (includes $5.1 and $4.9 in 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135,249.2</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139,078.3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Property, net of accumulated depreciation and amortization of $903.8 and $1,145.2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455.5</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assets—trading products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Intangible assets—other,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3,269.7</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6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10,482.5</w:t>
            </w:r>
          </w:p>
        </w:tc>
      </w:tr>
      <w:tr>
        <w:trPr>
          <w:trHeight w:val="229"/>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(includes $0.0 and $0.1 in restricted cash)</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3,714.4</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174,175.7</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2,300.9</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bonds and guaranty fund contributions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135,249.2</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137,687.5</w:t>
            </w: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8"/>
              </w:rPr>
              <w:t>Long-term debt</w:t>
            </w: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3,424.7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3,422.4</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5,361.1</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826.0</w:t>
            </w: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147,297.0</w:t>
            </w: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3"/>
              </w:rPr>
              <w:t>Preferred stock, $0.01 par value, 10,000 shares authorized as of September 30, 2023 and December</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31, 2022; 4,584 issued and outstanding as of September 30, 2023 and December 31, 2022</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w w:val="96"/>
              </w:rPr>
              <w:t>Class A common stock, $0.01 par value, 1,000,000 shares authorized at September 30, 2023 and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w w:val="89"/>
              </w:rPr>
              <w:t>December 31, 2022; 359,189 and 358,929 shares issued and outstanding as of September 30, 2023 and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2022, respectively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1"/>
              </w:rPr>
              <w:t>Class B common stock, $0.01 par value, 3 shares authorized, issued and outstanding as of September</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30, 2023 and December 31, 2022</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22,261.6</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4,746.8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r>
      <w:tr>
        <w:trPr>
          <w:trHeight w:val="223"/>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CME Group Shareholders’ Equity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26,878.7</w:t>
            </w:r>
          </w:p>
        </w:tc>
      </w:tr>
      <w:tr>
        <w:trPr>
          <w:trHeight w:val="248"/>
        </w:trPr>
        <w:tc>
          <w:tcPr>
            <w:tcW w:w="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174,175.7</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26"/>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5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Clearing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1,085.5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3,404.0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3,161.3</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3,811.6</w:t>
            </w:r>
          </w:p>
        </w:tc>
      </w:tr>
      <w:tr>
        <w:trPr>
          <w:trHeight w:val="209"/>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2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2,347.6</w:t>
            </w:r>
          </w:p>
        </w:tc>
      </w:tr>
      <w:tr>
        <w:trPr>
          <w:trHeight w:val="16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1,046.2</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Equity in net earnings of unconsolidated subsidiaries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w:t>
            </w:r>
          </w:p>
        </w:tc>
      </w:tr>
      <w:tr>
        <w:trPr>
          <w:trHeight w:val="22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2,663.0</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2,053.1</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Common Shareholders of CME Group</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2,027.2</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84"/>
        </w:trPr>
        <w:tc>
          <w:tcPr>
            <w:tcW w:w="5640" w:type="dxa"/>
            <w:vAlign w:val="bottom"/>
          </w:tcPr>
          <w:p>
            <w:pPr>
              <w:ind w:left="20"/>
              <w:spacing w:after="0" w:line="184" w:lineRule="exact"/>
              <w:rPr>
                <w:sz w:val="20"/>
                <w:szCs w:val="20"/>
                <w:color w:val="auto"/>
              </w:rPr>
            </w:pPr>
            <w:r>
              <w:rPr>
                <w:rFonts w:ascii="Arial" w:cs="Arial" w:eastAsia="Arial" w:hAnsi="Arial"/>
                <w:sz w:val="18"/>
                <w:szCs w:val="18"/>
                <w:b w:val="1"/>
                <w:bCs w:val="1"/>
                <w:color w:val="auto"/>
                <w:w w:val="99"/>
              </w:rPr>
              <w:t>Earnings per Share Attributable to Common Shareholders of CME</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Group:</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Common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358,715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358,965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358,655</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359,206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6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Net unrealized holding gains (losses) arising during the period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200" w:type="dxa"/>
            <w:vAlign w:val="bottom"/>
          </w:tcPr>
          <w:p>
            <w:pPr>
              <w:ind w:left="220"/>
              <w:spacing w:after="0"/>
              <w:rPr>
                <w:sz w:val="20"/>
                <w:szCs w:val="20"/>
                <w:color w:val="auto"/>
              </w:rPr>
            </w:pPr>
            <w:r>
              <w:rPr>
                <w:rFonts w:ascii="Arial" w:cs="Arial" w:eastAsia="Arial" w:hAnsi="Arial"/>
                <w:sz w:val="18"/>
                <w:szCs w:val="18"/>
                <w:color w:val="auto"/>
              </w:rPr>
              <w:t>Investment securities, net</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plans: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00" w:type="dxa"/>
            <w:vAlign w:val="bottom"/>
          </w:tcPr>
          <w:p>
            <w:pPr>
              <w:ind w:left="480"/>
              <w:spacing w:after="0"/>
              <w:rPr>
                <w:sz w:val="20"/>
                <w:szCs w:val="20"/>
                <w:color w:val="auto"/>
              </w:rPr>
            </w:pPr>
            <w:r>
              <w:rPr>
                <w:rFonts w:ascii="Arial" w:cs="Arial" w:eastAsia="Arial" w:hAnsi="Arial"/>
                <w:sz w:val="18"/>
                <w:szCs w:val="18"/>
                <w:color w:val="auto"/>
              </w:rPr>
              <w:t>Net change in defined benefit plans arising during the period</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75"/>
        </w:trPr>
        <w:tc>
          <w:tcPr>
            <w:tcW w:w="6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7"/>
              </w:rPr>
              <w:t>Amortization of net actuarial (gains) losses included in compensation and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benefits expense</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plans,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Derivative investments: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6"/>
        </w:trPr>
        <w:tc>
          <w:tcPr>
            <w:tcW w:w="6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Reclassification of net unrealized (gains) losses to interest expense and other</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non-operating income (expense)</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investments,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r>
      <w:tr>
        <w:trPr>
          <w:trHeight w:val="223"/>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1,899.8</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177165</wp:posOffset>
            </wp:positionV>
            <wp:extent cx="4937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63" w:lineRule="exact"/>
        <w:rPr>
          <w:sz w:val="20"/>
          <w:szCs w:val="20"/>
          <w:color w:val="auto"/>
        </w:rPr>
      </w:pPr>
    </w:p>
    <w:p>
      <w:pPr>
        <w:jc w:val="right"/>
        <w:ind w:right="2640"/>
        <w:spacing w:after="0"/>
        <w:rPr>
          <w:sz w:val="20"/>
          <w:szCs w:val="20"/>
          <w:color w:val="auto"/>
        </w:rPr>
      </w:pPr>
      <w:r>
        <w:rPr>
          <w:rFonts w:ascii="Arial" w:cs="Arial" w:eastAsia="Arial" w:hAnsi="Arial"/>
          <w:sz w:val="14"/>
          <w:szCs w:val="14"/>
          <w:b w:val="1"/>
          <w:bCs w:val="1"/>
          <w:color w:val="auto"/>
        </w:rPr>
        <w:t>Nine Months Ended, September 30,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right="1140"/>
        <w:spacing w:after="0" w:line="274" w:lineRule="auto"/>
        <w:rPr>
          <w:sz w:val="20"/>
          <w:szCs w:val="20"/>
          <w:color w:val="auto"/>
        </w:rPr>
      </w:pPr>
      <w:r>
        <w:rPr>
          <w:rFonts w:ascii="Arial" w:cs="Arial" w:eastAsia="Arial" w:hAnsi="Arial"/>
          <w:sz w:val="18"/>
          <w:szCs w:val="18"/>
          <w:color w:val="auto"/>
        </w:rPr>
        <w:t>Balance at December 31, 2022 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20" w:right="80"/>
        <w:spacing w:after="0" w:line="234" w:lineRule="auto"/>
        <w:rPr>
          <w:sz w:val="20"/>
          <w:szCs w:val="20"/>
          <w:color w:val="auto"/>
        </w:rPr>
      </w:pPr>
      <w:r>
        <w:rPr>
          <w:rFonts w:ascii="Arial" w:cs="Arial" w:eastAsia="Arial" w:hAnsi="Arial"/>
          <w:sz w:val="18"/>
          <w:szCs w:val="18"/>
          <w:color w:val="auto"/>
        </w:rPr>
        <w:t>Dividends on common and preferred stock of $3.30 per share</w:t>
      </w:r>
    </w:p>
    <w:p>
      <w:pPr>
        <w:spacing w:after="0" w:line="14" w:lineRule="exact"/>
        <w:rPr>
          <w:sz w:val="20"/>
          <w:szCs w:val="20"/>
          <w:color w:val="auto"/>
        </w:rPr>
      </w:pPr>
    </w:p>
    <w:p>
      <w:pPr>
        <w:ind w:left="20" w:right="120"/>
        <w:spacing w:after="0" w:line="235" w:lineRule="auto"/>
        <w:rPr>
          <w:sz w:val="20"/>
          <w:szCs w:val="20"/>
          <w:color w:val="auto"/>
        </w:rPr>
      </w:pPr>
      <w:r>
        <w:rPr>
          <w:rFonts w:ascii="Arial" w:cs="Arial" w:eastAsia="Arial" w:hAnsi="Arial"/>
          <w:sz w:val="18"/>
          <w:szCs w:val="18"/>
          <w:color w:val="auto"/>
        </w:rPr>
        <w:t>Vesting of issued restricted Class A common stock</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issued to Board of Directors</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Shares issued under Employee Stock Purchase Plan</w:t>
      </w:r>
    </w:p>
    <w:p>
      <w:pPr>
        <w:spacing w:after="0" w:line="14" w:lineRule="exact"/>
        <w:rPr>
          <w:sz w:val="20"/>
          <w:szCs w:val="20"/>
          <w:color w:val="auto"/>
        </w:rPr>
      </w:pPr>
    </w:p>
    <w:p>
      <w:pPr>
        <w:ind w:left="20" w:right="1000"/>
        <w:spacing w:after="0" w:line="359" w:lineRule="auto"/>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16"/>
          <w:szCs w:val="16"/>
          <w:b w:val="1"/>
          <w:bCs w:val="1"/>
          <w:color w:val="auto"/>
        </w:rPr>
        <w:t>Balance at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1560"/>
        <w:spacing w:after="0" w:line="274" w:lineRule="auto"/>
        <w:rPr>
          <w:sz w:val="20"/>
          <w:szCs w:val="20"/>
          <w:color w:val="auto"/>
        </w:rPr>
      </w:pPr>
      <w:r>
        <w:rPr>
          <w:rFonts w:ascii="Arial" w:cs="Arial" w:eastAsia="Arial" w:hAnsi="Arial"/>
          <w:sz w:val="18"/>
          <w:szCs w:val="18"/>
          <w:color w:val="auto"/>
        </w:rPr>
        <w:t>Balance at June 30, 2023 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20" w:right="80"/>
        <w:spacing w:after="0" w:line="234" w:lineRule="auto"/>
        <w:rPr>
          <w:sz w:val="20"/>
          <w:szCs w:val="20"/>
          <w:color w:val="auto"/>
        </w:rPr>
      </w:pPr>
      <w:r>
        <w:rPr>
          <w:rFonts w:ascii="Arial" w:cs="Arial" w:eastAsia="Arial" w:hAnsi="Arial"/>
          <w:sz w:val="18"/>
          <w:szCs w:val="18"/>
          <w:color w:val="auto"/>
        </w:rPr>
        <w:t>Dividends on common and preferred stock of $1.10 per share</w:t>
      </w:r>
    </w:p>
    <w:p>
      <w:pPr>
        <w:spacing w:after="0" w:line="14" w:lineRule="exact"/>
        <w:rPr>
          <w:sz w:val="20"/>
          <w:szCs w:val="20"/>
          <w:color w:val="auto"/>
        </w:rPr>
      </w:pPr>
    </w:p>
    <w:p>
      <w:pPr>
        <w:ind w:left="20" w:right="120"/>
        <w:spacing w:after="0" w:line="235" w:lineRule="auto"/>
        <w:rPr>
          <w:sz w:val="20"/>
          <w:szCs w:val="20"/>
          <w:color w:val="auto"/>
        </w:rPr>
      </w:pPr>
      <w:r>
        <w:rPr>
          <w:rFonts w:ascii="Arial" w:cs="Arial" w:eastAsia="Arial" w:hAnsi="Arial"/>
          <w:sz w:val="18"/>
          <w:szCs w:val="18"/>
          <w:color w:val="auto"/>
        </w:rPr>
        <w:t>Vesting of issued restricted Class A common stock</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issued to Board of Directors</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Shares issued under Employee Stock Purchase Plan</w:t>
      </w:r>
    </w:p>
    <w:p>
      <w:pPr>
        <w:spacing w:after="0" w:line="14" w:lineRule="exact"/>
        <w:rPr>
          <w:sz w:val="20"/>
          <w:szCs w:val="20"/>
          <w:color w:val="auto"/>
        </w:rPr>
      </w:pPr>
    </w:p>
    <w:p>
      <w:pPr>
        <w:ind w:left="20" w:right="1000"/>
        <w:spacing w:after="0" w:line="359" w:lineRule="auto"/>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16"/>
          <w:szCs w:val="16"/>
          <w:b w:val="1"/>
          <w:bCs w:val="1"/>
          <w:color w:val="auto"/>
        </w:rPr>
        <w:t>Balance at September 30, 2023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ind w:left="40"/>
              <w:spacing w:after="0" w:line="153" w:lineRule="exact"/>
              <w:rPr>
                <w:sz w:val="20"/>
                <w:szCs w:val="20"/>
                <w:color w:val="auto"/>
              </w:rPr>
            </w:pPr>
            <w:r>
              <w:rPr>
                <w:rFonts w:ascii="Arial" w:cs="Arial" w:eastAsia="Arial" w:hAnsi="Arial"/>
                <w:sz w:val="14"/>
                <w:szCs w:val="14"/>
                <w:b w:val="1"/>
                <w:bCs w:val="1"/>
                <w:color w:val="auto"/>
              </w:rPr>
              <w:t>Preferred Stock,</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78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Preferred</w:t>
            </w:r>
          </w:p>
        </w:tc>
        <w:tc>
          <w:tcPr>
            <w:tcW w:w="10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44"/>
        </w:trPr>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7"/>
        </w:trPr>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358,929</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22,265.2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26,878.7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2,411.6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359,189</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28,151.6</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9"/>
              </w:rPr>
              <w:t>Quarter Ended, September 30, 2023</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78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Preferred</w:t>
            </w:r>
          </w:p>
        </w:tc>
        <w:tc>
          <w:tcPr>
            <w:tcW w:w="10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7"/>
                <w:szCs w:val="17"/>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9"/>
        </w:trPr>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358,978</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22,311.2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27,817.8</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359,189</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28,151.6</w:t>
            </w:r>
          </w:p>
        </w:tc>
        <w:tc>
          <w:tcPr>
            <w:tcW w:w="0" w:type="dxa"/>
            <w:vAlign w:val="bottom"/>
          </w:tcPr>
          <w:p>
            <w:pPr>
              <w:spacing w:after="0"/>
              <w:rPr>
                <w:sz w:val="1"/>
                <w:szCs w:val="1"/>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-4508500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-4208145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-3796665</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-3385820</wp:posOffset>
            </wp:positionV>
            <wp:extent cx="71323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-2973705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-1722120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-1422400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-1010920</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-599440</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-187960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380" w:space="80"/>
            <w:col w:w="7780"/>
          </w:cols>
          <w:pgMar w:left="320" w:top="125" w:right="339" w:bottom="1440" w:gutter="0" w:footer="0" w:header="0"/>
          <w:type w:val="continuous"/>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177165</wp:posOffset>
            </wp:positionV>
            <wp:extent cx="4954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63" w:lineRule="exact"/>
        <w:rPr>
          <w:sz w:val="20"/>
          <w:szCs w:val="20"/>
          <w:color w:val="auto"/>
        </w:rPr>
      </w:pPr>
    </w:p>
    <w:p>
      <w:pPr>
        <w:jc w:val="right"/>
        <w:ind w:right="2640"/>
        <w:spacing w:after="0"/>
        <w:rPr>
          <w:sz w:val="20"/>
          <w:szCs w:val="20"/>
          <w:color w:val="auto"/>
        </w:rPr>
      </w:pPr>
      <w:r>
        <w:rPr>
          <w:rFonts w:ascii="Arial" w:cs="Arial" w:eastAsia="Arial" w:hAnsi="Arial"/>
          <w:sz w:val="14"/>
          <w:szCs w:val="14"/>
          <w:b w:val="1"/>
          <w:bCs w:val="1"/>
          <w:color w:val="auto"/>
        </w:rPr>
        <w:t>Nine Months Ended, September 30, 2022</w:t>
      </w:r>
    </w:p>
    <w:p>
      <w:pPr>
        <w:spacing w:after="0" w:line="31" w:lineRule="exact"/>
        <w:rPr>
          <w:sz w:val="20"/>
          <w:szCs w:val="20"/>
          <w:color w:val="auto"/>
        </w:rPr>
      </w:pPr>
    </w:p>
    <w:tbl>
      <w:tblPr>
        <w:tblLayout w:type="fixed"/>
        <w:tblInd w:w="3340" w:type="dxa"/>
        <w:tblCellMar>
          <w:top w:w="0" w:type="dxa"/>
          <w:left w:w="0" w:type="dxa"/>
          <w:bottom w:w="0" w:type="dxa"/>
          <w:right w:w="0" w:type="dxa"/>
        </w:tblCellMar>
      </w:tblPr>
      <w:tr>
        <w:trPr>
          <w:trHeight w:val="153"/>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9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 and</w:t>
            </w:r>
          </w:p>
        </w:tc>
        <w:tc>
          <w:tcPr>
            <w:tcW w:w="10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35"/>
        </w:trPr>
        <w:tc>
          <w:tcPr>
            <w:tcW w:w="96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Common</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36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vMerge w:val="continue"/>
          </w:tcPr>
          <w:p>
            <w:pPr>
              <w:spacing w:after="0"/>
              <w:rPr>
                <w:sz w:val="12"/>
                <w:szCs w:val="12"/>
                <w:color w:val="auto"/>
              </w:rPr>
            </w:pPr>
          </w:p>
        </w:tc>
        <w:tc>
          <w:tcPr>
            <w:tcW w:w="13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0"/>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Earnings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30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125" w:right="439" w:bottom="1440" w:gutter="0" w:footer="0" w:header="0"/>
        </w:sectPr>
      </w:pPr>
    </w:p>
    <w:p>
      <w:pPr>
        <w:spacing w:after="0" w:line="10" w:lineRule="exact"/>
        <w:rPr>
          <w:sz w:val="20"/>
          <w:szCs w:val="20"/>
          <w:color w:val="auto"/>
        </w:rPr>
      </w:pPr>
    </w:p>
    <w:p>
      <w:pPr>
        <w:ind w:left="120" w:right="760"/>
        <w:spacing w:after="0" w:line="274" w:lineRule="auto"/>
        <w:rPr>
          <w:sz w:val="20"/>
          <w:szCs w:val="20"/>
          <w:color w:val="auto"/>
        </w:rPr>
      </w:pPr>
      <w:r>
        <w:rPr>
          <w:rFonts w:ascii="Arial" w:cs="Arial" w:eastAsia="Arial" w:hAnsi="Arial"/>
          <w:sz w:val="18"/>
          <w:szCs w:val="18"/>
          <w:color w:val="auto"/>
        </w:rPr>
        <w:t>Balance at December 31, 2021 Net income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Dividends on common stock of $3.00 per share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Exercise of stock options</w:t>
      </w:r>
    </w:p>
    <w:p>
      <w:pPr>
        <w:spacing w:after="0" w:line="23" w:lineRule="exact"/>
        <w:rPr>
          <w:sz w:val="20"/>
          <w:szCs w:val="20"/>
          <w:color w:val="auto"/>
        </w:rPr>
      </w:pPr>
    </w:p>
    <w:p>
      <w:pPr>
        <w:ind w:left="120" w:right="420"/>
        <w:spacing w:after="0" w:line="234" w:lineRule="auto"/>
        <w:rPr>
          <w:sz w:val="20"/>
          <w:szCs w:val="20"/>
          <w:color w:val="auto"/>
        </w:rPr>
      </w:pPr>
      <w:r>
        <w:rPr>
          <w:rFonts w:ascii="Arial" w:cs="Arial" w:eastAsia="Arial" w:hAnsi="Arial"/>
          <w:sz w:val="18"/>
          <w:szCs w:val="18"/>
          <w:color w:val="auto"/>
        </w:rPr>
        <w:t>Vesting of issued restricted Class A common stock</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issued to Board of Directors</w:t>
      </w:r>
    </w:p>
    <w:p>
      <w:pPr>
        <w:spacing w:after="0" w:line="23" w:lineRule="exact"/>
        <w:rPr>
          <w:sz w:val="20"/>
          <w:szCs w:val="20"/>
          <w:color w:val="auto"/>
        </w:rPr>
      </w:pPr>
    </w:p>
    <w:p>
      <w:pPr>
        <w:ind w:left="120" w:right="320"/>
        <w:spacing w:after="0" w:line="234" w:lineRule="auto"/>
        <w:rPr>
          <w:sz w:val="20"/>
          <w:szCs w:val="20"/>
          <w:color w:val="auto"/>
        </w:rPr>
      </w:pPr>
      <w:r>
        <w:rPr>
          <w:rFonts w:ascii="Arial" w:cs="Arial" w:eastAsia="Arial" w:hAnsi="Arial"/>
          <w:sz w:val="18"/>
          <w:szCs w:val="18"/>
          <w:color w:val="auto"/>
        </w:rPr>
        <w:t>Shares issued under Employee Stock Purchase Plan</w:t>
      </w:r>
    </w:p>
    <w:p>
      <w:pPr>
        <w:spacing w:after="0" w:line="14" w:lineRule="exact"/>
        <w:rPr>
          <w:sz w:val="20"/>
          <w:szCs w:val="20"/>
          <w:color w:val="auto"/>
        </w:rPr>
      </w:pPr>
    </w:p>
    <w:p>
      <w:pPr>
        <w:ind w:left="120" w:right="620"/>
        <w:spacing w:after="0" w:line="359" w:lineRule="auto"/>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16"/>
          <w:szCs w:val="16"/>
          <w:b w:val="1"/>
          <w:bCs w:val="1"/>
          <w:color w:val="auto"/>
        </w:rPr>
        <w:t>Balance at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358,599</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5,151.9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27,399.3</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2,053.1</w:t>
            </w: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4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(1,093.3)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(1,093.3)</w:t>
            </w: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4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358,877</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28,250.8</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-1868170</wp:posOffset>
            </wp:positionV>
            <wp:extent cx="701230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-1567815</wp:posOffset>
            </wp:positionV>
            <wp:extent cx="701230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-1156970</wp:posOffset>
            </wp:positionV>
            <wp:extent cx="701230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-744855</wp:posOffset>
            </wp:positionV>
            <wp:extent cx="701230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2305" cy="14541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-334010</wp:posOffset>
            </wp:positionV>
            <wp:extent cx="701230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411480</wp:posOffset>
            </wp:positionV>
            <wp:extent cx="49549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100" w:space="240"/>
            <w:col w:w="7800"/>
          </w:cols>
          <w:pgMar w:left="320" w:top="125" w:right="4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Quarter Ended, September 30, 2022</w:t>
      </w:r>
    </w:p>
    <w:p>
      <w:pPr>
        <w:spacing w:after="0" w:line="31" w:lineRule="exact"/>
        <w:rPr>
          <w:sz w:val="20"/>
          <w:szCs w:val="20"/>
          <w:color w:val="auto"/>
        </w:rPr>
      </w:pPr>
    </w:p>
    <w:tbl>
      <w:tblPr>
        <w:tblLayout w:type="fixed"/>
        <w:tblInd w:w="3340" w:type="dxa"/>
        <w:tblCellMar>
          <w:top w:w="0" w:type="dxa"/>
          <w:left w:w="0" w:type="dxa"/>
          <w:bottom w:w="0" w:type="dxa"/>
          <w:right w:w="0" w:type="dxa"/>
        </w:tblCellMar>
      </w:tblPr>
      <w:tr>
        <w:trPr>
          <w:trHeight w:val="153"/>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1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9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Stock and</w:t>
            </w:r>
          </w:p>
        </w:tc>
        <w:tc>
          <w:tcPr>
            <w:tcW w:w="10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9"/>
              </w:rPr>
              <w:t>Total CME Group</w:t>
            </w:r>
          </w:p>
        </w:tc>
        <w:tc>
          <w:tcPr>
            <w:tcW w:w="0" w:type="dxa"/>
            <w:vAlign w:val="bottom"/>
          </w:tcPr>
          <w:p>
            <w:pPr>
              <w:spacing w:after="0"/>
              <w:rPr>
                <w:sz w:val="1"/>
                <w:szCs w:val="1"/>
                <w:color w:val="auto"/>
              </w:rPr>
            </w:pPr>
          </w:p>
        </w:tc>
      </w:tr>
      <w:tr>
        <w:trPr>
          <w:trHeight w:val="135"/>
        </w:trPr>
        <w:tc>
          <w:tcPr>
            <w:tcW w:w="96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Common</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Common</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360" w:type="dxa"/>
            <w:vAlign w:val="bottom"/>
          </w:tcPr>
          <w:p>
            <w:pPr>
              <w:jc w:val="center"/>
              <w:ind w:left="8"/>
              <w:spacing w:after="0" w:line="135" w:lineRule="exact"/>
              <w:rPr>
                <w:sz w:val="20"/>
                <w:szCs w:val="20"/>
                <w:color w:val="auto"/>
              </w:rPr>
            </w:pPr>
            <w:r>
              <w:rPr>
                <w:rFonts w:ascii="Arial" w:cs="Arial" w:eastAsia="Arial" w:hAnsi="Arial"/>
                <w:sz w:val="14"/>
                <w:szCs w:val="14"/>
                <w:b w:val="1"/>
                <w:bCs w:val="1"/>
                <w:color w:val="auto"/>
                <w:w w:val="96"/>
              </w:rPr>
              <w:t>Other</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vMerge w:val="continue"/>
          </w:tcPr>
          <w:p>
            <w:pPr>
              <w:spacing w:after="0"/>
              <w:rPr>
                <w:sz w:val="12"/>
                <w:szCs w:val="12"/>
                <w:color w:val="auto"/>
              </w:rPr>
            </w:pPr>
          </w:p>
        </w:tc>
        <w:tc>
          <w:tcPr>
            <w:tcW w:w="13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0"/>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Earnings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30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125" w:right="439" w:bottom="1440" w:gutter="0" w:footer="0" w:header="0"/>
          <w:type w:val="continuous"/>
        </w:sectPr>
      </w:pPr>
    </w:p>
    <w:p>
      <w:pPr>
        <w:spacing w:after="0" w:line="10" w:lineRule="exact"/>
        <w:rPr>
          <w:sz w:val="20"/>
          <w:szCs w:val="20"/>
          <w:color w:val="auto"/>
        </w:rPr>
      </w:pPr>
    </w:p>
    <w:p>
      <w:pPr>
        <w:ind w:left="120" w:right="1180"/>
        <w:spacing w:after="0" w:line="274" w:lineRule="auto"/>
        <w:rPr>
          <w:sz w:val="20"/>
          <w:szCs w:val="20"/>
          <w:color w:val="auto"/>
        </w:rPr>
      </w:pPr>
      <w:r>
        <w:rPr>
          <w:rFonts w:ascii="Arial" w:cs="Arial" w:eastAsia="Arial" w:hAnsi="Arial"/>
          <w:sz w:val="18"/>
          <w:szCs w:val="18"/>
          <w:color w:val="auto"/>
        </w:rPr>
        <w:t>Balance at June 30, 2022 Net income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comprehensive income (loss)</w:t>
      </w:r>
    </w:p>
    <w:p>
      <w:pPr>
        <w:spacing w:after="0" w:line="23"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Dividends on common stock of $1.00 per share</w:t>
      </w:r>
    </w:p>
    <w:p>
      <w:pPr>
        <w:spacing w:after="0" w:line="14" w:lineRule="exact"/>
        <w:rPr>
          <w:sz w:val="20"/>
          <w:szCs w:val="20"/>
          <w:color w:val="auto"/>
        </w:rPr>
      </w:pPr>
    </w:p>
    <w:p>
      <w:pPr>
        <w:ind w:left="120" w:right="420"/>
        <w:spacing w:after="0" w:line="235" w:lineRule="auto"/>
        <w:rPr>
          <w:sz w:val="20"/>
          <w:szCs w:val="20"/>
          <w:color w:val="auto"/>
        </w:rPr>
      </w:pPr>
      <w:r>
        <w:rPr>
          <w:rFonts w:ascii="Arial" w:cs="Arial" w:eastAsia="Arial" w:hAnsi="Arial"/>
          <w:sz w:val="18"/>
          <w:szCs w:val="18"/>
          <w:color w:val="auto"/>
        </w:rPr>
        <w:t>Vesting of issued restricted Class A common stock</w:t>
      </w:r>
    </w:p>
    <w:p>
      <w:pPr>
        <w:spacing w:after="0" w:line="13" w:lineRule="exact"/>
        <w:rPr>
          <w:sz w:val="20"/>
          <w:szCs w:val="20"/>
          <w:color w:val="auto"/>
        </w:rPr>
      </w:pPr>
    </w:p>
    <w:p>
      <w:pPr>
        <w:ind w:left="120" w:right="620"/>
        <w:spacing w:after="0" w:line="359" w:lineRule="auto"/>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16"/>
          <w:szCs w:val="16"/>
          <w:b w:val="1"/>
          <w:bCs w:val="1"/>
          <w:color w:val="auto"/>
        </w:rPr>
        <w:t>Balance at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358,677</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28,001.7</w:t>
            </w:r>
          </w:p>
        </w:tc>
      </w:tr>
      <w:tr>
        <w:trPr>
          <w:trHeight w:val="230"/>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679.6</w:t>
            </w:r>
          </w:p>
        </w:tc>
      </w:tr>
      <w:tr>
        <w:trPr>
          <w:trHeight w:val="230"/>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4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(365.4)</w:t>
            </w:r>
          </w:p>
        </w:tc>
      </w:tr>
      <w:tr>
        <w:trPr>
          <w:trHeight w:val="4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358,877</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28,250.8</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-1310640</wp:posOffset>
            </wp:positionV>
            <wp:extent cx="701230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-1010920</wp:posOffset>
            </wp:positionV>
            <wp:extent cx="701230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-599440</wp:posOffset>
            </wp:positionV>
            <wp:extent cx="7012305" cy="266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2305" cy="26606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-187960</wp:posOffset>
            </wp:positionV>
            <wp:extent cx="701230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100" w:space="240"/>
            <w:col w:w="7800"/>
          </w:cols>
          <w:pgMar w:left="320" w:top="125" w:right="439" w:bottom="1440" w:gutter="0" w:footer="0" w:header="0"/>
          <w:type w:val="continuous"/>
        </w:sect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140"/>
          </w:cols>
          <w:pgMar w:left="320" w:top="12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2,053.1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83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83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36"/>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Purchases of available-for-sale marketable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net</w:t>
            </w:r>
          </w:p>
        </w:tc>
        <w:tc>
          <w:tcPr>
            <w:tcW w:w="32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94"/>
        </w:trPr>
        <w:tc>
          <w:tcPr>
            <w:tcW w:w="83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Investment in S&amp;P/Dow Jones Indices LLC</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privately-held equity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sales of investments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37"/>
        </w:trPr>
        <w:tc>
          <w:tcPr>
            <w:tcW w:w="8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Proceeds from debt, net of issuance costs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debt, including call premium</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performance bond and guaranty fund contributions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(17,974.7)</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Employee taxes paid on restricted stock vesting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(50,927.8)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81"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(18,680.1)</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160,789.9</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142,109.8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2,300.2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2,130.1</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Long-term restricted cash</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restricted cash equivalents (performance bonds and guaranty fund contributions)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139,974.9</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142,109.8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September 30, 2023 and December 31, 2022 and the results of operations and cash flows for the periods indicated. Quarterly results are not necessarily indicative of results for any subsequent period.</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2022, filed with the Securities and Exchange Commission (SEC) on February 27,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 from customers from the following sources: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Clearing and transaction fees. </w:t>
      </w:r>
      <w:r>
        <w:rPr>
          <w:rFonts w:ascii="Arial" w:cs="Arial" w:eastAsia="Arial" w:hAnsi="Arial"/>
          <w:sz w:val="17"/>
          <w:szCs w:val="17"/>
          <w:color w:val="auto"/>
        </w:rPr>
        <w:t>Clearing and transaction fees include electronic trading fees and brokerage commissions, surcharges for privately-negotiated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5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Market data and information services. </w:t>
      </w:r>
      <w:r>
        <w:rPr>
          <w:rFonts w:ascii="Arial" w:cs="Arial" w:eastAsia="Arial" w:hAnsi="Arial"/>
          <w:sz w:val="17"/>
          <w:szCs w:val="17"/>
          <w:color w:val="auto"/>
        </w:rPr>
        <w:t>Market data and information services represent revenue from the dissemination of market data to subscribers,</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5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Other revenues include certain access and communication fees, fees for collateral management, equity membership subscription fees, and fees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revenue from contracts with customers by product line for the quarters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Quarter Ended</w:t>
            </w:r>
          </w:p>
        </w:tc>
        <w:tc>
          <w:tcPr>
            <w:tcW w:w="220" w:type="dxa"/>
            <w:vAlign w:val="bottom"/>
          </w:tcPr>
          <w:p>
            <w:pPr>
              <w:spacing w:after="0"/>
              <w:rPr>
                <w:sz w:val="14"/>
                <w:szCs w:val="14"/>
                <w:color w:val="auto"/>
              </w:rPr>
            </w:pPr>
          </w:p>
        </w:tc>
        <w:tc>
          <w:tcPr>
            <w:tcW w:w="19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9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Equity indexes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767.6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764.7</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Agricultural commodities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344.7</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EBS foreign exchange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color w:val="auto"/>
              </w:rPr>
              <w:t>Total clearing and transaction fees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1,085.5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3,404.0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3,161.3</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3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Services transferred at a point in time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1,060.3</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977.1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3,330.9</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3,084.7</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r>
      <w:tr>
        <w:trPr>
          <w:trHeight w:val="229"/>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first nine months of September 30, 2023 were not materially impacted by any other factors. The balance of contract liabilities was $26.9 million and $12.7 million as of September 30, 2023 and December 31, 2022,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Performance Bonds and Guaranty Fund Contributions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Performance Bonds and Guaranty Fund Contribution Reinvestment. </w:t>
      </w:r>
      <w:r>
        <w:rPr>
          <w:rFonts w:ascii="Arial" w:cs="Arial" w:eastAsia="Arial" w:hAnsi="Arial"/>
          <w:sz w:val="17"/>
          <w:szCs w:val="17"/>
          <w:color w:val="auto"/>
        </w:rPr>
        <w:t>CME reinvests cash performance bonds and guaranty fund contributions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September 30, 2023, CME maintained $77.8 billion within the cash account at the Federal Reserve Bank of Chicago. The cash deposit at the Federal Reserve Bank of Chicago is included within performance bonds and guaranty fund contributions on the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the third quarter and first nine months of 2023, earnings from cash performance bond and guaranty fund contributions were $1,246.5 million and</w:t>
      </w:r>
    </w:p>
    <w:p>
      <w:pPr>
        <w:spacing w:after="0" w:line="3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$4,042.9 million, compared with $676.8 million and $1,045.9 million in the third quarter and first nine months of 2022. In the third quarter and first nine months of 2023, expenses related to the distribution of interest earned on collateral reinvestments were $1,160.5 million and $3,756.8 million, compared with $589.7 million and $861.6 million in the third quarter and first nine months of 2022.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Clearing House Contract Settlement. </w:t>
      </w:r>
      <w:r>
        <w:rPr>
          <w:rFonts w:ascii="Arial" w:cs="Arial" w:eastAsia="Arial" w:hAnsi="Arial"/>
          <w:sz w:val="18"/>
          <w:szCs w:val="18"/>
          <w:color w:val="auto"/>
        </w:rPr>
        <w:t>The clearing house marks-to-market open positions at least once a day (twice a day for all futures and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6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spacing w:after="0" w:line="3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During the first nine months of 2023, the clearing house transferred an average of approximately $5.7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September 30, 2023 and December 31, 2022.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September 30, 2023 and December 31, 2022: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0"/>
              </w:rPr>
              <w:t>September 30, 2023</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87"/>
              </w:rPr>
              <w:t>December 31, 2022</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right"/>
              <w:ind w:right="160"/>
              <w:spacing w:after="0" w:line="131" w:lineRule="exact"/>
              <w:rPr>
                <w:sz w:val="20"/>
                <w:szCs w:val="20"/>
                <w:color w:val="auto"/>
              </w:rPr>
            </w:pPr>
            <w:r>
              <w:rPr>
                <w:rFonts w:ascii="Arial" w:cs="Arial" w:eastAsia="Arial" w:hAnsi="Arial"/>
                <w:sz w:val="13"/>
                <w:szCs w:val="13"/>
                <w:b w:val="1"/>
                <w:bCs w:val="1"/>
                <w:color w:val="auto"/>
                <w:w w:val="98"/>
              </w:rPr>
              <w:t>Net Book</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line="131"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840" w:type="dxa"/>
            <w:vAlign w:val="bottom"/>
          </w:tcPr>
          <w:p>
            <w:pPr>
              <w:jc w:val="right"/>
              <w:ind w:right="180"/>
              <w:spacing w:after="0" w:line="131" w:lineRule="exact"/>
              <w:rPr>
                <w:sz w:val="20"/>
                <w:szCs w:val="20"/>
                <w:color w:val="auto"/>
              </w:rPr>
            </w:pPr>
            <w:r>
              <w:rPr>
                <w:rFonts w:ascii="Arial" w:cs="Arial" w:eastAsia="Arial" w:hAnsi="Arial"/>
                <w:sz w:val="13"/>
                <w:szCs w:val="13"/>
                <w:b w:val="1"/>
                <w:bCs w:val="1"/>
                <w:color w:val="auto"/>
                <w:w w:val="98"/>
              </w:rPr>
              <w:t>Net Book</w:t>
            </w:r>
          </w:p>
        </w:tc>
        <w:tc>
          <w:tcPr>
            <w:tcW w:w="0" w:type="dxa"/>
            <w:vAlign w:val="bottom"/>
          </w:tcPr>
          <w:p>
            <w:pPr>
              <w:spacing w:after="0"/>
              <w:rPr>
                <w:sz w:val="1"/>
                <w:szCs w:val="1"/>
                <w:color w:val="auto"/>
              </w:rPr>
            </w:pPr>
          </w:p>
        </w:tc>
      </w:tr>
      <w:tr>
        <w:trPr>
          <w:trHeight w:val="174"/>
        </w:trPr>
        <w:tc>
          <w:tcPr>
            <w:tcW w:w="47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Assigned Value</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Assigned Value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Arial" w:cs="Arial" w:eastAsia="Arial" w:hAnsi="Arial"/>
                <w:sz w:val="16"/>
                <w:szCs w:val="16"/>
                <w:color w:val="auto"/>
              </w:rPr>
              <w:t>Clearing firm, market data and other customer relationships</w:t>
            </w:r>
          </w:p>
        </w:tc>
        <w:tc>
          <w:tcPr>
            <w:tcW w:w="220" w:type="dxa"/>
            <w:vAlign w:val="bottom"/>
          </w:tcPr>
          <w:p>
            <w:pPr>
              <w:jc w:val="right"/>
              <w:ind w:right="42"/>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4,680.0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(2,067.1)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2,612.9</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4,685.8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(1,909.7)</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2,776.1</w:t>
            </w: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Technology-related intellectual property</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4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amortizable intangible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2,645.4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(1,998.1)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2,819.7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Indefinite-Lived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names</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3,095.4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3,269.7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Trading products </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17,175.3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right="40" w:hanging="328"/>
        <w:spacing w:after="0" w:line="26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Total amortization expense for intangible assets was $57.2 million and $55.5 million for the quarters ended September 30, 2023 and 2022, respectively. Total amortization expense for intangible assets was $171.0 million and $171.0 million for the nine months ended September 30, 2023 and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80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Arial" w:cs="Arial" w:eastAsia="Arial" w:hAnsi="Arial"/>
                <w:sz w:val="14"/>
                <w:szCs w:val="14"/>
                <w:b w:val="1"/>
                <w:bCs w:val="1"/>
                <w:color w:val="auto"/>
              </w:rPr>
              <w:t>Amortization Expense</w:t>
            </w:r>
          </w:p>
        </w:tc>
      </w:tr>
      <w:tr>
        <w:trPr>
          <w:trHeight w:val="25"/>
        </w:trPr>
        <w:tc>
          <w:tcPr>
            <w:tcW w:w="348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8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2028</w:t>
            </w:r>
          </w:p>
        </w:tc>
        <w:tc>
          <w:tcPr>
            <w:tcW w:w="58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8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w:t>
            </w:r>
          </w:p>
        </w:tc>
      </w:tr>
      <w:tr>
        <w:trPr>
          <w:trHeight w:val="877"/>
        </w:trPr>
        <w:tc>
          <w:tcPr>
            <w:tcW w:w="3480" w:type="dxa"/>
            <w:vAlign w:val="bottom"/>
          </w:tcPr>
          <w:p>
            <w:pPr>
              <w:spacing w:after="0"/>
              <w:rPr>
                <w:sz w:val="24"/>
                <w:szCs w:val="24"/>
                <w:color w:val="auto"/>
              </w:rPr>
            </w:pPr>
          </w:p>
        </w:tc>
        <w:tc>
          <w:tcPr>
            <w:tcW w:w="5800" w:type="dxa"/>
            <w:vAlign w:val="bottom"/>
          </w:tcPr>
          <w:p>
            <w:pPr>
              <w:jc w:val="right"/>
              <w:ind w:right="3470"/>
              <w:spacing w:after="0"/>
              <w:rPr>
                <w:sz w:val="20"/>
                <w:szCs w:val="20"/>
                <w:color w:val="auto"/>
              </w:rPr>
            </w:pPr>
            <w:r>
              <w:rPr>
                <w:rFonts w:ascii="Arial" w:cs="Arial" w:eastAsia="Arial" w:hAnsi="Arial"/>
                <w:sz w:val="18"/>
                <w:szCs w:val="18"/>
                <w:color w:val="auto"/>
              </w:rPr>
              <w:t>14</w:t>
            </w:r>
          </w:p>
        </w:tc>
        <w:tc>
          <w:tcPr>
            <w:tcW w:w="196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Goodwill activity consisted of the following for the periods ended September 30, 2023 and December 31, 2022</w:t>
      </w:r>
      <w:r>
        <w:rPr>
          <w:rFonts w:ascii="Arial" w:cs="Arial" w:eastAsia="Arial" w:hAnsi="Arial"/>
          <w:sz w:val="16"/>
          <w:szCs w:val="16"/>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201"/>
        </w:trPr>
        <w:tc>
          <w:tcPr>
            <w:tcW w:w="65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89"/>
              </w:rPr>
              <w:t xml:space="preserve">Activity </w:t>
            </w:r>
            <w:r>
              <w:rPr>
                <w:rFonts w:ascii="Arial" w:cs="Arial" w:eastAsia="Arial" w:hAnsi="Arial"/>
                <w:sz w:val="18"/>
                <w:szCs w:val="18"/>
                <w:b w:val="1"/>
                <w:bCs w:val="1"/>
                <w:color w:val="auto"/>
                <w:w w:val="89"/>
                <w:vertAlign w:val="superscript"/>
              </w:rPr>
              <w:t>(1)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1"/>
              </w:rPr>
              <w:t>30, 2023</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5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NYMEX Holdings</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2,462.2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2,913.5</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10,482.5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10,477.6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54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9"/>
                <w:szCs w:val="9"/>
                <w:color w:val="auto"/>
              </w:rPr>
            </w:pPr>
          </w:p>
        </w:tc>
        <w:tc>
          <w:tcPr>
            <w:tcW w:w="12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rPr>
              <w:t>Balance at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201"/>
        </w:trPr>
        <w:tc>
          <w:tcPr>
            <w:tcW w:w="65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4"/>
                <w:szCs w:val="14"/>
                <w:b w:val="1"/>
                <w:bCs w:val="1"/>
                <w:color w:val="auto"/>
                <w:w w:val="89"/>
              </w:rPr>
              <w:t xml:space="preserve">Activity </w:t>
            </w:r>
            <w:r>
              <w:rPr>
                <w:rFonts w:ascii="Arial" w:cs="Arial" w:eastAsia="Arial" w:hAnsi="Arial"/>
                <w:sz w:val="18"/>
                <w:szCs w:val="18"/>
                <w:b w:val="1"/>
                <w:bCs w:val="1"/>
                <w:color w:val="auto"/>
                <w:w w:val="89"/>
                <w:vertAlign w:val="superscript"/>
              </w:rPr>
              <w:t>(1)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23"/>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CBOT Holdings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5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NYMEX Holdings</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2,462.2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NEX</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2,959.0</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10,528.0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10,482.5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40" w:type="dxa"/>
            <w:vAlign w:val="bottom"/>
            <w:gridSpan w:val="2"/>
          </w:tcPr>
          <w:p>
            <w:pPr>
              <w:ind w:left="340"/>
              <w:spacing w:after="0"/>
              <w:rPr>
                <w:sz w:val="20"/>
                <w:szCs w:val="20"/>
                <w:color w:val="auto"/>
              </w:rPr>
            </w:pPr>
            <w:r>
              <w:rPr>
                <w:rFonts w:ascii="Arial" w:cs="Arial" w:eastAsia="Arial" w:hAnsi="Arial"/>
                <w:sz w:val="16"/>
                <w:szCs w:val="16"/>
                <w:color w:val="auto"/>
              </w:rPr>
              <w:t>(1) Other activity includes currency translation adjustments.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In May 2023, the company repaid the €15.0 million fixed rate notes.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gridSpan w:val="3"/>
          </w:tcPr>
          <w:p>
            <w:pPr>
              <w:spacing w:after="0"/>
              <w:rPr>
                <w:sz w:val="20"/>
                <w:szCs w:val="20"/>
                <w:color w:val="auto"/>
              </w:rPr>
            </w:pPr>
            <w:r>
              <w:rPr>
                <w:rFonts w:ascii="Arial" w:cs="Arial" w:eastAsia="Arial" w:hAnsi="Arial"/>
                <w:sz w:val="18"/>
                <w:szCs w:val="18"/>
                <w:color w:val="auto"/>
                <w:w w:val="91"/>
              </w:rPr>
              <w:t>Short-term debt consisted of the following at September 30, 2023 and December 31, 2022:</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5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3"/>
              </w:rPr>
              <w:t>September 30,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6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€15.0 million fixed rate notes due May 2023, stated rate of 4.30%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short-term debt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w w:val="90"/>
              </w:rPr>
              <w:t>Long-term debt consisted of the following at September 30, 2023 and December 31, 2022:</w:t>
            </w: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5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3"/>
              </w:rPr>
              <w:t>September 30,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6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$500.0 million fixed rate notes due June 2028, stated rate of 3.75%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2032, stated rate of 2.65%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3"/>
                <w:szCs w:val="23"/>
                <w:color w:val="auto"/>
                <w:vertAlign w:val="superscript"/>
              </w:rPr>
              <w:t>(2)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$700.0 million fixed rate notes due June 2048, stated rate of 4.15%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20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September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70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 Value</w:t>
            </w:r>
          </w:p>
        </w:tc>
      </w:tr>
      <w:tr>
        <w:trPr>
          <w:trHeight w:val="25"/>
        </w:trPr>
        <w:tc>
          <w:tcPr>
            <w:tcW w:w="3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2025</w:t>
            </w:r>
          </w:p>
        </w:tc>
        <w:tc>
          <w:tcPr>
            <w:tcW w:w="7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2027</w:t>
            </w:r>
          </w:p>
        </w:tc>
        <w:tc>
          <w:tcPr>
            <w:tcW w:w="7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0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2,200.0</w:t>
            </w:r>
          </w:p>
        </w:tc>
        <w:tc>
          <w:tcPr>
            <w:tcW w:w="40" w:type="dxa"/>
            <w:vAlign w:val="bottom"/>
          </w:tcPr>
          <w:p>
            <w:pPr>
              <w:spacing w:after="0"/>
              <w:rPr>
                <w:sz w:val="20"/>
                <w:szCs w:val="20"/>
                <w:color w:val="auto"/>
              </w:rPr>
            </w:pPr>
          </w:p>
        </w:tc>
      </w:tr>
      <w:tr>
        <w:trPr>
          <w:trHeight w:val="877"/>
        </w:trPr>
        <w:tc>
          <w:tcPr>
            <w:tcW w:w="3160" w:type="dxa"/>
            <w:vAlign w:val="bottom"/>
          </w:tcPr>
          <w:p>
            <w:pPr>
              <w:spacing w:after="0"/>
              <w:rPr>
                <w:sz w:val="24"/>
                <w:szCs w:val="24"/>
                <w:color w:val="auto"/>
              </w:rPr>
            </w:pPr>
          </w:p>
        </w:tc>
        <w:tc>
          <w:tcPr>
            <w:tcW w:w="7000" w:type="dxa"/>
            <w:vAlign w:val="bottom"/>
          </w:tcPr>
          <w:p>
            <w:pPr>
              <w:jc w:val="right"/>
              <w:ind w:right="435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Contingencies</w:t>
      </w:r>
    </w:p>
    <w:p>
      <w:pPr>
        <w:spacing w:after="0" w:line="12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 xml:space="preserve">Legal and Regulatory Matters. </w:t>
      </w:r>
      <w:r>
        <w:rPr>
          <w:rFonts w:ascii="Arial" w:cs="Arial" w:eastAsia="Arial" w:hAnsi="Arial"/>
          <w:sz w:val="18"/>
          <w:szCs w:val="18"/>
          <w:color w:val="auto"/>
        </w:rPr>
        <w:t>In the normal course of business, the company discusses matters with its regulators raised during regulatory examinations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5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spacing w:after="0" w:line="56"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In addition, the company is a defendant in, and may be subject to,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 accrual was required for contingent legal and regulatory matters as none were probable and estimable as of September 30, 2023 and December 31, 2022.</w:t>
      </w:r>
    </w:p>
    <w:p>
      <w:pPr>
        <w:spacing w:after="0" w:line="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Group platforms,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operating leases for corporate offices. The operating leases have remaining lease terms of up to 15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1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Quarter Ended</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68"/>
        </w:trPr>
        <w:tc>
          <w:tcPr>
            <w:tcW w:w="3520" w:type="dxa"/>
            <w:vAlign w:val="bottom"/>
          </w:tcPr>
          <w:p>
            <w:pPr>
              <w:ind w:left="20"/>
              <w:spacing w:after="0" w:line="168" w:lineRule="exact"/>
              <w:rPr>
                <w:sz w:val="20"/>
                <w:szCs w:val="20"/>
                <w:color w:val="auto"/>
              </w:rPr>
            </w:pPr>
            <w:r>
              <w:rPr>
                <w:rFonts w:ascii="Arial" w:cs="Arial" w:eastAsia="Arial" w:hAnsi="Arial"/>
                <w:sz w:val="18"/>
                <w:szCs w:val="18"/>
                <w:color w:val="auto"/>
                <w:w w:val="92"/>
              </w:rPr>
              <w:t>Total operating lease expense included in other</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4"/>
                <w:szCs w:val="14"/>
                <w:color w:val="auto"/>
              </w:rPr>
            </w:pP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4"/>
                <w:szCs w:val="14"/>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4"/>
                <w:szCs w:val="14"/>
                <w:color w:val="auto"/>
              </w:rPr>
            </w:pPr>
          </w:p>
        </w:tc>
        <w:tc>
          <w:tcPr>
            <w:tcW w:w="6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8"/>
        </w:trPr>
        <w:tc>
          <w:tcPr>
            <w:tcW w:w="3520" w:type="dxa"/>
            <w:vAlign w:val="bottom"/>
          </w:tcPr>
          <w:p>
            <w:pPr>
              <w:ind w:left="20"/>
              <w:spacing w:after="0" w:line="203" w:lineRule="exact"/>
              <w:rPr>
                <w:sz w:val="20"/>
                <w:szCs w:val="20"/>
                <w:color w:val="auto"/>
              </w:rPr>
            </w:pPr>
            <w:r>
              <w:rPr>
                <w:rFonts w:ascii="Arial" w:cs="Arial" w:eastAsia="Arial" w:hAnsi="Arial"/>
                <w:sz w:val="18"/>
                <w:szCs w:val="18"/>
                <w:color w:val="auto"/>
              </w:rPr>
              <w:t>expense</w:t>
            </w:r>
          </w:p>
        </w:tc>
        <w:tc>
          <w:tcPr>
            <w:tcW w:w="4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expense</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Sublease revenue included in other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540" w:type="dxa"/>
            <w:vAlign w:val="bottom"/>
          </w:tcPr>
          <w:p>
            <w:pPr>
              <w:jc w:val="center"/>
              <w:ind w:left="1128"/>
              <w:spacing w:after="0"/>
              <w:rPr>
                <w:sz w:val="20"/>
                <w:szCs w:val="20"/>
                <w:color w:val="auto"/>
              </w:rPr>
            </w:pPr>
            <w:r>
              <w:rPr>
                <w:rFonts w:ascii="Arial" w:cs="Arial" w:eastAsia="Arial" w:hAnsi="Arial"/>
                <w:sz w:val="14"/>
                <w:szCs w:val="14"/>
                <w:b w:val="1"/>
                <w:bCs w:val="1"/>
                <w:color w:val="auto"/>
                <w:w w:val="96"/>
              </w:rPr>
              <w:t>Quarter Ended</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3500" w:type="dxa"/>
            <w:vAlign w:val="bottom"/>
          </w:tcPr>
          <w:p>
            <w:pPr>
              <w:spacing w:after="0"/>
              <w:rPr>
                <w:sz w:val="16"/>
                <w:szCs w:val="16"/>
                <w:color w:val="auto"/>
              </w:rPr>
            </w:pPr>
          </w:p>
        </w:tc>
        <w:tc>
          <w:tcPr>
            <w:tcW w:w="2540" w:type="dxa"/>
            <w:vAlign w:val="bottom"/>
            <w:tcBorders>
              <w:bottom w:val="single" w:sz="8" w:color="auto"/>
            </w:tcBorders>
          </w:tcPr>
          <w:p>
            <w:pPr>
              <w:jc w:val="center"/>
              <w:ind w:left="1148"/>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center"/>
              <w:ind w:right="1088"/>
              <w:spacing w:after="0"/>
              <w:rPr>
                <w:sz w:val="20"/>
                <w:szCs w:val="20"/>
                <w:color w:val="auto"/>
              </w:rPr>
            </w:pPr>
            <w:r>
              <w:rPr>
                <w:rFonts w:ascii="Arial" w:cs="Arial" w:eastAsia="Arial" w:hAnsi="Arial"/>
                <w:sz w:val="14"/>
                <w:szCs w:val="14"/>
                <w:b w:val="1"/>
                <w:bCs w:val="1"/>
                <w:color w:val="auto"/>
                <w:w w:val="89"/>
              </w:rPr>
              <w:t>September 30,</w:t>
            </w:r>
          </w:p>
        </w:tc>
      </w:tr>
      <w:tr>
        <w:trPr>
          <w:trHeight w:val="186"/>
        </w:trPr>
        <w:tc>
          <w:tcPr>
            <w:tcW w:w="35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Pr>
          <w:p>
            <w:pPr>
              <w:jc w:val="right"/>
              <w:ind w:right="1428"/>
              <w:spacing w:after="0"/>
              <w:rPr>
                <w:sz w:val="20"/>
                <w:szCs w:val="20"/>
                <w:color w:val="auto"/>
              </w:rPr>
            </w:pPr>
            <w:r>
              <w:rPr>
                <w:rFonts w:ascii="Arial" w:cs="Arial" w:eastAsia="Arial" w:hAnsi="Arial"/>
                <w:sz w:val="14"/>
                <w:szCs w:val="14"/>
                <w:b w:val="1"/>
                <w:bCs w:val="1"/>
                <w:color w:val="auto"/>
              </w:rPr>
              <w:t>2023</w:t>
            </w:r>
          </w:p>
        </w:tc>
        <w:tc>
          <w:tcPr>
            <w:tcW w:w="1240" w:type="dxa"/>
            <w:vAlign w:val="bottom"/>
          </w:tcPr>
          <w:p>
            <w:pPr>
              <w:jc w:val="right"/>
              <w:ind w:right="68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2620" w:type="dxa"/>
            <w:vAlign w:val="bottom"/>
          </w:tcPr>
          <w:p>
            <w:pPr>
              <w:jc w:val="right"/>
              <w:ind w:right="688"/>
              <w:spacing w:after="0"/>
              <w:rPr>
                <w:sz w:val="20"/>
                <w:szCs w:val="20"/>
                <w:color w:val="auto"/>
              </w:rPr>
            </w:pPr>
            <w:r>
              <w:rPr>
                <w:rFonts w:ascii="Arial" w:cs="Arial" w:eastAsia="Arial" w:hAnsi="Arial"/>
                <w:sz w:val="14"/>
                <w:szCs w:val="14"/>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outflows for operating leases</w:t>
            </w:r>
          </w:p>
        </w:tc>
        <w:tc>
          <w:tcPr>
            <w:tcW w:w="13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8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66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tcBorders>
              <w:top w:val="single" w:sz="8" w:color="auto"/>
            </w:tcBorders>
            <w:shd w:val="clear" w:color="auto" w:fill="CCEEFF"/>
          </w:tcPr>
          <w:p>
            <w:pPr>
              <w:spacing w:after="0"/>
              <w:rPr>
                <w:sz w:val="20"/>
                <w:szCs w:val="20"/>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Cash outflows for finance leases</w:t>
            </w:r>
          </w:p>
        </w:tc>
        <w:tc>
          <w:tcPr>
            <w:tcW w:w="1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0"/>
                <w:szCs w:val="20"/>
                <w:color w:val="auto"/>
              </w:rPr>
            </w:pPr>
          </w:p>
        </w:tc>
      </w:tr>
      <w:tr>
        <w:trPr>
          <w:trHeight w:val="323"/>
        </w:trPr>
        <w:tc>
          <w:tcPr>
            <w:tcW w:w="5380" w:type="dxa"/>
            <w:vAlign w:val="bottom"/>
            <w:gridSpan w:val="3"/>
          </w:tcPr>
          <w:p>
            <w:pPr>
              <w:spacing w:after="0"/>
              <w:rPr>
                <w:sz w:val="20"/>
                <w:szCs w:val="20"/>
                <w:color w:val="auto"/>
              </w:rPr>
            </w:pPr>
            <w:r>
              <w:rPr>
                <w:rFonts w:ascii="Arial" w:cs="Arial" w:eastAsia="Arial" w:hAnsi="Arial"/>
                <w:sz w:val="18"/>
                <w:szCs w:val="18"/>
                <w:color w:val="auto"/>
                <w:w w:val="91"/>
              </w:rPr>
              <w:t>Supplemental balance sheet information related to leases was as follows:</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2"/>
        </w:trPr>
        <w:tc>
          <w:tcPr>
            <w:tcW w:w="3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September 30, 2023</w:t>
            </w:r>
          </w:p>
        </w:tc>
        <w:tc>
          <w:tcPr>
            <w:tcW w:w="32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282.5</w:t>
            </w:r>
          </w:p>
        </w:tc>
        <w:tc>
          <w:tcPr>
            <w:tcW w:w="1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310.6</w:t>
            </w:r>
          </w:p>
        </w:tc>
        <w:tc>
          <w:tcPr>
            <w:tcW w:w="20" w:type="dxa"/>
            <w:vAlign w:val="bottom"/>
          </w:tcPr>
          <w:p>
            <w:pPr>
              <w:spacing w:after="0"/>
              <w:rPr>
                <w:sz w:val="19"/>
                <w:szCs w:val="19"/>
                <w:color w:val="auto"/>
              </w:rPr>
            </w:pPr>
          </w:p>
        </w:tc>
      </w:tr>
      <w:tr>
        <w:trPr>
          <w:trHeight w:val="270"/>
        </w:trPr>
        <w:tc>
          <w:tcPr>
            <w:tcW w:w="30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9"/>
                <w:szCs w:val="19"/>
                <w:color w:val="auto"/>
              </w:rPr>
            </w:pPr>
          </w:p>
        </w:tc>
      </w:tr>
      <w:tr>
        <w:trPr>
          <w:trHeight w:val="230"/>
        </w:trPr>
        <w:tc>
          <w:tcPr>
            <w:tcW w:w="3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351.3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383.5</w:t>
            </w:r>
          </w:p>
        </w:tc>
        <w:tc>
          <w:tcPr>
            <w:tcW w:w="20" w:type="dxa"/>
            <w:vAlign w:val="bottom"/>
          </w:tcPr>
          <w:p>
            <w:pPr>
              <w:spacing w:after="0"/>
              <w:rPr>
                <w:sz w:val="19"/>
                <w:szCs w:val="19"/>
                <w:color w:val="auto"/>
              </w:rPr>
            </w:pP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398.2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433.4</w:t>
            </w:r>
          </w:p>
        </w:tc>
        <w:tc>
          <w:tcPr>
            <w:tcW w:w="20" w:type="dxa"/>
            <w:vAlign w:val="bottom"/>
          </w:tcPr>
          <w:p>
            <w:pPr>
              <w:spacing w:after="0"/>
              <w:rPr>
                <w:sz w:val="21"/>
                <w:szCs w:val="21"/>
                <w:color w:val="auto"/>
              </w:rPr>
            </w:pPr>
          </w:p>
        </w:tc>
      </w:tr>
      <w:tr>
        <w:trPr>
          <w:trHeight w:val="20"/>
        </w:trPr>
        <w:tc>
          <w:tcPr>
            <w:tcW w:w="434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3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3.8 %</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6"/>
                <w:szCs w:val="16"/>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72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65.0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71.5</w:t>
            </w:r>
          </w:p>
        </w:tc>
      </w:tr>
      <w:tr>
        <w:trPr>
          <w:trHeight w:val="270"/>
        </w:trPr>
        <w:tc>
          <w:tcPr>
            <w:tcW w:w="7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61.6</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67.8</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finance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69.9</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76.0</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months)</w:t>
            </w:r>
          </w:p>
        </w:tc>
        <w:tc>
          <w:tcPr>
            <w:tcW w:w="2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432"/>
        </w:trPr>
        <w:tc>
          <w:tcPr>
            <w:tcW w:w="9300" w:type="dxa"/>
            <w:vAlign w:val="bottom"/>
            <w:gridSpan w:val="5"/>
          </w:tcPr>
          <w:p>
            <w:pPr>
              <w:spacing w:after="0"/>
              <w:rPr>
                <w:sz w:val="20"/>
                <w:szCs w:val="20"/>
                <w:color w:val="auto"/>
              </w:rPr>
            </w:pPr>
            <w:r>
              <w:rPr>
                <w:rFonts w:ascii="Arial" w:cs="Arial" w:eastAsia="Arial" w:hAnsi="Arial"/>
                <w:sz w:val="18"/>
                <w:szCs w:val="18"/>
                <w:color w:val="auto"/>
              </w:rPr>
              <w:t>Future minimum lease payments were as follows as of September 30, 2023 for operating and finance leases: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2"/>
        </w:trPr>
        <w:tc>
          <w:tcPr>
            <w:tcW w:w="7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452"/>
              <w:spacing w:after="0"/>
              <w:rPr>
                <w:sz w:val="20"/>
                <w:szCs w:val="20"/>
                <w:color w:val="auto"/>
              </w:rPr>
            </w:pPr>
            <w:r>
              <w:rPr>
                <w:rFonts w:ascii="Arial" w:cs="Arial" w:eastAsia="Arial" w:hAnsi="Arial"/>
                <w:sz w:val="14"/>
                <w:szCs w:val="14"/>
                <w:b w:val="1"/>
                <w:bCs w:val="1"/>
                <w:color w:val="auto"/>
                <w:w w:val="98"/>
              </w:rPr>
              <w:t>Operating Leases</w:t>
            </w:r>
          </w:p>
        </w:tc>
      </w:tr>
      <w:tr>
        <w:trPr>
          <w:trHeight w:val="26"/>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tcPr>
          <w:p>
            <w:pPr>
              <w:spacing w:after="0"/>
              <w:rPr>
                <w:sz w:val="19"/>
                <w:szCs w:val="19"/>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86"/>
        </w:trPr>
        <w:tc>
          <w:tcPr>
            <w:tcW w:w="7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532"/>
              <w:spacing w:after="0"/>
              <w:rPr>
                <w:sz w:val="20"/>
                <w:szCs w:val="20"/>
                <w:color w:val="auto"/>
              </w:rPr>
            </w:pPr>
            <w:r>
              <w:rPr>
                <w:rFonts w:ascii="Arial" w:cs="Arial" w:eastAsia="Arial" w:hAnsi="Arial"/>
                <w:sz w:val="14"/>
                <w:szCs w:val="14"/>
                <w:b w:val="1"/>
                <w:bCs w:val="1"/>
                <w:color w:val="auto"/>
              </w:rPr>
              <w:t>Finance Leases</w:t>
            </w:r>
          </w:p>
        </w:tc>
      </w:tr>
      <w:tr>
        <w:trPr>
          <w:trHeight w:val="25"/>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tcPr>
          <w:p>
            <w:pPr>
              <w:spacing w:after="0"/>
              <w:rPr>
                <w:sz w:val="19"/>
                <w:szCs w:val="19"/>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12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maintain a mutual offset agreement with a current term through May 2024.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enables market participants to open a futures position on one exchange and liquidate it on the other. The term of the agreement will automatically renew for a one-year period after May 2024 unless either party provides advance notice of their intent to terminate. CME can maintain collateral in the form of irrevocable, standby letters of credit. At September 30, 2023, CME was contingently liable to SGX on letters of credit totaling $285.0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potential payouts by the clearing house. Based on the assessment performed, management estimates the guarantee liability to be nominal and therefore has not recorded any liability at September 30, 2023 and December 31, 2022.</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September 30, 2023 and December 31,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62"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level 2 assets and liabilities generally consist of long-term debt notes. The fair values of the long-term debt notes were based on quoted market prices in an inactive market.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level 3 assets and liabilities include certain investments that were adjusted to fair value.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Recurring Fair Value Measurements. </w:t>
      </w:r>
      <w:r>
        <w:rPr>
          <w:rFonts w:ascii="Arial" w:cs="Arial" w:eastAsia="Arial" w:hAnsi="Arial"/>
          <w:sz w:val="18"/>
          <w:szCs w:val="18"/>
          <w:color w:val="auto"/>
        </w:rPr>
        <w:t>Financial assets and liabilities recorded at fair value on the consolidated balance sheet as of September 30, 2023 were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580"/>
              <w:spacing w:after="0"/>
              <w:rPr>
                <w:sz w:val="20"/>
                <w:szCs w:val="20"/>
                <w:color w:val="auto"/>
              </w:rPr>
            </w:pPr>
            <w:r>
              <w:rPr>
                <w:rFonts w:ascii="Arial" w:cs="Arial" w:eastAsia="Arial" w:hAnsi="Arial"/>
                <w:sz w:val="14"/>
                <w:szCs w:val="14"/>
                <w:b w:val="1"/>
                <w:bCs w:val="1"/>
                <w:color w:val="auto"/>
              </w:rPr>
              <w:t>September 30, 2023</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In the first nine months of 2023, the company recognized a net unrealized loss on investments of $1.4 million on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investments without readily determinable fair value. The fair value of these investments was estimated to be $8.6 million at September 30, 2023. This fair value assessment was based on quantitative factors, including observable price changes. The fair value measurements of these investments are considered level 3 and non-recurring.</w:t>
      </w:r>
    </w:p>
    <w:p>
      <w:pPr>
        <w:spacing w:after="0" w:line="13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Fair Values of Long-Term Debt Notes. </w:t>
      </w:r>
      <w:r>
        <w:rPr>
          <w:rFonts w:ascii="Arial" w:cs="Arial" w:eastAsia="Arial" w:hAnsi="Arial"/>
          <w:sz w:val="18"/>
          <w:szCs w:val="18"/>
          <w:color w:val="auto"/>
        </w:rPr>
        <w:t>The following presents the estimated fair values of long-term debt notes, which are carried at amortized cost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The fair values below are classified as level 2 under the fair value hierarchy and were estimated using quoted market prices in inactive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the fair values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46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w:t>
            </w:r>
          </w:p>
        </w:tc>
      </w:tr>
      <w:tr>
        <w:trPr>
          <w:trHeight w:val="229"/>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2025</w:t>
            </w:r>
          </w:p>
        </w:tc>
        <w:tc>
          <w:tcPr>
            <w:tcW w:w="54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723.5</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$500.0 million fixed rate notes due June 2028</w:t>
            </w:r>
          </w:p>
        </w:tc>
        <w:tc>
          <w:tcPr>
            <w:tcW w:w="5460" w:type="dxa"/>
            <w:vAlign w:val="bottom"/>
          </w:tcPr>
          <w:p>
            <w:pPr>
              <w:jc w:val="right"/>
              <w:ind w:right="173"/>
              <w:spacing w:after="0"/>
              <w:rPr>
                <w:sz w:val="20"/>
                <w:szCs w:val="20"/>
                <w:color w:val="auto"/>
              </w:rPr>
            </w:pPr>
            <w:r>
              <w:rPr>
                <w:rFonts w:ascii="Arial" w:cs="Arial" w:eastAsia="Arial" w:hAnsi="Arial"/>
                <w:sz w:val="18"/>
                <w:szCs w:val="18"/>
                <w:color w:val="auto"/>
              </w:rPr>
              <w:t>472.0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$750.0 million fixed rate notes due March 2032</w:t>
            </w:r>
          </w:p>
        </w:tc>
        <w:tc>
          <w:tcPr>
            <w:tcW w:w="54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612.7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$750.0 million fixed rate notes due September 2043</w:t>
            </w:r>
          </w:p>
        </w:tc>
        <w:tc>
          <w:tcPr>
            <w:tcW w:w="5460" w:type="dxa"/>
            <w:vAlign w:val="bottom"/>
          </w:tcPr>
          <w:p>
            <w:pPr>
              <w:jc w:val="right"/>
              <w:ind w:right="173"/>
              <w:spacing w:after="0"/>
              <w:rPr>
                <w:sz w:val="20"/>
                <w:szCs w:val="20"/>
                <w:color w:val="auto"/>
              </w:rPr>
            </w:pPr>
            <w:r>
              <w:rPr>
                <w:rFonts w:ascii="Arial" w:cs="Arial" w:eastAsia="Arial" w:hAnsi="Arial"/>
                <w:sz w:val="18"/>
                <w:szCs w:val="18"/>
                <w:color w:val="auto"/>
              </w:rPr>
              <w:t>719.2</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$700.0 million fixed rate notes due June 2048</w:t>
            </w:r>
          </w:p>
        </w:tc>
        <w:tc>
          <w:tcPr>
            <w:tcW w:w="54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578.1</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4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5460" w:type="dxa"/>
            <w:vAlign w:val="bottom"/>
          </w:tcPr>
          <w:p>
            <w:pPr>
              <w:jc w:val="right"/>
              <w:ind w:right="4293"/>
              <w:spacing w:after="0"/>
              <w:rPr>
                <w:sz w:val="20"/>
                <w:szCs w:val="20"/>
                <w:color w:val="auto"/>
              </w:rPr>
            </w:pPr>
            <w:r>
              <w:rPr>
                <w:rFonts w:ascii="Arial" w:cs="Arial" w:eastAsia="Arial" w:hAnsi="Arial"/>
                <w:sz w:val="18"/>
                <w:szCs w:val="18"/>
                <w:color w:val="auto"/>
              </w:rPr>
              <w:t>20</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96"/>
              </w:rPr>
              <w:t>Quarter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646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1"/>
        </w:trPr>
        <w:tc>
          <w:tcPr>
            <w:tcW w:w="6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i w:val="1"/>
                <w:iCs w:val="1"/>
                <w:color w:val="auto"/>
              </w:rPr>
              <w:t>(in millions)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2,053.1</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Less: preferred stock dividends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undistributed earnings allocated to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 of CME Group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2,027.2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 xml:space="preserve">Weighted Average Number of Common Shares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358,715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358,655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stock options, restricted stock and performance shares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359,288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359,206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6"/>
              </w:rPr>
              <w:t>Earnings per Common Share Attributable to Common Shareholders of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2022, filed with the SEC on February 27, 2023.</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tcPr>
          <w:p>
            <w:pPr>
              <w:spacing w:after="0"/>
              <w:rPr>
                <w:sz w:val="14"/>
                <w:szCs w:val="14"/>
                <w:color w:val="auto"/>
              </w:rPr>
            </w:pPr>
          </w:p>
        </w:tc>
      </w:tr>
      <w:tr>
        <w:trPr>
          <w:trHeight w:val="192"/>
        </w:trPr>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1,337.8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9"/>
              </w:rPr>
              <w:t>1,227.8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4,139.6</w:t>
            </w:r>
          </w:p>
        </w:tc>
        <w:tc>
          <w:tcPr>
            <w:tcW w:w="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9"/>
              </w:rPr>
              <w:t>3,811.6</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517.6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w w:val="99"/>
              </w:rPr>
              <w:t>1,567.1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w w:val="89"/>
              </w:rPr>
              <w:t>1,464.0</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7</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61.3 %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62.1 %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61.6 %</w:t>
            </w:r>
          </w:p>
        </w:tc>
        <w:tc>
          <w:tcPr>
            <w:tcW w:w="1300" w:type="dxa"/>
            <w:vAlign w:val="bottom"/>
            <w:shd w:val="clear" w:color="auto" w:fill="CCEEFF"/>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575.1</w:t>
            </w: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315.4</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83</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23.0 %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22.9 %</w:t>
            </w:r>
          </w:p>
        </w:tc>
        <w:tc>
          <w:tcPr>
            <w:tcW w:w="1300" w:type="dxa"/>
            <w:vAlign w:val="bottom"/>
            <w:shd w:val="clear" w:color="auto" w:fill="CCEEFF"/>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679.6</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w w:val="99"/>
              </w:rPr>
              <w:t>2,411.6</w:t>
            </w:r>
          </w:p>
        </w:tc>
        <w:tc>
          <w:tcPr>
            <w:tcW w:w="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w w:val="89"/>
              </w:rPr>
              <w:t>2,053.1</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17</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5.64</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w w:val="99"/>
              </w:rPr>
              <w:t>2,409.5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w w:val="89"/>
              </w:rPr>
              <w:t>2,074.5</w:t>
            </w:r>
          </w:p>
        </w:tc>
        <w:tc>
          <w:tcPr>
            <w:tcW w:w="60" w:type="dxa"/>
            <w:vAlign w:val="bottom"/>
          </w:tcPr>
          <w:p>
            <w:pPr>
              <w:spacing w:after="0"/>
              <w:rPr>
                <w:sz w:val="20"/>
                <w:szCs w:val="20"/>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16</w:t>
            </w:r>
          </w:p>
        </w:tc>
      </w:tr>
      <w:tr>
        <w:trPr>
          <w:trHeight w:val="418"/>
        </w:trPr>
        <w:tc>
          <w:tcPr>
            <w:tcW w:w="3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4"/>
              </w:rPr>
              <w:t>Quarter Ended</w:t>
            </w: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tcPr>
          <w:p>
            <w:pPr>
              <w:spacing w:after="0"/>
              <w:rPr>
                <w:sz w:val="23"/>
                <w:szCs w:val="23"/>
                <w:color w:val="auto"/>
              </w:rPr>
            </w:pP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w w:val="93"/>
              </w:rPr>
              <w:t>September 30,</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Clearing and transaction fees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998.6</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3,161.3</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Market data and information services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154.3</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457.7</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8</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c>
          <w:tcPr>
            <w:tcW w:w="13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1,227.8</w:t>
            </w: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3,811.6</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9</w:t>
            </w:r>
          </w:p>
        </w:tc>
      </w:tr>
      <w:tr>
        <w:trPr>
          <w:trHeight w:val="20"/>
        </w:trPr>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Futures and Options Contracts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2022</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2022</w:t>
            </w: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1,408.2</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1,435.9</w:t>
            </w:r>
          </w:p>
        </w:tc>
        <w:tc>
          <w:tcPr>
            <w:tcW w:w="14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4,492.0</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994.8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905.1</w:t>
            </w:r>
          </w:p>
        </w:tc>
        <w:tc>
          <w:tcPr>
            <w:tcW w:w="1460" w:type="dxa"/>
            <w:vAlign w:val="bottom"/>
          </w:tcPr>
          <w:p>
            <w:pPr>
              <w:ind w:left="960"/>
              <w:spacing w:after="0"/>
              <w:rPr>
                <w:sz w:val="20"/>
                <w:szCs w:val="20"/>
                <w:color w:val="auto"/>
              </w:rPr>
            </w:pPr>
            <w:r>
              <w:rPr>
                <w:rFonts w:ascii="Arial" w:cs="Arial" w:eastAsia="Arial" w:hAnsi="Arial"/>
                <w:sz w:val="18"/>
                <w:szCs w:val="18"/>
                <w:color w:val="auto"/>
              </w:rPr>
              <w:t>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3,125.6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2,864.9</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9</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0.707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0.631</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0.696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0.641</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estimate the following net change in clearing and transaction fees based on the change in total contract volume and the change in average rate per contract for futures and options during the third quarter and first nine months of 2023 when compared with the same periods in 2022.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1020" w:type="dxa"/>
            <w:vAlign w:val="bottom"/>
          </w:tcPr>
          <w:p>
            <w:pPr>
              <w:jc w:val="right"/>
              <w:ind w:right="97"/>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92"/>
        </w:trPr>
        <w:tc>
          <w:tcPr>
            <w:tcW w:w="8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due to a change in total contract volume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 due to a change in average rate per contract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increases in clearing and transaction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6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Pr>
          <w:p>
            <w:pPr>
              <w:spacing w:after="0"/>
              <w:rPr>
                <w:sz w:val="14"/>
                <w:szCs w:val="14"/>
                <w:color w:val="auto"/>
              </w:rPr>
            </w:pPr>
          </w:p>
        </w:tc>
        <w:tc>
          <w:tcPr>
            <w:tcW w:w="216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96"/>
        </w:trPr>
        <w:tc>
          <w:tcPr>
            <w:tcW w:w="476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7"/>
                <w:szCs w:val="17"/>
                <w:color w:val="auto"/>
              </w:rPr>
            </w:pPr>
          </w:p>
        </w:tc>
      </w:tr>
      <w:tr>
        <w:trPr>
          <w:trHeight w:val="19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Change</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Product Line: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10,967</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10,357</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6 %</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12,236</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11,149</w:t>
            </w: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indexes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6,353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7,445</w:t>
            </w: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7,712</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1,091</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983</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commodities</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Energy</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1,837</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16</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2,092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Metals</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Aggregate average daily volume</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22,349</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22,437</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24,017</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23,789</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Daily Volume by Venue: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CME Globex</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20,839</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21,021</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21,966</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22,192</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outcry</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704</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negotiated</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712</w:t>
            </w:r>
          </w:p>
        </w:tc>
        <w:tc>
          <w:tcPr>
            <w:tcW w:w="1140" w:type="dxa"/>
            <w:vAlign w:val="bottom"/>
            <w:tcBorders>
              <w:bottom w:val="single" w:sz="8" w:color="CCEEFF"/>
            </w:tcBorders>
          </w:tcPr>
          <w:p>
            <w:pPr>
              <w:jc w:val="right"/>
              <w:ind w:right="272"/>
              <w:spacing w:after="0"/>
              <w:rPr>
                <w:sz w:val="20"/>
                <w:szCs w:val="20"/>
                <w:color w:val="auto"/>
              </w:rPr>
            </w:pPr>
            <w:r>
              <w:rPr>
                <w:rFonts w:ascii="Arial" w:cs="Arial" w:eastAsia="Arial" w:hAnsi="Arial"/>
                <w:sz w:val="18"/>
                <w:szCs w:val="18"/>
                <w:color w:val="auto"/>
              </w:rPr>
              <w:t>12</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779</w:t>
            </w:r>
          </w:p>
        </w:tc>
        <w:tc>
          <w:tcPr>
            <w:tcW w:w="102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15</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average daily volume</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22,349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22,437</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23,789</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Electronic Volume as a Percentage of Total Volume</w:t>
            </w:r>
          </w:p>
        </w:tc>
        <w:tc>
          <w:tcPr>
            <w:tcW w:w="1020" w:type="dxa"/>
            <w:vAlign w:val="bottom"/>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94 %</w:t>
            </w:r>
          </w:p>
        </w:tc>
        <w:tc>
          <w:tcPr>
            <w:tcW w:w="1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93 %</w:t>
            </w:r>
          </w:p>
        </w:tc>
        <w:tc>
          <w:tcPr>
            <w:tcW w:w="1020" w:type="dxa"/>
            <w:vAlign w:val="bottom"/>
          </w:tcPr>
          <w:p>
            <w:pPr>
              <w:spacing w:after="0"/>
              <w:rPr>
                <w:sz w:val="20"/>
                <w:szCs w:val="20"/>
                <w:color w:val="auto"/>
              </w:rPr>
            </w:pPr>
          </w:p>
        </w:tc>
      </w:tr>
    </w:tbl>
    <w:p>
      <w:pPr>
        <w:spacing w:after="0" w:line="20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Market volatility within certain financial markets remained high throughout the first nine months of 2023. Interest rate volatility was higher as a result of higher inflation levels and market uncertainty following the collapse of two U.S. regional banks as well as uncertainty surrounding the Federal Reserve’s interest rate policy decision. The Federal Open Markets Committee (FOMC) has raised the federal funds rate multiple times throughout 2023 and has signaled the potential for future additional hikes. Additionally, the energy markets were more volatile in 2023 due to a shift in global supply caused by production cuts by the Organization of the Petroleum Exporting Countries (OPEC). Finally, the agricultural commodities market saw an increase in volatility as a result of more weather uncertainty in 2023 compared to 2022 as well as continued global trade uncertainty resulting from the conflict between Russia and Ukraine. However, overall equity index volatility leveled off following higher volatility in early 2022 caused by tensions and geopolitical uncertainty between Russia and Ukraine. We believe these factors contributed to total volumes remaining relatively flat in the third quarter and first nine months of 2023 when compared with the same periods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We no longer offer Eurodollar contract trading as of June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2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3"/>
              </w:rPr>
              <w:t>2022</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6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2022</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Eurodollar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Futures expiring within two years</w:t>
            </w:r>
          </w:p>
        </w:tc>
        <w:tc>
          <w:tcPr>
            <w:tcW w:w="160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891</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117</w:t>
            </w:r>
          </w:p>
        </w:tc>
        <w:tc>
          <w:tcPr>
            <w:tcW w:w="700" w:type="dxa"/>
            <w:vAlign w:val="bottom"/>
          </w:tcPr>
          <w:p>
            <w:pPr>
              <w:jc w:val="right"/>
              <w:spacing w:after="0"/>
              <w:rPr>
                <w:sz w:val="20"/>
                <w:szCs w:val="20"/>
                <w:color w:val="auto"/>
              </w:rPr>
            </w:pPr>
            <w:r>
              <w:rPr>
                <w:rFonts w:ascii="Arial" w:cs="Arial" w:eastAsia="Arial" w:hAnsi="Arial"/>
                <w:sz w:val="18"/>
                <w:szCs w:val="18"/>
                <w:color w:val="auto"/>
              </w:rPr>
              <w:t>1,296</w:t>
            </w: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w:t>
            </w:r>
          </w:p>
        </w:tc>
        <w:tc>
          <w:tcPr>
            <w:tcW w:w="16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w:t>
            </w: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(94)</w:t>
            </w: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Futures expiring beyond two years</w:t>
            </w:r>
          </w:p>
        </w:tc>
        <w:tc>
          <w:tcPr>
            <w:tcW w:w="160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(100)</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28</w:t>
            </w:r>
          </w:p>
        </w:tc>
        <w:tc>
          <w:tcPr>
            <w:tcW w:w="700" w:type="dxa"/>
            <w:vAlign w:val="bottom"/>
          </w:tcPr>
          <w:p>
            <w:pPr>
              <w:jc w:val="right"/>
              <w:spacing w:after="0"/>
              <w:rPr>
                <w:sz w:val="20"/>
                <w:szCs w:val="20"/>
                <w:color w:val="auto"/>
              </w:rPr>
            </w:pPr>
            <w:r>
              <w:rPr>
                <w:rFonts w:ascii="Arial" w:cs="Arial" w:eastAsia="Arial" w:hAnsi="Arial"/>
                <w:sz w:val="18"/>
                <w:szCs w:val="18"/>
                <w:color w:val="auto"/>
              </w:rPr>
              <w:t>537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(95)</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SOFR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Futures expiring within two years</w:t>
            </w:r>
          </w:p>
        </w:tc>
        <w:tc>
          <w:tcPr>
            <w:tcW w:w="1600" w:type="dxa"/>
            <w:vAlign w:val="bottom"/>
          </w:tcPr>
          <w:p>
            <w:pPr>
              <w:jc w:val="right"/>
              <w:ind w:right="494"/>
              <w:spacing w:after="0"/>
              <w:rPr>
                <w:sz w:val="20"/>
                <w:szCs w:val="20"/>
                <w:color w:val="auto"/>
              </w:rPr>
            </w:pPr>
            <w:r>
              <w:rPr>
                <w:rFonts w:ascii="Arial" w:cs="Arial" w:eastAsia="Arial" w:hAnsi="Arial"/>
                <w:sz w:val="18"/>
                <w:szCs w:val="18"/>
                <w:color w:val="auto"/>
              </w:rPr>
              <w:t>2,217</w:t>
            </w:r>
          </w:p>
        </w:tc>
        <w:tc>
          <w:tcPr>
            <w:tcW w:w="680" w:type="dxa"/>
            <w:vAlign w:val="bottom"/>
          </w:tcPr>
          <w:p>
            <w:pPr>
              <w:jc w:val="right"/>
              <w:spacing w:after="0"/>
              <w:rPr>
                <w:sz w:val="20"/>
                <w:szCs w:val="20"/>
                <w:color w:val="auto"/>
              </w:rPr>
            </w:pPr>
            <w:r>
              <w:rPr>
                <w:rFonts w:ascii="Arial" w:cs="Arial" w:eastAsia="Arial" w:hAnsi="Arial"/>
                <w:sz w:val="18"/>
                <w:szCs w:val="18"/>
                <w:color w:val="auto"/>
              </w:rPr>
              <w:t>1,780</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2,539</w:t>
            </w:r>
          </w:p>
        </w:tc>
        <w:tc>
          <w:tcPr>
            <w:tcW w:w="700" w:type="dxa"/>
            <w:vAlign w:val="bottom"/>
          </w:tcPr>
          <w:p>
            <w:pPr>
              <w:jc w:val="right"/>
              <w:spacing w:after="0"/>
              <w:rPr>
                <w:sz w:val="20"/>
                <w:szCs w:val="20"/>
                <w:color w:val="auto"/>
              </w:rPr>
            </w:pPr>
            <w:r>
              <w:rPr>
                <w:rFonts w:ascii="Arial" w:cs="Arial" w:eastAsia="Arial" w:hAnsi="Arial"/>
                <w:sz w:val="18"/>
                <w:szCs w:val="18"/>
                <w:color w:val="auto"/>
              </w:rPr>
              <w:t>1,408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80</w:t>
            </w: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w:t>
            </w:r>
          </w:p>
        </w:tc>
        <w:tc>
          <w:tcPr>
            <w:tcW w:w="16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1,178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101</w:t>
            </w: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1,738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Futures expiring beyond two years</w:t>
            </w:r>
          </w:p>
        </w:tc>
        <w:tc>
          <w:tcPr>
            <w:tcW w:w="1600" w:type="dxa"/>
            <w:vAlign w:val="bottom"/>
          </w:tcPr>
          <w:p>
            <w:pPr>
              <w:jc w:val="right"/>
              <w:ind w:right="494"/>
              <w:spacing w:after="0"/>
              <w:rPr>
                <w:sz w:val="20"/>
                <w:szCs w:val="20"/>
                <w:color w:val="auto"/>
              </w:rPr>
            </w:pPr>
            <w:r>
              <w:rPr>
                <w:rFonts w:ascii="Arial" w:cs="Arial" w:eastAsia="Arial" w:hAnsi="Arial"/>
                <w:sz w:val="18"/>
                <w:szCs w:val="18"/>
                <w:color w:val="auto"/>
              </w:rPr>
              <w:t>819</w:t>
            </w: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146</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804</w:t>
            </w: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13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10-Year</w:t>
            </w:r>
          </w:p>
        </w:tc>
        <w:tc>
          <w:tcPr>
            <w:tcW w:w="1600" w:type="dxa"/>
            <w:vAlign w:val="bottom"/>
          </w:tcPr>
          <w:p>
            <w:pPr>
              <w:jc w:val="right"/>
              <w:ind w:right="494"/>
              <w:spacing w:after="0"/>
              <w:rPr>
                <w:sz w:val="20"/>
                <w:szCs w:val="20"/>
                <w:color w:val="auto"/>
              </w:rPr>
            </w:pPr>
            <w:r>
              <w:rPr>
                <w:rFonts w:ascii="Arial" w:cs="Arial" w:eastAsia="Arial" w:hAnsi="Arial"/>
                <w:sz w:val="18"/>
                <w:szCs w:val="18"/>
                <w:color w:val="auto"/>
              </w:rPr>
              <w:t>2,505</w:t>
            </w:r>
          </w:p>
        </w:tc>
        <w:tc>
          <w:tcPr>
            <w:tcW w:w="680" w:type="dxa"/>
            <w:vAlign w:val="bottom"/>
          </w:tcPr>
          <w:p>
            <w:pPr>
              <w:jc w:val="right"/>
              <w:spacing w:after="0"/>
              <w:rPr>
                <w:sz w:val="20"/>
                <w:szCs w:val="20"/>
                <w:color w:val="auto"/>
              </w:rPr>
            </w:pPr>
            <w:r>
              <w:rPr>
                <w:rFonts w:ascii="Arial" w:cs="Arial" w:eastAsia="Arial" w:hAnsi="Arial"/>
                <w:sz w:val="18"/>
                <w:szCs w:val="18"/>
                <w:color w:val="auto"/>
              </w:rPr>
              <w:t>2,354</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6</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2,595</w:t>
            </w:r>
          </w:p>
        </w:tc>
        <w:tc>
          <w:tcPr>
            <w:tcW w:w="700" w:type="dxa"/>
            <w:vAlign w:val="bottom"/>
          </w:tcPr>
          <w:p>
            <w:pPr>
              <w:jc w:val="right"/>
              <w:spacing w:after="0"/>
              <w:rPr>
                <w:sz w:val="20"/>
                <w:szCs w:val="20"/>
                <w:color w:val="auto"/>
              </w:rPr>
            </w:pPr>
            <w:r>
              <w:rPr>
                <w:rFonts w:ascii="Arial" w:cs="Arial" w:eastAsia="Arial" w:hAnsi="Arial"/>
                <w:sz w:val="18"/>
                <w:szCs w:val="18"/>
                <w:color w:val="auto"/>
              </w:rPr>
              <w:t>2,556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w:t>
            </w: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5-Year</w:t>
            </w:r>
          </w:p>
        </w:tc>
        <w:tc>
          <w:tcPr>
            <w:tcW w:w="16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1,742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w:t>
            </w: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1,788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2-Year</w:t>
            </w:r>
          </w:p>
        </w:tc>
        <w:tc>
          <w:tcPr>
            <w:tcW w:w="1600" w:type="dxa"/>
            <w:vAlign w:val="bottom"/>
          </w:tcPr>
          <w:p>
            <w:pPr>
              <w:jc w:val="right"/>
              <w:ind w:right="494"/>
              <w:spacing w:after="0"/>
              <w:rPr>
                <w:sz w:val="20"/>
                <w:szCs w:val="20"/>
                <w:color w:val="auto"/>
              </w:rPr>
            </w:pPr>
            <w:r>
              <w:rPr>
                <w:rFonts w:ascii="Arial" w:cs="Arial" w:eastAsia="Arial" w:hAnsi="Arial"/>
                <w:sz w:val="18"/>
                <w:szCs w:val="18"/>
                <w:color w:val="auto"/>
              </w:rPr>
              <w:t>770</w:t>
            </w:r>
          </w:p>
        </w:tc>
        <w:tc>
          <w:tcPr>
            <w:tcW w:w="680" w:type="dxa"/>
            <w:vAlign w:val="bottom"/>
          </w:tcPr>
          <w:p>
            <w:pPr>
              <w:jc w:val="right"/>
              <w:spacing w:after="0"/>
              <w:rPr>
                <w:sz w:val="20"/>
                <w:szCs w:val="20"/>
                <w:color w:val="auto"/>
              </w:rPr>
            </w:pPr>
            <w:r>
              <w:rPr>
                <w:rFonts w:ascii="Arial" w:cs="Arial" w:eastAsia="Arial" w:hAnsi="Arial"/>
                <w:sz w:val="18"/>
                <w:szCs w:val="18"/>
                <w:color w:val="auto"/>
              </w:rPr>
              <w:t>663</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16</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793</w:t>
            </w:r>
          </w:p>
        </w:tc>
        <w:tc>
          <w:tcPr>
            <w:tcW w:w="700" w:type="dxa"/>
            <w:vAlign w:val="bottom"/>
          </w:tcPr>
          <w:p>
            <w:pPr>
              <w:jc w:val="right"/>
              <w:spacing w:after="0"/>
              <w:rPr>
                <w:sz w:val="20"/>
                <w:szCs w:val="20"/>
                <w:color w:val="auto"/>
              </w:rPr>
            </w:pPr>
            <w:r>
              <w:rPr>
                <w:rFonts w:ascii="Arial" w:cs="Arial" w:eastAsia="Arial" w:hAnsi="Arial"/>
                <w:sz w:val="18"/>
                <w:szCs w:val="18"/>
                <w:color w:val="auto"/>
              </w:rPr>
              <w:t>707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Bond</w:t>
            </w:r>
          </w:p>
        </w:tc>
        <w:tc>
          <w:tcPr>
            <w:tcW w:w="16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594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w:t>
            </w: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538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Federal Funds futures and options</w:t>
            </w:r>
          </w:p>
        </w:tc>
        <w:tc>
          <w:tcPr>
            <w:tcW w:w="1600" w:type="dxa"/>
            <w:vAlign w:val="bottom"/>
          </w:tcPr>
          <w:p>
            <w:pPr>
              <w:jc w:val="right"/>
              <w:ind w:right="494"/>
              <w:spacing w:after="0"/>
              <w:rPr>
                <w:sz w:val="20"/>
                <w:szCs w:val="20"/>
                <w:color w:val="auto"/>
              </w:rPr>
            </w:pPr>
            <w:r>
              <w:rPr>
                <w:rFonts w:ascii="Arial" w:cs="Arial" w:eastAsia="Arial" w:hAnsi="Arial"/>
                <w:sz w:val="18"/>
                <w:szCs w:val="18"/>
                <w:color w:val="auto"/>
              </w:rPr>
              <w:t>324</w:t>
            </w:r>
          </w:p>
        </w:tc>
        <w:tc>
          <w:tcPr>
            <w:tcW w:w="680" w:type="dxa"/>
            <w:vAlign w:val="bottom"/>
          </w:tcPr>
          <w:p>
            <w:pPr>
              <w:jc w:val="right"/>
              <w:spacing w:after="0"/>
              <w:rPr>
                <w:sz w:val="20"/>
                <w:szCs w:val="20"/>
                <w:color w:val="auto"/>
              </w:rPr>
            </w:pPr>
            <w:r>
              <w:rPr>
                <w:rFonts w:ascii="Arial" w:cs="Arial" w:eastAsia="Arial" w:hAnsi="Arial"/>
                <w:sz w:val="18"/>
                <w:szCs w:val="18"/>
                <w:color w:val="auto"/>
              </w:rPr>
              <w:t>335</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470</w:t>
            </w:r>
          </w:p>
        </w:tc>
        <w:tc>
          <w:tcPr>
            <w:tcW w:w="700" w:type="dxa"/>
            <w:vAlign w:val="bottom"/>
          </w:tcPr>
          <w:p>
            <w:pPr>
              <w:jc w:val="right"/>
              <w:spacing w:after="0"/>
              <w:rPr>
                <w:sz w:val="20"/>
                <w:szCs w:val="20"/>
                <w:color w:val="auto"/>
              </w:rPr>
            </w:pPr>
            <w:r>
              <w:rPr>
                <w:rFonts w:ascii="Arial" w:cs="Arial" w:eastAsia="Arial" w:hAnsi="Arial"/>
                <w:sz w:val="18"/>
                <w:szCs w:val="18"/>
                <w:color w:val="auto"/>
              </w:rPr>
              <w:t>350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34</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n.m. not meaningful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and first nine months of 2023, overall interest rate contract volumes increased when compared with the same periods in 2022. We believe these volume increases were due to higher interest rate volatility as a result of rising U.S. Treasury yields following recent interest rate hikes by the Federal Open Market Committee. In addition, market uncertainty following the collapse of two U.S. regional banks also led to higher interest rate volatility. The increase in Secured Overnight Financing Rate contract (SOFR) volumes and the corresponding decrease in Eurodollar volumes were due to market participants transitioning to the new reference rate and away from Eurodollar contracts, which are based on LIBOR. The publication of the LIBOR rate concluded in the second quarter of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Index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index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2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6"/>
        </w:trPr>
        <w:tc>
          <w:tcPr>
            <w:tcW w:w="37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2022</w:t>
            </w: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2022</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S&amp;P 500 futures and options</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3,865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(15)%</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4,099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E-mini Nasdaq 100 futures and options</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1,862</w:t>
            </w:r>
          </w:p>
        </w:tc>
        <w:tc>
          <w:tcPr>
            <w:tcW w:w="700" w:type="dxa"/>
            <w:vAlign w:val="bottom"/>
          </w:tcPr>
          <w:p>
            <w:pPr>
              <w:jc w:val="right"/>
              <w:spacing w:after="0"/>
              <w:rPr>
                <w:sz w:val="20"/>
                <w:szCs w:val="20"/>
                <w:color w:val="auto"/>
              </w:rPr>
            </w:pPr>
            <w:r>
              <w:rPr>
                <w:rFonts w:ascii="Arial" w:cs="Arial" w:eastAsia="Arial" w:hAnsi="Arial"/>
                <w:sz w:val="18"/>
                <w:szCs w:val="18"/>
                <w:color w:val="auto"/>
              </w:rPr>
              <w:t>2,120</w:t>
            </w:r>
          </w:p>
        </w:tc>
        <w:tc>
          <w:tcPr>
            <w:tcW w:w="1480" w:type="dxa"/>
            <w:vAlign w:val="bottom"/>
          </w:tcPr>
          <w:p>
            <w:pPr>
              <w:ind w:left="900"/>
              <w:spacing w:after="0"/>
              <w:rPr>
                <w:sz w:val="20"/>
                <w:szCs w:val="20"/>
                <w:color w:val="auto"/>
              </w:rPr>
            </w:pPr>
            <w:r>
              <w:rPr>
                <w:rFonts w:ascii="Arial" w:cs="Arial" w:eastAsia="Arial" w:hAnsi="Arial"/>
                <w:sz w:val="18"/>
                <w:szCs w:val="18"/>
                <w:color w:val="auto"/>
              </w:rPr>
              <w:t>(12)</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1,811</w:t>
            </w:r>
          </w:p>
        </w:tc>
        <w:tc>
          <w:tcPr>
            <w:tcW w:w="720" w:type="dxa"/>
            <w:vAlign w:val="bottom"/>
          </w:tcPr>
          <w:p>
            <w:pPr>
              <w:jc w:val="right"/>
              <w:spacing w:after="0"/>
              <w:rPr>
                <w:sz w:val="20"/>
                <w:szCs w:val="20"/>
                <w:color w:val="auto"/>
              </w:rPr>
            </w:pPr>
            <w:r>
              <w:rPr>
                <w:rFonts w:ascii="Arial" w:cs="Arial" w:eastAsia="Arial" w:hAnsi="Arial"/>
                <w:sz w:val="18"/>
                <w:szCs w:val="18"/>
                <w:color w:val="auto"/>
              </w:rPr>
              <w:t>2,273</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(20)</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E-mini Russell 2000 futures and options</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(18)</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 the third quarter and first nine months of 2023, equity index contract volumes decreased when compared with the same periods in 2022, which we believe was due to lower overall equity volatility. There was significant market volatility throughout much of 2022 as a result of higher than expected inflation, as well as rising tensions and geopolitical uncertainty with Russia and Ukraine. We believe these factors led to lower overall equity contract volumes.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6"/>
        </w:trPr>
        <w:tc>
          <w:tcPr>
            <w:tcW w:w="38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8"/>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3"/>
              </w:rPr>
              <w:t>2022</w:t>
            </w:r>
          </w:p>
        </w:tc>
        <w:tc>
          <w:tcPr>
            <w:tcW w:w="14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2022</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245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Japanese Yen</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184</w:t>
            </w: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(4)</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180</w:t>
            </w: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9</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(23)</w:t>
            </w:r>
          </w:p>
        </w:tc>
        <w:tc>
          <w:tcPr>
            <w:tcW w:w="16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Australian dollar</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108</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498"/>
              <w:spacing w:after="0"/>
              <w:rPr>
                <w:sz w:val="20"/>
                <w:szCs w:val="20"/>
                <w:color w:val="auto"/>
              </w:rPr>
            </w:pPr>
            <w:r>
              <w:rPr>
                <w:rFonts w:ascii="Arial" w:cs="Arial" w:eastAsia="Arial" w:hAnsi="Arial"/>
                <w:sz w:val="18"/>
                <w:szCs w:val="18"/>
                <w:color w:val="auto"/>
              </w:rPr>
              <w:t>102</w:t>
            </w: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(4)</w:t>
            </w:r>
          </w:p>
        </w:tc>
      </w:tr>
    </w:tbl>
    <w:p>
      <w:pPr>
        <w:spacing w:after="0" w:line="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third quarter and first nine months of 2023, overall foreign exchange volumes decreased when compared with the same periods in 2022, which we believe were due to lower overall volatility relative to prior periods.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2022</w:t>
            </w: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2022</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Corn</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9 %</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468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Soybean</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286</w:t>
            </w: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1480" w:type="dxa"/>
            <w:vAlign w:val="bottom"/>
          </w:tcPr>
          <w:p>
            <w:pPr>
              <w:jc w:val="right"/>
              <w:ind w:right="235"/>
              <w:spacing w:after="0"/>
              <w:rPr>
                <w:sz w:val="20"/>
                <w:szCs w:val="20"/>
                <w:color w:val="auto"/>
              </w:rPr>
            </w:pPr>
            <w:r>
              <w:rPr>
                <w:rFonts w:ascii="Arial" w:cs="Arial" w:eastAsia="Arial" w:hAnsi="Arial"/>
                <w:sz w:val="18"/>
                <w:szCs w:val="18"/>
                <w:color w:val="auto"/>
              </w:rPr>
              <w:t>24</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312</w:t>
            </w:r>
          </w:p>
        </w:tc>
        <w:tc>
          <w:tcPr>
            <w:tcW w:w="700" w:type="dxa"/>
            <w:vAlign w:val="bottom"/>
          </w:tcPr>
          <w:p>
            <w:pPr>
              <w:jc w:val="right"/>
              <w:spacing w:after="0"/>
              <w:rPr>
                <w:sz w:val="20"/>
                <w:szCs w:val="20"/>
                <w:color w:val="auto"/>
              </w:rPr>
            </w:pPr>
            <w:r>
              <w:rPr>
                <w:rFonts w:ascii="Arial" w:cs="Arial" w:eastAsia="Arial" w:hAnsi="Arial"/>
                <w:sz w:val="18"/>
                <w:szCs w:val="18"/>
                <w:color w:val="auto"/>
              </w:rPr>
              <w:t>272</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14</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Wheat</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25</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211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w:t>
            </w:r>
          </w:p>
        </w:tc>
      </w:tr>
    </w:tbl>
    <w:p>
      <w:pPr>
        <w:spacing w:after="0" w:line="175" w:lineRule="exact"/>
        <w:rPr>
          <w:sz w:val="20"/>
          <w:szCs w:val="20"/>
          <w:color w:val="auto"/>
        </w:rPr>
      </w:pPr>
    </w:p>
    <w:p>
      <w:pPr>
        <w:ind w:right="360"/>
        <w:spacing w:after="0" w:line="241" w:lineRule="auto"/>
        <w:rPr>
          <w:sz w:val="20"/>
          <w:szCs w:val="20"/>
          <w:color w:val="auto"/>
        </w:rPr>
      </w:pPr>
      <w:r>
        <w:rPr>
          <w:rFonts w:ascii="Arial" w:cs="Arial" w:eastAsia="Arial" w:hAnsi="Arial"/>
          <w:sz w:val="18"/>
          <w:szCs w:val="18"/>
          <w:color w:val="auto"/>
        </w:rPr>
        <w:t>Overall commodity contract volumes increased in the third quarter and first nine months of 2023 when compared with the same periods in 2022. We believe these increases are due to higher overall market volatility as a result of weather uncertainty due to a drier than average 2023 growing season. In addition, the first half of 2022 saw lower overall volatility within the commodities markets due to risk aversion by market participants following price increases and global trade uncertainty resulting from the conflict between Russia and Ukraine. We believe these factors contributed to higher overall commodity volumes in the third quarter and first nine months of 2023.</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2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2022</w:t>
            </w: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89"/>
              </w:rPr>
              <w:t>2022</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WTI crude oil</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1,129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8 %</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1,091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533</w:t>
            </w:r>
          </w:p>
        </w:tc>
        <w:tc>
          <w:tcPr>
            <w:tcW w:w="700" w:type="dxa"/>
            <w:vAlign w:val="bottom"/>
          </w:tcPr>
          <w:p>
            <w:pPr>
              <w:jc w:val="right"/>
              <w:spacing w:after="0"/>
              <w:rPr>
                <w:sz w:val="20"/>
                <w:szCs w:val="20"/>
                <w:color w:val="auto"/>
              </w:rPr>
            </w:pPr>
            <w:r>
              <w:rPr>
                <w:rFonts w:ascii="Arial" w:cs="Arial" w:eastAsia="Arial" w:hAnsi="Arial"/>
                <w:sz w:val="18"/>
                <w:szCs w:val="18"/>
                <w:color w:val="auto"/>
              </w:rPr>
              <w:t>404</w:t>
            </w:r>
          </w:p>
        </w:tc>
        <w:tc>
          <w:tcPr>
            <w:tcW w:w="1480" w:type="dxa"/>
            <w:vAlign w:val="bottom"/>
          </w:tcPr>
          <w:p>
            <w:pPr>
              <w:jc w:val="right"/>
              <w:ind w:right="255"/>
              <w:spacing w:after="0"/>
              <w:rPr>
                <w:sz w:val="20"/>
                <w:szCs w:val="20"/>
                <w:color w:val="auto"/>
              </w:rPr>
            </w:pPr>
            <w:r>
              <w:rPr>
                <w:rFonts w:ascii="Arial" w:cs="Arial" w:eastAsia="Arial" w:hAnsi="Arial"/>
                <w:sz w:val="18"/>
                <w:szCs w:val="18"/>
                <w:color w:val="auto"/>
              </w:rPr>
              <w:t>32</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577</w:t>
            </w: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16</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Refined products</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23</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r>
    </w:tbl>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Energy contract volumes generally increased in the third quarter and first nine months of 2023 when compared with the same periods in 2022, which we believe was due to higher overall market volatility. The high volatility is a result of OPEC production cuts, which impacted total overall oil supply despite increases in global demand. In addition, uncertain weather conditions as well as continued market uncertainty as a result of the Russia and Ukraine conflict has led to increases in overall natural gas volumes.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2022</w:t>
            </w:r>
          </w:p>
        </w:tc>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2022</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Gold</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354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Copper</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104</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480" w:type="dxa"/>
            <w:vAlign w:val="bottom"/>
          </w:tcPr>
          <w:p>
            <w:pPr>
              <w:ind w:left="980"/>
              <w:spacing w:after="0"/>
              <w:rPr>
                <w:sz w:val="20"/>
                <w:szCs w:val="20"/>
                <w:color w:val="auto"/>
              </w:rPr>
            </w:pPr>
            <w:r>
              <w:rPr>
                <w:rFonts w:ascii="Arial" w:cs="Arial" w:eastAsia="Arial" w:hAnsi="Arial"/>
                <w:sz w:val="18"/>
                <w:szCs w:val="18"/>
                <w:color w:val="auto"/>
              </w:rPr>
              <w:t>10</w:t>
            </w:r>
          </w:p>
        </w:tc>
        <w:tc>
          <w:tcPr>
            <w:tcW w:w="1600" w:type="dxa"/>
            <w:vAlign w:val="bottom"/>
          </w:tcPr>
          <w:p>
            <w:pPr>
              <w:jc w:val="right"/>
              <w:ind w:right="499"/>
              <w:spacing w:after="0"/>
              <w:rPr>
                <w:sz w:val="20"/>
                <w:szCs w:val="20"/>
                <w:color w:val="auto"/>
              </w:rPr>
            </w:pPr>
            <w:r>
              <w:rPr>
                <w:rFonts w:ascii="Arial" w:cs="Arial" w:eastAsia="Arial" w:hAnsi="Arial"/>
                <w:sz w:val="18"/>
                <w:szCs w:val="18"/>
                <w:color w:val="auto"/>
              </w:rPr>
              <w:t>115</w:t>
            </w:r>
          </w:p>
        </w:tc>
        <w:tc>
          <w:tcPr>
            <w:tcW w:w="700" w:type="dxa"/>
            <w:vAlign w:val="bottom"/>
          </w:tcPr>
          <w:p>
            <w:pPr>
              <w:jc w:val="right"/>
              <w:spacing w:after="0"/>
              <w:rPr>
                <w:sz w:val="20"/>
                <w:szCs w:val="20"/>
                <w:color w:val="auto"/>
              </w:rPr>
            </w:pPr>
            <w:r>
              <w:rPr>
                <w:rFonts w:ascii="Arial" w:cs="Arial" w:eastAsia="Arial" w:hAnsi="Arial"/>
                <w:sz w:val="18"/>
                <w:szCs w:val="18"/>
                <w:color w:val="auto"/>
              </w:rPr>
              <w:t>91</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26</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Silver</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88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13</w:t>
            </w: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w:t>
            </w:r>
          </w:p>
        </w:tc>
      </w:tr>
    </w:tbl>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third quarter and first nine months of 2023, overall metal contract volumes increased when compared with the same periods in 2022. Market uncertainty following the collapse of two U.S. regional banks and the Federal Reserve's interest rate policy decisions led to an overall increase in demand for gold and other precious metals as safe-haven investments. In addition,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copper contract volumes increased largely due to an increase in demand for copper in China following the lifting of restrictions from the COVID pandemic.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factors led to the overall increases in metal contract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average rates per contract increased in the third quarter and first nine months of 2023, when compared with the same periods in 2022. The increases in the average rate per contract were primarily due to increases in our fee structure that went into effect on February 1, 2023.</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Markets Business</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Total clearing and transaction fees revenues in the third quarter and first nine months of 2023 include $69.5 million and $214.3 million of transaction fees attributable to the cash markets business, compared with $77.1 million and $245.7 million in the third quarter and first nine months of 2022. This revenue primarily includes BrokerTec Americas LLC's fixed income volume and EBS's foreign exchange volume.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440"/>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tcPr>
          <w:p>
            <w:pPr>
              <w:jc w:val="center"/>
              <w:ind w:right="236"/>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93"/>
              </w:rPr>
              <w:t>September 30,</w:t>
            </w:r>
          </w:p>
        </w:tc>
        <w:tc>
          <w:tcPr>
            <w:tcW w:w="72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2022</w:t>
            </w:r>
          </w:p>
        </w:tc>
        <w:tc>
          <w:tcPr>
            <w:tcW w:w="15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2022</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BrokerTec fixed income transaction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37.3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  $</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114.3</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EBS foreign exchange transaction fees</w:t>
            </w:r>
          </w:p>
        </w:tc>
        <w:tc>
          <w:tcPr>
            <w:tcW w:w="280" w:type="dxa"/>
            <w:vAlign w:val="bottom"/>
          </w:tcPr>
          <w:p>
            <w:pPr>
              <w:spacing w:after="0"/>
              <w:rPr>
                <w:sz w:val="20"/>
                <w:szCs w:val="20"/>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118.6</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related average daily notional value for the third quarter and first nine months of 2023 and 2022 were as follows: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6"/>
              </w:rPr>
              <w:t>Quarter Ended</w:t>
            </w: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center"/>
              <w:ind w:right="235"/>
              <w:spacing w:after="0"/>
              <w:rPr>
                <w:sz w:val="20"/>
                <w:szCs w:val="20"/>
                <w:color w:val="auto"/>
              </w:rPr>
            </w:pPr>
            <w:r>
              <w:rPr>
                <w:rFonts w:ascii="Arial" w:cs="Arial" w:eastAsia="Arial" w:hAnsi="Arial"/>
                <w:sz w:val="14"/>
                <w:szCs w:val="14"/>
                <w:b w:val="1"/>
                <w:bCs w:val="1"/>
                <w:color w:val="auto"/>
                <w:w w:val="94"/>
              </w:rPr>
              <w:t>Nine Months Ended</w:t>
            </w:r>
          </w:p>
        </w:tc>
        <w:tc>
          <w:tcPr>
            <w:tcW w:w="1360" w:type="dxa"/>
            <w:vAlign w:val="bottom"/>
          </w:tcPr>
          <w:p>
            <w:pPr>
              <w:spacing w:after="0"/>
              <w:rPr>
                <w:sz w:val="14"/>
                <w:szCs w:val="14"/>
                <w:color w:val="auto"/>
              </w:rPr>
            </w:pPr>
          </w:p>
        </w:tc>
      </w:tr>
      <w:tr>
        <w:trPr>
          <w:trHeight w:val="192"/>
        </w:trPr>
        <w:tc>
          <w:tcPr>
            <w:tcW w:w="3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(amounts in billions)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2022</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Repo (in euros)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313.9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7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(13)%  $</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340.1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98.3</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119.9</w:t>
            </w:r>
          </w:p>
        </w:tc>
        <w:tc>
          <w:tcPr>
            <w:tcW w:w="1460" w:type="dxa"/>
            <w:vAlign w:val="bottom"/>
          </w:tcPr>
          <w:p>
            <w:pPr>
              <w:ind w:left="8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106.9</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133.6</w:t>
            </w: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(20)</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Spot FX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54.4</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57.9</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Overall average daily notional values and transactions revenues for the cash markets business and spot FX business were lower in the third quarter and first nine months of 2023 when compared with the same periods in 2022. We believe the decreases in U.S. Treasury average daily notional values were due to a reduction in treasury issuances during the periods. The declines in the spot FX average daily notional values were due to overall lower volatility in the third quarter and first nine months of 2023 when compared with the same periods in 2022. Volatility within the European Repo and spot FX markets were higher in 2022 as a result of the conflict between Russia and Ukraine and uncertainty surrounding the Federal Reserve's interest rate policy.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No individual firm represented at least 10% of our clearing and transaction fees in the first nine months of 2023.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i w:val="1"/>
          <w:iCs w:val="1"/>
          <w:color w:val="auto"/>
        </w:rPr>
        <w:t>Market data and information services</w:t>
      </w:r>
      <w:r>
        <w:rPr>
          <w:rFonts w:ascii="Arial" w:cs="Arial" w:eastAsia="Arial" w:hAnsi="Arial"/>
          <w:sz w:val="16"/>
          <w:szCs w:val="16"/>
          <w:color w:val="auto"/>
        </w:rPr>
        <w:t>. During the third quarter and first nine months of 2023, overall market data and information services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when compared with the same periods in 2022, largely due to price increases for certain products as well as increases in device counts.</w:t>
      </w:r>
    </w:p>
    <w:p>
      <w:pPr>
        <w:spacing w:after="0" w:line="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two largest resellers of our market data represented approximately 32% of our market data and information services revenue in the first nine months of 2023.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In the third quarter and first nine months of 2023, the increases in other revenues when compared with the same periods in 2022 were</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attributable to higher custody fees as well as increases in co-location and other connectivity fees.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tcPr>
          <w:p>
            <w:pPr>
              <w:spacing w:after="0"/>
              <w:rPr>
                <w:sz w:val="14"/>
                <w:szCs w:val="14"/>
                <w:color w:val="auto"/>
              </w:rPr>
            </w:pPr>
          </w:p>
        </w:tc>
      </w:tr>
      <w:tr>
        <w:trPr>
          <w:trHeight w:val="192"/>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3"/>
              </w:rPr>
              <w:t>2022</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2022</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8 %</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16</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c>
          <w:tcPr>
            <w:tcW w:w="1460" w:type="dxa"/>
            <w:vAlign w:val="bottom"/>
          </w:tcPr>
          <w:p>
            <w:pPr>
              <w:jc w:val="right"/>
              <w:ind w:right="23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83.6</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4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6 %</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w:t>
            </w:r>
          </w:p>
        </w:tc>
        <w:tc>
          <w:tcPr>
            <w:tcW w:w="13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1"/>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expenses increased by $28.6 million and $103.1 million in the third quarter and first nine months of 2023 when compared with the same periods in 2022. The following table shows the estimated impacts of key factors resulting in the changes in operating expenses: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4"/>
                <w:szCs w:val="14"/>
                <w:color w:val="auto"/>
              </w:rPr>
            </w:pPr>
          </w:p>
        </w:tc>
        <w:tc>
          <w:tcPr>
            <w:tcW w:w="2420" w:type="dxa"/>
            <w:vAlign w:val="bottom"/>
            <w:gridSpan w:val="3"/>
          </w:tcPr>
          <w:p>
            <w:pPr>
              <w:ind w:lef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87"/>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Amount of</w:t>
            </w:r>
          </w:p>
        </w:tc>
        <w:tc>
          <w:tcPr>
            <w:tcW w:w="1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as a</w:t>
            </w:r>
          </w:p>
        </w:tc>
        <w:tc>
          <w:tcPr>
            <w:tcW w:w="140" w:type="dxa"/>
            <w:vAlign w:val="bottom"/>
          </w:tcPr>
          <w:p>
            <w:pPr>
              <w:spacing w:after="0"/>
              <w:rPr>
                <w:sz w:val="24"/>
                <w:szCs w:val="2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4"/>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16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Total Expenses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Currency fluctuation</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benefits and employer taxes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Technology support services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 and outside services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Employee separation and restructuring</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maintenance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(5.2)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expenses, net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7"/>
              </w:rPr>
              <w:t>(5.5)</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Increases in operating expenses in the third quarter and first nine months of 2023 when compared with the same periods in 2022 were as follows:</w:t>
      </w:r>
    </w:p>
    <w:p>
      <w:pPr>
        <w:spacing w:after="0" w:line="129" w:lineRule="exact"/>
        <w:rPr>
          <w:sz w:val="20"/>
          <w:szCs w:val="20"/>
          <w:color w:val="auto"/>
        </w:rPr>
      </w:pPr>
    </w:p>
    <w:p>
      <w:pPr>
        <w:ind w:left="660" w:right="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our non-qualified deferred compensation liability during the third quarter and nine months ended September 30, 2023, the impact of which does not affect net income because of an equal and offsetting change in investment income, contributed to increases in compensation and benefits expenses.</w:t>
      </w:r>
    </w:p>
    <w:p>
      <w:pPr>
        <w:spacing w:after="0" w:line="75" w:lineRule="exact"/>
        <w:rPr>
          <w:rFonts w:ascii="Arial" w:cs="Arial" w:eastAsia="Arial" w:hAnsi="Arial"/>
          <w:sz w:val="18"/>
          <w:szCs w:val="18"/>
          <w:color w:val="auto"/>
        </w:rPr>
      </w:pPr>
    </w:p>
    <w:p>
      <w:pPr>
        <w:ind w:left="660" w:right="34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third quarter and first nine months of 2023, we recognized net gains of $1.9 million and $0.1 million, compared with a net gain of $10.5 million and $23.6 million during the same periods in 2022, due to currency exchange rate fluctuations. Gains and losses from exchange rate fluctuations are recognized in the consolidated statements of net income when subsidiaries with a U.S. dollar functional currency hold certain monetary assets and liabilities denominated in foreign currencies.</w:t>
      </w:r>
    </w:p>
    <w:p>
      <w:pPr>
        <w:spacing w:after="0" w:line="78"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Salaries, benefits and employer taxes expenses were higher during the third quarter and first nine months of 2023 when compared with the same periods in 2022 due to increases in headcount during the year, which were primarily attributable to additional headcount in the company's international locations.</w:t>
      </w:r>
    </w:p>
    <w:p>
      <w:pPr>
        <w:spacing w:after="0" w:line="75"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increases in expenses related to technology support services were primarily driven by higher software license fees and third party services to support the ongoing Google Cloud transformation project.</w:t>
      </w:r>
    </w:p>
    <w:p>
      <w:pPr>
        <w:spacing w:after="0" w:line="62" w:lineRule="exact"/>
        <w:rPr>
          <w:rFonts w:ascii="Arial" w:cs="Arial" w:eastAsia="Arial" w:hAnsi="Arial"/>
          <w:sz w:val="18"/>
          <w:szCs w:val="18"/>
          <w:color w:val="auto"/>
        </w:rPr>
      </w:pPr>
    </w:p>
    <w:p>
      <w:pPr>
        <w:ind w:left="660" w:right="5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Professional fees and outside services expenses increased during the nine months ended September 30, 2023 due to a greater reliance on consultants as well as an increase in legal fees related to our business activities and product offerings compared to 2022. These increases in professional fees were partially offset by decreases in NEX integration fees, which have steadily declined since the second half of 2021.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separation and restructuring costs increased during the quarter and nine months ended September 30, 2023 largely due to a layoff of 3% of employees in the third quarter of 2023.</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Decreases in operating expenses in the third quarter and first nine months of 2023 when compared with the same period in 2022 were as follows:</w:t>
      </w:r>
    </w:p>
    <w:p>
      <w:pPr>
        <w:spacing w:after="0" w:line="129" w:lineRule="exact"/>
        <w:rPr>
          <w:sz w:val="20"/>
          <w:szCs w:val="20"/>
          <w:color w:val="auto"/>
        </w:rPr>
      </w:pPr>
    </w:p>
    <w:p>
      <w:pPr>
        <w:ind w:left="660" w:right="1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decrease in building maintenance expense in the first nine months of 2023 was driven by a decline in expenses related to the development of the SOFR options trading floor, which was completed in 2022.</w:t>
      </w:r>
    </w:p>
    <w:p>
      <w:pPr>
        <w:spacing w:after="0" w:line="62"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Professional fees and outside services decreased in the third quarter of 2023 when compared with the same period in 2022 largely due to a decrease in costs associated with the Google Cloud Migration, which began in late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Quarter Ended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tcPr>
          <w:p>
            <w:pPr>
              <w:spacing w:after="0"/>
              <w:rPr>
                <w:sz w:val="14"/>
                <w:szCs w:val="14"/>
                <w:color w:val="auto"/>
              </w:rPr>
            </w:pPr>
          </w:p>
        </w:tc>
      </w:tr>
      <w:tr>
        <w:trPr>
          <w:trHeight w:val="192"/>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spacing w:after="0"/>
              <w:rPr>
                <w:sz w:val="16"/>
                <w:szCs w:val="16"/>
                <w:color w:val="auto"/>
              </w:rPr>
            </w:pPr>
          </w:p>
        </w:tc>
      </w:tr>
      <w:tr>
        <w:trPr>
          <w:trHeight w:val="19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Change</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85 %</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Interest and other borrowing costs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earnings of unconsolidated subsidiaries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3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1300" w:type="dxa"/>
            <w:vAlign w:val="bottom"/>
            <w:tcBorders>
              <w:bottom w:val="single" w:sz="8" w:color="CCEEFF"/>
            </w:tcBorders>
          </w:tcPr>
          <w:p>
            <w:pPr>
              <w:jc w:val="right"/>
              <w:ind w:right="233"/>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3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n.m. not meaningful</w:t>
      </w:r>
    </w:p>
    <w:p>
      <w:pPr>
        <w:spacing w:after="0" w:line="109"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i w:val="1"/>
          <w:iCs w:val="1"/>
          <w:color w:val="auto"/>
        </w:rPr>
        <w:t xml:space="preserve">Investment income. </w:t>
      </w:r>
      <w:r>
        <w:rPr>
          <w:rFonts w:ascii="Arial" w:cs="Arial" w:eastAsia="Arial" w:hAnsi="Arial"/>
          <w:sz w:val="16"/>
          <w:szCs w:val="16"/>
          <w:color w:val="auto"/>
        </w:rPr>
        <w:t>Earnings from cash performance bond and guaranty fund contributions that are reinvested increased in the third quarter and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2023 when compared with the same periods in 2022, due to a higher rate of interest earned in the cash accounts at the Federal Reserve Bank of Chicago following multiple interest rate hikes in 2022 and 2023. In the third quarter and first nine months of 2023, earnings from cash performance bond and guaranty fund contributions were $1,246.5 million and $4,042.9 million, compared with $676.8 million and $1,045.9 million in the third quarter and first nine months of 2022. We also recognized higher net realized and unrealized gains on investments in the first nine months of 2023.</w:t>
      </w:r>
    </w:p>
    <w:p>
      <w:pPr>
        <w:spacing w:after="0" w:line="5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We recognized higher expenses related to the distribution of interest earned on performance bond collateral reinvestments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firms in conjunction with higher interest income earned on our reinvestment during the third quarter and first nine months of 2023 when compared with the same periods in 2022. This was due to a higher Federal Funds rate in 2023 compared with the same periods in 2022. In the third quarter and first nine months of 2023, expenses related to the distribution of interest earned on collateral reinvestments were $1,160.5 million and $3,756.8 million, compared with $589.7 million and $861.6 million in the third quarter and first nine months of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88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5"/>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 ended September 30</w:t>
            </w:r>
          </w:p>
        </w:tc>
        <w:tc>
          <w:tcPr>
            <w:tcW w:w="8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23.0 %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Nine months ended September 30</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w w:val="89"/>
              </w:rPr>
              <w:t>23.4 %</w:t>
            </w:r>
          </w:p>
        </w:tc>
        <w:tc>
          <w:tcPr>
            <w:tcW w:w="1220" w:type="dxa"/>
            <w:vAlign w:val="bottom"/>
          </w:tcPr>
          <w:p>
            <w:pPr>
              <w:jc w:val="right"/>
              <w:spacing w:after="0"/>
              <w:rPr>
                <w:sz w:val="20"/>
                <w:szCs w:val="20"/>
                <w:color w:val="auto"/>
              </w:rPr>
            </w:pPr>
            <w:r>
              <w:rPr>
                <w:rFonts w:ascii="Arial" w:cs="Arial" w:eastAsia="Arial" w:hAnsi="Arial"/>
                <w:sz w:val="18"/>
                <w:szCs w:val="18"/>
                <w:color w:val="auto"/>
              </w:rPr>
              <w:t>22.9 %</w:t>
            </w:r>
          </w:p>
        </w:tc>
      </w:tr>
    </w:tbl>
    <w:p>
      <w:pPr>
        <w:spacing w:after="0" w:line="174"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The overall effective tax rate remained relatively consistent in the third quarter of 2023 when compared with the same period in 2022. In the first nine months of 2023 when compared with the same period in 2022, the effective tax rate increased slightly because we recognized a benefit related to the settlement for various tax audits in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increased in the first nine months of 2023 when compared with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largely due to an increase in revenue resulting from fee increases. Net cash provided by investing activities increased during the first nine months of 2023 when compared with the same period in 2022. In the second quarter of 2022, we made an additional investment in S&amp;P/DJI of $410.0 million. Cash used in financing activities was higher during the first nine months of 2023 when compared with the same period in 2022, due to a decrease in cash performance bonds and guaranty fund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September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b w:val="1"/>
                <w:bCs w:val="1"/>
                <w:color w:val="auto"/>
              </w:rPr>
              <w:t>Par Value</w:t>
            </w:r>
          </w:p>
        </w:tc>
      </w:tr>
      <w:tr>
        <w:trPr>
          <w:trHeight w:val="26"/>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Fixed rate notes due June 2028, stated rate of 3.75%</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due March 2032, stated rate of 2.65%</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3"/>
                <w:szCs w:val="23"/>
                <w:color w:val="auto"/>
                <w:vertAlign w:val="superscript"/>
              </w:rPr>
              <w:t>(2)</w:t>
            </w:r>
          </w:p>
        </w:tc>
        <w:tc>
          <w:tcPr>
            <w:tcW w:w="29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due June 2048, stated rate of 4.15%</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17" w:lineRule="exact"/>
        <w:rPr>
          <w:sz w:val="20"/>
          <w:szCs w:val="20"/>
          <w:color w:val="auto"/>
        </w:rPr>
      </w:pPr>
    </w:p>
    <w:p>
      <w:pPr>
        <w:ind w:left="660" w:right="100" w:hanging="328"/>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5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CME Clearing,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September 30, 2023, guaranty fund contributions available to collateralize the facility totaled $8.3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7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September 30, 2023, we have excess borrowing capacity for general corporate purposes of approximately $2.3 billion under our multi-currency revolving senior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we were in compliance with the various covenant requirements of all our debt facilities.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irrevocable standby letters of credit. At September 30, 2023, the letters of credit totaled $285.0 million. We also maintain a $350.0 million line of credit to meet our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September 30,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Arial" w:cs="Arial" w:eastAsia="Arial" w:hAnsi="Arial"/>
                <w:sz w:val="14"/>
                <w:szCs w:val="14"/>
                <w:b w:val="1"/>
                <w:bCs w:val="1"/>
                <w:color w:val="auto"/>
              </w:rPr>
              <w:t>Short-Term</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Rating Agency</w:t>
            </w:r>
          </w:p>
        </w:tc>
        <w:tc>
          <w:tcPr>
            <w:tcW w:w="3160" w:type="dxa"/>
            <w:vAlign w:val="bottom"/>
          </w:tcPr>
          <w:p>
            <w:pPr>
              <w:ind w:left="1820"/>
              <w:spacing w:after="0"/>
              <w:rPr>
                <w:sz w:val="20"/>
                <w:szCs w:val="20"/>
                <w:color w:val="auto"/>
              </w:rPr>
            </w:pPr>
            <w:r>
              <w:rPr>
                <w:rFonts w:ascii="Arial" w:cs="Arial" w:eastAsia="Arial" w:hAnsi="Arial"/>
                <w:sz w:val="14"/>
                <w:szCs w:val="14"/>
                <w:b w:val="1"/>
                <w:bCs w:val="1"/>
                <w:color w:val="auto"/>
              </w:rPr>
              <w:t>Debt Rating</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6"/>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Arial" w:cs="Arial" w:eastAsia="Arial" w:hAnsi="Arial"/>
                <w:sz w:val="18"/>
                <w:szCs w:val="18"/>
                <w:color w:val="auto"/>
                <w:w w:val="98"/>
              </w:rPr>
              <w:t>A1+</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Moody’s Investors Service, Inc.</w:t>
            </w:r>
          </w:p>
        </w:tc>
        <w:tc>
          <w:tcPr>
            <w:tcW w:w="3160" w:type="dxa"/>
            <w:vAlign w:val="bottom"/>
          </w:tcPr>
          <w:p>
            <w:pPr>
              <w:jc w:val="center"/>
              <w:ind w:left="1139"/>
              <w:spacing w:after="0"/>
              <w:rPr>
                <w:sz w:val="20"/>
                <w:szCs w:val="20"/>
                <w:color w:val="auto"/>
              </w:rPr>
            </w:pPr>
            <w:r>
              <w:rPr>
                <w:rFonts w:ascii="Arial" w:cs="Arial" w:eastAsia="Arial" w:hAnsi="Arial"/>
                <w:sz w:val="18"/>
                <w:szCs w:val="18"/>
                <w:color w:val="auto"/>
                <w:w w:val="81"/>
              </w:rPr>
              <w:t>P1</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$2.3 billion and $2.7 billion at September 30, 2023 and December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87"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CFTC as a Derivatives Clearing Organization (DCO). DCOs are required to maintain capital,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5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5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 (i) exemption is not required to lock up customer funds as would otherwise be required under Exchange Act Rule 15c3-3.</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 There have not been material changes in our exposure to market risk since December 31, 2022. Refer to Item 7A. of CME Group’s Annual Report on Form 10-K for the year ended December 31, 2022, filed with the SEC on February 27, 2023, for additional information.</w:t>
      </w:r>
    </w:p>
    <w:p>
      <w:pPr>
        <w:spacing w:after="0" w:line="9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 w:firstLine="8"/>
        <w:spacing w:after="0" w:line="259"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8" w:lineRule="exact"/>
        <w:rPr>
          <w:rFonts w:ascii="Arial" w:cs="Arial" w:eastAsia="Arial" w:hAnsi="Arial"/>
          <w:sz w:val="18"/>
          <w:szCs w:val="18"/>
          <w:color w:val="auto"/>
        </w:rPr>
      </w:pPr>
    </w:p>
    <w:p>
      <w:pPr>
        <w:ind w:right="80" w:firstLine="8"/>
        <w:spacing w:after="0" w:line="26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2022, filed with the SEC on February 27, 2023.</w:t>
      </w:r>
    </w:p>
    <w:p>
      <w:pPr>
        <w:spacing w:after="0" w:line="11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333333"/>
        </w:rPr>
        <w:t>There have been no material changes in the company's risk factors from those disclosed in the company's Annual Report on Form 10-K for the year ended December 31, 2022, filed with the SEC on February 27, 2023.</w:t>
      </w:r>
    </w:p>
    <w:p>
      <w:pPr>
        <w:spacing w:after="0" w:line="126" w:lineRule="exact"/>
        <w:rPr>
          <w:sz w:val="20"/>
          <w:szCs w:val="20"/>
          <w:color w:val="auto"/>
        </w:rPr>
      </w:pPr>
    </w:p>
    <w:p>
      <w:pPr>
        <w:ind w:left="1260" w:right="200" w:hanging="1227"/>
        <w:spacing w:after="0" w:line="250" w:lineRule="auto"/>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 AND ISSUER PURCHASES OF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 Total Number of Class A</w:t>
            </w:r>
          </w:p>
        </w:tc>
        <w:tc>
          <w:tcPr>
            <w:tcW w:w="26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(d) Maximum Number (or Approximate</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 Number of</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64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5"/>
              </w:rPr>
              <w:t>(b) Average Price</w:t>
            </w:r>
          </w:p>
        </w:tc>
        <w:tc>
          <w:tcPr>
            <w:tcW w:w="2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6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Class A</w:t>
            </w:r>
          </w:p>
        </w:tc>
        <w:tc>
          <w:tcPr>
            <w:tcW w:w="2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2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Part of Publicly Announced</w:t>
            </w:r>
          </w:p>
        </w:tc>
        <w:tc>
          <w:tcPr>
            <w:tcW w:w="264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7"/>
        </w:trPr>
        <w:tc>
          <w:tcPr>
            <w:tcW w:w="292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 (1)</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2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Plans or Programs</w:t>
            </w:r>
          </w:p>
        </w:tc>
        <w:tc>
          <w:tcPr>
            <w:tcW w:w="2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to July 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183.25</w:t>
            </w:r>
          </w:p>
        </w:tc>
        <w:tc>
          <w:tcPr>
            <w:tcW w:w="218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  $</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August 1 to August 31</w:t>
            </w:r>
          </w:p>
        </w:tc>
        <w:tc>
          <w:tcPr>
            <w:tcW w:w="1760" w:type="dxa"/>
            <w:vAlign w:val="bottom"/>
          </w:tcPr>
          <w:p>
            <w:pPr>
              <w:jc w:val="right"/>
              <w:spacing w:after="0"/>
              <w:rPr>
                <w:sz w:val="20"/>
                <w:szCs w:val="20"/>
                <w:color w:val="auto"/>
              </w:rPr>
            </w:pPr>
            <w:r>
              <w:rPr>
                <w:rFonts w:ascii="Arial" w:cs="Arial" w:eastAsia="Arial" w:hAnsi="Arial"/>
                <w:sz w:val="18"/>
                <w:szCs w:val="18"/>
                <w:color w:val="auto"/>
              </w:rPr>
              <w:t>2,032</w:t>
            </w:r>
          </w:p>
        </w:tc>
        <w:tc>
          <w:tcPr>
            <w:tcW w:w="280" w:type="dxa"/>
            <w:vAlign w:val="bottom"/>
          </w:tcPr>
          <w:p>
            <w:pPr>
              <w:spacing w:after="0"/>
              <w:rPr>
                <w:sz w:val="19"/>
                <w:szCs w:val="19"/>
                <w:color w:val="auto"/>
              </w:rPr>
            </w:pPr>
          </w:p>
        </w:tc>
        <w:tc>
          <w:tcPr>
            <w:tcW w:w="1460" w:type="dxa"/>
            <w:vAlign w:val="bottom"/>
          </w:tcPr>
          <w:p>
            <w:pPr>
              <w:jc w:val="right"/>
              <w:ind w:right="97"/>
              <w:spacing w:after="0"/>
              <w:rPr>
                <w:sz w:val="20"/>
                <w:szCs w:val="20"/>
                <w:color w:val="auto"/>
              </w:rPr>
            </w:pPr>
            <w:r>
              <w:rPr>
                <w:rFonts w:ascii="Arial" w:cs="Arial" w:eastAsia="Arial" w:hAnsi="Arial"/>
                <w:sz w:val="18"/>
                <w:szCs w:val="18"/>
                <w:color w:val="auto"/>
              </w:rPr>
              <w:t>202.92</w:t>
            </w:r>
          </w:p>
        </w:tc>
        <w:tc>
          <w:tcPr>
            <w:tcW w:w="21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640" w:type="dxa"/>
            <w:vAlign w:val="bottom"/>
          </w:tcPr>
          <w:p>
            <w:pPr>
              <w:ind w:left="2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to September 30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84,581</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206.81</w:t>
            </w:r>
          </w:p>
        </w:tc>
        <w:tc>
          <w:tcPr>
            <w:tcW w:w="218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87,140</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6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0" w:hanging="328"/>
        <w:spacing w:after="0" w:line="277" w:lineRule="auto"/>
        <w:tabs>
          <w:tab w:leader="none" w:pos="6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87,140 shares of Class A common stock surrendered in the third quarter of 2023 to satisfy employees’ tax obligations upon the vesting of restricted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EXHIBITS</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502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1"/>
              </w:rPr>
              <w:t>Form of Equity Grant Letter for Annual Grant of Performance Shares</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8"/>
              </w:rPr>
              <w:t>Section 302</w:t>
            </w:r>
          </w:p>
        </w:tc>
        <w:tc>
          <w:tcPr>
            <w:tcW w:w="244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4"/>
              </w:rPr>
              <w:t>Certification—Terrence A. Duffy</w:t>
            </w:r>
          </w:p>
        </w:tc>
        <w:tc>
          <w:tcPr>
            <w:tcW w:w="1700" w:type="dxa"/>
            <w:vAlign w:val="bottom"/>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8"/>
              </w:rPr>
              <w:t>Section 302</w:t>
            </w:r>
          </w:p>
        </w:tc>
        <w:tc>
          <w:tcPr>
            <w:tcW w:w="240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4"/>
              </w:rPr>
              <w:t>Certification—Lynne Fitzpatrick</w:t>
            </w:r>
          </w:p>
        </w:tc>
        <w:tc>
          <w:tcPr>
            <w:tcW w:w="1740" w:type="dxa"/>
            <w:vAlign w:val="bottom"/>
            <w:gridSpan w:val="2"/>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88"/>
              </w:rPr>
              <w:t>Section 906</w:t>
            </w:r>
          </w:p>
        </w:tc>
        <w:tc>
          <w:tcPr>
            <w:tcW w:w="94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4"/>
              </w:rPr>
              <w:t>Certification</w:t>
            </w:r>
          </w:p>
        </w:tc>
        <w:tc>
          <w:tcPr>
            <w:tcW w:w="3200" w:type="dxa"/>
            <w:vAlign w:val="bottom"/>
            <w:gridSpan w:val="3"/>
          </w:tcPr>
          <w:p>
            <w:pPr>
              <w:spacing w:after="0"/>
              <w:rPr>
                <w:sz w:val="24"/>
                <w:szCs w:val="24"/>
                <w:color w:val="auto"/>
              </w:rPr>
            </w:pPr>
          </w:p>
        </w:tc>
      </w:tr>
    </w:tbl>
    <w:p>
      <w:pPr>
        <w:spacing w:after="0" w:line="134" w:lineRule="exact"/>
        <w:rPr>
          <w:sz w:val="20"/>
          <w:szCs w:val="20"/>
          <w:color w:val="auto"/>
        </w:rPr>
      </w:pPr>
    </w:p>
    <w:p>
      <w:pPr>
        <w:ind w:left="1440" w:right="459" w:hanging="1414"/>
        <w:spacing w:after="0" w:line="232" w:lineRule="auto"/>
        <w:tabs>
          <w:tab w:leader="none" w:pos="1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following materials from CME Group Inc.’s Quarterly Report on Form 10-Q for the quarterly period ended September 30, 2023,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7100" w:type="dxa"/>
            <w:vAlign w:val="bottom"/>
          </w:tcPr>
          <w:p>
            <w:pPr>
              <w:ind w:left="380"/>
              <w:spacing w:after="0"/>
              <w:rPr>
                <w:sz w:val="20"/>
                <w:szCs w:val="20"/>
                <w:color w:val="auto"/>
              </w:rPr>
            </w:pPr>
            <w:r>
              <w:rPr>
                <w:rFonts w:ascii="Arial" w:cs="Arial" w:eastAsia="Arial" w:hAnsi="Arial"/>
                <w:sz w:val="18"/>
                <w:szCs w:val="18"/>
                <w:color w:val="auto"/>
                <w:w w:val="92"/>
              </w:rPr>
              <w:t>Cover Page Interactive Data File included in the Inline XBRL Document Set for Exhibit 101.</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710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710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710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ind w:left="1440" w:hanging="1414"/>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CME Group Inc.</w:t>
      </w:r>
    </w:p>
    <w:p>
      <w:pPr>
        <w:ind w:left="5100"/>
        <w:spacing w:after="0"/>
        <w:rPr>
          <w:sz w:val="20"/>
          <w:szCs w:val="20"/>
          <w:color w:val="auto"/>
        </w:rPr>
      </w:pPr>
      <w:r>
        <w:rPr>
          <w:rFonts w:ascii="Arial" w:cs="Arial" w:eastAsia="Arial" w:hAnsi="Arial"/>
          <w:sz w:val="18"/>
          <w:szCs w:val="18"/>
          <w:color w:val="auto"/>
        </w:rPr>
        <w:t>(Registrant)</w:t>
      </w:r>
    </w:p>
    <w:p>
      <w:pPr>
        <w:spacing w:after="0" w:line="290" w:lineRule="exact"/>
        <w:rPr>
          <w:sz w:val="20"/>
          <w:szCs w:val="20"/>
          <w:color w:val="auto"/>
        </w:rPr>
      </w:pPr>
    </w:p>
    <w:p>
      <w:pPr>
        <w:ind w:left="20"/>
        <w:spacing w:after="0"/>
        <w:tabs>
          <w:tab w:leader="none" w:pos="5080" w:val="left"/>
          <w:tab w:leader="none" w:pos="7820" w:val="left"/>
        </w:tabs>
        <w:rPr>
          <w:sz w:val="20"/>
          <w:szCs w:val="20"/>
          <w:color w:val="auto"/>
        </w:rPr>
      </w:pPr>
      <w:r>
        <w:rPr>
          <w:rFonts w:ascii="Arial" w:cs="Arial" w:eastAsia="Arial" w:hAnsi="Arial"/>
          <w:sz w:val="18"/>
          <w:szCs w:val="18"/>
          <w:color w:val="auto"/>
        </w:rPr>
        <w:t>Dated: November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40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Lynne Fitzpatrick</w:t>
      </w:r>
    </w:p>
    <w:p>
      <w:pPr>
        <w:spacing w:after="0" w:line="144"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Senior Managing Director and Chief Financial Officer</w:t>
      </w:r>
    </w:p>
    <w:p>
      <w:pPr>
        <w:spacing w:after="0" w:line="146"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Offer and</w:t>
      </w:r>
    </w:p>
    <w:p>
      <w:pPr>
        <w:ind w:left="7640"/>
        <w:spacing w:after="0"/>
        <w:rPr>
          <w:sz w:val="20"/>
          <w:szCs w:val="20"/>
          <w:color w:val="auto"/>
        </w:rPr>
      </w:pPr>
      <w:r>
        <w:rPr>
          <w:rFonts w:ascii="Arial" w:cs="Arial" w:eastAsia="Arial" w:hAnsi="Arial"/>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5"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151130</wp:posOffset>
            </wp:positionV>
            <wp:extent cx="6120765"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2076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w:t>
      </w:r>
    </w:p>
    <w:p>
      <w:pPr>
        <w:spacing w:after="0" w:line="235" w:lineRule="exact"/>
        <w:rPr>
          <w:sz w:val="20"/>
          <w:szCs w:val="20"/>
          <w:color w:val="auto"/>
        </w:rPr>
      </w:pPr>
    </w:p>
    <w:p>
      <w:pPr>
        <w:jc w:val="both"/>
        <w:ind w:left="280" w:right="120"/>
        <w:spacing w:after="0" w:line="239" w:lineRule="auto"/>
        <w:rPr>
          <w:sz w:val="20"/>
          <w:szCs w:val="20"/>
          <w:color w:val="auto"/>
        </w:rPr>
      </w:pPr>
      <w:r>
        <w:rPr>
          <w:rFonts w:ascii="Arial" w:cs="Arial" w:eastAsia="Arial" w:hAnsi="Arial"/>
          <w:sz w:val="18"/>
          <w:szCs w:val="18"/>
          <w:color w:val="auto"/>
        </w:rPr>
        <w:t>Congratulations! We are pleased to provide you with a long-term incentive opportunity under the CME Group Inc. Third Amended and Restated Omnibus Stock Plan (the “Plan”). This long-term incentive opportunity is in recognition of the anticipated positive impact you will make toward the future success of the company. Your grant provides you with the opportunity to earn a range of performance shares based on the achievement of the performance goals set forth below. If earned, the ultimate payout for achieving the performance goals will be in the form of CME Group Inc. stock, which is a means for you to share in the success of the overall company. Certain terms of your long-term incentive opportunity follow:</w:t>
      </w:r>
    </w:p>
    <w:p>
      <w:pPr>
        <w:spacing w:after="0" w:line="346" w:lineRule="exact"/>
        <w:rPr>
          <w:sz w:val="20"/>
          <w:szCs w:val="20"/>
          <w:color w:val="auto"/>
        </w:rPr>
      </w:pPr>
    </w:p>
    <w:p>
      <w:pPr>
        <w:ind w:left="280"/>
        <w:spacing w:after="0"/>
        <w:rPr>
          <w:sz w:val="20"/>
          <w:szCs w:val="20"/>
          <w:color w:val="auto"/>
        </w:rPr>
      </w:pPr>
      <w:r>
        <w:rPr>
          <w:rFonts w:ascii="Arial" w:cs="Arial" w:eastAsia="Arial" w:hAnsi="Arial"/>
          <w:sz w:val="18"/>
          <w:szCs w:val="18"/>
          <w:b w:val="1"/>
          <w:bCs w:val="1"/>
          <w:u w:val="single" w:color="auto"/>
          <w:color w:val="auto"/>
        </w:rPr>
        <w:t>Performance Share Terms</w:t>
      </w:r>
    </w:p>
    <w:p>
      <w:pPr>
        <w:spacing w:after="0" w:line="200" w:lineRule="exact"/>
        <w:rPr>
          <w:sz w:val="20"/>
          <w:szCs w:val="20"/>
          <w:color w:val="auto"/>
        </w:rPr>
      </w:pP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8"/>
              </w:rPr>
              <w:t>Performance</w:t>
            </w:r>
          </w:p>
        </w:tc>
        <w:tc>
          <w:tcPr>
            <w:tcW w:w="7420" w:type="dxa"/>
            <w:vAlign w:val="bottom"/>
          </w:tcPr>
          <w:p>
            <w:pPr>
              <w:ind w:left="660"/>
              <w:spacing w:after="0"/>
              <w:rPr>
                <w:sz w:val="20"/>
                <w:szCs w:val="20"/>
                <w:color w:val="auto"/>
              </w:rPr>
            </w:pPr>
            <w:r>
              <w:rPr>
                <w:rFonts w:ascii="Arial" w:cs="Arial" w:eastAsia="Arial" w:hAnsi="Arial"/>
                <w:sz w:val="18"/>
                <w:szCs w:val="18"/>
                <w:color w:val="auto"/>
              </w:rPr>
              <w:t>Your  grant  has  a  target  of  [  ]  Performance  Shares  for  the  achievement  of</w:t>
            </w:r>
          </w:p>
        </w:tc>
      </w:tr>
      <w:tr>
        <w:trPr>
          <w:trHeight w:val="162"/>
        </w:trPr>
        <w:tc>
          <w:tcPr>
            <w:tcW w:w="1040" w:type="dxa"/>
            <w:vAlign w:val="bottom"/>
            <w:gridSpan w:val="3"/>
          </w:tcPr>
          <w:p>
            <w:pPr>
              <w:spacing w:after="0" w:line="162" w:lineRule="exact"/>
              <w:rPr>
                <w:sz w:val="20"/>
                <w:szCs w:val="20"/>
                <w:color w:val="auto"/>
              </w:rPr>
            </w:pPr>
            <w:r>
              <w:rPr>
                <w:rFonts w:ascii="Arial" w:cs="Arial" w:eastAsia="Arial" w:hAnsi="Arial"/>
                <w:sz w:val="18"/>
                <w:szCs w:val="18"/>
                <w:color w:val="auto"/>
              </w:rPr>
              <w:t>Shares:</w:t>
            </w:r>
          </w:p>
        </w:tc>
        <w:tc>
          <w:tcPr>
            <w:tcW w:w="7420" w:type="dxa"/>
            <w:vAlign w:val="bottom"/>
          </w:tcPr>
          <w:p>
            <w:pPr>
              <w:ind w:left="660"/>
              <w:spacing w:after="0" w:line="162" w:lineRule="exact"/>
              <w:rPr>
                <w:sz w:val="20"/>
                <w:szCs w:val="20"/>
                <w:color w:val="auto"/>
              </w:rPr>
            </w:pPr>
            <w:r>
              <w:rPr>
                <w:rFonts w:ascii="Arial" w:cs="Arial" w:eastAsia="Arial" w:hAnsi="Arial"/>
                <w:sz w:val="18"/>
                <w:szCs w:val="18"/>
                <w:color w:val="auto"/>
              </w:rPr>
              <w:t>Performance Goals at the target levels. Actual shares earned will be dependent on</w:t>
            </w:r>
          </w:p>
        </w:tc>
      </w:tr>
      <w:tr>
        <w:trPr>
          <w:trHeight w:val="209"/>
        </w:trPr>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20" w:type="dxa"/>
            <w:vAlign w:val="bottom"/>
          </w:tcPr>
          <w:p>
            <w:pPr>
              <w:ind w:left="660"/>
              <w:spacing w:after="0"/>
              <w:rPr>
                <w:sz w:val="20"/>
                <w:szCs w:val="20"/>
                <w:color w:val="auto"/>
              </w:rPr>
            </w:pPr>
            <w:r>
              <w:rPr>
                <w:rFonts w:ascii="Arial" w:cs="Arial" w:eastAsia="Arial" w:hAnsi="Arial"/>
                <w:sz w:val="18"/>
                <w:szCs w:val="18"/>
                <w:color w:val="auto"/>
              </w:rPr>
              <w:t>performance against the Performance Goals as set forth below.</w:t>
            </w:r>
          </w:p>
        </w:tc>
      </w:tr>
      <w:tr>
        <w:trPr>
          <w:trHeight w:val="297"/>
        </w:trPr>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Grant Date:</w:t>
            </w:r>
          </w:p>
        </w:tc>
        <w:tc>
          <w:tcPr>
            <w:tcW w:w="100" w:type="dxa"/>
            <w:vAlign w:val="bottom"/>
          </w:tcPr>
          <w:p>
            <w:pPr>
              <w:spacing w:after="0"/>
              <w:rPr>
                <w:sz w:val="24"/>
                <w:szCs w:val="24"/>
                <w:color w:val="auto"/>
              </w:rPr>
            </w:pPr>
          </w:p>
        </w:tc>
        <w:tc>
          <w:tcPr>
            <w:tcW w:w="7420" w:type="dxa"/>
            <w:vAlign w:val="bottom"/>
          </w:tcPr>
          <w:p>
            <w:pPr>
              <w:ind w:left="660"/>
              <w:spacing w:after="0"/>
              <w:rPr>
                <w:sz w:val="20"/>
                <w:szCs w:val="20"/>
                <w:color w:val="auto"/>
              </w:rPr>
            </w:pPr>
            <w:r>
              <w:rPr>
                <w:rFonts w:ascii="Arial" w:cs="Arial" w:eastAsia="Arial" w:hAnsi="Arial"/>
                <w:sz w:val="18"/>
                <w:szCs w:val="18"/>
                <w:color w:val="auto"/>
              </w:rPr>
              <w:t>[ ]</w:t>
            </w:r>
          </w:p>
        </w:tc>
      </w:tr>
    </w:tbl>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Performance Period:</w:t>
      </w:r>
      <w:r>
        <w:rPr>
          <w:rFonts w:ascii="Arial" w:cs="Arial" w:eastAsia="Arial" w:hAnsi="Arial"/>
          <w:sz w:val="18"/>
          <w:szCs w:val="18"/>
          <w:color w:val="auto"/>
        </w:rPr>
        <w:t xml:space="preserve"> [ ]</w:t>
      </w:r>
    </w:p>
    <w:p>
      <w:pPr>
        <w:sectPr>
          <w:pgSz w:w="11900" w:h="16838" w:orient="portrait"/>
          <w:cols w:equalWidth="0" w:num="1">
            <w:col w:w="11240"/>
          </w:cols>
          <w:pgMar w:left="320" w:top="896" w:right="339" w:bottom="1440" w:gutter="0" w:footer="0" w:header="0"/>
        </w:sectPr>
      </w:pPr>
    </w:p>
    <w:p>
      <w:pPr>
        <w:spacing w:after="0" w:line="131" w:lineRule="exact"/>
        <w:rPr>
          <w:sz w:val="20"/>
          <w:szCs w:val="20"/>
          <w:color w:val="auto"/>
        </w:rPr>
      </w:pPr>
    </w:p>
    <w:p>
      <w:pPr>
        <w:ind w:left="300" w:right="400"/>
        <w:spacing w:after="0" w:line="260" w:lineRule="auto"/>
        <w:rPr>
          <w:sz w:val="20"/>
          <w:szCs w:val="20"/>
          <w:color w:val="auto"/>
        </w:rPr>
      </w:pPr>
      <w:r>
        <w:rPr>
          <w:rFonts w:ascii="Arial" w:cs="Arial" w:eastAsia="Arial" w:hAnsi="Arial"/>
          <w:sz w:val="18"/>
          <w:szCs w:val="18"/>
          <w:u w:val="single" w:color="auto"/>
          <w:color w:val="auto"/>
        </w:rPr>
        <w:t>Performance Goals:</w:t>
      </w:r>
    </w:p>
    <w:p>
      <w:pPr>
        <w:spacing w:after="0" w:line="37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Payment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Vesting Schedule: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80" w:hanging="278"/>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w:t>
      </w:r>
    </w:p>
    <w:p>
      <w:pPr>
        <w:spacing w:after="0" w:line="212" w:lineRule="exact"/>
        <w:rPr>
          <w:rFonts w:ascii="Arial" w:cs="Arial" w:eastAsia="Arial" w:hAnsi="Arial"/>
          <w:sz w:val="18"/>
          <w:szCs w:val="18"/>
          <w:color w:val="auto"/>
        </w:rPr>
      </w:pPr>
    </w:p>
    <w:p>
      <w:pPr>
        <w:ind w:left="260" w:hanging="258"/>
        <w:spacing w:after="0"/>
        <w:tabs>
          <w:tab w:leader="none" w:pos="2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w:t>
      </w:r>
    </w:p>
    <w:p>
      <w:pPr>
        <w:spacing w:after="0" w:line="66" w:lineRule="exact"/>
        <w:rPr>
          <w:sz w:val="20"/>
          <w:szCs w:val="20"/>
          <w:color w:val="auto"/>
        </w:rPr>
      </w:pPr>
    </w:p>
    <w:p>
      <w:pPr>
        <w:jc w:val="both"/>
        <w:ind w:right="2460"/>
        <w:spacing w:after="0" w:line="237" w:lineRule="auto"/>
        <w:rPr>
          <w:sz w:val="20"/>
          <w:szCs w:val="20"/>
          <w:color w:val="auto"/>
        </w:rPr>
      </w:pPr>
      <w:r>
        <w:rPr>
          <w:rFonts w:ascii="Arial" w:cs="Arial" w:eastAsia="Arial" w:hAnsi="Arial"/>
          <w:sz w:val="18"/>
          <w:szCs w:val="18"/>
          <w:color w:val="auto"/>
        </w:rPr>
        <w:t>Performance Shares that are earned, if any, shall be settled in Class A common stock, $0.01 par value of CME Group Inc., which shall be issued as soon as administratively practicable after the Performance Period has ended and after the Compensation Committee and/or its delegate confirms that the Goals have been attained. The Goals shall not be deemed to be attained until the Compensation Committee and/or its delegate confirms that they have been attained. The</w:t>
      </w:r>
    </w:p>
    <w:p>
      <w:pPr>
        <w:spacing w:after="0" w:line="1" w:lineRule="exact"/>
        <w:rPr>
          <w:sz w:val="20"/>
          <w:szCs w:val="20"/>
          <w:color w:val="auto"/>
        </w:rPr>
      </w:pPr>
    </w:p>
    <w:p>
      <w:pPr>
        <w:jc w:val="both"/>
        <w:ind w:right="2460"/>
        <w:spacing w:after="0" w:line="226" w:lineRule="auto"/>
        <w:rPr>
          <w:sz w:val="20"/>
          <w:szCs w:val="20"/>
          <w:color w:val="auto"/>
        </w:rPr>
      </w:pPr>
      <w:r>
        <w:rPr>
          <w:rFonts w:ascii="Arial" w:cs="Arial" w:eastAsia="Arial" w:hAnsi="Arial"/>
          <w:sz w:val="18"/>
          <w:szCs w:val="18"/>
          <w:color w:val="auto"/>
        </w:rPr>
        <w:t>Performance Shares earned shall be based on the actual performance achieved under the Performance Goals during the Performance Period and issued in</w:t>
      </w:r>
    </w:p>
    <w:p>
      <w:pPr>
        <w:spacing w:after="0" w:line="236" w:lineRule="auto"/>
        <w:rPr>
          <w:sz w:val="20"/>
          <w:szCs w:val="20"/>
          <w:color w:val="auto"/>
        </w:rPr>
      </w:pPr>
      <w:r>
        <w:rPr>
          <w:rFonts w:ascii="Arial" w:cs="Arial" w:eastAsia="Arial" w:hAnsi="Arial"/>
          <w:sz w:val="18"/>
          <w:szCs w:val="18"/>
          <w:color w:val="auto"/>
        </w:rPr>
        <w:t>accordance with the Terms and Conditions attached hereto. Such shares based on [</w:t>
      </w:r>
    </w:p>
    <w:p>
      <w:pPr>
        <w:spacing w:after="0" w:line="1" w:lineRule="exact"/>
        <w:rPr>
          <w:sz w:val="20"/>
          <w:szCs w:val="20"/>
          <w:color w:val="auto"/>
        </w:rPr>
      </w:pPr>
    </w:p>
    <w:p>
      <w:pPr>
        <w:ind w:right="2480" w:firstLine="2"/>
        <w:spacing w:after="0" w:line="246" w:lineRule="auto"/>
        <w:tabs>
          <w:tab w:leader="none" w:pos="1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and [ ] performance shall become vested on the payout date in [ ], except as otherwise provided by the terms and conditions in the Plan.</w:t>
      </w:r>
    </w:p>
    <w:p>
      <w:pPr>
        <w:spacing w:after="0" w:line="126" w:lineRule="exact"/>
        <w:rPr>
          <w:sz w:val="20"/>
          <w:szCs w:val="20"/>
          <w:color w:val="auto"/>
        </w:rPr>
      </w:pPr>
    </w:p>
    <w:p>
      <w:pPr>
        <w:sectPr>
          <w:pgSz w:w="11900" w:h="16838" w:orient="portrait"/>
          <w:cols w:equalWidth="0" w:num="2">
            <w:col w:w="1740" w:space="260"/>
            <w:col w:w="9240"/>
          </w:cols>
          <w:pgMar w:left="320" w:top="896"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Additional Terms</w:t>
            </w:r>
          </w:p>
        </w:tc>
        <w:tc>
          <w:tcPr>
            <w:tcW w:w="18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The Performance Shares granted are subject to the Terms and Conditions attached</w:t>
            </w:r>
          </w:p>
        </w:tc>
      </w:tr>
      <w:tr>
        <w:trPr>
          <w:trHeight w:val="183"/>
        </w:trPr>
        <w:tc>
          <w:tcPr>
            <w:tcW w:w="1520" w:type="dxa"/>
            <w:vAlign w:val="bottom"/>
            <w:gridSpan w:val="5"/>
          </w:tcPr>
          <w:p>
            <w:pPr>
              <w:spacing w:after="0" w:line="182" w:lineRule="exact"/>
              <w:rPr>
                <w:sz w:val="20"/>
                <w:szCs w:val="20"/>
                <w:color w:val="auto"/>
              </w:rPr>
            </w:pPr>
            <w:r>
              <w:rPr>
                <w:rFonts w:ascii="Arial" w:cs="Arial" w:eastAsia="Arial" w:hAnsi="Arial"/>
                <w:sz w:val="18"/>
                <w:szCs w:val="18"/>
                <w:color w:val="auto"/>
              </w:rPr>
              <w:t>and Conditions:</w:t>
            </w:r>
          </w:p>
        </w:tc>
        <w:tc>
          <w:tcPr>
            <w:tcW w:w="6940" w:type="dxa"/>
            <w:vAlign w:val="bottom"/>
          </w:tcPr>
          <w:p>
            <w:pPr>
              <w:ind w:left="180"/>
              <w:spacing w:after="0" w:line="182" w:lineRule="exact"/>
              <w:rPr>
                <w:sz w:val="20"/>
                <w:szCs w:val="20"/>
                <w:color w:val="auto"/>
              </w:rPr>
            </w:pPr>
            <w:r>
              <w:rPr>
                <w:rFonts w:ascii="Arial" w:cs="Arial" w:eastAsia="Arial" w:hAnsi="Arial"/>
                <w:sz w:val="18"/>
                <w:szCs w:val="18"/>
                <w:color w:val="auto"/>
              </w:rPr>
              <w:t>hereto, as well as the terms and conditions set forth in the Plan.</w:t>
            </w:r>
          </w:p>
        </w:tc>
      </w:tr>
      <w:tr>
        <w:trPr>
          <w:trHeight w:val="20"/>
        </w:trPr>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ectPr>
          <w:pgSz w:w="11900" w:h="16838" w:orient="portrait"/>
          <w:cols w:equalWidth="0" w:num="1">
            <w:col w:w="11240"/>
          </w:cols>
          <w:pgMar w:left="320" w:top="896" w:right="339" w:bottom="1440" w:gutter="0" w:footer="0" w:header="0"/>
          <w:type w:val="continuous"/>
        </w:sectPr>
      </w:pPr>
    </w:p>
    <w:bookmarkStart w:id="34" w:name="page35"/>
    <w:bookmarkEnd w:id="34"/>
    <w:p>
      <w:pPr>
        <w:spacing w:after="0" w:line="41" w:lineRule="exact"/>
        <w:rPr>
          <w:sz w:val="20"/>
          <w:szCs w:val="20"/>
          <w:color w:val="auto"/>
        </w:rPr>
      </w:pPr>
    </w:p>
    <w:p>
      <w:pPr>
        <w:ind w:right="200"/>
        <w:spacing w:after="0" w:line="279" w:lineRule="auto"/>
        <w:rPr>
          <w:sz w:val="20"/>
          <w:szCs w:val="20"/>
          <w:color w:val="auto"/>
        </w:rPr>
      </w:pPr>
      <w:r>
        <w:rPr>
          <w:rFonts w:ascii="Arial" w:cs="Arial" w:eastAsia="Arial" w:hAnsi="Arial"/>
          <w:sz w:val="14"/>
          <w:szCs w:val="14"/>
          <w:i w:val="1"/>
          <w:iCs w:val="1"/>
          <w:color w:val="auto"/>
        </w:rPr>
        <w:t>Your equity grant has a total planned economic value of [ ] which is [ ] of your current base salary. The planned value was used to calculate the number of shares granted, using the closing stock price on the grant date.</w:t>
      </w:r>
    </w:p>
    <w:p>
      <w:pPr>
        <w:spacing w:after="0" w:line="31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i w:val="1"/>
          <w:iCs w:val="1"/>
          <w:color w:val="auto"/>
        </w:rPr>
        <w:t>To be eligible to receive this grant, you must have signed a Confidentiality, Non-Competition and Non-Solicitation Agreement. In addition to the terms stated in this grant letter, your equity grant shall be subject to the terms and conditions of the Plan. All documents relating to the Plan, including the Plan Document, Prospectus, and any other supplemental documents can be accessed online by logging on to your E*TRADE account at www.etrade.com/stockplans or by calling E*TRADE at 800-838-0908 or +1-650-599-0125 if outside the U.S. A copy of the current CME Group Form 10-K can be found at: http:// investor.cmegroup.com/investor-relations/financials.cfm. Please certify your W-9 (or W-8BEN if outside the U.S.) upon activation of your E*TRADE account.</w:t>
      </w:r>
    </w:p>
    <w:p>
      <w:pPr>
        <w:spacing w:after="0" w:line="200" w:lineRule="exact"/>
        <w:rPr>
          <w:sz w:val="20"/>
          <w:szCs w:val="20"/>
          <w:color w:val="auto"/>
        </w:rPr>
      </w:pPr>
    </w:p>
    <w:p>
      <w:pPr>
        <w:spacing w:after="0" w:line="257" w:lineRule="exact"/>
        <w:rPr>
          <w:sz w:val="20"/>
          <w:szCs w:val="20"/>
          <w:color w:val="auto"/>
        </w:rPr>
      </w:pPr>
    </w:p>
    <w:p>
      <w:pPr>
        <w:spacing w:after="0" w:line="254" w:lineRule="auto"/>
        <w:rPr>
          <w:sz w:val="20"/>
          <w:szCs w:val="20"/>
          <w:color w:val="auto"/>
        </w:rPr>
      </w:pPr>
      <w:r>
        <w:rPr>
          <w:rFonts w:ascii="Arial" w:cs="Arial" w:eastAsia="Arial" w:hAnsi="Arial"/>
          <w:sz w:val="14"/>
          <w:szCs w:val="14"/>
          <w:i w:val="1"/>
          <w:iCs w:val="1"/>
          <w:color w:val="auto"/>
        </w:rPr>
        <w:t>By accepting this equity grant, you hereby agree to the terms and conditions of the Plan (which are subject to change at any time pursuant to the terms of the Plan) and of the Confidentiality, Non-Competition and Non-Solicitation Agreement previously signed by you. In addition, you acknowledge and agree that you are receiving this grant pursuant to CME Group’s Equity Program, which is in place at the discretion of CME Group. Accordingly, your receipt of this grant and your eligibility for any future grants are subject to the continued existence of the Equity Program.</w:t>
      </w:r>
    </w:p>
    <w:p>
      <w:pPr>
        <w:spacing w:after="0" w:line="200" w:lineRule="exact"/>
        <w:rPr>
          <w:sz w:val="20"/>
          <w:szCs w:val="20"/>
          <w:color w:val="auto"/>
        </w:rPr>
      </w:pPr>
    </w:p>
    <w:p>
      <w:pPr>
        <w:spacing w:after="0" w:line="248"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b w:val="1"/>
          <w:bCs w:val="1"/>
          <w:color w:val="auto"/>
        </w:rPr>
        <w:t xml:space="preserve">No Right to Future Grants; No Right of Employment; Extraordinary Item: </w:t>
      </w:r>
      <w:r>
        <w:rPr>
          <w:rFonts w:ascii="Arial" w:cs="Arial" w:eastAsia="Arial" w:hAnsi="Arial"/>
          <w:sz w:val="14"/>
          <w:szCs w:val="14"/>
          <w:color w:val="auto"/>
        </w:rPr>
        <w:t>In accepting the grant, you acknowledge that: (a) the Plan is established voluntarily by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it is discretionary in nature and it may be modified, suspended or terminated by the Company at any time, as provided in the Plan and this Award Agreement; (b) the grant of the Award is voluntary and occasional and does not create any contractual or other right to receive future grants of Awards, or benefits in lieu of Awards, even if Awards have been granted repeatedly in the past; (c) all decisions with respect to future grants, if any, will be at the sole discretion of the Company; (d) your participation in the Plan is voluntary; (e) the Award is an extraordinary item that does not constitute compensation of any kind for services of any kind rendered to the Company and which is</w:t>
      </w:r>
    </w:p>
    <w:p>
      <w:pPr>
        <w:spacing w:after="0" w:line="3"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outside the scope of your employment or employment contract, if any; (f) the Award is not part of normal or expected compensation or salary for any purposes, including, but not limited to, calculating any severance, resignation, termination, redundancy, end of service payments, bonuses, long-service awards, pension or retirement benefits or</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similar payments; (g) in the event that you are an employee of an affiliate or subsidiary of the Company, the grant will not be interpreted to form an employment contract or relationship with the Company; and furthermore, the grant will not be interpreted to form an employment contract with the affiliate or subsidiary that is your employer; (h) the future value of the underlying Shares is unknown and cannot be predicted with certainty; (i) no claim or entitlement to compensation or damages arises from forfeiture or termination of the Award or diminution in value of the Award or the Shares and you irrevocably release the Company, its affiliates and/or its subsidiaries from any such claim that may arise; (j) to the extent the Award shall be included in the calculation of vacation pay under applicable law, the final amount received from the vested shares, if any, includes such vacation pay (i.e. vacation pay is not payable on top of the amount received from the vested shares); (k) at the time of vesting the Company will either withhold and sell shares to meet any tax withholding obligations, or determine another appropriate method (determined by the Company in its sole discretion) to meet such obligations; (l) the Company may share personal information with E*Trade and any of its other third party providers who assist with the administration of the Equity Program as necessary to effect the issuance and vesting of the Awards; and</w:t>
      </w:r>
    </w:p>
    <w:p>
      <w:pPr>
        <w:spacing w:after="0" w:line="3" w:lineRule="exact"/>
        <w:rPr>
          <w:sz w:val="20"/>
          <w:szCs w:val="20"/>
          <w:color w:val="auto"/>
        </w:rPr>
      </w:pPr>
    </w:p>
    <w:p>
      <w:pPr>
        <w:jc w:val="both"/>
        <w:ind w:right="40" w:firstLine="1"/>
        <w:spacing w:after="0" w:line="249" w:lineRule="auto"/>
        <w:tabs>
          <w:tab w:leader="none" w:pos="256"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notwithstanding any terms or conditions of the Plan to the contrary, once notice of termination of employment has been given by either party you are no longer eligible to receive Awards. Further, in the event of termination of your employment for any reason other than death or Disability (as defined in the Plan), your right to vest in the Awards under the Plan, if any, will terminate effective as of the date that you are no longer employed.</w:t>
      </w:r>
    </w:p>
    <w:p>
      <w:pPr>
        <w:sectPr>
          <w:pgSz w:w="11900" w:h="16838" w:orient="portrait"/>
          <w:cols w:equalWidth="0" w:num="1">
            <w:col w:w="11000"/>
          </w:cols>
          <w:pgMar w:left="420" w:top="1440" w:right="479" w:bottom="1440" w:gutter="0" w:footer="0" w:header="0"/>
        </w:sectPr>
      </w:pPr>
    </w:p>
    <w:bookmarkStart w:id="35" w:name="page36"/>
    <w:bookmarkEnd w:id="35"/>
    <w:p>
      <w:pPr>
        <w:jc w:val="center"/>
        <w:ind w:right="260"/>
        <w:spacing w:after="0"/>
        <w:rPr>
          <w:sz w:val="20"/>
          <w:szCs w:val="20"/>
          <w:color w:val="auto"/>
        </w:rPr>
      </w:pPr>
      <w:r>
        <w:rPr>
          <w:rFonts w:ascii="Arial" w:cs="Arial" w:eastAsia="Arial" w:hAnsi="Arial"/>
          <w:sz w:val="16"/>
          <w:szCs w:val="16"/>
          <w:b w:val="1"/>
          <w:bCs w:val="1"/>
          <w:color w:val="auto"/>
        </w:rPr>
        <w:t>TERMS AND CONDITIONS</w:t>
      </w:r>
    </w:p>
    <w:p>
      <w:pPr>
        <w:spacing w:after="0" w:line="221" w:lineRule="exact"/>
        <w:rPr>
          <w:sz w:val="20"/>
          <w:szCs w:val="20"/>
          <w:color w:val="auto"/>
        </w:rPr>
      </w:pPr>
    </w:p>
    <w:p>
      <w:pPr>
        <w:ind w:left="340" w:right="20" w:hanging="332"/>
        <w:spacing w:after="0" w:line="251"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Performance Shares Earned. </w:t>
      </w:r>
      <w:r>
        <w:rPr>
          <w:rFonts w:ascii="Arial" w:cs="Arial" w:eastAsia="Arial" w:hAnsi="Arial"/>
          <w:sz w:val="16"/>
          <w:szCs w:val="16"/>
          <w:color w:val="auto"/>
        </w:rPr>
        <w:t>The number of Performance Shares earned, if any, will be based on the actual performance achieved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relative to each Performance Goal. This determination shall be made in accordance with the following schedules:</w:t>
      </w:r>
    </w:p>
    <w:p>
      <w:pPr>
        <w:spacing w:after="0" w:line="47" w:lineRule="exact"/>
        <w:rPr>
          <w:rFonts w:ascii="Arial" w:cs="Arial" w:eastAsia="Arial" w:hAnsi="Arial"/>
          <w:sz w:val="16"/>
          <w:szCs w:val="16"/>
          <w:color w:val="auto"/>
        </w:rPr>
      </w:pPr>
    </w:p>
    <w:p>
      <w:pPr>
        <w:ind w:left="980" w:hanging="324"/>
        <w:spacing w:after="0"/>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Goal 1 – </w:t>
      </w:r>
      <w:r>
        <w:rPr>
          <w:rFonts w:ascii="Arial" w:cs="Arial" w:eastAsia="Arial" w:hAnsi="Arial"/>
          <w:sz w:val="16"/>
          <w:szCs w:val="16"/>
          <w:b w:val="1"/>
          <w:bCs w:val="1"/>
          <w:color w:val="auto"/>
        </w:rPr>
        <w:t>[ ]%</w:t>
      </w:r>
      <w:r>
        <w:rPr>
          <w:rFonts w:ascii="Arial" w:cs="Arial" w:eastAsia="Arial" w:hAnsi="Arial"/>
          <w:sz w:val="16"/>
          <w:szCs w:val="16"/>
          <w:color w:val="auto"/>
        </w:rPr>
        <w:t xml:space="preserve"> of Performance Shares at Target:</w:t>
      </w:r>
    </w:p>
    <w:p>
      <w:pPr>
        <w:spacing w:after="0" w:line="285" w:lineRule="exact"/>
        <w:rPr>
          <w:sz w:val="20"/>
          <w:szCs w:val="20"/>
          <w:color w:val="auto"/>
        </w:rPr>
      </w:pPr>
    </w:p>
    <w:tbl>
      <w:tblPr>
        <w:tblLayout w:type="fixed"/>
        <w:tblInd w:w="1370" w:type="dxa"/>
        <w:tblCellMar>
          <w:top w:w="0" w:type="dxa"/>
          <w:left w:w="0" w:type="dxa"/>
          <w:bottom w:w="0" w:type="dxa"/>
          <w:right w:w="0" w:type="dxa"/>
        </w:tblCellMar>
      </w:tblPr>
      <w:tr>
        <w:trPr>
          <w:trHeight w:val="184"/>
        </w:trPr>
        <w:tc>
          <w:tcPr>
            <w:tcW w:w="2600" w:type="dxa"/>
            <w:vAlign w:val="bottom"/>
            <w:tcBorders>
              <w:left w:val="single" w:sz="8" w:color="auto"/>
            </w:tcBorders>
            <w:shd w:val="clear" w:color="auto" w:fill="000000"/>
          </w:tcPr>
          <w:p>
            <w:pPr>
              <w:ind w:left="120"/>
              <w:spacing w:after="0"/>
              <w:rPr>
                <w:sz w:val="20"/>
                <w:szCs w:val="20"/>
                <w:color w:val="auto"/>
              </w:rPr>
            </w:pPr>
            <w:r>
              <w:rPr>
                <w:rFonts w:ascii="Arial" w:cs="Arial" w:eastAsia="Arial" w:hAnsi="Arial"/>
                <w:sz w:val="16"/>
                <w:szCs w:val="16"/>
                <w:b w:val="1"/>
                <w:bCs w:val="1"/>
                <w:color w:val="FFFFFF"/>
              </w:rPr>
              <w:t>[Goal 1 Performance</w:t>
            </w:r>
          </w:p>
        </w:tc>
        <w:tc>
          <w:tcPr>
            <w:tcW w:w="4020" w:type="dxa"/>
            <w:vAlign w:val="bottom"/>
            <w:tcBorders>
              <w:right w:val="single" w:sz="8" w:color="404040"/>
            </w:tcBorders>
            <w:vMerge w:val="restart"/>
            <w:shd w:val="clear" w:color="auto" w:fill="000000"/>
          </w:tcPr>
          <w:p>
            <w:pPr>
              <w:ind w:left="900"/>
              <w:spacing w:after="0"/>
              <w:rPr>
                <w:sz w:val="20"/>
                <w:szCs w:val="20"/>
                <w:color w:val="auto"/>
              </w:rPr>
            </w:pPr>
            <w:r>
              <w:rPr>
                <w:rFonts w:ascii="Arial" w:cs="Arial" w:eastAsia="Arial" w:hAnsi="Arial"/>
                <w:sz w:val="16"/>
                <w:szCs w:val="16"/>
                <w:b w:val="1"/>
                <w:bCs w:val="1"/>
                <w:color w:val="FFFFFF"/>
              </w:rPr>
              <w:t>Performance Shares Earned</w:t>
            </w:r>
          </w:p>
        </w:tc>
        <w:tc>
          <w:tcPr>
            <w:tcW w:w="0" w:type="dxa"/>
            <w:vAlign w:val="bottom"/>
          </w:tcPr>
          <w:p>
            <w:pPr>
              <w:spacing w:after="0"/>
              <w:rPr>
                <w:sz w:val="1"/>
                <w:szCs w:val="1"/>
                <w:color w:val="auto"/>
              </w:rPr>
            </w:pPr>
          </w:p>
        </w:tc>
      </w:tr>
      <w:tr>
        <w:trPr>
          <w:trHeight w:val="230"/>
        </w:trPr>
        <w:tc>
          <w:tcPr>
            <w:tcW w:w="2600" w:type="dxa"/>
            <w:vAlign w:val="bottom"/>
            <w:tcBorders>
              <w:left w:val="single" w:sz="8" w:color="auto"/>
            </w:tcBorders>
            <w:shd w:val="clear" w:color="auto" w:fill="000000"/>
          </w:tcPr>
          <w:p>
            <w:pPr>
              <w:ind w:left="120"/>
              <w:spacing w:after="0"/>
              <w:rPr>
                <w:sz w:val="20"/>
                <w:szCs w:val="20"/>
                <w:color w:val="auto"/>
              </w:rPr>
            </w:pPr>
            <w:r>
              <w:rPr>
                <w:rFonts w:ascii="Arial" w:cs="Arial" w:eastAsia="Arial" w:hAnsi="Arial"/>
                <w:sz w:val="16"/>
                <w:szCs w:val="16"/>
                <w:b w:val="1"/>
                <w:bCs w:val="1"/>
                <w:color w:val="FFFFFF"/>
              </w:rPr>
              <w:t>Achievement]</w:t>
            </w:r>
          </w:p>
        </w:tc>
        <w:tc>
          <w:tcPr>
            <w:tcW w:w="4020" w:type="dxa"/>
            <w:vAlign w:val="bottom"/>
            <w:tcBorders>
              <w:right w:val="single" w:sz="8" w:color="404040"/>
            </w:tcBorders>
            <w:vMerge w:val="continue"/>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600" w:type="dxa"/>
            <w:vAlign w:val="bottom"/>
            <w:tcBorders>
              <w:left w:val="single" w:sz="8" w:color="404040"/>
            </w:tcBorders>
            <w:vMerge w:val="restart"/>
            <w:shd w:val="clear" w:color="auto" w:fill="C0C0C0"/>
          </w:tcPr>
          <w:p>
            <w:pPr>
              <w:ind w:left="120"/>
              <w:spacing w:after="0"/>
              <w:rPr>
                <w:sz w:val="20"/>
                <w:szCs w:val="20"/>
                <w:color w:val="auto"/>
              </w:rPr>
            </w:pPr>
            <w:r>
              <w:rPr>
                <w:rFonts w:ascii="Arial" w:cs="Arial" w:eastAsia="Arial" w:hAnsi="Arial"/>
                <w:sz w:val="16"/>
                <w:szCs w:val="16"/>
                <w:b w:val="1"/>
                <w:bCs w:val="1"/>
                <w:color w:val="auto"/>
              </w:rPr>
              <w:t>[Maximum]</w:t>
            </w:r>
          </w:p>
        </w:tc>
        <w:tc>
          <w:tcPr>
            <w:tcW w:w="4020" w:type="dxa"/>
            <w:vAlign w:val="bottom"/>
            <w:tcBorders>
              <w:right w:val="single" w:sz="8" w:color="404040"/>
            </w:tcBorders>
            <w:shd w:val="clear" w:color="auto" w:fill="C0C0C0"/>
          </w:tcPr>
          <w:p>
            <w:pPr>
              <w:ind w:left="900"/>
              <w:spacing w:after="0"/>
              <w:rPr>
                <w:sz w:val="20"/>
                <w:szCs w:val="20"/>
                <w:color w:val="auto"/>
              </w:rPr>
            </w:pPr>
            <w:r>
              <w:rPr>
                <w:rFonts w:ascii="Arial" w:cs="Arial" w:eastAsia="Arial" w:hAnsi="Arial"/>
                <w:sz w:val="16"/>
                <w:szCs w:val="16"/>
                <w:color w:val="auto"/>
              </w:rPr>
              <w:t>200% of Target Performance Shares</w:t>
            </w:r>
          </w:p>
        </w:tc>
        <w:tc>
          <w:tcPr>
            <w:tcW w:w="0" w:type="dxa"/>
            <w:vAlign w:val="bottom"/>
          </w:tcPr>
          <w:p>
            <w:pPr>
              <w:spacing w:after="0"/>
              <w:rPr>
                <w:sz w:val="1"/>
                <w:szCs w:val="1"/>
                <w:color w:val="auto"/>
              </w:rPr>
            </w:pPr>
          </w:p>
        </w:tc>
      </w:tr>
      <w:tr>
        <w:trPr>
          <w:trHeight w:val="154"/>
        </w:trPr>
        <w:tc>
          <w:tcPr>
            <w:tcW w:w="2600" w:type="dxa"/>
            <w:vAlign w:val="bottom"/>
            <w:tcBorders>
              <w:left w:val="single" w:sz="8" w:color="404040"/>
              <w:bottom w:val="single" w:sz="8" w:color="404040"/>
            </w:tcBorders>
            <w:vMerge w:val="continue"/>
            <w:shd w:val="clear" w:color="auto" w:fill="C0C0C0"/>
          </w:tcPr>
          <w:p>
            <w:pPr>
              <w:spacing w:after="0"/>
              <w:rPr>
                <w:sz w:val="13"/>
                <w:szCs w:val="13"/>
                <w:color w:val="auto"/>
              </w:rPr>
            </w:pPr>
          </w:p>
        </w:tc>
        <w:tc>
          <w:tcPr>
            <w:tcW w:w="4020" w:type="dxa"/>
            <w:vAlign w:val="bottom"/>
            <w:tcBorders>
              <w:bottom w:val="single" w:sz="8" w:color="404040"/>
              <w:right w:val="single" w:sz="8" w:color="404040"/>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600" w:type="dxa"/>
            <w:vAlign w:val="bottom"/>
            <w:tcBorders>
              <w:left w:val="single" w:sz="8" w:color="404040"/>
            </w:tcBorders>
            <w:vMerge w:val="restart"/>
          </w:tcPr>
          <w:p>
            <w:pPr>
              <w:ind w:left="120"/>
              <w:spacing w:after="0"/>
              <w:rPr>
                <w:sz w:val="20"/>
                <w:szCs w:val="20"/>
                <w:color w:val="auto"/>
              </w:rPr>
            </w:pPr>
            <w:r>
              <w:rPr>
                <w:rFonts w:ascii="Arial" w:cs="Arial" w:eastAsia="Arial" w:hAnsi="Arial"/>
                <w:sz w:val="16"/>
                <w:szCs w:val="16"/>
                <w:b w:val="1"/>
                <w:bCs w:val="1"/>
                <w:color w:val="auto"/>
              </w:rPr>
              <w:t>[Target]*</w:t>
            </w:r>
          </w:p>
        </w:tc>
        <w:tc>
          <w:tcPr>
            <w:tcW w:w="4020" w:type="dxa"/>
            <w:vAlign w:val="bottom"/>
            <w:tcBorders>
              <w:right w:val="single" w:sz="8" w:color="404040"/>
            </w:tcBorders>
          </w:tcPr>
          <w:p>
            <w:pPr>
              <w:ind w:left="900"/>
              <w:spacing w:after="0"/>
              <w:rPr>
                <w:sz w:val="20"/>
                <w:szCs w:val="20"/>
                <w:color w:val="auto"/>
              </w:rPr>
            </w:pPr>
            <w:r>
              <w:rPr>
                <w:rFonts w:ascii="Arial" w:cs="Arial" w:eastAsia="Arial" w:hAnsi="Arial"/>
                <w:sz w:val="16"/>
                <w:szCs w:val="16"/>
                <w:color w:val="auto"/>
              </w:rPr>
              <w:t>100% of Target Performance Shares*</w:t>
            </w:r>
          </w:p>
        </w:tc>
        <w:tc>
          <w:tcPr>
            <w:tcW w:w="0" w:type="dxa"/>
            <w:vAlign w:val="bottom"/>
          </w:tcPr>
          <w:p>
            <w:pPr>
              <w:spacing w:after="0"/>
              <w:rPr>
                <w:sz w:val="1"/>
                <w:szCs w:val="1"/>
                <w:color w:val="auto"/>
              </w:rPr>
            </w:pPr>
          </w:p>
        </w:tc>
      </w:tr>
      <w:tr>
        <w:trPr>
          <w:trHeight w:val="154"/>
        </w:trPr>
        <w:tc>
          <w:tcPr>
            <w:tcW w:w="2600" w:type="dxa"/>
            <w:vAlign w:val="bottom"/>
            <w:tcBorders>
              <w:left w:val="single" w:sz="8" w:color="404040"/>
              <w:bottom w:val="single" w:sz="8" w:color="404040"/>
            </w:tcBorders>
            <w:vMerge w:val="continue"/>
          </w:tcPr>
          <w:p>
            <w:pPr>
              <w:spacing w:after="0"/>
              <w:rPr>
                <w:sz w:val="13"/>
                <w:szCs w:val="13"/>
                <w:color w:val="auto"/>
              </w:rPr>
            </w:pPr>
          </w:p>
        </w:tc>
        <w:tc>
          <w:tcPr>
            <w:tcW w:w="4020" w:type="dxa"/>
            <w:vAlign w:val="bottom"/>
            <w:tcBorders>
              <w:bottom w:val="single" w:sz="8" w:color="404040"/>
              <w:right w:val="single" w:sz="8" w:color="404040"/>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600" w:type="dxa"/>
            <w:vAlign w:val="bottom"/>
            <w:tcBorders>
              <w:left w:val="single" w:sz="8" w:color="404040"/>
            </w:tcBorders>
            <w:vMerge w:val="restart"/>
            <w:shd w:val="clear" w:color="auto" w:fill="C0C0C0"/>
          </w:tcPr>
          <w:p>
            <w:pPr>
              <w:ind w:left="120"/>
              <w:spacing w:after="0"/>
              <w:rPr>
                <w:sz w:val="20"/>
                <w:szCs w:val="20"/>
                <w:color w:val="auto"/>
              </w:rPr>
            </w:pPr>
            <w:r>
              <w:rPr>
                <w:rFonts w:ascii="Arial" w:cs="Arial" w:eastAsia="Arial" w:hAnsi="Arial"/>
                <w:sz w:val="16"/>
                <w:szCs w:val="16"/>
                <w:b w:val="1"/>
                <w:bCs w:val="1"/>
                <w:color w:val="auto"/>
              </w:rPr>
              <w:t>[Threshold]</w:t>
            </w:r>
          </w:p>
        </w:tc>
        <w:tc>
          <w:tcPr>
            <w:tcW w:w="4020" w:type="dxa"/>
            <w:vAlign w:val="bottom"/>
            <w:tcBorders>
              <w:right w:val="single" w:sz="8" w:color="404040"/>
            </w:tcBorders>
            <w:shd w:val="clear" w:color="auto" w:fill="C0C0C0"/>
          </w:tcPr>
          <w:p>
            <w:pPr>
              <w:ind w:left="900"/>
              <w:spacing w:after="0"/>
              <w:rPr>
                <w:sz w:val="20"/>
                <w:szCs w:val="20"/>
                <w:color w:val="auto"/>
              </w:rPr>
            </w:pPr>
            <w:r>
              <w:rPr>
                <w:rFonts w:ascii="Arial" w:cs="Arial" w:eastAsia="Arial" w:hAnsi="Arial"/>
                <w:sz w:val="16"/>
                <w:szCs w:val="16"/>
                <w:color w:val="auto"/>
              </w:rPr>
              <w:t>50% of Target Performance Shares</w:t>
            </w:r>
          </w:p>
        </w:tc>
        <w:tc>
          <w:tcPr>
            <w:tcW w:w="0" w:type="dxa"/>
            <w:vAlign w:val="bottom"/>
          </w:tcPr>
          <w:p>
            <w:pPr>
              <w:spacing w:after="0"/>
              <w:rPr>
                <w:sz w:val="1"/>
                <w:szCs w:val="1"/>
                <w:color w:val="auto"/>
              </w:rPr>
            </w:pPr>
          </w:p>
        </w:tc>
      </w:tr>
      <w:tr>
        <w:trPr>
          <w:trHeight w:val="154"/>
        </w:trPr>
        <w:tc>
          <w:tcPr>
            <w:tcW w:w="2600" w:type="dxa"/>
            <w:vAlign w:val="bottom"/>
            <w:tcBorders>
              <w:left w:val="single" w:sz="8" w:color="404040"/>
              <w:bottom w:val="single" w:sz="8" w:color="404040"/>
            </w:tcBorders>
            <w:vMerge w:val="continue"/>
            <w:shd w:val="clear" w:color="auto" w:fill="C0C0C0"/>
          </w:tcPr>
          <w:p>
            <w:pPr>
              <w:spacing w:after="0"/>
              <w:rPr>
                <w:sz w:val="13"/>
                <w:szCs w:val="13"/>
                <w:color w:val="auto"/>
              </w:rPr>
            </w:pPr>
          </w:p>
        </w:tc>
        <w:tc>
          <w:tcPr>
            <w:tcW w:w="4020" w:type="dxa"/>
            <w:vAlign w:val="bottom"/>
            <w:tcBorders>
              <w:bottom w:val="single" w:sz="8" w:color="404040"/>
              <w:right w:val="single" w:sz="8" w:color="404040"/>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600" w:type="dxa"/>
            <w:vAlign w:val="bottom"/>
            <w:tcBorders>
              <w:left w:val="single" w:sz="8" w:color="404040"/>
            </w:tcBorders>
            <w:vMerge w:val="restart"/>
          </w:tcPr>
          <w:p>
            <w:pPr>
              <w:ind w:left="120"/>
              <w:spacing w:after="0"/>
              <w:rPr>
                <w:sz w:val="20"/>
                <w:szCs w:val="20"/>
                <w:color w:val="auto"/>
              </w:rPr>
            </w:pPr>
            <w:r>
              <w:rPr>
                <w:rFonts w:ascii="Arial" w:cs="Arial" w:eastAsia="Arial" w:hAnsi="Arial"/>
                <w:sz w:val="16"/>
                <w:szCs w:val="16"/>
                <w:b w:val="1"/>
                <w:bCs w:val="1"/>
                <w:color w:val="auto"/>
              </w:rPr>
              <w:t>[Below Threshold]</w:t>
            </w:r>
          </w:p>
        </w:tc>
        <w:tc>
          <w:tcPr>
            <w:tcW w:w="4020" w:type="dxa"/>
            <w:vAlign w:val="bottom"/>
            <w:tcBorders>
              <w:right w:val="single" w:sz="8" w:color="404040"/>
            </w:tcBorders>
          </w:tcPr>
          <w:p>
            <w:pPr>
              <w:ind w:left="900"/>
              <w:spacing w:after="0"/>
              <w:rPr>
                <w:sz w:val="20"/>
                <w:szCs w:val="20"/>
                <w:color w:val="auto"/>
              </w:rPr>
            </w:pPr>
            <w:r>
              <w:rPr>
                <w:rFonts w:ascii="Arial" w:cs="Arial" w:eastAsia="Arial" w:hAnsi="Arial"/>
                <w:sz w:val="16"/>
                <w:szCs w:val="16"/>
                <w:color w:val="auto"/>
              </w:rPr>
              <w:t>0% of Target Performance Shares</w:t>
            </w:r>
          </w:p>
        </w:tc>
        <w:tc>
          <w:tcPr>
            <w:tcW w:w="0" w:type="dxa"/>
            <w:vAlign w:val="bottom"/>
          </w:tcPr>
          <w:p>
            <w:pPr>
              <w:spacing w:after="0"/>
              <w:rPr>
                <w:sz w:val="1"/>
                <w:szCs w:val="1"/>
                <w:color w:val="auto"/>
              </w:rPr>
            </w:pPr>
          </w:p>
        </w:tc>
      </w:tr>
      <w:tr>
        <w:trPr>
          <w:trHeight w:val="141"/>
        </w:trPr>
        <w:tc>
          <w:tcPr>
            <w:tcW w:w="2600" w:type="dxa"/>
            <w:vAlign w:val="bottom"/>
            <w:tcBorders>
              <w:left w:val="single" w:sz="8" w:color="404040"/>
              <w:bottom w:val="single" w:sz="8" w:color="404040"/>
            </w:tcBorders>
            <w:vMerge w:val="continue"/>
          </w:tcPr>
          <w:p>
            <w:pPr>
              <w:spacing w:after="0"/>
              <w:rPr>
                <w:sz w:val="12"/>
                <w:szCs w:val="12"/>
                <w:color w:val="auto"/>
              </w:rPr>
            </w:pPr>
          </w:p>
        </w:tc>
        <w:tc>
          <w:tcPr>
            <w:tcW w:w="4020" w:type="dxa"/>
            <w:vAlign w:val="bottom"/>
            <w:tcBorders>
              <w:bottom w:val="single" w:sz="8" w:color="404040"/>
              <w:right w:val="single" w:sz="8" w:color="40404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300" w:right="1300"/>
        <w:spacing w:after="0"/>
        <w:rPr>
          <w:sz w:val="20"/>
          <w:szCs w:val="20"/>
          <w:color w:val="auto"/>
        </w:rPr>
      </w:pPr>
      <w:r>
        <w:rPr>
          <w:rFonts w:ascii="Arial" w:cs="Arial" w:eastAsia="Arial" w:hAnsi="Arial"/>
          <w:sz w:val="16"/>
          <w:szCs w:val="16"/>
          <w:color w:val="auto"/>
        </w:rPr>
        <w:t>Note: If actual performance falls between any of the levels above, then straight-line interpolation will be applied to determine the number of shares earned.</w:t>
      </w:r>
    </w:p>
    <w:p>
      <w:pPr>
        <w:spacing w:after="0" w:line="191" w:lineRule="exact"/>
        <w:rPr>
          <w:sz w:val="20"/>
          <w:szCs w:val="20"/>
          <w:color w:val="auto"/>
        </w:rPr>
      </w:pPr>
    </w:p>
    <w:p>
      <w:pPr>
        <w:jc w:val="both"/>
        <w:ind w:left="1300" w:right="1300" w:firstLine="4"/>
        <w:spacing w:after="0" w:line="239" w:lineRule="auto"/>
        <w:tabs>
          <w:tab w:leader="none" w:pos="1440" w:val="left"/>
        </w:tabs>
        <w:numPr>
          <w:ilvl w:val="1"/>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 the event that CME Group’s absolute TSR for the three-year performance period is negative, the maximum payout on these performance shares is at the target level (100%), regardless of the company's performance relative to the S&amp;P 500.</w:t>
      </w:r>
    </w:p>
    <w:p>
      <w:pPr>
        <w:spacing w:after="0" w:line="192" w:lineRule="exact"/>
        <w:rPr>
          <w:rFonts w:ascii="Arial" w:cs="Arial" w:eastAsia="Arial" w:hAnsi="Arial"/>
          <w:sz w:val="16"/>
          <w:szCs w:val="16"/>
          <w:b w:val="1"/>
          <w:bCs w:val="1"/>
          <w:i w:val="1"/>
          <w:iCs w:val="1"/>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Goal 2 – </w:t>
      </w:r>
      <w:r>
        <w:rPr>
          <w:rFonts w:ascii="Arial" w:cs="Arial" w:eastAsia="Arial" w:hAnsi="Arial"/>
          <w:sz w:val="16"/>
          <w:szCs w:val="16"/>
          <w:b w:val="1"/>
          <w:bCs w:val="1"/>
          <w:color w:val="auto"/>
        </w:rPr>
        <w:t>[ ]%</w:t>
      </w:r>
      <w:r>
        <w:rPr>
          <w:rFonts w:ascii="Arial" w:cs="Arial" w:eastAsia="Arial" w:hAnsi="Arial"/>
          <w:sz w:val="16"/>
          <w:szCs w:val="16"/>
          <w:color w:val="auto"/>
        </w:rPr>
        <w:t xml:space="preserve"> of Performance Shares at Target:</w:t>
      </w:r>
    </w:p>
    <w:p>
      <w:pPr>
        <w:spacing w:after="0" w:line="280" w:lineRule="exact"/>
        <w:rPr>
          <w:sz w:val="20"/>
          <w:szCs w:val="20"/>
          <w:color w:val="auto"/>
        </w:rPr>
      </w:pPr>
    </w:p>
    <w:tbl>
      <w:tblPr>
        <w:tblLayout w:type="fixed"/>
        <w:tblInd w:w="1370" w:type="dxa"/>
        <w:tblCellMar>
          <w:top w:w="0" w:type="dxa"/>
          <w:left w:w="0" w:type="dxa"/>
          <w:bottom w:w="0" w:type="dxa"/>
          <w:right w:w="0" w:type="dxa"/>
        </w:tblCellMar>
      </w:tblPr>
      <w:tr>
        <w:trPr>
          <w:trHeight w:val="240"/>
        </w:trPr>
        <w:tc>
          <w:tcPr>
            <w:tcW w:w="3140" w:type="dxa"/>
            <w:vAlign w:val="bottom"/>
            <w:tcBorders>
              <w:left w:val="single" w:sz="8" w:color="auto"/>
            </w:tcBorders>
            <w:shd w:val="clear" w:color="auto" w:fill="000000"/>
          </w:tcPr>
          <w:p>
            <w:pPr>
              <w:ind w:left="120"/>
              <w:spacing w:after="0"/>
              <w:rPr>
                <w:sz w:val="20"/>
                <w:szCs w:val="20"/>
                <w:color w:val="auto"/>
              </w:rPr>
            </w:pPr>
            <w:r>
              <w:rPr>
                <w:rFonts w:ascii="Arial" w:cs="Arial" w:eastAsia="Arial" w:hAnsi="Arial"/>
                <w:sz w:val="16"/>
                <w:szCs w:val="16"/>
                <w:b w:val="1"/>
                <w:bCs w:val="1"/>
                <w:color w:val="FFFFFF"/>
              </w:rPr>
              <w:t>[Goal 2 Performance Achievement]</w:t>
            </w:r>
          </w:p>
        </w:tc>
        <w:tc>
          <w:tcPr>
            <w:tcW w:w="3480" w:type="dxa"/>
            <w:vAlign w:val="bottom"/>
            <w:tcBorders>
              <w:right w:val="single" w:sz="8" w:color="404040"/>
            </w:tcBorders>
            <w:vMerge w:val="restart"/>
            <w:shd w:val="clear" w:color="auto" w:fill="000000"/>
          </w:tcPr>
          <w:p>
            <w:pPr>
              <w:ind w:left="340"/>
              <w:spacing w:after="0"/>
              <w:rPr>
                <w:sz w:val="20"/>
                <w:szCs w:val="20"/>
                <w:color w:val="auto"/>
              </w:rPr>
            </w:pPr>
            <w:r>
              <w:rPr>
                <w:rFonts w:ascii="Arial" w:cs="Arial" w:eastAsia="Arial" w:hAnsi="Arial"/>
                <w:sz w:val="16"/>
                <w:szCs w:val="16"/>
                <w:b w:val="1"/>
                <w:bCs w:val="1"/>
                <w:color w:val="FFFFFF"/>
              </w:rPr>
              <w:t>Performance Shares Earned</w:t>
            </w:r>
          </w:p>
        </w:tc>
        <w:tc>
          <w:tcPr>
            <w:tcW w:w="0" w:type="dxa"/>
            <w:vAlign w:val="bottom"/>
          </w:tcPr>
          <w:p>
            <w:pPr>
              <w:spacing w:after="0"/>
              <w:rPr>
                <w:sz w:val="1"/>
                <w:szCs w:val="1"/>
                <w:color w:val="auto"/>
              </w:rPr>
            </w:pPr>
          </w:p>
        </w:tc>
      </w:tr>
      <w:tr>
        <w:trPr>
          <w:trHeight w:val="111"/>
        </w:trPr>
        <w:tc>
          <w:tcPr>
            <w:tcW w:w="3140" w:type="dxa"/>
            <w:vAlign w:val="bottom"/>
            <w:tcBorders>
              <w:left w:val="single" w:sz="8" w:color="auto"/>
            </w:tcBorders>
            <w:shd w:val="clear" w:color="auto" w:fill="000000"/>
          </w:tcPr>
          <w:p>
            <w:pPr>
              <w:spacing w:after="0"/>
              <w:rPr>
                <w:sz w:val="9"/>
                <w:szCs w:val="9"/>
                <w:color w:val="auto"/>
              </w:rPr>
            </w:pPr>
          </w:p>
        </w:tc>
        <w:tc>
          <w:tcPr>
            <w:tcW w:w="3480" w:type="dxa"/>
            <w:vAlign w:val="bottom"/>
            <w:tcBorders>
              <w:right w:val="single" w:sz="8" w:color="404040"/>
            </w:tcBorders>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40" w:type="dxa"/>
            <w:vAlign w:val="bottom"/>
            <w:tcBorders>
              <w:left w:val="single" w:sz="8" w:color="404040"/>
            </w:tcBorders>
            <w:vMerge w:val="restart"/>
            <w:shd w:val="clear" w:color="auto" w:fill="C0C0C0"/>
          </w:tcPr>
          <w:p>
            <w:pPr>
              <w:ind w:left="120"/>
              <w:spacing w:after="0"/>
              <w:rPr>
                <w:sz w:val="20"/>
                <w:szCs w:val="20"/>
                <w:color w:val="auto"/>
              </w:rPr>
            </w:pPr>
            <w:r>
              <w:rPr>
                <w:rFonts w:ascii="Arial" w:cs="Arial" w:eastAsia="Arial" w:hAnsi="Arial"/>
                <w:sz w:val="16"/>
                <w:szCs w:val="16"/>
                <w:b w:val="1"/>
                <w:bCs w:val="1"/>
                <w:color w:val="auto"/>
              </w:rPr>
              <w:t>[Maximum]</w:t>
            </w:r>
          </w:p>
        </w:tc>
        <w:tc>
          <w:tcPr>
            <w:tcW w:w="3480" w:type="dxa"/>
            <w:vAlign w:val="bottom"/>
            <w:tcBorders>
              <w:right w:val="single" w:sz="8" w:color="404040"/>
            </w:tcBorders>
            <w:shd w:val="clear" w:color="auto" w:fill="C0C0C0"/>
          </w:tcPr>
          <w:p>
            <w:pPr>
              <w:ind w:left="340"/>
              <w:spacing w:after="0"/>
              <w:rPr>
                <w:sz w:val="20"/>
                <w:szCs w:val="20"/>
                <w:color w:val="auto"/>
              </w:rPr>
            </w:pPr>
            <w:r>
              <w:rPr>
                <w:rFonts w:ascii="Arial" w:cs="Arial" w:eastAsia="Arial" w:hAnsi="Arial"/>
                <w:sz w:val="16"/>
                <w:szCs w:val="16"/>
                <w:color w:val="auto"/>
              </w:rPr>
              <w:t>200% of Target Performance Shares</w:t>
            </w:r>
          </w:p>
        </w:tc>
        <w:tc>
          <w:tcPr>
            <w:tcW w:w="0" w:type="dxa"/>
            <w:vAlign w:val="bottom"/>
          </w:tcPr>
          <w:p>
            <w:pPr>
              <w:spacing w:after="0"/>
              <w:rPr>
                <w:sz w:val="1"/>
                <w:szCs w:val="1"/>
                <w:color w:val="auto"/>
              </w:rPr>
            </w:pPr>
          </w:p>
        </w:tc>
      </w:tr>
      <w:tr>
        <w:trPr>
          <w:trHeight w:val="155"/>
        </w:trPr>
        <w:tc>
          <w:tcPr>
            <w:tcW w:w="3140" w:type="dxa"/>
            <w:vAlign w:val="bottom"/>
            <w:tcBorders>
              <w:left w:val="single" w:sz="8" w:color="404040"/>
              <w:bottom w:val="single" w:sz="8" w:color="404040"/>
            </w:tcBorders>
            <w:vMerge w:val="continue"/>
            <w:shd w:val="clear" w:color="auto" w:fill="C0C0C0"/>
          </w:tcPr>
          <w:p>
            <w:pPr>
              <w:spacing w:after="0"/>
              <w:rPr>
                <w:sz w:val="13"/>
                <w:szCs w:val="13"/>
                <w:color w:val="auto"/>
              </w:rPr>
            </w:pPr>
          </w:p>
        </w:tc>
        <w:tc>
          <w:tcPr>
            <w:tcW w:w="3480" w:type="dxa"/>
            <w:vAlign w:val="bottom"/>
            <w:tcBorders>
              <w:bottom w:val="single" w:sz="8" w:color="404040"/>
              <w:right w:val="single" w:sz="8" w:color="404040"/>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3140" w:type="dxa"/>
            <w:vAlign w:val="bottom"/>
            <w:tcBorders>
              <w:left w:val="single" w:sz="8" w:color="404040"/>
            </w:tcBorders>
            <w:vMerge w:val="restart"/>
          </w:tcPr>
          <w:p>
            <w:pPr>
              <w:ind w:left="120"/>
              <w:spacing w:after="0"/>
              <w:rPr>
                <w:sz w:val="20"/>
                <w:szCs w:val="20"/>
                <w:color w:val="auto"/>
              </w:rPr>
            </w:pPr>
            <w:r>
              <w:rPr>
                <w:rFonts w:ascii="Arial" w:cs="Arial" w:eastAsia="Arial" w:hAnsi="Arial"/>
                <w:sz w:val="16"/>
                <w:szCs w:val="16"/>
                <w:b w:val="1"/>
                <w:bCs w:val="1"/>
                <w:color w:val="auto"/>
              </w:rPr>
              <w:t>[Target]</w:t>
            </w:r>
          </w:p>
        </w:tc>
        <w:tc>
          <w:tcPr>
            <w:tcW w:w="3480" w:type="dxa"/>
            <w:vAlign w:val="bottom"/>
            <w:tcBorders>
              <w:right w:val="single" w:sz="8" w:color="404040"/>
            </w:tcBorders>
          </w:tcPr>
          <w:p>
            <w:pPr>
              <w:ind w:left="340"/>
              <w:spacing w:after="0"/>
              <w:rPr>
                <w:sz w:val="20"/>
                <w:szCs w:val="20"/>
                <w:color w:val="auto"/>
              </w:rPr>
            </w:pPr>
            <w:r>
              <w:rPr>
                <w:rFonts w:ascii="Arial" w:cs="Arial" w:eastAsia="Arial" w:hAnsi="Arial"/>
                <w:sz w:val="16"/>
                <w:szCs w:val="16"/>
                <w:color w:val="auto"/>
              </w:rPr>
              <w:t>100% of Target Performance Shares</w:t>
            </w:r>
          </w:p>
        </w:tc>
        <w:tc>
          <w:tcPr>
            <w:tcW w:w="0" w:type="dxa"/>
            <w:vAlign w:val="bottom"/>
          </w:tcPr>
          <w:p>
            <w:pPr>
              <w:spacing w:after="0"/>
              <w:rPr>
                <w:sz w:val="1"/>
                <w:szCs w:val="1"/>
                <w:color w:val="auto"/>
              </w:rPr>
            </w:pPr>
          </w:p>
        </w:tc>
      </w:tr>
      <w:tr>
        <w:trPr>
          <w:trHeight w:val="155"/>
        </w:trPr>
        <w:tc>
          <w:tcPr>
            <w:tcW w:w="3140" w:type="dxa"/>
            <w:vAlign w:val="bottom"/>
            <w:tcBorders>
              <w:left w:val="single" w:sz="8" w:color="404040"/>
              <w:bottom w:val="single" w:sz="8" w:color="404040"/>
            </w:tcBorders>
            <w:vMerge w:val="continue"/>
          </w:tcPr>
          <w:p>
            <w:pPr>
              <w:spacing w:after="0"/>
              <w:rPr>
                <w:sz w:val="13"/>
                <w:szCs w:val="13"/>
                <w:color w:val="auto"/>
              </w:rPr>
            </w:pPr>
          </w:p>
        </w:tc>
        <w:tc>
          <w:tcPr>
            <w:tcW w:w="3480" w:type="dxa"/>
            <w:vAlign w:val="bottom"/>
            <w:tcBorders>
              <w:bottom w:val="single" w:sz="8" w:color="404040"/>
              <w:right w:val="single" w:sz="8" w:color="404040"/>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3140" w:type="dxa"/>
            <w:vAlign w:val="bottom"/>
            <w:tcBorders>
              <w:left w:val="single" w:sz="8" w:color="404040"/>
            </w:tcBorders>
            <w:vMerge w:val="restart"/>
            <w:shd w:val="clear" w:color="auto" w:fill="C0C0C0"/>
          </w:tcPr>
          <w:p>
            <w:pPr>
              <w:ind w:left="120"/>
              <w:spacing w:after="0"/>
              <w:rPr>
                <w:sz w:val="20"/>
                <w:szCs w:val="20"/>
                <w:color w:val="auto"/>
              </w:rPr>
            </w:pPr>
            <w:r>
              <w:rPr>
                <w:rFonts w:ascii="Arial" w:cs="Arial" w:eastAsia="Arial" w:hAnsi="Arial"/>
                <w:sz w:val="16"/>
                <w:szCs w:val="16"/>
                <w:b w:val="1"/>
                <w:bCs w:val="1"/>
                <w:color w:val="auto"/>
              </w:rPr>
              <w:t>[Threshold]</w:t>
            </w:r>
          </w:p>
        </w:tc>
        <w:tc>
          <w:tcPr>
            <w:tcW w:w="3480" w:type="dxa"/>
            <w:vAlign w:val="bottom"/>
            <w:tcBorders>
              <w:right w:val="single" w:sz="8" w:color="404040"/>
            </w:tcBorders>
            <w:shd w:val="clear" w:color="auto" w:fill="C0C0C0"/>
          </w:tcPr>
          <w:p>
            <w:pPr>
              <w:ind w:left="340"/>
              <w:spacing w:after="0"/>
              <w:rPr>
                <w:sz w:val="20"/>
                <w:szCs w:val="20"/>
                <w:color w:val="auto"/>
              </w:rPr>
            </w:pPr>
            <w:r>
              <w:rPr>
                <w:rFonts w:ascii="Arial" w:cs="Arial" w:eastAsia="Arial" w:hAnsi="Arial"/>
                <w:sz w:val="16"/>
                <w:szCs w:val="16"/>
                <w:color w:val="auto"/>
              </w:rPr>
              <w:t>50% of Target Performance Shares</w:t>
            </w:r>
          </w:p>
        </w:tc>
        <w:tc>
          <w:tcPr>
            <w:tcW w:w="0" w:type="dxa"/>
            <w:vAlign w:val="bottom"/>
          </w:tcPr>
          <w:p>
            <w:pPr>
              <w:spacing w:after="0"/>
              <w:rPr>
                <w:sz w:val="1"/>
                <w:szCs w:val="1"/>
                <w:color w:val="auto"/>
              </w:rPr>
            </w:pPr>
          </w:p>
        </w:tc>
      </w:tr>
      <w:tr>
        <w:trPr>
          <w:trHeight w:val="155"/>
        </w:trPr>
        <w:tc>
          <w:tcPr>
            <w:tcW w:w="3140" w:type="dxa"/>
            <w:vAlign w:val="bottom"/>
            <w:tcBorders>
              <w:left w:val="single" w:sz="8" w:color="404040"/>
              <w:bottom w:val="single" w:sz="8" w:color="404040"/>
            </w:tcBorders>
            <w:vMerge w:val="continue"/>
            <w:shd w:val="clear" w:color="auto" w:fill="C0C0C0"/>
          </w:tcPr>
          <w:p>
            <w:pPr>
              <w:spacing w:after="0"/>
              <w:rPr>
                <w:sz w:val="13"/>
                <w:szCs w:val="13"/>
                <w:color w:val="auto"/>
              </w:rPr>
            </w:pPr>
          </w:p>
        </w:tc>
        <w:tc>
          <w:tcPr>
            <w:tcW w:w="3480" w:type="dxa"/>
            <w:vAlign w:val="bottom"/>
            <w:tcBorders>
              <w:bottom w:val="single" w:sz="8" w:color="404040"/>
              <w:right w:val="single" w:sz="8" w:color="404040"/>
            </w:tcBorders>
            <w:shd w:val="clear" w:color="auto" w:fill="C0C0C0"/>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3140" w:type="dxa"/>
            <w:vAlign w:val="bottom"/>
            <w:tcBorders>
              <w:left w:val="single" w:sz="8" w:color="404040"/>
            </w:tcBorders>
            <w:vMerge w:val="restart"/>
          </w:tcPr>
          <w:p>
            <w:pPr>
              <w:ind w:left="120"/>
              <w:spacing w:after="0"/>
              <w:rPr>
                <w:sz w:val="20"/>
                <w:szCs w:val="20"/>
                <w:color w:val="auto"/>
              </w:rPr>
            </w:pPr>
            <w:r>
              <w:rPr>
                <w:rFonts w:ascii="Arial" w:cs="Arial" w:eastAsia="Arial" w:hAnsi="Arial"/>
                <w:sz w:val="16"/>
                <w:szCs w:val="16"/>
                <w:b w:val="1"/>
                <w:bCs w:val="1"/>
                <w:color w:val="auto"/>
              </w:rPr>
              <w:t>[Below Threshold]</w:t>
            </w:r>
          </w:p>
        </w:tc>
        <w:tc>
          <w:tcPr>
            <w:tcW w:w="3480" w:type="dxa"/>
            <w:vAlign w:val="bottom"/>
            <w:tcBorders>
              <w:right w:val="single" w:sz="8" w:color="404040"/>
            </w:tcBorders>
          </w:tcPr>
          <w:p>
            <w:pPr>
              <w:ind w:left="340"/>
              <w:spacing w:after="0"/>
              <w:rPr>
                <w:sz w:val="20"/>
                <w:szCs w:val="20"/>
                <w:color w:val="auto"/>
              </w:rPr>
            </w:pPr>
            <w:r>
              <w:rPr>
                <w:rFonts w:ascii="Arial" w:cs="Arial" w:eastAsia="Arial" w:hAnsi="Arial"/>
                <w:sz w:val="16"/>
                <w:szCs w:val="16"/>
                <w:color w:val="auto"/>
              </w:rPr>
              <w:t>0% of Target Performance Shares</w:t>
            </w:r>
          </w:p>
        </w:tc>
        <w:tc>
          <w:tcPr>
            <w:tcW w:w="0" w:type="dxa"/>
            <w:vAlign w:val="bottom"/>
          </w:tcPr>
          <w:p>
            <w:pPr>
              <w:spacing w:after="0"/>
              <w:rPr>
                <w:sz w:val="1"/>
                <w:szCs w:val="1"/>
                <w:color w:val="auto"/>
              </w:rPr>
            </w:pPr>
          </w:p>
        </w:tc>
      </w:tr>
      <w:tr>
        <w:trPr>
          <w:trHeight w:val="141"/>
        </w:trPr>
        <w:tc>
          <w:tcPr>
            <w:tcW w:w="3140" w:type="dxa"/>
            <w:vAlign w:val="bottom"/>
            <w:tcBorders>
              <w:left w:val="single" w:sz="8" w:color="404040"/>
              <w:bottom w:val="single" w:sz="8" w:color="404040"/>
            </w:tcBorders>
            <w:vMerge w:val="continue"/>
          </w:tcPr>
          <w:p>
            <w:pPr>
              <w:spacing w:after="0"/>
              <w:rPr>
                <w:sz w:val="12"/>
                <w:szCs w:val="12"/>
                <w:color w:val="auto"/>
              </w:rPr>
            </w:pPr>
          </w:p>
        </w:tc>
        <w:tc>
          <w:tcPr>
            <w:tcW w:w="3480" w:type="dxa"/>
            <w:vAlign w:val="bottom"/>
            <w:tcBorders>
              <w:bottom w:val="single" w:sz="8" w:color="404040"/>
              <w:right w:val="single" w:sz="8" w:color="40404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300" w:right="1300"/>
        <w:spacing w:after="0"/>
        <w:rPr>
          <w:sz w:val="20"/>
          <w:szCs w:val="20"/>
          <w:color w:val="auto"/>
        </w:rPr>
      </w:pPr>
      <w:r>
        <w:rPr>
          <w:rFonts w:ascii="Arial" w:cs="Arial" w:eastAsia="Arial" w:hAnsi="Arial"/>
          <w:sz w:val="16"/>
          <w:szCs w:val="16"/>
          <w:color w:val="auto"/>
        </w:rPr>
        <w:t>Note: If actual performance falls between any of the levels above, then straight-line interpolation will be applied to determine the number of shares earned.</w:t>
      </w:r>
    </w:p>
    <w:p>
      <w:pPr>
        <w:spacing w:after="0" w:line="205" w:lineRule="exact"/>
        <w:rPr>
          <w:sz w:val="20"/>
          <w:szCs w:val="20"/>
          <w:color w:val="auto"/>
        </w:rPr>
      </w:pPr>
    </w:p>
    <w:p>
      <w:pPr>
        <w:jc w:val="both"/>
        <w:ind w:left="340" w:hanging="333"/>
        <w:spacing w:after="0" w:line="225" w:lineRule="auto"/>
        <w:tabs>
          <w:tab w:leader="none" w:pos="339"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Eligibility to Receive Grant and Condition of Receipt of Performance Shares. </w:t>
      </w:r>
      <w:r>
        <w:rPr>
          <w:rFonts w:ascii="Arial" w:cs="Arial" w:eastAsia="Arial" w:hAnsi="Arial"/>
          <w:sz w:val="16"/>
          <w:szCs w:val="16"/>
          <w:color w:val="auto"/>
        </w:rPr>
        <w:t>Notwithstanding any other eligibility requirements specified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grant or in the Plan, in order to be eligible to receive this award and as a condition of receipt of payment of any earned Performance Shares under this award, you must have entered into an agreement with the Company containing certain post- termination of employment restrictions. The post-termination employment restrictions applicable to you are set forth in the Confidentiality, Non-Competition and Non-Solicitation Agreement previously signed by you, which is incorporated herein by reference.</w:t>
      </w: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jc w:val="both"/>
        <w:ind w:left="340" w:right="20" w:hanging="332"/>
        <w:spacing w:after="0" w:line="234"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Eligibility to Receive Performance Shares. </w:t>
      </w:r>
      <w:r>
        <w:rPr>
          <w:rFonts w:ascii="Arial" w:cs="Arial" w:eastAsia="Arial" w:hAnsi="Arial"/>
          <w:sz w:val="16"/>
          <w:szCs w:val="16"/>
          <w:color w:val="auto"/>
        </w:rPr>
        <w:t>Notwithstanding any other eligibility requirements specified in this grant or in the Plan, in order for</w:t>
      </w:r>
      <w:r>
        <w:rPr>
          <w:rFonts w:ascii="Arial" w:cs="Arial" w:eastAsia="Arial" w:hAnsi="Arial"/>
          <w:sz w:val="16"/>
          <w:szCs w:val="16"/>
          <w:b w:val="1"/>
          <w:bCs w:val="1"/>
          <w:color w:val="auto"/>
        </w:rPr>
        <w:t xml:space="preserve"> </w:t>
      </w:r>
      <w:r>
        <w:rPr>
          <w:rFonts w:ascii="Arial" w:cs="Arial" w:eastAsia="Arial" w:hAnsi="Arial"/>
          <w:sz w:val="16"/>
          <w:szCs w:val="16"/>
          <w:color w:val="auto"/>
        </w:rPr>
        <w:t>you to be eligible to receive payment of any earned Performance Shares after the end of the Performance Period, you must remain employed through the payout date.</w:t>
      </w:r>
    </w:p>
    <w:p>
      <w:pPr>
        <w:sectPr>
          <w:pgSz w:w="11900" w:h="16838" w:orient="portrait"/>
          <w:cols w:equalWidth="0" w:num="1">
            <w:col w:w="10780"/>
          </w:cols>
          <w:pgMar w:left="680" w:top="1026" w:right="439" w:bottom="1440" w:gutter="0" w:footer="0" w:header="0"/>
        </w:sectPr>
      </w:pPr>
    </w:p>
    <w:bookmarkStart w:id="36" w:name="page37"/>
    <w:bookmarkEnd w:id="36"/>
    <w:p>
      <w:pPr>
        <w:jc w:val="both"/>
        <w:ind w:left="700" w:hanging="332"/>
        <w:spacing w:after="0" w:line="225"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your employment is terminated by reason of Death or Disability (as defined in the Plan), your eligibility for payment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Performance Shares is governed by the terms of the Plan. If your employment is terminated by reason of your Retirement (as defined below), 25% of your unvested Performance Shares will continue vesting and you will be eligible for payment based on actual performance against the Performance Goals after the Performance Period has ended. To be eligible for this continued vesting upon Retirement, each of the following conditions must be met:</w:t>
      </w:r>
    </w:p>
    <w:p>
      <w:pPr>
        <w:spacing w:after="0" w:line="63" w:lineRule="exact"/>
        <w:rPr>
          <w:rFonts w:ascii="Arial" w:cs="Arial" w:eastAsia="Arial" w:hAnsi="Arial"/>
          <w:sz w:val="16"/>
          <w:szCs w:val="16"/>
          <w:color w:val="auto"/>
        </w:rPr>
      </w:pPr>
    </w:p>
    <w:p>
      <w:pPr>
        <w:ind w:left="1320" w:hanging="304"/>
        <w:spacing w:after="0"/>
        <w:tabs>
          <w:tab w:leader="none" w:pos="13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You are at least 55 years old with 10 years of service</w:t>
      </w:r>
      <w:r>
        <w:rPr>
          <w:rFonts w:ascii="Arial" w:cs="Arial" w:eastAsia="Arial" w:hAnsi="Arial"/>
          <w:sz w:val="10"/>
          <w:szCs w:val="10"/>
          <w:color w:val="auto"/>
        </w:rPr>
        <w:t>1</w:t>
      </w:r>
      <w:r>
        <w:rPr>
          <w:rFonts w:ascii="Arial" w:cs="Arial" w:eastAsia="Arial" w:hAnsi="Arial"/>
          <w:sz w:val="16"/>
          <w:szCs w:val="16"/>
          <w:color w:val="auto"/>
        </w:rPr>
        <w:t xml:space="preserve"> at a CME Group company on your Retirement date;</w:t>
      </w:r>
    </w:p>
    <w:p>
      <w:pPr>
        <w:spacing w:after="0" w:line="86" w:lineRule="exact"/>
        <w:rPr>
          <w:rFonts w:ascii="Arial" w:cs="Arial" w:eastAsia="Arial" w:hAnsi="Arial"/>
          <w:sz w:val="16"/>
          <w:szCs w:val="16"/>
          <w:color w:val="auto"/>
        </w:rPr>
      </w:pPr>
    </w:p>
    <w:p>
      <w:pPr>
        <w:ind w:left="1320" w:hanging="304"/>
        <w:spacing w:after="0"/>
        <w:tabs>
          <w:tab w:leader="none" w:pos="13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You provide at least 6 months’ advanced written notice of your desire to retire to the Chairman and Chief Executive Officer;</w:t>
      </w:r>
    </w:p>
    <w:p>
      <w:pPr>
        <w:spacing w:after="0" w:line="72" w:lineRule="exact"/>
        <w:rPr>
          <w:rFonts w:ascii="Arial" w:cs="Arial" w:eastAsia="Arial" w:hAnsi="Arial"/>
          <w:sz w:val="16"/>
          <w:szCs w:val="16"/>
          <w:color w:val="auto"/>
        </w:rPr>
      </w:pPr>
    </w:p>
    <w:p>
      <w:pPr>
        <w:ind w:left="1320" w:hanging="304"/>
        <w:spacing w:after="0"/>
        <w:tabs>
          <w:tab w:leader="none" w:pos="13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Your Retirement date and transition plan must be approved by the Chairman and Chief Executive Officer; and</w:t>
      </w:r>
    </w:p>
    <w:p>
      <w:pPr>
        <w:spacing w:after="0" w:line="86" w:lineRule="exact"/>
        <w:rPr>
          <w:rFonts w:ascii="Arial" w:cs="Arial" w:eastAsia="Arial" w:hAnsi="Arial"/>
          <w:sz w:val="16"/>
          <w:szCs w:val="16"/>
          <w:color w:val="auto"/>
        </w:rPr>
      </w:pPr>
    </w:p>
    <w:p>
      <w:pPr>
        <w:ind w:left="1340" w:right="740" w:hanging="324"/>
        <w:spacing w:after="0"/>
        <w:tabs>
          <w:tab w:leader="none" w:pos="1329" w:val="left"/>
        </w:tabs>
        <w:numPr>
          <w:ilvl w:val="1"/>
          <w:numId w:val="22"/>
        </w:numPr>
        <w:rPr>
          <w:rFonts w:ascii="Arial" w:cs="Arial" w:eastAsia="Arial" w:hAnsi="Arial"/>
          <w:sz w:val="16"/>
          <w:szCs w:val="16"/>
          <w:color w:val="auto"/>
        </w:rPr>
      </w:pPr>
      <w:r>
        <w:rPr>
          <w:rFonts w:ascii="Arial" w:cs="Arial" w:eastAsia="Arial" w:hAnsi="Arial"/>
          <w:sz w:val="16"/>
          <w:szCs w:val="16"/>
          <w:color w:val="auto"/>
        </w:rPr>
        <w:t>You remain employed through your approved Retirement date and successfully transition responsibilities, as determined by the Chairman and Chief Executive Officer upon your Retirement date.</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your employment is terminated for any other reason, any Performance Shares that are not vested and paid out will be forfeited.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00" w:right="20" w:hanging="332"/>
        <w:spacing w:after="0" w:line="251"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IRS Code Section 409A</w:t>
      </w:r>
      <w:r>
        <w:rPr>
          <w:rFonts w:ascii="Arial" w:cs="Arial" w:eastAsia="Arial" w:hAnsi="Arial"/>
          <w:sz w:val="16"/>
          <w:szCs w:val="16"/>
          <w:color w:val="auto"/>
        </w:rPr>
        <w:t>. This grant is intended to be exempt from or to comply with IRS Code Section 409A and will be interpreted 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such intention.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w:t>
      </w:r>
    </w:p>
    <w:p>
      <w:pPr>
        <w:spacing w:after="0" w:line="52" w:lineRule="exact"/>
        <w:rPr>
          <w:sz w:val="20"/>
          <w:szCs w:val="20"/>
          <w:color w:val="auto"/>
        </w:rPr>
      </w:pPr>
    </w:p>
    <w:p>
      <w:pPr>
        <w:ind w:left="460" w:hanging="92"/>
        <w:spacing w:after="0"/>
        <w:tabs>
          <w:tab w:leader="none" w:pos="46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i w:val="1"/>
          <w:iCs w:val="1"/>
          <w:color w:val="auto"/>
        </w:rPr>
        <w:t>“Year of Service” means each twelve (12) consecutive-month period, which is measured from an employee’s most recent date of hire</w:t>
      </w:r>
    </w:p>
    <w:p>
      <w:pPr>
        <w:sectPr>
          <w:pgSz w:w="11900" w:h="16838" w:orient="portrait"/>
          <w:cols w:equalWidth="0" w:num="1">
            <w:col w:w="11140"/>
          </w:cols>
          <w:pgMar w:left="320" w:top="1107"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188"/>
        <w:spacing w:after="0" w:line="263"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right="100" w:firstLine="188"/>
        <w:spacing w:after="0" w:line="277" w:lineRule="auto"/>
        <w:tabs>
          <w:tab w:leader="none" w:pos="3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40" w:firstLine="188"/>
        <w:spacing w:after="0" w:line="277" w:lineRule="auto"/>
        <w:tabs>
          <w:tab w:leader="none" w:pos="3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November 1, 2023</w:t>
            </w: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Terrence A. Duffy</w:t>
            </w:r>
          </w:p>
        </w:tc>
      </w:tr>
      <w:tr>
        <w:trPr>
          <w:trHeight w:val="222"/>
        </w:trPr>
        <w:tc>
          <w:tcPr>
            <w:tcW w:w="56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Name: Terrence A. Duffy</w:t>
            </w:r>
          </w:p>
        </w:tc>
      </w:tr>
      <w:tr>
        <w:trPr>
          <w:trHeight w:val="230"/>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240"/>
          </w:cols>
          <w:pgMar w:left="320" w:top="98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90" w:lineRule="exact"/>
        <w:rPr>
          <w:rFonts w:ascii="Arial" w:cs="Arial" w:eastAsia="Arial" w:hAnsi="Arial"/>
          <w:sz w:val="18"/>
          <w:szCs w:val="18"/>
          <w:color w:val="auto"/>
        </w:rPr>
      </w:pPr>
    </w:p>
    <w:p>
      <w:pPr>
        <w:ind w:right="260" w:firstLine="188"/>
        <w:spacing w:after="0" w:line="342"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right="360" w:firstLine="188"/>
        <w:spacing w:after="0" w:line="277"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right="80" w:firstLine="188"/>
        <w:spacing w:after="0" w:line="263"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right="140" w:firstLine="188"/>
        <w:spacing w:after="0" w:line="263" w:lineRule="auto"/>
        <w:tabs>
          <w:tab w:leader="none" w:pos="3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right="120" w:firstLine="188"/>
        <w:spacing w:after="0" w:line="263"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right="180" w:firstLine="188"/>
        <w:spacing w:after="0" w:line="308" w:lineRule="auto"/>
        <w:tabs>
          <w:tab w:leader="none" w:pos="3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right="200" w:firstLine="188"/>
        <w:spacing w:after="0" w:line="263"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00" w:firstLine="188"/>
        <w:spacing w:after="0" w:line="308" w:lineRule="auto"/>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sz w:val="20"/>
          <w:szCs w:val="20"/>
          <w:color w:val="auto"/>
        </w:rPr>
      </w:pPr>
    </w:p>
    <w:p>
      <w:pPr>
        <w:ind w:right="100" w:firstLine="188"/>
        <w:spacing w:after="0" w:line="277" w:lineRule="auto"/>
        <w:tabs>
          <w:tab w:leader="none" w:pos="3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right="140" w:firstLine="188"/>
        <w:spacing w:after="0" w:line="277"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Dated: November 1, 2023</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Lynne Fitzpatrick</w:t>
            </w:r>
          </w:p>
        </w:tc>
      </w:tr>
      <w:tr>
        <w:trPr>
          <w:trHeight w:val="222"/>
        </w:trPr>
        <w:tc>
          <w:tcPr>
            <w:tcW w:w="57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Name: Lynne Fitzpatrick</w:t>
            </w:r>
          </w:p>
        </w:tc>
      </w:tr>
      <w:tr>
        <w:trPr>
          <w:trHeight w:val="230"/>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240"/>
          </w:cols>
          <w:pgMar w:left="320" w:top="98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20" w:firstLine="180"/>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September 30, 2023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65" w:lineRule="exact"/>
        <w:rPr>
          <w:sz w:val="20"/>
          <w:szCs w:val="20"/>
          <w:color w:val="auto"/>
        </w:rPr>
      </w:pPr>
    </w:p>
    <w:p>
      <w:pPr>
        <w:ind w:left="1100" w:hanging="264"/>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480" w:firstLine="176"/>
        <w:spacing w:after="0" w:line="277" w:lineRule="auto"/>
        <w:tabs>
          <w:tab w:leader="none" w:pos="10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Name: Terrence A. Duffy</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Title: 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2023</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Lynne Fitzpatrick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2023</w:t>
      </w:r>
    </w:p>
    <w:p>
      <w:pPr>
        <w:spacing w:after="0" w:line="90" w:lineRule="exact"/>
        <w:rPr>
          <w:sz w:val="20"/>
          <w:szCs w:val="20"/>
          <w:color w:val="auto"/>
        </w:rPr>
      </w:pPr>
    </w:p>
    <w:p>
      <w:pPr>
        <w:ind w:right="600" w:firstLine="180"/>
        <w:spacing w:after="0" w:line="34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2" w:lineRule="exact"/>
        <w:rPr>
          <w:sz w:val="20"/>
          <w:szCs w:val="20"/>
          <w:color w:val="auto"/>
        </w:rPr>
      </w:pPr>
    </w:p>
    <w:p>
      <w:pPr>
        <w:ind w:right="120" w:firstLine="180"/>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0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lowerLetter"/>
      <w:start w:val="13"/>
    </w:lvl>
  </w:abstractNum>
  <w:abstractNum w:abstractNumId="18">
    <w:nsid w:val="B03E0C6"/>
    <w:multiLevelType w:val="hybridMultilevel"/>
    <w:lvl w:ilvl="0">
      <w:lvlJc w:val="left"/>
      <w:lvlText w:val="%1."/>
      <w:numFmt w:val="decimal"/>
      <w:start w:val="1"/>
    </w:lvl>
    <w:lvl w:ilvl="1">
      <w:lvlJc w:val="left"/>
      <w:lvlText w:val="%2."/>
      <w:numFmt w:val="lowerLetter"/>
      <w:start w:val="1"/>
    </w:lvl>
  </w:abstractNum>
  <w:abstractNum w:abstractNumId="19">
    <w:nsid w:val="189A769B"/>
    <w:multiLevelType w:val="hybridMultilevel"/>
    <w:lvl w:ilvl="0">
      <w:lvlJc w:val="left"/>
      <w:lvlText w:val="%1."/>
      <w:numFmt w:val="lowerLetter"/>
      <w:start w:val="1"/>
    </w:lvl>
    <w:lvl w:ilvl="1">
      <w:lvlJc w:val="left"/>
      <w:lvlText w:val="*"/>
      <w:numFmt w:val="bullet"/>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decimal"/>
      <w:start w:val="4"/>
    </w:lvl>
    <w:lvl w:ilvl="1">
      <w:lvlJc w:val="left"/>
      <w:lvlText w:val="•"/>
      <w:numFmt w:val="bullet"/>
      <w:start w:val="1"/>
    </w:lvl>
  </w:abstractNum>
  <w:abstractNum w:abstractNumId="22">
    <w:nsid w:val="2CA88611"/>
    <w:multiLevelType w:val="hybridMultilevel"/>
    <w:lvl w:ilvl="0">
      <w:lvlJc w:val="left"/>
      <w:lvlText w:val="%1."/>
      <w:numFmt w:val="decimal"/>
      <w:start w:val="5"/>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5"/>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decimal"/>
      <w:start w:val="5"/>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2023-11-01T14:00:19Z</dcterms:created>
  <dcterms:modified xsi:type="dcterms:W3CDTF">2023-11-01T14:00:19Z</dcterms:modified>
</cp:coreProperties>
</file>