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69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95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Glen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CBOT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141 WEST JACKSON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CBOT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NYSE: BOT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07/12/2007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SVP &amp; Chief Financial Officer</w:t>
      </w:r>
    </w:p>
    <w:p>
      <w:pPr>
        <w:spacing w:after="0" w:line="408" w:lineRule="exact"/>
        <w:rPr>
          <w:sz w:val="24"/>
          <w:szCs w:val="24"/>
          <w:color w:val="auto"/>
        </w:rPr>
      </w:pPr>
    </w:p>
    <w:p>
      <w:pPr>
        <w:sectPr>
          <w:pgSz w:w="11900" w:h="16838" w:orient="portrait"/>
          <w:cols w:equalWidth="0" w:num="3">
            <w:col w:w="3360" w:space="720"/>
            <w:col w:w="3340" w:space="63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60604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20,000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54</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5"/>
              </w:rPr>
              <w:t>20,000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10/19/2015</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93.76</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5,000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01/03/2016</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151.47</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5,000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01/02/2017</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Option becomes exercisable in four equal annual installments on the first four anniversaries of the original grant date or the earlier of 12 months of employment with CME Group or involuntary termination.</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7,500 shares of CME Group common stock at an exercise price of $144.00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1,875 shares of CME Group common stock at an exercise price of $250.03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1,875 shares of CME Group common stock at an exercise price of $403.92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Option became exercisable on 07/12/07.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Paul J. Draths, as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07/16/2007</w:t>
            </w:r>
          </w:p>
        </w:tc>
        <w:tc>
          <w:tcPr>
            <w:tcW w:w="0" w:type="dxa"/>
            <w:vAlign w:val="bottom"/>
          </w:tcPr>
          <w:p>
            <w:pPr>
              <w:spacing w:after="0"/>
              <w:rPr>
                <w:sz w:val="1"/>
                <w:szCs w:val="1"/>
                <w:color w:val="auto"/>
              </w:rPr>
            </w:pPr>
          </w:p>
        </w:tc>
      </w:tr>
      <w:tr>
        <w:trPr>
          <w:trHeight w:val="92"/>
        </w:trPr>
        <w:tc>
          <w:tcPr>
            <w:tcW w:w="4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in-fact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532"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2019-12-17T13:10:59Z</dcterms:created>
  <dcterms:modified xsi:type="dcterms:W3CDTF">2019-12-17T13:10:59Z</dcterms:modified>
</cp:coreProperties>
</file>