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6" w:lineRule="exact"/>
        <w:rPr>
          <w:rFonts w:ascii="MS PGothic" w:cs="MS PGothic" w:eastAsia="MS PGothic" w:hAnsi="MS PGothic"/>
          <w:sz w:val="22"/>
          <w:szCs w:val="22"/>
          <w:color w:val="auto"/>
        </w:rPr>
      </w:pPr>
    </w:p>
    <w:p>
      <w:pPr>
        <w:ind w:left="39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March 31, 2017</w:t>
      </w:r>
    </w:p>
    <w:p>
      <w:pPr>
        <w:spacing w:after="0" w:line="16" w:lineRule="exact"/>
        <w:rPr>
          <w:rFonts w:ascii="MS PGothic" w:cs="MS PGothic" w:eastAsia="MS PGothic" w:hAnsi="MS PGothic"/>
          <w:sz w:val="22"/>
          <w:szCs w:val="22"/>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001-31553</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1"/>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1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18"/>
                <w:szCs w:val="18"/>
                <w:color w:val="auto"/>
              </w:rPr>
            </w:pPr>
          </w:p>
        </w:tc>
      </w:tr>
      <w:tr>
        <w:trPr>
          <w:trHeight w:val="166"/>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4"/>
                <w:szCs w:val="14"/>
                <w:color w:val="auto"/>
              </w:rPr>
            </w:pPr>
          </w:p>
        </w:tc>
      </w:tr>
      <w:tr>
        <w:trPr>
          <w:trHeight w:val="234"/>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0"/>
                <w:szCs w:val="20"/>
                <w:color w:val="auto"/>
              </w:rPr>
            </w:pPr>
          </w:p>
        </w:tc>
      </w:tr>
    </w:tbl>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0" w:lineRule="exact"/>
        <w:rPr>
          <w:sz w:val="24"/>
          <w:szCs w:val="24"/>
          <w:color w:val="auto"/>
        </w:rPr>
      </w:pPr>
    </w:p>
    <w:p>
      <w:pPr>
        <w:ind w:right="12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24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3" w:right="259" w:bottom="1440" w:gutter="0" w:footer="0" w:header="0"/>
        </w:sectPr>
      </w:pPr>
    </w:p>
    <w:p>
      <w:pPr>
        <w:spacing w:after="0" w:line="145"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tabs>
          <w:tab w:leader="none" w:pos="128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6020" w:space="720"/>
            <w:col w:w="4660"/>
          </w:cols>
          <w:pgMar w:left="240" w:top="233" w:right="2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3">
            <w:col w:w="1400" w:space="160"/>
            <w:col w:w="4460" w:space="720"/>
            <w:col w:w="4660"/>
          </w:cols>
          <w:pgMar w:left="240" w:top="233" w:right="259" w:bottom="1440" w:gutter="0" w:footer="0" w:header="0"/>
          <w:type w:val="continuous"/>
        </w:sectPr>
      </w:pPr>
    </w:p>
    <w:p>
      <w:pPr>
        <w:spacing w:after="0" w:line="31" w:lineRule="exact"/>
        <w:rPr>
          <w:sz w:val="24"/>
          <w:szCs w:val="24"/>
          <w:color w:val="auto"/>
        </w:rPr>
      </w:pPr>
    </w:p>
    <w:p>
      <w:pPr>
        <w:ind w:left="67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00"/>
          </w:cols>
          <w:pgMar w:left="240" w:top="233" w:right="259" w:bottom="1440" w:gutter="0" w:footer="0" w:header="0"/>
          <w:type w:val="continuous"/>
        </w:sectPr>
      </w:pPr>
    </w:p>
    <w:p>
      <w:pPr>
        <w:spacing w:after="0" w:line="1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34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April 12, 2017 was as follows: 339,788,081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780" w:type="dxa"/>
            <w:vAlign w:val="bottom"/>
            <w:gridSpan w:val="19"/>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Financial Statements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70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Balance Sheets at March 31, 2017 and December 31, 2016</w:t>
              </w:r>
            </w:hyperlink>
          </w:p>
        </w:tc>
        <w:tc>
          <w:tcPr>
            <w:tcW w:w="5080" w:type="dxa"/>
            <w:vAlign w:val="bottom"/>
            <w:gridSpan w:val="6"/>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540" w:type="dxa"/>
            <w:vAlign w:val="bottom"/>
            <w:tcBorders>
              <w:bottom w:val="single" w:sz="8" w:color="0000EE"/>
            </w:tcBorders>
            <w:gridSpan w:val="15"/>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Income for the Quarters Ended March 31, 2017 and 2016</w:t>
              </w:r>
            </w:hyperlink>
          </w:p>
        </w:tc>
        <w:tc>
          <w:tcPr>
            <w:tcW w:w="4240" w:type="dxa"/>
            <w:vAlign w:val="bottom"/>
            <w:gridSpan w:val="4"/>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660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Consolidated Statements of Comprehensive Income for the Quarters Ended March 31, 2017 and 2016</w:t>
              </w:r>
            </w:hyperlink>
          </w:p>
        </w:tc>
        <w:tc>
          <w:tcPr>
            <w:tcW w:w="318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Consolidated Statements of Equity for the Quarters Ended March 31, 2017 and 2016</w:t>
              </w:r>
            </w:hyperlink>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Consolidated Statements of Cash Flows for the Quarters Ended March 31, 2017 and 2016</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800" w:type="dxa"/>
            <w:vAlign w:val="bottom"/>
            <w:tcBorders>
              <w:top w:val="single" w:sz="8" w:color="0000EE"/>
            </w:tcBorders>
            <w:gridSpan w:val="16"/>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Notes to Unaudited Consolidated Financial Statements</w:t>
              </w:r>
            </w:hyperlink>
          </w:p>
        </w:tc>
        <w:tc>
          <w:tcPr>
            <w:tcW w:w="3980" w:type="dxa"/>
            <w:vAlign w:val="bottom"/>
            <w:gridSpan w:val="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9"/>
          </w:tcPr>
          <w:p>
            <w:pPr>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6">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5"/>
          </w:tcPr>
          <w:p>
            <w:pPr>
              <w:spacing w:after="0"/>
              <w:rPr>
                <w:sz w:val="24"/>
                <w:szCs w:val="24"/>
                <w:color w:val="auto"/>
              </w:rPr>
            </w:pPr>
          </w:p>
        </w:tc>
        <w:tc>
          <w:tcPr>
            <w:tcW w:w="3640" w:type="dxa"/>
            <w:vAlign w:val="bottom"/>
            <w:gridSpan w:val="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6">
              <w:r>
                <w:rPr>
                  <w:rFonts w:ascii="Arial" w:cs="Arial" w:eastAsia="Arial" w:hAnsi="Arial"/>
                  <w:sz w:val="16"/>
                  <w:szCs w:val="16"/>
                  <w:b w:val="1"/>
                  <w:bCs w:val="1"/>
                  <w:color w:val="0000EE"/>
                  <w:w w:val="88"/>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58"/>
        </w:trPr>
        <w:tc>
          <w:tcPr>
            <w:tcW w:w="10700" w:type="dxa"/>
            <w:vAlign w:val="bottom"/>
            <w:gridSpan w:val="20"/>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PART II. OTHER INFORMATION</w:t>
              </w:r>
            </w:hyperlink>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7">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7">
              <w:r>
                <w:rPr>
                  <w:rFonts w:ascii="Arial" w:cs="Arial" w:eastAsia="Arial" w:hAnsi="Arial"/>
                  <w:sz w:val="16"/>
                  <w:szCs w:val="16"/>
                  <w:b w:val="1"/>
                  <w:bCs w:val="1"/>
                  <w:color w:val="0000EE"/>
                  <w:w w:val="89"/>
                </w:rPr>
                <w:t>Risk Factors</w:t>
              </w:r>
            </w:hyperlink>
          </w:p>
        </w:tc>
        <w:tc>
          <w:tcPr>
            <w:tcW w:w="8900" w:type="dxa"/>
            <w:vAlign w:val="bottom"/>
            <w:gridSpan w:val="16"/>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780" w:type="dxa"/>
            <w:vAlign w:val="bottom"/>
            <w:gridSpan w:val="19"/>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Mine Safety Disclosures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Exhibits</w:t>
              </w:r>
            </w:hyperlink>
          </w:p>
        </w:tc>
        <w:tc>
          <w:tcPr>
            <w:tcW w:w="814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29">
              <w:r>
                <w:rPr>
                  <w:rFonts w:ascii="Arial" w:cs="Arial" w:eastAsia="Arial" w:hAnsi="Arial"/>
                  <w:sz w:val="16"/>
                  <w:szCs w:val="16"/>
                  <w:b w:val="1"/>
                  <w:bCs w:val="1"/>
                  <w:color w:val="0000EE"/>
                  <w:w w:val="97"/>
                </w:rPr>
                <w:t>SIGNATURES</w:t>
              </w:r>
            </w:hyperlink>
          </w:p>
        </w:tc>
        <w:tc>
          <w:tcPr>
            <w:tcW w:w="9660" w:type="dxa"/>
            <w:vAlign w:val="bottom"/>
            <w:gridSpan w:val="18"/>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48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Unless otherwise indicated, references to CME Group Inc. (CME Group or the company) products include references to products listed on one of its regulated U.S.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Group,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39"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regulations, including the impact of any changes in laws or government policy with respect to our industry, such as any changes to regulations and policies that require increased financial and operational resources from us or our customers;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27, 2017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1260" w:type="dxa"/>
            <w:vAlign w:val="bottom"/>
          </w:tcPr>
          <w:p>
            <w:pPr>
              <w:spacing w:after="0"/>
              <w:rPr>
                <w:sz w:val="24"/>
                <w:szCs w:val="24"/>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860" w:type="dxa"/>
            <w:vAlign w:val="bottom"/>
          </w:tcPr>
          <w:p>
            <w:pPr>
              <w:jc w:val="center"/>
              <w:ind w:left="195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6860" w:type="dxa"/>
            <w:vAlign w:val="bottom"/>
          </w:tcPr>
          <w:p>
            <w:pPr>
              <w:jc w:val="center"/>
              <w:ind w:left="195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6"/>
              </w:rPr>
              <w:t>Current Assets:</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83.3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$2.7 and $3.5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$30.0 in restricted cash)</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37,543.5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46,368.5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40,031.5</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$611.8 and $597.2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2,441.8</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$62.4 and $61.7 in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1,726.6</w:t>
            </w:r>
          </w:p>
        </w:tc>
      </w:tr>
      <w:tr>
        <w:trPr>
          <w:trHeight w:val="237"/>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75,476.0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69,369.4</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6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44,421.2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37,542.7</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38,945.6</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8"/>
              </w:rPr>
              <w:t>Long-term debt</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2,231.2</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7,291.0</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560.9</w:t>
            </w:r>
          </w:p>
        </w:tc>
      </w:tr>
      <w:tr>
        <w:trPr>
          <w:trHeight w:val="27"/>
        </w:trPr>
        <w:tc>
          <w:tcPr>
            <w:tcW w:w="1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54,921.8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49,028.7</w:t>
            </w:r>
          </w:p>
        </w:tc>
      </w:tr>
      <w:tr>
        <w:trPr>
          <w:trHeight w:val="223"/>
        </w:trPr>
        <w:tc>
          <w:tcPr>
            <w:tcW w:w="12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3"/>
              </w:rPr>
              <w:t>Preferred stock, $0.01 par value, 10,000 shares authorized at March 31, 2017 and December 31, 2016;</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60" w:type="dxa"/>
            <w:vAlign w:val="bottom"/>
          </w:tcPr>
          <w:p>
            <w:pPr>
              <w:ind w:left="380"/>
              <w:spacing w:after="0"/>
              <w:rPr>
                <w:sz w:val="20"/>
                <w:szCs w:val="20"/>
                <w:color w:val="auto"/>
              </w:rPr>
            </w:pPr>
            <w:r>
              <w:rPr>
                <w:rFonts w:ascii="Arial" w:cs="Arial" w:eastAsia="Arial" w:hAnsi="Arial"/>
                <w:sz w:val="18"/>
                <w:szCs w:val="18"/>
                <w:color w:val="auto"/>
                <w:w w:val="88"/>
              </w:rPr>
              <w:t>none issued</w:t>
            </w:r>
          </w:p>
        </w:tc>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Class A common stock, $0.01 par value, 1,000,000 shares authorized at March 31, 2017 and December</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31, 2016; 338,506 and 338,240 shares issued and outstanding as of March 31, 2017 and December 31,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2016,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5"/>
              </w:rPr>
              <w:t>Class B common stock, $0.01 par value, 3 shares authorized, issued and outstanding as of March 31,</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2017 and December 31, 2016</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17,826.9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2,697.9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2,524.5</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20,554.2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20,340.7</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69,369.4</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Quarter Ended</w:t>
            </w:r>
          </w:p>
        </w:tc>
      </w:tr>
      <w:tr>
        <w:trPr>
          <w:trHeight w:val="276"/>
        </w:trPr>
        <w:tc>
          <w:tcPr>
            <w:tcW w:w="9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796.1</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21.6</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934.2</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131.9</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24.0</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54.4</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360.3</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573.9</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9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 Income (Expense)</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578.5</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r>
      <w:tr>
        <w:trPr>
          <w:trHeight w:val="297"/>
        </w:trPr>
        <w:tc>
          <w:tcPr>
            <w:tcW w:w="9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367.8</w:t>
            </w:r>
          </w:p>
        </w:tc>
      </w:tr>
      <w:tr>
        <w:trPr>
          <w:trHeight w:val="217"/>
        </w:trPr>
        <w:tc>
          <w:tcPr>
            <w:tcW w:w="9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338,339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337,014</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9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339,946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338,549</w:t>
            </w:r>
          </w:p>
        </w:tc>
      </w:tr>
      <w:tr>
        <w:trPr>
          <w:trHeight w:val="27"/>
        </w:trPr>
        <w:tc>
          <w:tcPr>
            <w:tcW w:w="9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109.6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Reclassification of net (gains) losses on sales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of net actuarial (gains) losses included in compensation and benefits expense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of effective portion of net (gains) losses on cash flow hedges included in 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476.7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338,240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$0.66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standards update on employee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payments, net of tax</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338,506</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20,554.2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336,938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17,725.0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Dividends on common stock of $0.60 per share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34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337,216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17,741.0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3,072.3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20,841.4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367.8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Income tax expense reclassified from accumulated other comprehensive income upon final sale of</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BM&amp;FBOVESPA shares</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datacenter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w:t>
            </w:r>
          </w:p>
        </w:tc>
      </w:tr>
      <w:tr>
        <w:trPr>
          <w:trHeight w:val="156"/>
        </w:trPr>
        <w:tc>
          <w:tcPr>
            <w:tcW w:w="85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169"/>
        </w:trPr>
        <w:tc>
          <w:tcPr>
            <w:tcW w:w="85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finance lease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Employee taxes paid on restricted stock vesting</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r>
      <w:tr>
        <w:trPr>
          <w:trHeight w:val="156"/>
        </w:trPr>
        <w:tc>
          <w:tcPr>
            <w:tcW w:w="85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1,692.6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8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70"/>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CME Clearing Europe Limited (CMECE) and CME Europe Limited (CME Europe). CME, CBOT, NYMEX, COMEX, CMECE and CME Europe and their subsidiaries are referred to collectively as “the exchange” in the notes to the consolidated financial statements. The clearing houses include CME Clearing, which is the U.S. clearing house and a division of CME, and CMECE.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March 31, 2017 and December 31, 2016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2016, filed with the Securities and Exchange Commission (SEC) on February 27,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9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 xml:space="preserve">Newly Adopted Accounting Policies. </w:t>
      </w:r>
      <w:r>
        <w:rPr>
          <w:rFonts w:ascii="Arial" w:cs="Arial" w:eastAsia="Arial" w:hAnsi="Arial"/>
          <w:sz w:val="17"/>
          <w:szCs w:val="17"/>
          <w:color w:val="auto"/>
        </w:rPr>
        <w:t>In March 2016, the Financial Accounting Standards Board (FASB) issued a standards update that changes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aspects of accounting for share-based payments to employees. The guidance requires all income tax effects of awards to be recognized in the income statement when the awards vest or are settled. It also allows an employer to repurchase more of an employee’s shares for tax withholding purposes without triggering liability accounting and to make a policy election to account for forfeitures as they occur. The company implemented this standards update as of January 1, 2017 on a prospective basis. Starting in the first quarter of 2017, all income tax effects of awards are recognized in the income statement as part of income tax expense when the awards vest or are settled. During the first quarter of 2017, the company recognized $4.0 million related to the income tax effects of awards as part of income tax expense. The company also adopted a policy to recognize forfeitures as compensation expense as the forfeitures occur. Previously, the company estimated the number of awards that would be forfeited and recognized the estimate as part of compensation expense. This policy change was adopted on a modified retrospective basis with a cumulative-effect adjustment to additional paid in capital and retained earnings as of January 1, 2017. The excess tax benefits are now reported as an operating activity within the other income taxes payable activity instead of a financing activity on the statements of cash flows. Prior periods have not been adjusted for this change. The employee taxes paid by the company when the company withholds shares for tax-withholding purposes when restricted stock awards vest are now classified as a financing activity on the statements of cash flows. Prior periods have been adjusted for this change.</w:t>
      </w:r>
    </w:p>
    <w:p>
      <w:pPr>
        <w:spacing w:after="0" w:line="1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Recently Issued Accounting Pronouncements. </w:t>
      </w:r>
      <w:r>
        <w:rPr>
          <w:rFonts w:ascii="Arial" w:cs="Arial" w:eastAsia="Arial" w:hAnsi="Arial"/>
          <w:sz w:val="17"/>
          <w:szCs w:val="17"/>
          <w:color w:val="auto"/>
        </w:rPr>
        <w:t>In May 2014, the FASB issued a new standard on revenue recognition that 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application of the new standard becomes effective in the first annual period beginning after December 15, 2017, with early adoption permitted. This guidance may be adopted using one of two transition methods: retrospectively to each prior reporting period presented (full retrospective method) or retrospectively with the cumulative effect of initially applying the guidance recognized at the date of initial adoption (the modified retrospective approach). Management is on course to comply with the guidance by the effective date. The project team is currently in the contract review phase, which is expected to be completed by mid-2017. Management expects to reach a conclusion on whether there will be changes in revenue recognition, which method of adoption will be used and the impact the guidance will have on policies, processes and controls by the third quarter of 2017.</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The company is still in the process of evaluating the impact of this update on the consolidated financial statements.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The company is in the process of evaluating the impact of this update on the consolidated financial statements.</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The company is in the process of evaluating the impact of this standard on the consolidated financial statements.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is effective for fiscal years beginning after December 15, 2017 and interim periods within those fiscal years. Early adoption is permitted. The amendments must be applied using a retrospective transition method to each period presented. The company is in the process of evaluating the impact of this update on our consolidated financial statements.</w:t>
      </w:r>
    </w:p>
    <w:p>
      <w:pPr>
        <w:spacing w:after="0" w:line="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March 2017, the FASB issued a standards update that will change certain presentation and disclosure requirements for employers that sponsor defined benefit pension as well as other postretirement benefit plans. Under current accounting rules, defined benefit pension cost and postretirement benefit cost (net benefit cost) comprise several components that reflect different aspects of an employer’s financial arrangements as well as the cost of benefits provided to the employees. Those components are aggregated for reporting in the financial statements within compensation and benefits on the income statement. The amendments in the update require that the service cost component is reported in the same line as other compensation costs, whereas the other components of net benefit cost are required to be presented in the income statement separately from the service cost component. The amendments are effective for reporting periods beginning after December 15, 2017. Early adoption is permitted as of the beginning of an annual period for which financial statements have not been issued. The company is in the process of evaluating the impact of this update on the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Guaranty Fund Contributions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Performance Bonds and Guaranty Fund Contributions. </w:t>
      </w:r>
      <w:r>
        <w:rPr>
          <w:rFonts w:ascii="Arial" w:cs="Arial" w:eastAsia="Arial" w:hAnsi="Arial"/>
          <w:sz w:val="17"/>
          <w:szCs w:val="17"/>
          <w:color w:val="auto"/>
        </w:rPr>
        <w:t>CME has been designated as a systemically important financial market utility by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Stability Oversight Council and is authorized to establish and maintain a cash account at the Federal Reserve Bank of Chicago. CME has received approval to establish this account at the Federal Reserve Bank of Chicago for clearing members' proprietary cash balances and the account is now operational. At March 31, 2017, CME maintained $34.5 billion within the cash account at the Federal Reserve Bank of Chicago.</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Clearing and CMECE mark-to-market open positions for all futures and options contracts twice a day (once a day</w:t>
      </w:r>
      <w:r>
        <w:rPr>
          <w:rFonts w:ascii="Arial" w:cs="Arial" w:eastAsia="Arial" w:hAnsi="Arial"/>
          <w:sz w:val="16"/>
          <w:szCs w:val="16"/>
          <w:i w:val="1"/>
          <w:iCs w:val="1"/>
          <w:color w:val="auto"/>
        </w:rPr>
        <w:t xml:space="preserve"> </w:t>
      </w:r>
      <w:r>
        <w:rPr>
          <w:rFonts w:ascii="Arial" w:cs="Arial" w:eastAsia="Arial" w:hAnsi="Arial"/>
          <w:sz w:val="16"/>
          <w:szCs w:val="16"/>
          <w:color w:val="auto"/>
        </w:rPr>
        <w:t>for CME's cleared-only credit default swap and interest rate swap contracts). Based on values derived from the mark-to-market process, CME Clearing and CMECE require payments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cleared-only credit default and interest rate swap contracts would be one half day of changes in fair value of all open positions, before considering the clearing houses' ability to access defaulting clearing firms' collateral deposits. For CME's cleared-only credit default swap and interest rate swap contracts, the maximum exposure related to CME Clearing's guarantee would be one full day of changes in fair value of all open positions, before considering CME Clearing's ability to access defaulting clearing firms' collateral. During the first quarter of 2017, CME Clearing and CMECE transferred an average of approximately $2.5 billion a day through their clearing systems for settlement from clearing firms whose positions had lost value to clearing firms whose positions had gained value. CME Clearing and CMECE reduce their guarantee exposure through</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initial and maintenance performance bond requirements and mandatory guaranty fund contributions. The company believes that its guarantee liability is immaterial and therefore has not recorded any liability at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2017 and December 31, 2016:</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1,965.9</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1,967.8</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amortization expense for intangible assets was $24.0 million for the quarters ended March 31, 2017 and 2016, respectively. As of March 31, 2017, the future estimated amortization expense related to amortizable intangible assets is expected to be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2017</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2018</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2020</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2022</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1,422.8</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Investments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January 2017, the company sold its remaining 43.4 million shares of BM&amp;FBOVESPA S.A. and recognized a net gain of $86.5 million, net of transaction costs, within investment income on the consolidated statements of income. In conjunction with the final sale of shares, the company reclassified income tax expense of $87.8 million from accumulated other comprehensive income to the income tax provision.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March 31, 2017 and December 31,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745.2</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744.2</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741.8</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2,231.6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2,231.2</w:t>
            </w:r>
          </w:p>
        </w:tc>
      </w:tr>
      <w:tr>
        <w:trPr>
          <w:trHeight w:val="27"/>
        </w:trPr>
        <w:tc>
          <w:tcPr>
            <w:tcW w:w="8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March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 accrual was required for legal and regulatory matters that were probable and estimable as of March 31, 2017 and December 31, 2016.</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2017.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must maintain U.S. Treasury securities or irrevocable, standby letters of credit as collateral for this agreement. At March 31, 2017, CME was contingently liable to SGX on letters of credit totaling $435.0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March 31, 2017.</w:t>
      </w:r>
    </w:p>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March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March 31, 2016</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6"/>
        </w:trPr>
        <w:tc>
          <w:tcPr>
            <w:tcW w:w="4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15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4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assets recorded in the consolidated balance sheet as of March 31, 2017 were classified in their entirety based on the lowest level of input that was significant to each asset's fair value measurement. There were no liabilities that were measured at fair value as of March 31, 2017. The following tables present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March 31,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quarter of 2017. There were no level 3 assets or liabilities valued at fair value on a recurring or non-recurring basis during the first quarter of 2017.</w:t>
      </w:r>
    </w:p>
    <w:p>
      <w:pPr>
        <w:spacing w:after="0" w:line="2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March 31, 2017, the fair values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$750.0 million fixed rate notes due September 2022, stated rate of 3.00%</w:t>
            </w:r>
          </w:p>
        </w:tc>
        <w:tc>
          <w:tcPr>
            <w:tcW w:w="4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766.2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w w:val="99"/>
              </w:rPr>
              <w:t>$750.0 million fixed rate notes due March 2025, stated rate of 3.00%</w:t>
            </w:r>
          </w:p>
        </w:tc>
        <w:tc>
          <w:tcPr>
            <w:tcW w:w="47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751.2</w:t>
            </w:r>
          </w:p>
        </w:tc>
      </w:tr>
      <w:tr>
        <w:trPr>
          <w:trHeight w:val="27"/>
        </w:trPr>
        <w:tc>
          <w:tcPr>
            <w:tcW w:w="55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$750.0 million fixed rates notes due September 2043, stated rate of 5.30%</w:t>
            </w:r>
          </w:p>
        </w:tc>
        <w:tc>
          <w:tcPr>
            <w:tcW w:w="47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900.1</w:t>
            </w:r>
          </w:p>
        </w:tc>
      </w:tr>
      <w:tr>
        <w:trPr>
          <w:trHeight w:val="459"/>
        </w:trPr>
        <w:tc>
          <w:tcPr>
            <w:tcW w:w="5500" w:type="dxa"/>
            <w:vAlign w:val="bottom"/>
          </w:tcPr>
          <w:p>
            <w:pPr>
              <w:spacing w:after="0"/>
              <w:rPr>
                <w:sz w:val="24"/>
                <w:szCs w:val="24"/>
                <w:color w:val="auto"/>
              </w:rPr>
            </w:pPr>
          </w:p>
        </w:tc>
        <w:tc>
          <w:tcPr>
            <w:tcW w:w="4760" w:type="dxa"/>
            <w:vAlign w:val="bottom"/>
          </w:tcPr>
          <w:p>
            <w:pPr>
              <w:jc w:val="right"/>
              <w:ind w:right="437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restricted stock and performance share awards were as follows for the periods presented:</w:t>
      </w:r>
    </w:p>
    <w:p>
      <w:pPr>
        <w:spacing w:after="0" w:line="200" w:lineRule="exact"/>
        <w:rPr>
          <w:sz w:val="20"/>
          <w:szCs w:val="20"/>
          <w:color w:val="auto"/>
        </w:rPr>
      </w:pPr>
    </w:p>
    <w:p>
      <w:pPr>
        <w:spacing w:after="0" w:line="21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81915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14"/>
        </w:trPr>
        <w:tc>
          <w:tcPr>
            <w:tcW w:w="9020" w:type="dxa"/>
            <w:vAlign w:val="bottom"/>
            <w:tcBorders>
              <w:bottom w:val="single" w:sz="8" w:color="auto"/>
            </w:tcBorders>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Restricted stock and performance shares</w:t>
            </w:r>
          </w:p>
        </w:tc>
        <w:tc>
          <w:tcPr>
            <w:tcW w:w="8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379"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337,014</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Effect of stock options, restricted stock and performance shares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339,946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338,549</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the following:</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April 2017, the company announced that it intends to close CMECE and CME Europe as a regulated clearing house and exchange, respectively, by the end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2016.</w:t>
      </w:r>
    </w:p>
    <w:p>
      <w:pPr>
        <w:spacing w:after="0" w:line="124"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The clearing houses include CME Clearing, which is the U.S. clearing house and a division of CME, and CMECE.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929.3</w:t>
            </w:r>
          </w:p>
        </w:tc>
        <w:tc>
          <w:tcPr>
            <w:tcW w:w="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934.2</w:t>
            </w: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360.3</w:t>
            </w:r>
          </w:p>
        </w:tc>
        <w:tc>
          <w:tcPr>
            <w:tcW w:w="20" w:type="dxa"/>
            <w:vAlign w:val="bottom"/>
          </w:tcPr>
          <w:p>
            <w:pPr>
              <w:spacing w:after="0"/>
              <w:rPr>
                <w:sz w:val="21"/>
                <w:szCs w:val="21"/>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105.8</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n.m.</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399.8</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367.8</w:t>
            </w:r>
          </w:p>
        </w:tc>
        <w:tc>
          <w:tcPr>
            <w:tcW w:w="20" w:type="dxa"/>
            <w:vAlign w:val="bottom"/>
          </w:tcPr>
          <w:p>
            <w:pPr>
              <w:spacing w:after="0"/>
              <w:rPr>
                <w:sz w:val="21"/>
                <w:szCs w:val="21"/>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9</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530.0</w:t>
            </w:r>
          </w:p>
        </w:tc>
        <w:tc>
          <w:tcPr>
            <w:tcW w:w="20" w:type="dxa"/>
            <w:vAlign w:val="bottom"/>
          </w:tcPr>
          <w:p>
            <w:pPr>
              <w:spacing w:after="0"/>
              <w:rPr>
                <w:sz w:val="21"/>
                <w:szCs w:val="21"/>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51"/>
        </w:trPr>
        <w:tc>
          <w:tcPr>
            <w:tcW w:w="7540" w:type="dxa"/>
            <w:vAlign w:val="bottom"/>
          </w:tcPr>
          <w:p>
            <w:pPr>
              <w:spacing w:after="0"/>
              <w:rPr>
                <w:sz w:val="20"/>
                <w:szCs w:val="20"/>
                <w:color w:val="auto"/>
              </w:rPr>
            </w:pPr>
            <w:r>
              <w:rPr>
                <w:rFonts w:ascii="Arial" w:cs="Arial" w:eastAsia="Arial" w:hAnsi="Arial"/>
                <w:sz w:val="18"/>
                <w:szCs w:val="18"/>
                <w:color w:val="auto"/>
              </w:rPr>
              <w:t>n.m. not meaningful</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ind w:left="480"/>
              <w:spacing w:after="0"/>
              <w:rPr>
                <w:sz w:val="20"/>
                <w:szCs w:val="20"/>
                <w:color w:val="auto"/>
              </w:rPr>
            </w:pPr>
            <w:r>
              <w:rPr>
                <w:rFonts w:ascii="Arial" w:cs="Arial" w:eastAsia="Arial" w:hAnsi="Arial"/>
                <w:sz w:val="14"/>
                <w:szCs w:val="14"/>
                <w:b w:val="1"/>
                <w:bCs w:val="1"/>
                <w:color w:val="auto"/>
              </w:rPr>
              <w:t>Quarter Ended</w:t>
            </w:r>
          </w:p>
        </w:tc>
        <w:tc>
          <w:tcPr>
            <w:tcW w:w="1360" w:type="dxa"/>
            <w:vAlign w:val="bottom"/>
          </w:tcPr>
          <w:p>
            <w:pPr>
              <w:spacing w:after="0"/>
              <w:rPr>
                <w:sz w:val="24"/>
                <w:szCs w:val="24"/>
                <w:color w:val="auto"/>
              </w:rPr>
            </w:pPr>
          </w:p>
        </w:tc>
      </w:t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792.0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796.1</w:t>
            </w: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1"/>
                <w:szCs w:val="21"/>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16</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929.3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934.2</w:t>
            </w:r>
          </w:p>
        </w:tc>
        <w:tc>
          <w:tcPr>
            <w:tcW w:w="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houses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interest rate swaps and credit default swaps.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1,060.1</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6"/>
              </w:rPr>
              <w:t>1,033.6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774.7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781.1</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0.731</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0.756</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r>
      <w:tr>
        <w:trPr>
          <w:trHeight w:val="27"/>
        </w:trPr>
        <w:tc>
          <w:tcPr>
            <w:tcW w:w="7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estimate the following decrease in clearing and transaction fees based on a change in total contract volume and a change in average rate per contract for futures and options during the first quarter of 2017 when compared with the same period in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 Ended</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a change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Decrease due to a change in average rate per contract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clearing and transaction fees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10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020" w:type="dxa"/>
            <w:vAlign w:val="bottom"/>
          </w:tcPr>
          <w:p>
            <w:pPr>
              <w:spacing w:after="0"/>
              <w:rPr>
                <w:sz w:val="14"/>
                <w:szCs w:val="14"/>
                <w:color w:val="auto"/>
              </w:rPr>
            </w:pPr>
          </w:p>
        </w:tc>
      </w:tr>
      <w:tr>
        <w:trPr>
          <w:trHeight w:val="192"/>
        </w:trPr>
        <w:tc>
          <w:tcPr>
            <w:tcW w:w="8320" w:type="dxa"/>
            <w:vAlign w:val="bottom"/>
          </w:tcPr>
          <w:p>
            <w:pPr>
              <w:spacing w:after="0"/>
              <w:rPr>
                <w:sz w:val="16"/>
                <w:szCs w:val="16"/>
                <w:color w:val="auto"/>
              </w:rPr>
            </w:pPr>
          </w:p>
        </w:tc>
        <w:tc>
          <w:tcPr>
            <w:tcW w:w="138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Change</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9,169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8,246</w:t>
            </w: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8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3,557</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944</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w:t>
            </w:r>
          </w:p>
        </w:tc>
      </w:tr>
      <w:tr>
        <w:trPr>
          <w:trHeight w:val="27"/>
        </w:trPr>
        <w:tc>
          <w:tcPr>
            <w:tcW w:w="8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1,206</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Energy</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2,536</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8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455</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0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17,098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0"/>
              </w:rPr>
              <w:t>16,944</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7"/>
        </w:trPr>
        <w:tc>
          <w:tcPr>
            <w:tcW w:w="8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14,947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w w:val="90"/>
              </w:rPr>
              <w:t>14,713</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w:t>
            </w:r>
          </w:p>
        </w:tc>
      </w:tr>
      <w:tr>
        <w:trPr>
          <w:trHeight w:val="27"/>
        </w:trPr>
        <w:tc>
          <w:tcPr>
            <w:tcW w:w="8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1,424</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807</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8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0"/>
              </w:rPr>
              <w:t>16,944</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 Volume</w:t>
            </w: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1020" w:type="dxa"/>
            <w:vAlign w:val="bottom"/>
          </w:tcPr>
          <w:p>
            <w:pPr>
              <w:spacing w:after="0"/>
              <w:rPr>
                <w:sz w:val="21"/>
                <w:szCs w:val="21"/>
                <w:color w:val="auto"/>
              </w:rPr>
            </w:pPr>
          </w:p>
        </w:tc>
      </w:tr>
    </w:tbl>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Overall contract volume remained relatively flat in the first quarter of 2017 when compared with the same period in 2016. We believe the continuing considerable uncertainty regarding the Federal Reserve's interest rate policy and global market concerns have resulted in increased volatility in the interest rate markets, leading to an increase in volume. Furthermore, fewer market-moving geopolitical events in the first quarter of 2017 when compared with the same period in 2016 resulted in decreased volatility in the equity markets, leading to a decrease in equity contract volume.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2,134</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2,037</w:t>
            </w:r>
          </w:p>
        </w:tc>
        <w:tc>
          <w:tcPr>
            <w:tcW w:w="13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938</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1,611</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1,520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10-Year</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1,980</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1,845</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1,095</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2-Year</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384</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12</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bond</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371</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Federal Funds futures and options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252</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the first quarter of 2017 when compared with the same period in 2016, overall interest rate contract volume increased largely due to uncertainty surrounding the Federal Reserve's interest rate policy. We believe the increase in short-term interest rate contracts was due to the market's expectation of additional federal funds rate changes in 2017 and uncertainty surrounding other geopolitical events, including 2017 elections throughout Europe. We believe the increase in long-term interest rate contract volume is due to uncertainty surrounding the policies of the new political administration in the United States and the potential for additional government spending and uncertainties regarding future rates of inflation.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2016</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6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2,250</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2,781</w:t>
            </w:r>
          </w:p>
        </w:tc>
        <w:tc>
          <w:tcPr>
            <w:tcW w:w="13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5"/>
              </w:rPr>
              <w:t>(19)%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60" w:type="dxa"/>
            <w:vAlign w:val="bottom"/>
          </w:tcPr>
          <w:p>
            <w:pPr>
              <w:jc w:val="right"/>
              <w:ind w:right="541"/>
              <w:spacing w:after="0"/>
              <w:rPr>
                <w:sz w:val="20"/>
                <w:szCs w:val="20"/>
                <w:color w:val="auto"/>
              </w:rPr>
            </w:pPr>
            <w:r>
              <w:rPr>
                <w:rFonts w:ascii="Arial" w:cs="Arial" w:eastAsia="Arial" w:hAnsi="Arial"/>
                <w:sz w:val="18"/>
                <w:szCs w:val="18"/>
                <w:color w:val="auto"/>
              </w:rPr>
              <w:t>214</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353</w:t>
            </w:r>
          </w:p>
        </w:tc>
        <w:tc>
          <w:tcPr>
            <w:tcW w:w="1380" w:type="dxa"/>
            <w:vAlign w:val="bottom"/>
          </w:tcPr>
          <w:p>
            <w:pPr>
              <w:ind w:left="900"/>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Overall equity contract volume decreased in the first quarter of 2017 when compared with the same period in 2016 due to overall lower equity market volatility, as measured by the CBOE Volatility Index and CBOE Nasdaq-100 Volatility Index. We believe that the comparatively low volatility resulted from fewer market-moving geopolitical events in the first quarter of 2017. In the first quarter of 2016, there were periods of higher volatility within the equity markets resulting from greater uncertainty surrounding the Federal Reserve's interest rate policy in 2016, the deceleration of the Chinese economy and declining global crude oil prices.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2016</w:t>
            </w:r>
          </w:p>
        </w:tc>
        <w:tc>
          <w:tcPr>
            <w:tcW w:w="13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6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233</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60" w:type="dxa"/>
            <w:vAlign w:val="bottom"/>
          </w:tcPr>
          <w:p>
            <w:pPr>
              <w:jc w:val="right"/>
              <w:ind w:right="537"/>
              <w:spacing w:after="0"/>
              <w:rPr>
                <w:sz w:val="20"/>
                <w:szCs w:val="20"/>
                <w:color w:val="auto"/>
              </w:rPr>
            </w:pPr>
            <w:r>
              <w:rPr>
                <w:rFonts w:ascii="Arial" w:cs="Arial" w:eastAsia="Arial" w:hAnsi="Arial"/>
                <w:sz w:val="18"/>
                <w:szCs w:val="18"/>
                <w:color w:val="auto"/>
              </w:rPr>
              <w:t>179</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6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126</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13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60" w:type="dxa"/>
            <w:vAlign w:val="bottom"/>
          </w:tcPr>
          <w:p>
            <w:pPr>
              <w:jc w:val="right"/>
              <w:ind w:right="537"/>
              <w:spacing w:after="0"/>
              <w:rPr>
                <w:sz w:val="20"/>
                <w:szCs w:val="20"/>
                <w:color w:val="auto"/>
              </w:rPr>
            </w:pPr>
            <w:r>
              <w:rPr>
                <w:rFonts w:ascii="Arial" w:cs="Arial" w:eastAsia="Arial" w:hAnsi="Arial"/>
                <w:sz w:val="18"/>
                <w:szCs w:val="18"/>
                <w:color w:val="auto"/>
              </w:rPr>
              <w:t>93</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(17)</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6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72</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r>
      <w:tr>
        <w:trPr>
          <w:trHeight w:val="27"/>
        </w:trPr>
        <w:tc>
          <w:tcPr>
            <w:tcW w:w="76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first quarter of 2017 when compared with the same period in 2016, overall foreign exchange contract volumes decreased largely due to a decline in Euro contract volume resulting from low volatility. We believe the lower volatility throughout first quarter of 2017 resulted from a lack of global macroeconomic drivers affecting the Euro. In the first quarter of 2016, Euro contract volumes were higher due to volatility caused by uncertainty surrounding the European Central Bank's quantitative</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easing program. We believe the decrease in Australian dollar and Canadian dollar contract volumes were driven by lower volatility within those markets due to a lack of economic drivers impacting those currencies. The overall decrease in foreign exchange contract volume was partially offset by an increase in British pound contract volume, which we believe resulted from volatility surrounding the Bank of England's interest rate policy in the first quarter of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409</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Soybean</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268</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290</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(7)</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203</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r>
      <w:tr>
        <w:trPr>
          <w:trHeight w:val="27"/>
        </w:trPr>
        <w:tc>
          <w:tcPr>
            <w:tcW w:w="76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first quarter of 2017 when compared with the same period in 2016, overall agricultural commodity contract volume increased due to higher corn contract volume, which we believe resulted from volatility caused by uncertainty surrounding potential changes to renewable fuels programs. In addition, we believe the increase in wheat contract volume in the first quarter of 2017 was caused by greater uncertainty surrounding weather conditions and crop production for the 2017 growing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6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1,328</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60" w:type="dxa"/>
            <w:vAlign w:val="bottom"/>
          </w:tcPr>
          <w:p>
            <w:pPr>
              <w:jc w:val="right"/>
              <w:ind w:right="538"/>
              <w:spacing w:after="0"/>
              <w:rPr>
                <w:sz w:val="20"/>
                <w:szCs w:val="20"/>
                <w:color w:val="auto"/>
              </w:rPr>
            </w:pPr>
            <w:r>
              <w:rPr>
                <w:rFonts w:ascii="Arial" w:cs="Arial" w:eastAsia="Arial" w:hAnsi="Arial"/>
                <w:sz w:val="18"/>
                <w:szCs w:val="18"/>
                <w:color w:val="auto"/>
              </w:rPr>
              <w:t>601</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522</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15</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6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389</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1660" w:type="dxa"/>
            <w:vAlign w:val="bottom"/>
          </w:tcPr>
          <w:p>
            <w:pPr>
              <w:jc w:val="right"/>
              <w:ind w:right="538"/>
              <w:spacing w:after="0"/>
              <w:rPr>
                <w:sz w:val="20"/>
                <w:szCs w:val="20"/>
                <w:color w:val="auto"/>
              </w:rPr>
            </w:pPr>
            <w:r>
              <w:rPr>
                <w:rFonts w:ascii="Arial" w:cs="Arial" w:eastAsia="Arial" w:hAnsi="Arial"/>
                <w:sz w:val="18"/>
                <w:szCs w:val="18"/>
                <w:color w:val="auto"/>
              </w:rPr>
              <w:t>101</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(13)</w:t>
            </w:r>
          </w:p>
        </w:tc>
      </w:tr>
    </w:tbl>
    <w:p>
      <w:pPr>
        <w:spacing w:after="0" w:line="9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Overall energy contract volume remained relatively flat in the first quarter of 2017 when compared with the same period in 2016. We believe the increase in natural gas contract volume was caused by volatility driven by unpredictable temperature patterns in North America and a shift in supply and demand in the first quarter of 2017. The overall decrease in crude oil contract volume was attributable to lower volatility in the first quarter of 2017 as crude oil supplies balanced with demand following the Organization of Petroleum Exporting Countries' decision to cut oil supplies in the fourth quarter of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309</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95</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77</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23</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81</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r>
      <w:tr>
        <w:trPr>
          <w:trHeight w:val="27"/>
        </w:trPr>
        <w:tc>
          <w:tcPr>
            <w:tcW w:w="77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believe the increase in metal contract volume in the first quarter of 2017 when compared with the same period in 2016 was due to investors using gold and other precious metals as safe-haven alternative investments to other markets that remain uncertain in the first quarter of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average rate per contract decreased in the first quarter of 2017 when compared with the same period in 2016. The impact from a rate increase in the first quarter of 2017 was offset by an increase in trades executed by members, as a percentage of total trading volume, as well as a shift in relative mix of product volume. Interest rate contract volume, when measured as a percentage of total volume, increased by 5 percentage points in the first quarter of 2017, while equity contract volume decreased by 5 percentage points.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and one firm represented 12% of our clearing and transaction fees in the first quarter of 2017.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first quarter of 2017 when compared with the same period in 2016, market data and information services revenue decreased, which was attributable to a decline in screen counts due to cost-cutting initiatives at member firms and some rationalization as customer firms transitioned into full-priced offerings.</w:t>
      </w:r>
    </w:p>
    <w:p>
      <w:pPr>
        <w:spacing w:after="0" w:line="12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two largest resellers of our market data represented approximately 40% of our market data and information services revenue in the first quarter of 2017.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(13)</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39.0</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(13)</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w:t>
            </w:r>
          </w:p>
        </w:tc>
      </w:tr>
      <w:tr>
        <w:trPr>
          <w:trHeight w:val="257"/>
        </w:trPr>
        <w:tc>
          <w:tcPr>
            <w:tcW w:w="76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360.3</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Operating expenses decreased by $32.2 million in the first quarter of 2017 when compared with the same period in 2016. The following table shows the estimated impacts of key factors resulting in the change in operating expenses:</w:t>
      </w:r>
    </w:p>
    <w:p>
      <w:pPr>
        <w:spacing w:after="0" w:line="21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13335</wp:posOffset>
            </wp:positionV>
            <wp:extent cx="1741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8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datacenter and related legal fees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Losses on disposal of fixed assets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Non-qualified deferred compensation plan</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Decreases in operating expenses in the first quarter of 2017 when compared with the same period in 2016 were as follows:</w:t>
      </w:r>
    </w:p>
    <w:p>
      <w:pPr>
        <w:spacing w:after="0" w:line="198" w:lineRule="exact"/>
        <w:rPr>
          <w:sz w:val="20"/>
          <w:szCs w:val="20"/>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quarter of 2016, we sold and leased back our datacenter in the Chicago area. The transaction was recognized under the financing method under generally accepted accounting principles. In the first quarter of 2016, we</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80"/>
        <w:spacing w:after="0" w:line="324" w:lineRule="auto"/>
        <w:rPr>
          <w:sz w:val="20"/>
          <w:szCs w:val="20"/>
          <w:color w:val="auto"/>
        </w:rPr>
      </w:pPr>
      <w:r>
        <w:rPr>
          <w:rFonts w:ascii="Arial" w:cs="Arial" w:eastAsia="Arial" w:hAnsi="Arial"/>
          <w:sz w:val="18"/>
          <w:szCs w:val="18"/>
          <w:color w:val="auto"/>
        </w:rPr>
        <w:t>recognized total losses and expenses of $28.6 million, including a net loss on write-down to fair value of the assets and certain other transaction fees of $27.1 million within other expenses and $1.5 million of legal and other fees.</w:t>
      </w:r>
    </w:p>
    <w:p>
      <w:pPr>
        <w:spacing w:after="0" w:line="143" w:lineRule="exact"/>
        <w:rPr>
          <w:sz w:val="20"/>
          <w:szCs w:val="20"/>
          <w:color w:val="auto"/>
        </w:rPr>
      </w:pPr>
    </w:p>
    <w:p>
      <w:pPr>
        <w:ind w:left="660" w:right="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first quarter of 2017, we recognized a net gain of $2.5 million due to a favorable change in exchange rates on foreign cash balances, compared with a net loss of $3.9 million in the first quarter of 2016. Gains and losses from exchange rate fluctuations result when subsidiaries with a U.S. dollar functional currency hold cash as well as certain other monetary assets and liabilities denominated in foreign currencies.</w:t>
      </w:r>
    </w:p>
    <w:p>
      <w:pPr>
        <w:spacing w:after="0" w:line="165" w:lineRule="exact"/>
        <w:rPr>
          <w:rFonts w:ascii="Arial" w:cs="Arial" w:eastAsia="Arial" w:hAnsi="Arial"/>
          <w:sz w:val="17"/>
          <w:szCs w:val="17"/>
          <w:color w:val="auto"/>
        </w:rPr>
      </w:pPr>
    </w:p>
    <w:p>
      <w:pPr>
        <w:ind w:left="660" w:right="5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decrease in licensing and other fee sharing agreements expense in the first quarter of 2017 resulted from lower expense related to revenue sharing agreements for certain equity and energy contracts due to lower volumes for these products in the first quarter of 2017.</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first quarter of 2016, we recognized additional losses on disposals of certain fixed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Increases in operating expenses in the first quarter of 2017 when compared with the same period in 2016 were as follows: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first quarter of 2016, a litigation case was dismissed, which resulted in a reversal of a legal accrual related to the case.</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our non-qualified deferred compensation liability, the impact of which does not affect net income because of an equal and offsetting change in investment income, contributed to an increase in compensation and benefits expense.</w:t>
      </w:r>
    </w:p>
    <w:p>
      <w:pPr>
        <w:spacing w:after="0" w:line="170"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and benefits expense also increased as a result of an increase in average headcount related to meeting additional regulatory requirements as well as efforts to expand our product offerings and geographic reach.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1140" w:type="dxa"/>
            <w:vAlign w:val="bottom"/>
          </w:tcPr>
          <w:p>
            <w:pPr>
              <w:spacing w:after="0"/>
              <w:rPr>
                <w:sz w:val="14"/>
                <w:szCs w:val="14"/>
                <w:color w:val="auto"/>
              </w:rPr>
            </w:pP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Investment income increased in the first quarter of 2017 when compared with the same period in 2016. In the first quarter of 2017, we sold our remaining ownership interest in BM&amp;FBOVESPA, S.A. (BM&amp;FBOVESPA) and recognized a net gain of $86.5 million, net of transaction costs. Investment income also increased largely due to an increase in the rate of interest earned from cash performance bond and guaranty fund contributions that are reinvested. The increase in investment income was also attributable to an increase in net gains on marketable securities related to our non-qualified deferred compensation plan. Gains and losses from securities in the non-qualified deferred compensation plan are offset by an equal amount of compensation and benefits expense.</w:t>
      </w:r>
    </w:p>
    <w:p>
      <w:pPr>
        <w:spacing w:after="0" w:line="131"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Higher income generated from our S&amp;P/Dow Jones Indices LLC business venture contributed to an increase in equity in net earnings (losses) of unconsolidated subsidiaries in the first quarter of 2017 when compared with the same period in 2016.</w:t>
      </w:r>
    </w:p>
    <w:p>
      <w:pPr>
        <w:spacing w:after="0" w:line="11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 the first quarter of 2017 when compared with the same period in 2016, we recognized higher expense related to the distribution of interest earned on performance bond collateral reinvestment to the clearing firms. This expense is included in other non-operating income (expense).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43"/>
        </w:trPr>
        <w:tc>
          <w:tcPr>
            <w:tcW w:w="9340" w:type="dxa"/>
            <w:vAlign w:val="bottom"/>
            <w:shd w:val="clear" w:color="auto" w:fill="CCEEFF"/>
          </w:tcPr>
          <w:p>
            <w:pPr>
              <w:jc w:val="right"/>
              <w:ind w:right="7459"/>
              <w:spacing w:after="0"/>
              <w:rPr>
                <w:sz w:val="20"/>
                <w:szCs w:val="20"/>
                <w:color w:val="auto"/>
              </w:rPr>
            </w:pPr>
            <w:r>
              <w:rPr>
                <w:rFonts w:ascii="Arial" w:cs="Arial" w:eastAsia="Arial" w:hAnsi="Arial"/>
                <w:sz w:val="18"/>
                <w:szCs w:val="18"/>
                <w:color w:val="auto"/>
                <w:w w:val="90"/>
              </w:rPr>
              <w:t>Quarter ended March 31</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3"/>
              </w:rPr>
              <w:t>43.5%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9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overall increase in the effective tax rate in the first quarter of 2017 when compared with the same period in 2016 was due to additional income tax expense related to the final sale of BM&amp;FBOVESPA shares that was reclassified from accumulated other comprehensive income.</w:t>
      </w:r>
    </w:p>
    <w:p>
      <w:pPr>
        <w:sectPr>
          <w:pgSz w:w="11900" w:h="16838" w:orient="portrait"/>
          <w:cols w:equalWidth="0" w:num="1">
            <w:col w:w="11420"/>
          </w:cols>
          <w:pgMar w:left="240" w:top="125"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remained relatively flat in the first quarter of 2017 when compared with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2016. Net cash provided by investing activities increased in the first quarter of 2017 when compared with the same period of 2016 due to proceeds received from our sale of BM&amp;FBOVESPA shares in the first quarter of 2017. Cash used in financing activities was higher in the first quarter of 2017 when compared with the same period in 2016. The increase was attributable to higher cash dividends paid in the first quarter of 2017 when compared with the same period in 2016. The increase was partially offset by proceeds from a finance lease obligation related to the sale-leaseback of the datacenter in the first quarter of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March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4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March 31, 2017, guaranty funds available to collateralize the facility totaled $8.2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5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2017,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2017, we were in compliance with the various covenant requirements of all our debt facilities.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standby letters of credit. At March 31, 2017, the letters of credit totaled $435.0 million.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March 31,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$1.3 billion and $1.9 billion at March 31, 2017 and December 31, 2016,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w:t>
      </w:r>
    </w:p>
    <w:p>
      <w:pPr>
        <w:jc w:val="both"/>
        <w:ind w:right="80"/>
        <w:spacing w:after="0" w:line="302" w:lineRule="auto"/>
        <w:rPr>
          <w:sz w:val="20"/>
          <w:szCs w:val="20"/>
          <w:color w:val="auto"/>
        </w:rPr>
      </w:pPr>
      <w:r>
        <w:rPr>
          <w:rFonts w:ascii="Arial" w:cs="Arial" w:eastAsia="Arial" w:hAnsi="Arial"/>
          <w:sz w:val="16"/>
          <w:szCs w:val="16"/>
          <w:color w:val="auto"/>
        </w:rPr>
        <w:t>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Regulatory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CME and CMECE are regulated by the CFTC as U.S. Derivatives Clearing Organizations (DCO). DCOs are required to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Dodd-Frank. As a result, CME must comply with the requirements for financial resources and liquidity resources. CME and CMECE are in compliance with all DCO financial requirements.</w:t>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May 2014, the Financial Accounting Standards Board (FASB) issued a new standard on revenue recognition that 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application of the new standard becomes effective in the first annual period beginning after December 15, 2017, with early adoption permitted. This guidance may be adopted using one of two transition methods: retrospectively to each prior reporting period presented (full retrospective method) or retrospectively with the cumulative effect of initially applying the guidance recognized at the date of initial adoption (the modified retrospective approach). We are on course to comply with the guidance by the effective date. We are currently in the contract review phase, which is expected to be completed by mid-2017. We expect to reach a conclusion on whether there will be changes in revenue recognition, which method of adoption will be used and the impact the guidance will have on policies, processes and controls by the third quarter of 2017.</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We are in the process of evaluating the impact of this update on our consolidated financial statements.</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update is effective for reporting periods beginning after December 15, 2018. Early adoption is permitted. We are in the process of evaluating the impact of this update on our consolidated financial statements.</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We are in the process of evaluating the impact of this standard on our consolidated financial statements.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is effective for fiscal years beginning after December 15, 2017 and interim periods within those fiscal years. Early adoption is permitted. The amendments must be applied using a retrospective transition method to each period presented. We are in the process of evaluating the impact of this update on our consolidated financial statements.</w:t>
      </w:r>
    </w:p>
    <w:p>
      <w:pPr>
        <w:spacing w:after="0" w:line="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March 2017, the FASB issued a standards update that will change certain presentation and disclosure requirements for employers that sponsor defined benefit pension as well as other postretirement benefit plans. Under current accounting rules, defined benefit pension cost and postretirement benefit cost (net benefit cost) comprise several components that reflect different aspects of an employer’s financial arrangements as well as the cost of benefits provided to the employees. Those components are aggregated for reporting in the financial statements within compensation and benefits on the income statement. The amendments in the update require that the service cost component is reported in the same line as other compensation costs, whereas the other components of net benefit cost are required to be presented in the income statement separately from the service cost component. The amendments are effective for reporting periods beginning after December 15, 2017. Early adoption is permitted as of the beginning of an annual period for which financial statements have not been issued. We are in the process of evaluating the impact of this update on our consolidated financial statements.</w:t>
      </w:r>
    </w:p>
    <w:p>
      <w:pPr>
        <w:spacing w:after="0" w:line="10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2016. Refer to Item 7A. of CME Group’s Annual Report on Form 10-K for the year ended December 31, 2016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40" w:firstLine="8"/>
        <w:spacing w:after="0" w:line="273"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27, 2017.</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27, 2017.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115.90</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February 1 to February 28</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14,153</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122.83</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to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80,716</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124.73</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94,923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124.44</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94,923 shares of Class A common stock surrendered in the first quarter of 2017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004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00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10040" w:type="dxa"/>
            <w:vAlign w:val="bottom"/>
          </w:tcPr>
          <w:p>
            <w:pPr>
              <w:ind w:left="360"/>
              <w:spacing w:after="0"/>
              <w:rPr>
                <w:sz w:val="20"/>
                <w:szCs w:val="20"/>
                <w:color w:val="auto"/>
              </w:rPr>
            </w:pPr>
            <w:r>
              <w:rPr>
                <w:rFonts w:ascii="Arial" w:cs="Arial" w:eastAsia="Arial" w:hAnsi="Arial"/>
                <w:sz w:val="18"/>
                <w:szCs w:val="18"/>
                <w:color w:val="auto"/>
                <w:w w:val="91"/>
              </w:rPr>
              <w:t>Thirteenth Amended and Restated Bylaws of CME Group Inc. (incorporated by reference to Exhibit 3.1 to CME Group Inc.’s Form 8-</w:t>
            </w:r>
          </w:p>
        </w:tc>
      </w:tr>
      <w:tr>
        <w:trPr>
          <w:trHeight w:val="230"/>
        </w:trPr>
        <w:tc>
          <w:tcPr>
            <w:tcW w:w="1280" w:type="dxa"/>
            <w:vAlign w:val="bottom"/>
          </w:tcPr>
          <w:p>
            <w:pPr>
              <w:spacing w:after="0"/>
              <w:rPr>
                <w:sz w:val="20"/>
                <w:szCs w:val="20"/>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K, filed with the SEC on February 13, 2017, File No. 001-31553)</w:t>
            </w:r>
          </w:p>
        </w:tc>
      </w:tr>
      <w:tr>
        <w:trPr>
          <w:trHeight w:val="418"/>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10040" w:type="dxa"/>
            <w:vAlign w:val="bottom"/>
          </w:tcPr>
          <w:p>
            <w:pPr>
              <w:ind w:left="360"/>
              <w:spacing w:after="0"/>
              <w:rPr>
                <w:sz w:val="20"/>
                <w:szCs w:val="20"/>
                <w:color w:val="auto"/>
              </w:rPr>
            </w:pPr>
            <w:r>
              <w:rPr>
                <w:rFonts w:ascii="Arial" w:cs="Arial" w:eastAsia="Arial" w:hAnsi="Arial"/>
                <w:sz w:val="18"/>
                <w:szCs w:val="18"/>
                <w:color w:val="auto"/>
                <w:w w:val="95"/>
              </w:rPr>
              <w:t>Retirement Agreement, dated February 15, 2017, between CME Group Inc. and Phupinder S. Gill (incorporated by reference to</w:t>
            </w:r>
          </w:p>
        </w:tc>
      </w:tr>
      <w:tr>
        <w:trPr>
          <w:trHeight w:val="230"/>
        </w:trPr>
        <w:tc>
          <w:tcPr>
            <w:tcW w:w="1280" w:type="dxa"/>
            <w:vAlign w:val="bottom"/>
          </w:tcPr>
          <w:p>
            <w:pPr>
              <w:spacing w:after="0"/>
              <w:rPr>
                <w:sz w:val="20"/>
                <w:szCs w:val="20"/>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Exhibit 10.1 to CME Group Inc.’s Form 8-K, filed with the SEC on February 17, 2017, File No. 001-31553)</w:t>
            </w:r>
          </w:p>
        </w:tc>
      </w:tr>
      <w:tr>
        <w:trPr>
          <w:trHeight w:val="446"/>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0040" w:type="dxa"/>
            <w:vAlign w:val="bottom"/>
          </w:tcPr>
          <w:p>
            <w:pPr>
              <w:ind w:left="360"/>
              <w:spacing w:after="0"/>
              <w:rPr>
                <w:sz w:val="20"/>
                <w:szCs w:val="20"/>
                <w:color w:val="auto"/>
              </w:rPr>
            </w:pPr>
            <w:r>
              <w:rPr>
                <w:rFonts w:ascii="Arial" w:cs="Arial" w:eastAsia="Arial" w:hAnsi="Arial"/>
                <w:sz w:val="18"/>
                <w:szCs w:val="18"/>
                <w:color w:val="auto"/>
              </w:rPr>
              <w:t>Section 302 Certification—Terrence A. Duffy</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0040" w:type="dxa"/>
            <w:vAlign w:val="bottom"/>
          </w:tcPr>
          <w:p>
            <w:pPr>
              <w:ind w:left="360"/>
              <w:spacing w:after="0"/>
              <w:rPr>
                <w:sz w:val="20"/>
                <w:szCs w:val="20"/>
                <w:color w:val="auto"/>
              </w:rPr>
            </w:pPr>
            <w:r>
              <w:rPr>
                <w:rFonts w:ascii="Arial" w:cs="Arial" w:eastAsia="Arial" w:hAnsi="Arial"/>
                <w:sz w:val="18"/>
                <w:szCs w:val="18"/>
                <w:color w:val="auto"/>
              </w:rPr>
              <w:t>Section 302 Certification—John W. Pietrowicz</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0040" w:type="dxa"/>
            <w:vAlign w:val="bottom"/>
          </w:tcPr>
          <w:p>
            <w:pPr>
              <w:ind w:left="360"/>
              <w:spacing w:after="0"/>
              <w:rPr>
                <w:sz w:val="20"/>
                <w:szCs w:val="20"/>
                <w:color w:val="auto"/>
              </w:rPr>
            </w:pPr>
            <w:r>
              <w:rPr>
                <w:rFonts w:ascii="Arial" w:cs="Arial" w:eastAsia="Arial" w:hAnsi="Arial"/>
                <w:sz w:val="18"/>
                <w:szCs w:val="18"/>
                <w:color w:val="auto"/>
              </w:rPr>
              <w:t>Section 906 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108"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125"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May 4, 2017</w:t>
      </w:r>
      <w:r>
        <w:rPr>
          <w:sz w:val="20"/>
          <w:szCs w:val="20"/>
          <w:color w:val="auto"/>
        </w:rPr>
        <w:tab/>
      </w:r>
      <w:r>
        <w:rPr>
          <w:rFonts w:ascii="Arial" w:cs="Arial" w:eastAsia="Arial" w:hAnsi="Arial"/>
          <w:sz w:val="16"/>
          <w:szCs w:val="16"/>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May 4, 2017</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2017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2017</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2019-12-29T07:44:53Z</dcterms:created>
  <dcterms:modified xsi:type="dcterms:W3CDTF">2019-12-29T07:44:53Z</dcterms:modified>
</cp:coreProperties>
</file>