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640" w:hanging="614"/>
        <w:spacing w:after="0" w:line="190" w:lineRule="auto"/>
        <w:tabs>
          <w:tab w:leader="none" w:pos="6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6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8"/>
                <w:szCs w:val="18"/>
                <w:color w:val="auto"/>
              </w:rPr>
            </w:pPr>
          </w:p>
        </w:tc>
        <w:tc>
          <w:tcPr>
            <w:tcW w:w="366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OR</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420" w:type="dxa"/>
            <w:vAlign w:val="bottom"/>
            <w:vMerge w:val="continue"/>
          </w:tcPr>
          <w:p>
            <w:pPr>
              <w:spacing w:after="0"/>
              <w:rPr>
                <w:sz w:val="24"/>
                <w:szCs w:val="24"/>
                <w:color w:val="auto"/>
              </w:rPr>
            </w:pPr>
          </w:p>
        </w:tc>
        <w:tc>
          <w:tcPr>
            <w:tcW w:w="108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001-31553</w:t>
            </w: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5"/>
        </w:trPr>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80" w:type="dxa"/>
            <w:vAlign w:val="bottom"/>
            <w:gridSpan w:val="2"/>
          </w:tcPr>
          <w:p>
            <w:pPr>
              <w:jc w:val="center"/>
              <w:ind w:right="3654"/>
              <w:spacing w:after="0"/>
              <w:rPr>
                <w:sz w:val="20"/>
                <w:szCs w:val="20"/>
                <w:color w:val="auto"/>
              </w:rPr>
            </w:pPr>
            <w:r>
              <w:rPr>
                <w:rFonts w:ascii="Times New Roman" w:cs="Times New Roman" w:eastAsia="Times New Roman" w:hAnsi="Times New Roman"/>
                <w:sz w:val="43"/>
                <w:szCs w:val="43"/>
                <w:b w:val="1"/>
                <w:bCs w:val="1"/>
                <w:color w:val="auto"/>
              </w:rPr>
              <w:t>CME GROUP INC.</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spacing w:after="0"/>
              <w:rPr>
                <w:sz w:val="22"/>
                <w:szCs w:val="22"/>
                <w:color w:val="auto"/>
              </w:rPr>
            </w:pPr>
          </w:p>
        </w:tc>
        <w:tc>
          <w:tcPr>
            <w:tcW w:w="3820" w:type="dxa"/>
            <w:vAlign w:val="bottom"/>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36-4459170</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660" w:type="dxa"/>
            <w:vAlign w:val="bottom"/>
          </w:tcPr>
          <w:p>
            <w:pPr>
              <w:spacing w:after="0"/>
              <w:rPr>
                <w:sz w:val="13"/>
                <w:szCs w:val="13"/>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32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6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6980" w:type="dxa"/>
            <w:vAlign w:val="bottom"/>
            <w:gridSpan w:val="2"/>
          </w:tcPr>
          <w:p>
            <w:pPr>
              <w:jc w:val="center"/>
              <w:ind w:right="2032"/>
              <w:spacing w:after="0"/>
              <w:rPr>
                <w:sz w:val="20"/>
                <w:szCs w:val="20"/>
                <w:color w:val="auto"/>
              </w:rPr>
            </w:pPr>
            <w:r>
              <w:rPr>
                <w:rFonts w:ascii="Times New Roman" w:cs="Times New Roman" w:eastAsia="Times New Roman" w:hAnsi="Times New Roman"/>
                <w:sz w:val="14"/>
                <w:szCs w:val="14"/>
                <w:b w:val="1"/>
                <w:bCs w:val="1"/>
                <w:color w:val="auto"/>
              </w:rPr>
              <w:t>20 South Wacker Drive Chicago Illinois</w:t>
            </w:r>
          </w:p>
        </w:tc>
        <w:tc>
          <w:tcPr>
            <w:tcW w:w="382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60606</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6980" w:type="dxa"/>
            <w:vAlign w:val="bottom"/>
            <w:gridSpan w:val="2"/>
          </w:tcPr>
          <w:p>
            <w:pPr>
              <w:jc w:val="center"/>
              <w:ind w:right="203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82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43"/>
        </w:trPr>
        <w:tc>
          <w:tcPr>
            <w:tcW w:w="420" w:type="dxa"/>
            <w:vAlign w:val="bottom"/>
          </w:tcPr>
          <w:p>
            <w:pPr>
              <w:spacing w:after="0"/>
              <w:rPr>
                <w:sz w:val="24"/>
                <w:szCs w:val="24"/>
                <w:color w:val="auto"/>
              </w:rPr>
            </w:pPr>
          </w:p>
        </w:tc>
        <w:tc>
          <w:tcPr>
            <w:tcW w:w="10800" w:type="dxa"/>
            <w:vAlign w:val="bottom"/>
            <w:gridSpan w:val="3"/>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(312) 930-1000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6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820" w:type="dxa"/>
            <w:vAlign w:val="bottom"/>
            <w:tcBorders>
              <w:bottom w:val="single" w:sz="8" w:color="auto"/>
            </w:tcBorders>
          </w:tcPr>
          <w:p>
            <w:pPr>
              <w:jc w:val="center"/>
              <w:ind w:right="1134"/>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320" w:type="dxa"/>
            <w:vAlign w:val="bottom"/>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Class A Common Stock $0.01 par value</w:t>
            </w: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CME</w:t>
            </w:r>
          </w:p>
        </w:tc>
        <w:tc>
          <w:tcPr>
            <w:tcW w:w="3820" w:type="dxa"/>
            <w:vAlign w:val="bottom"/>
          </w:tcPr>
          <w:p>
            <w:pPr>
              <w:jc w:val="center"/>
              <w:ind w:right="1154"/>
              <w:spacing w:after="0"/>
              <w:rPr>
                <w:sz w:val="20"/>
                <w:szCs w:val="20"/>
                <w:color w:val="auto"/>
              </w:rPr>
            </w:pPr>
            <w:r>
              <w:rPr>
                <w:rFonts w:ascii="Times New Roman" w:cs="Times New Roman" w:eastAsia="Times New Roman" w:hAnsi="Times New Roman"/>
                <w:sz w:val="13"/>
                <w:szCs w:val="13"/>
                <w:b w:val="1"/>
                <w:bCs w:val="1"/>
                <w:color w:val="auto"/>
                <w:w w:val="95"/>
              </w:rPr>
              <w:t>Nasdaq</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color w:val="auto"/>
        </w:rPr>
        <w:t>____________________________________________________</w:t>
      </w:r>
    </w:p>
    <w:p>
      <w:pPr>
        <w:spacing w:after="0" w:line="49"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pacing w:after="0" w:line="1" w:lineRule="exact"/>
        <w:rPr>
          <w:sz w:val="24"/>
          <w:szCs w:val="24"/>
          <w:color w:val="auto"/>
        </w:rPr>
      </w:pPr>
    </w:p>
    <w:p>
      <w:pPr>
        <w:ind w:right="328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0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3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was approximately $98.9 billion (based on the closing price per share of CME Group Inc. Class A common stock on the Nasdaq Global Select Market (Nasdaq) on such date). The number of shares outstanding of each of the registrant’s classes of common stock as of February 11, 2026 was as follows: 358,622,331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4" w:lineRule="exact"/>
        <w:rPr>
          <w:sz w:val="24"/>
          <w:szCs w:val="24"/>
          <w:color w:val="auto"/>
        </w:rPr>
      </w:pPr>
    </w:p>
    <w:p>
      <w:pPr>
        <w:ind w:left="2660"/>
        <w:spacing w:after="0"/>
        <w:tabs>
          <w:tab w:leader="none" w:pos="8020" w:val="left"/>
        </w:tabs>
        <w:rPr>
          <w:sz w:val="20"/>
          <w:szCs w:val="20"/>
          <w:color w:val="auto"/>
        </w:rPr>
      </w:pPr>
      <w:r>
        <w:rPr>
          <w:rFonts w:ascii="Times New Roman" w:cs="Times New Roman" w:eastAsia="Times New Roman" w:hAnsi="Times New Roman"/>
          <w:sz w:val="13"/>
          <w:szCs w:val="13"/>
          <w:b w:val="1"/>
          <w:bCs w:val="1"/>
          <w:color w:val="auto"/>
        </w:rPr>
        <w:t>Documents</w:t>
      </w:r>
      <w:r>
        <w:rPr>
          <w:sz w:val="20"/>
          <w:szCs w:val="20"/>
          <w:color w:val="auto"/>
        </w:rPr>
        <w:tab/>
      </w:r>
      <w:r>
        <w:rPr>
          <w:rFonts w:ascii="Times New Roman" w:cs="Times New Roman" w:eastAsia="Times New Roman" w:hAnsi="Times New Roman"/>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sectPr>
      </w:pPr>
    </w:p>
    <w:p>
      <w:pPr>
        <w:spacing w:after="0" w:line="37" w:lineRule="exact"/>
        <w:rPr>
          <w:sz w:val="24"/>
          <w:szCs w:val="24"/>
          <w:color w:val="auto"/>
        </w:rPr>
      </w:pPr>
    </w:p>
    <w:p>
      <w:pPr>
        <w:ind w:left="20"/>
        <w:spacing w:after="0"/>
        <w:tabs>
          <w:tab w:leader="none" w:pos="8400" w:val="left"/>
        </w:tabs>
        <w:rPr>
          <w:sz w:val="20"/>
          <w:szCs w:val="20"/>
          <w:color w:val="auto"/>
        </w:rPr>
      </w:pPr>
      <w:r>
        <w:rPr>
          <w:rFonts w:ascii="Times New Roman" w:cs="Times New Roman" w:eastAsia="Times New Roman" w:hAnsi="Times New Roman"/>
          <w:sz w:val="14"/>
          <w:szCs w:val="14"/>
          <w:color w:val="auto"/>
        </w:rPr>
        <w:t>Portions of CME Group Inc.’s Proxy Statement for the 2026 Annual Meeting of Shareholders</w:t>
      </w:r>
      <w:r>
        <w:rPr>
          <w:sz w:val="20"/>
          <w:szCs w:val="20"/>
          <w:color w:val="auto"/>
        </w:rPr>
        <w:tab/>
      </w:r>
      <w:r>
        <w:rPr>
          <w:rFonts w:ascii="Times New Roman" w:cs="Times New Roman" w:eastAsia="Times New Roman" w:hAnsi="Times New Roman"/>
          <w:sz w:val="13"/>
          <w:szCs w:val="13"/>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5"/>
            <w:vMerge w:val="restart"/>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7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360" w:type="dxa"/>
            <w:vAlign w:val="bottom"/>
            <w:gridSpan w:val="2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Unresolved Staff Comments</w:t>
            </w:r>
          </w:p>
        </w:tc>
        <w:tc>
          <w:tcPr>
            <w:tcW w:w="6180" w:type="dxa"/>
            <w:vAlign w:val="bottom"/>
            <w:gridSpan w:val="1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Cybersecurity</w:t>
            </w:r>
          </w:p>
        </w:tc>
        <w:tc>
          <w:tcPr>
            <w:tcW w:w="7240" w:type="dxa"/>
            <w:vAlign w:val="bottom"/>
            <w:gridSpan w:val="19"/>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7540" w:type="dxa"/>
            <w:vAlign w:val="bottom"/>
            <w:gridSpan w:val="2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20" w:type="dxa"/>
            <w:vAlign w:val="bottom"/>
            <w:gridSpan w:val="4"/>
          </w:tcPr>
          <w:p>
            <w:pPr>
              <w:spacing w:after="0"/>
              <w:rPr>
                <w:sz w:val="22"/>
                <w:szCs w:val="22"/>
                <w:color w:val="auto"/>
              </w:rPr>
            </w:pP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Shareholder Matters and Issuer Purchases of Equity</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Securities</w:t>
            </w:r>
          </w:p>
        </w:tc>
        <w:tc>
          <w:tcPr>
            <w:tcW w:w="7140" w:type="dxa"/>
            <w:vAlign w:val="bottom"/>
            <w:tcBorders>
              <w:top w:val="single" w:sz="8" w:color="0000FF"/>
            </w:tcBorders>
            <w:gridSpan w:val="22"/>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[Reserved]</w:t>
            </w:r>
          </w:p>
        </w:tc>
        <w:tc>
          <w:tcPr>
            <w:tcW w:w="7500" w:type="dxa"/>
            <w:vAlign w:val="bottom"/>
            <w:gridSpan w:val="21"/>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1500" w:type="dxa"/>
            <w:vAlign w:val="bottom"/>
            <w:gridSpan w:val="4"/>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3720" w:type="dxa"/>
            <w:vAlign w:val="bottom"/>
            <w:gridSpan w:val="7"/>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68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Changes in and Disagreements with Accountants on Accounting and Financial Disclosure</w:t>
            </w:r>
          </w:p>
        </w:tc>
        <w:tc>
          <w:tcPr>
            <w:tcW w:w="1480" w:type="dxa"/>
            <w:vAlign w:val="bottom"/>
            <w:gridSpan w:val="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6420" w:type="dxa"/>
            <w:vAlign w:val="bottom"/>
            <w:gridSpan w:val="13"/>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Directors, Executive Officers and Corporate Governance</w:t>
            </w:r>
          </w:p>
        </w:tc>
        <w:tc>
          <w:tcPr>
            <w:tcW w:w="3960" w:type="dxa"/>
            <w:vAlign w:val="bottom"/>
            <w:gridSpan w:val="8"/>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Shareholder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Related Transactions and Director Independence</w:t>
            </w:r>
          </w:p>
        </w:tc>
        <w:tc>
          <w:tcPr>
            <w:tcW w:w="520" w:type="dxa"/>
            <w:vAlign w:val="bottom"/>
            <w:gridSpan w:val="2"/>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5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Principal Accountant Fees and Services</w:t>
            </w:r>
          </w:p>
        </w:tc>
        <w:tc>
          <w:tcPr>
            <w:tcW w:w="2820" w:type="dxa"/>
            <w:vAlign w:val="bottom"/>
            <w:gridSpan w:val="5"/>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3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Exhibits and Financial Statement Schedules</w:t>
            </w:r>
          </w:p>
        </w:tc>
        <w:tc>
          <w:tcPr>
            <w:tcW w:w="4960" w:type="dxa"/>
            <w:vAlign w:val="bottom"/>
            <w:gridSpan w:val="10"/>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8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7"/>
          </w:tcPr>
          <w:p>
            <w:pPr>
              <w:jc w:val="center"/>
              <w:ind w:left="389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References to "CME" are to Chicago Mercantile Exchange Inc., to "CBOT" are to Board of Trade of the City of Chicago, Inc., to "NYMEX" are to New York Mercantile Exchange, Inc. and to "COMEX" are to the Commodity Exchange, Inc. All references to "options" or "options contracts" in the text of this document refer to options on futures contracts. Further information about CME Group and its products can be found at http://www.cmegroup.com. Information made available on our website does not constitute a part of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Unless otherwise noted, all amounts regarding contract volume and average rate per contract are for CME Group's listed futures and options on futures contracts and exclude CME Group's event contracts.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4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CME. All other trademarks are the property of their respective owners.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You should carefully read this entire Annual Report on Form 10-K, including “Part II.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whether as a result of new information, future events or otherwise. For any forward-looking statements contained in any document, we claim the protection of the safe harbor for forward-looking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contained in the Private Securities Litigation Reform Act of 1995. Among the factors that might affect our performance are:</w:t>
      </w:r>
    </w:p>
    <w:p>
      <w:pPr>
        <w:spacing w:after="0" w:line="63" w:lineRule="exact"/>
        <w:rPr>
          <w:sz w:val="20"/>
          <w:szCs w:val="20"/>
          <w:color w:val="auto"/>
        </w:rPr>
      </w:pPr>
    </w:p>
    <w:p>
      <w:pPr>
        <w:ind w:left="660" w:right="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associated with CME Group's transition to the Google Cloud, and minimizing the duplicative costs of maintaining both on-premise and Google Cloud environments during the transition;</w:t>
      </w:r>
    </w:p>
    <w:p>
      <w:pPr>
        <w:spacing w:after="0" w:line="1"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resilience of our electronic platforms and the soundness of our business continuity and disaster recovery plans, including in the event of cyberattacks and cyberterrorism or as impacted by a failure of or disruption at one of our suppliers;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63" w:lineRule="exact"/>
        <w:rPr>
          <w:rFonts w:ascii="Times New Roman" w:cs="Times New Roman" w:eastAsia="Times New Roman" w:hAnsi="Times New Roman"/>
          <w:sz w:val="18"/>
          <w:szCs w:val="18"/>
          <w:color w:val="auto"/>
        </w:rPr>
      </w:pPr>
    </w:p>
    <w:p>
      <w:pPr>
        <w:ind w:left="660" w:right="14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third-party providers and exposure to risk from third parties, including risks related to the performance, reliability and security of technology used by, or facilities provided by, our third-party providers and third-party providers that our clients and third-parties rely on;</w:t>
      </w:r>
    </w:p>
    <w:p>
      <w:pPr>
        <w:ind w:left="660" w:right="2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the volatility of the capital and credit markets and the impact of economic conditions on the trading activity of our current and potential customers;</w:t>
      </w:r>
    </w:p>
    <w:p>
      <w:pPr>
        <w:spacing w:after="0" w:line="1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meeting our regulatory obligations and customer needs without failure or degradation of the performance of our trading and clearing systems;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and benefits from our strategy for acquisitions, investments, alliances, strategic partnerships and joint ventures;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 beginning on 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CME Group enables clients to trade futures, options, cash and over-the-counter (OTC) products, optimize portfolios and analyze data - empowering market participants worldwide to efficiently manage risk and capture opportunities. CME Group provides primary price discovery and referential pricing information through its market data in a variety of formats, including real-time, historical and derived data for customers in both listed and cash products. CME Group also offers industry-leading research and analytics tools to provide customers with market education resources. In addition, it operates one of the world's leading central counterparty clearing providers.</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20 South Wacker Drive, Chicago, Illinois 60606, our telephone number is 312-930-1000 and our website is </w:t>
      </w:r>
      <w:r>
        <w:rPr>
          <w:rFonts w:ascii="Times New Roman" w:cs="Times New Roman" w:eastAsia="Times New Roman" w:hAnsi="Times New Roman"/>
          <w:sz w:val="18"/>
          <w:szCs w:val="18"/>
          <w:i w:val="1"/>
          <w:iCs w:val="1"/>
          <w:color w:val="auto"/>
        </w:rPr>
        <w:t>cmegroup.com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graphic below provides a brief overview of key events within CME Group's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85725</wp:posOffset>
            </wp:positionV>
            <wp:extent cx="5837555" cy="3891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755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CME Group exchanges offer the widest range of global benchmark products across interest rates, equity indexes, foreign exchange (FX), and agricultural, energy and metals commodities. We also offer cash and repo fixed income trading via BrokerTec, and spot and OTC FX trading via EBS. Additionally, we operate one of the world’s leading central counterparty clearing providers.</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Exchange Business: </w:t>
      </w:r>
      <w:r>
        <w:rPr>
          <w:rFonts w:ascii="Times New Roman" w:cs="Times New Roman" w:eastAsia="Times New Roman" w:hAnsi="Times New Roman"/>
          <w:sz w:val="18"/>
          <w:szCs w:val="18"/>
          <w:color w:val="auto"/>
        </w:rPr>
        <w:t>Our broad set of products offered on our derivatives exchanges (CME, CBOT, NYMEX and COMEX) are important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tools for our clients around the globe. We believe our customers value the diversity of our products, liquidity, price transparency and technological capabilities. Market liquidity - or the ability of a market to absorb the execution of large purchases or sales quickly and efficiently - is key to attracting and retaining customers and contributing to a market's success. Our products provide a means for hedging, speculation and asset allocation related to the risks associated with, among other things, interest rate sensitive instruments, equity ownership, cryptocurrency ownership, changes in the value of foreign currency and changes in the prices of agricultural, energy and metal commodities. The following highlights our key products:</w:t>
      </w:r>
    </w:p>
    <w:p>
      <w:pPr>
        <w:spacing w:after="0" w:line="7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Interest Rates — </w:t>
      </w:r>
      <w:r>
        <w:rPr>
          <w:rFonts w:ascii="Times New Roman" w:cs="Times New Roman" w:eastAsia="Times New Roman" w:hAnsi="Times New Roman"/>
          <w:sz w:val="18"/>
          <w:szCs w:val="18"/>
          <w:color w:val="auto"/>
        </w:rPr>
        <w:t>SOFR, U.S. Treasury and Federal Funds.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Equity Indices — </w:t>
      </w:r>
      <w:r>
        <w:rPr>
          <w:rFonts w:ascii="Times New Roman" w:cs="Times New Roman" w:eastAsia="Times New Roman" w:hAnsi="Times New Roman"/>
          <w:sz w:val="18"/>
          <w:szCs w:val="18"/>
          <w:color w:val="auto"/>
        </w:rPr>
        <w:t>E-mini S&amp;P 500, E-mini Nasdaq 100 and E-mini Russell 2000.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Foreign Exchange — </w:t>
      </w:r>
      <w:r>
        <w:rPr>
          <w:rFonts w:ascii="Times New Roman" w:cs="Times New Roman" w:eastAsia="Times New Roman" w:hAnsi="Times New Roman"/>
          <w:sz w:val="18"/>
          <w:szCs w:val="18"/>
          <w:color w:val="auto"/>
        </w:rPr>
        <w:t>Euro, Japanese yen, British pound and Australian dollar.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Agricultural Commodities — </w:t>
      </w:r>
      <w:r>
        <w:rPr>
          <w:rFonts w:ascii="Times New Roman" w:cs="Times New Roman" w:eastAsia="Times New Roman" w:hAnsi="Times New Roman"/>
          <w:sz w:val="18"/>
          <w:szCs w:val="18"/>
          <w:color w:val="auto"/>
        </w:rPr>
        <w:t>corn, soybean, wheat and livestock.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 WTI crude oil, natural gas and refined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Metals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gold, copper and silver.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Cryptocurrencies </w:t>
      </w:r>
      <w:r>
        <w:rPr>
          <w:rFonts w:ascii="Times New Roman" w:cs="Times New Roman" w:eastAsia="Times New Roman" w:hAnsi="Times New Roman"/>
          <w:sz w:val="18"/>
          <w:szCs w:val="18"/>
          <w:color w:val="auto"/>
        </w:rPr>
        <w:t>— Bitcoin, Ether, Solana and XRP.</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CME Group products are traded primarily through CME Globex, as well as by open outcry in Chicago for SOFR options and through privately negotiated transactions.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strive to provide the most flexible and scalable platforms to support the operational and capacity needs of our business along with the delivery of innovative technology solutions to the marketplace. Our CME Globex electronic trading system operates our central limit order book (CLOB) markets. The CME Globex platform is accessible through a wide variety of vendor-provided and custom-built trading systems that benefit from our open application programming interface approach. For electronic and privately negotiated markets, we offer brokers and customers the CME Direct platform for arranging, executing, recording and risk-managing trades across all six major asset classes. We also provide the functionality to connect to CME Direct on a mobile device through our CME Direct Mobile application with full trading and on-the-go order management capabilities.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and flexibility of execution;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capabilities to facilitate complex and demanding trading;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 access;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access, price transparency and anonymity;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efficiency;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through highly secure, resilient and low-latency network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market data;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including connectivity through high-speed international telecommunications hubs in key financial centers.</w:t>
      </w:r>
    </w:p>
    <w:p>
      <w:pPr>
        <w:spacing w:after="0" w:line="11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maintain comprehensive business continuity and disaster recovery plans, as well as facilities designed to enable timely recovery and resumption of our markets in the event of a business disruption or disaster. We also maintain incident and crisis management plans that address responses to disruptive events.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trading rights and privileges are exchange-specific. Open outcry trading is conducted exclusively by our members. Membership on one of our 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2025, 85% of our contract volume was from trades by our members.</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Clearing Business: </w:t>
      </w:r>
      <w:r>
        <w:rPr>
          <w:rFonts w:ascii="Times New Roman" w:cs="Times New Roman" w:eastAsia="Times New Roman" w:hAnsi="Times New Roman"/>
          <w:sz w:val="18"/>
          <w:szCs w:val="18"/>
          <w:color w:val="auto"/>
        </w:rPr>
        <w:t>Through our derivatives clearing house, operated by CME, we provide clearing and settlement services for a broad range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exchange-traded futures and options on futures contracts, exchange-traded swaps and OTC derivatives. The CME ClearPort front-end system provides access to our flexible clearing services over multiple asset classes. Our integrated clearing function is designed to ensure the safety and the soundness of our derivatives markets by serving as the counterparty to every trade, becoming the buyer to each seller and the seller to each buyer, and limiting counterparty credit risk. The clearing house marks open positions to market at least twice each business day, requiring payments from clearing firms whose positions have lost value and making payments to clearing firms whose positions have gained value. For select cleared-only markets, positions are marked-to-market once each business day, with the capacity to mark-to-market more frequently as market conditions warrant. For physically-delivered exchange-traded derivatives contracts, if a clearing firm fails to fulfill a delivery obligation, the clearing house is responsible for covering the replacement cost to the clearing firm whose actions or omissions did not cause or contribute to the delivery failure. The clearing house has adopted processes to monitor for potential operational risks relating to the delivery of these physically-delivered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majority of clearing and transaction fees received from clearing firms represents charges for trades executed and cleared on behalf of their customers. One firm represented 12% of our clearing and transaction fees revenue for 2025. In the event a clearing firm were to withdraw, our experience indicates that the customer portion of the firm's trading activity would likely transfer to one or more other clearing firms of the exchange.</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Clearing Business: </w:t>
      </w:r>
      <w:r>
        <w:rPr>
          <w:rFonts w:ascii="Times New Roman" w:cs="Times New Roman" w:eastAsia="Times New Roman" w:hAnsi="Times New Roman"/>
          <w:sz w:val="18"/>
          <w:szCs w:val="18"/>
          <w:color w:val="auto"/>
        </w:rPr>
        <w:t>In December 2025, our subsidiary, CME Securities Clearing Inc. (CMESC) received approval from the U.S.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Commission (SEC) to become a securities clearing agency. The goal is for CMESC to help market participants comply with the upcoming SEC clearing requirements for U.S. Treasury transactions (as of December 31, 2026) and repo transactions (as of June 30, 2027). We expect to launch this service later in 2026 and position the company to offer additional capital and operational efficiencies to its clients.</w:t>
      </w:r>
    </w:p>
    <w:p>
      <w:pPr>
        <w:spacing w:after="0" w:line="6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Markets Business: </w:t>
      </w:r>
      <w:r>
        <w:rPr>
          <w:rFonts w:ascii="Times New Roman" w:cs="Times New Roman" w:eastAsia="Times New Roman" w:hAnsi="Times New Roman"/>
          <w:sz w:val="18"/>
          <w:szCs w:val="18"/>
          <w:color w:val="auto"/>
        </w:rPr>
        <w:t>Our cash markets business comprises BrokerTec and EBS, primarily operated on CME Globex. BrokerTec and EBS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anonymous and disclosed trading venues, offering clients multiple execution and distribution options and the benefit of an established and far-reaching distribution network of liquidity providers and consumers. BrokerTec and EBS are fully integrated with all major ISVs for order entry and staging as well as post trade for clearing and settlement, offering an efficient and fully electronic end-to-end trade workflow solution. Certain BrokerTec products are cleared through third-party clearing houses.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BrokerTec operates global electronic trading for fixed income and money market products, with a leading position in cash U.S. Treasuries, European Government Bonds, and Repo on European Union (EU), United Kingdom (UK), U.S. and other international G10 governments, emerging market fixed income instruments and Supranational and Agency Bonds. It facilitates trading for banks and non-bank professional trading firms, offering a dealer-to-dealer electronic trading platform operated on CME Globex. In 2025, we launched BrokerTec Chicago, a second CLOB for cash U.S. Treasuries co-located with our U.S. Treasury futures and options markets, to support trading between cash and derivatives markets. We also offer request-for-quote trading via BrokerTec Quote offering a dealer-to-client trading solution for the global government bond repo (including Emerging Markets) and credit repo markets. BrokerTec Quote also offers securities lending in European debt.</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EBS provides for the trading of global FX products across major and emerging market currencies and Spot Precious Metals. EBS Market is a CLOB electronic trading platform for spot FX, Spot Precious Metals and non-deliverable forwards. EBS Direct is a relationship-based trading platform offering Spot FX and Spot Precious Metals. In 2025, we launched FX Spot+, a trading platform that connects the over-the-counter (OTC) spot FX market with the deep liquidity of our FX futures complex.</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 Services Business: </w:t>
      </w:r>
      <w:r>
        <w:rPr>
          <w:rFonts w:ascii="Times New Roman" w:cs="Times New Roman" w:eastAsia="Times New Roman" w:hAnsi="Times New Roman"/>
          <w:sz w:val="18"/>
          <w:szCs w:val="18"/>
          <w:color w:val="auto"/>
        </w:rPr>
        <w:t>We offer a variety of data products and services through industry-leading data platforms and third-party distribution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designed to meet the risk-management, trading, investment and business needs of our global customer base. To this end, we provide proprietary real-time and historical market data related to CME Group's deeply liquid futures and options on futures exchanges and cash markets businesses. We further offer derived cash markets pricing, third-party and alternative data sets, as well as a wide range of analytic tools. As customers continue to leverage cloud technology to improve and evolve their businesses, CME Group has taken a leading role by becoming the first derivatives marketplace to provide live market data natively on the Google Cloud. CME Group is also the distributor of leading benchmark equity and commodity indices on behalf of third parties, as well as a distributor and licensor of our own proprietary benchmarks and indices, including CME Term SOFR Reference Rates (CME Term SOFR) and Term €STR Reference Rates, which adhere to the International Organization of Securities Commissions Principles for Financial Benchmarks and are administered by our UK regulated subsidiary, CME Benchmark Administration Limited (CME Benchmark).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strategic initiatives:</w:t>
      </w:r>
    </w:p>
    <w:p>
      <w:pPr>
        <w:spacing w:after="0" w:line="11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Futures and Options Growth Globally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strategy for driving growth and new customer acquisition centers on expanding, innovating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scaling our core offerings and increasing participation from customers. To achieve this, we focus on several key areas: optimizing our global sales team, cross-selling select products, launching new products and services while strengthening our existing product and service offerings, securing intellectual property rights to new products, enhancing our relationships and broadening our base of distribution partners, improving our data distribution capabilities, and deepening open interest in our core futures and options offerings.</w:t>
      </w:r>
    </w:p>
    <w:p>
      <w:pPr>
        <w:spacing w:after="0" w:line="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2025, CME Group futures and options had record average daily volume (ADV) of 28.1 million contracts. This included a third consecutive year of volume records in our interest rates asset class, as well as volume records for our agricultural, energy and metals products. In 2025, we experienced significant year-over-year ADV growth in recently launched products, including 32% growth in micro products and 11% growth in OTC alternative products, with more new products in the pipeline for 2026. Our product growth strategy is centered on the following key elements.</w:t>
      </w:r>
    </w:p>
    <w:p>
      <w:pPr>
        <w:spacing w:after="0" w:line="7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list products at the micro size across all six major derivatives asset classes. These products are designed to attract a new customer base.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options franchise continues to experience rapid volume growth, with new product launches gaining positive traction.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into Credit, Treasury bills and TBA (To-Be-Announced) Mortgage futures building on our strong foundation in U.S. Treasuries and SOFR.</w:t>
      </w:r>
    </w:p>
    <w:p>
      <w:pPr>
        <w:spacing w:after="0" w:line="53"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expanded trading to 24 hours a day, seven days a week for certain event contracts. We will begin offering 24/7 trading for our entire crypto suite in Q2 2026 to enable our customers to hedge exposure to the underlying cash markets for these products throughout the weekend.</w:t>
      </w:r>
    </w:p>
    <w:p>
      <w:pPr>
        <w:spacing w:after="0" w:line="31"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establishing a leadership position in and supporting the needs of our clients in the energy transition/environmental markets by expanding into bioenergy, water, battery metals and carbon products.</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introduction of more granular futures and options on futures contracts, such as those focused on specific seasons, events, weekly, or daily periods, is enabling our clients to execute more precise hedging strategies and generates additional spreading opportunities in conjunction with our current product offerings.</w:t>
      </w:r>
    </w:p>
    <w:p>
      <w:pPr>
        <w:spacing w:after="0" w:line="6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OTC alternative product suite brings traditional OTC functionality to CME Group market participants and assists with the growing need for operational and capital efficiencies.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focused on both expanding and deepening our global customer base by:</w:t>
      </w:r>
    </w:p>
    <w:p>
      <w:pPr>
        <w:spacing w:after="0" w:line="117" w:lineRule="exact"/>
        <w:rPr>
          <w:sz w:val="20"/>
          <w:szCs w:val="20"/>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our broad and diversified portfolio of benchmark products worldwide. Our significant investment in the expansion of our sales organization has resulted in a presence in over 10 countries, including our most recent expansion into the Middle East with the opening of a Dubai office. Moreover, we are committed to providing products that are regionally relevant.</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target cross-asset opportunities across client segments and across cash and futures platforms in an effort to drive sales and generate new client participation across all regions. In 2025, approximately 31% of our electronic futures and options volume was from transactions reported as outside the U.S. and approximately 53% of our market data revenue was derived from outside the U.S. We also achieved 6% growth in trading volume during European trading hours and 13% growth during Asia Pacific trading hours in 2025 compared to 2024.</w:t>
      </w:r>
    </w:p>
    <w:p>
      <w:pPr>
        <w:spacing w:after="0" w:line="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add new channel partners to help us expand the reach of CME Group offerings. We have a broad distribution network around the globe comprised of a combination of internal and external channels and proprietary front-end capabilities.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retail strategy focusing on the growth of top-tier and large new-to-futures brokers and broadening our contract offerings to better align with the investment strategies favored by retail traders. Our joint venture with FanDuel, a part of Flutter Entertainment plc, launched in December 2025. This partnership introduced a new prediction markets application designed for retail customers. The application offers access to our simplified event contracts covering both major financial and economic benchmarks and sporting events.</w:t>
      </w:r>
    </w:p>
    <w:p>
      <w:pPr>
        <w:spacing w:after="0" w:line="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new services and tools to assist our clients in managing their risks. We have a history of providing customer value and responsiveness and believe our products and services position us to help our customers adapt to and comply with new regulations, while enabling them to efficiently manage their risks. For example, in 2025, we launched CME FX Spot+ and BrokerTec Chicago.</w:t>
      </w:r>
    </w:p>
    <w:p>
      <w:pPr>
        <w:spacing w:after="0" w:line="6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Diversify our Business and Revenue </w:t>
      </w:r>
      <w:r>
        <w:rPr>
          <w:rFonts w:ascii="Times New Roman" w:cs="Times New Roman" w:eastAsia="Times New Roman" w:hAnsi="Times New Roman"/>
          <w:sz w:val="18"/>
          <w:szCs w:val="18"/>
          <w:color w:val="auto"/>
        </w:rPr>
        <w:t>- In addition to our focus for growing and strengthening our core futures and options franchise, we also strive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diversify our business and revenues.</w:t>
      </w:r>
    </w:p>
    <w:p>
      <w:pPr>
        <w:spacing w:after="0" w:line="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Through the acquisition of NEX, we added our cash markets business (BrokerTec and EBS), which generated $283.7 million of clearing and transaction fees in 2025.</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CME Group is well-positioned to capitalize on its ability to license CME Term SOFR, administered by CME Benchmark. CME Term SOFR is the only SOFR rate endorsed by the Alternative Reference Rates Committee and the Federal Reserve Board has formally endorsed the forward-looking term rates based on SOFR.</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Through our joint venture with S&amp;P Global, S&amp;P Dow Jones Indices LLC, we have a long-term, ownership-linked, exclusive license to list futures and options based on the S&amp;P 500 Index and certain other S&amp;P indices. S&amp;P Dow Jones Indices LLC combines the world class capabilities of the S&amp;P and Dow Jones Indices and is a significant player in passive investing, including the exchange-traded fund (ETF) industry value chain and offers leading fixed income and credit indices, such as iBoxx, iTraxx and CDX. We act as the joint venture's licensing agent and distribution services provider.</w:t>
      </w:r>
    </w:p>
    <w:p>
      <w:pPr>
        <w:spacing w:after="0" w:line="6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Unparalleled Customer Efficiencies and Operational Excellence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changing regulatory requirements for many of our customers,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margin requirements on uncleared trades, and the need for greater efficiencies, we have added tools to enable customers to manage clearing positions in our markets in an efficient manner. With the ongoing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implementation of regulatory reform in the U.S. and in Europe, along with global implementation of Basel III capital requirements on financial institutions, we expect centralized clearing and capital efficiencies to continue to be important for our global client base.</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provide a comprehensive multi-asset-class clearing solution to market participants for maximum operational ease and the capital efficiency that comes with connecting to our derivatives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which represent the majority of our open interest and collateral held against these positions. We also offer clearing services for event contracts, OTC interest rate swaps, FX forwards and commodity swaps.</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2023, we launched our SPAN 2 methodology and functionality, an enhancement to our original Standard Portfolio Analysis of Risk (SPAN) margin framework which has been the industry standard for margining. SPAN 2 is designed to respond to increasing demands on margin methodologies due to the growth in the diversity and complexity of products and the greater need for portfolio and capital efficiencies. Like its predecessor, SPAN 2 uses a value-at-risk approach, leveraging historical data to model potential value changes (gains or losses) for a position or portfolio across various risk scenarios. As of the end of 2025, the SPAN 2 framework has been implemented for our energy and equity products, with plans to transition interest rates, FX, agriculture and commodities. During the transition, customers can continue to use the SPAN margining system, which supports both the current and enhanced methodologies inside the system. The clearing house offers a range of margin services tools to enable customers to analyze their portfolios and determine the potential impact of the SPAN 2 framework on their margin requirements.</w:t>
      </w:r>
    </w:p>
    <w:p>
      <w:pPr>
        <w:spacing w:after="0" w:line="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commitment to providing customers with valuable opportunities for operational and capital efficiencies has resulted in significant market savings estimated at billions of dollars daily. In 2025, the average daily margin saving was approximately $72 billion.</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Offsets: Applying offsets across correlated futures and options on futures contracts across all asset classes traded at CME Group.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Margining: Offering margin offsets between futures and options on futures and cleared OTC instruments with common risk factors.</w:t>
      </w:r>
    </w:p>
    <w:p>
      <w:pPr>
        <w:spacing w:after="0" w:line="117" w:lineRule="exact"/>
        <w:rPr>
          <w:rFonts w:ascii="Times New Roman" w:cs="Times New Roman" w:eastAsia="Times New Roman" w:hAnsi="Times New Roman"/>
          <w:sz w:val="18"/>
          <w:szCs w:val="18"/>
          <w:color w:val="auto"/>
        </w:rPr>
      </w:pPr>
    </w:p>
    <w:p>
      <w:pPr>
        <w:ind w:left="660" w:right="60" w:hanging="328"/>
        <w:spacing w:after="0" w:line="271"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Cross-Margining Programs: These programs provide portfolio margin efficiencies and reduce performance bond requirements by offsetting positions between two clearing houses. We have established arrangements with the Fixed Income Clearing Corporation (FICC) and the Options Clearing Corporation (OCC). We have enhanced our arrangement with FICC through the partnership with The Depository Trust &amp; Clearing Corporation (DTCC) to offer enhanced capital efficiencies to our eligible clearing firms. Eligible clearing firms of CME and the Government Securities Division of DTCC's FICC can now cross-margin an expanded suite of products, including CME Group SOFR futures, Ultra 10-Year U.S. Treasury Note futures and Ultra U.S. Treasury Bond futures, with FICC-cleared U.S. Treasury notes and bonds and certain repo transactions. We are working with FICC to receive regulatory approval to extend the existing cross-margining arrangement to end-user clients of eligible clearing firms. We plan to establish a future cross-margining arrangement between CMESC and our derivatives clearing house, operated by CME, with the intention of providing offsets between cleared cash U.S. Treasuries and repo transactions and our interest rate derivatives products.</w:t>
      </w:r>
    </w:p>
    <w:p>
      <w:pPr>
        <w:spacing w:after="0" w:line="6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also provide compression via coupon blending as well as CME CORE (Clearing Online Risk Engine), an interactive margin calculator that enables clients to optimize their capital by providing insights on margin requirements prior to trading.</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with Google Cloud - </w:t>
      </w:r>
      <w:r>
        <w:rPr>
          <w:rFonts w:ascii="Times New Roman" w:cs="Times New Roman" w:eastAsia="Times New Roman" w:hAnsi="Times New Roman"/>
          <w:sz w:val="18"/>
          <w:szCs w:val="18"/>
          <w:color w:val="auto"/>
        </w:rPr>
        <w:t>In 2021, we entered into a 10-year strategic partnership with Google Cloud to accelerate our move to the cloud.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initiative is expected to transform derivatives markets by expanding access and creating efficiencies for market participants. Significant progress was achieved during 2025 in moving our core, non-latency sensitive applications, including those supporting clearing and market data, to the Google Cloud. We anticipate completing the migration of the applications supporting clearing by the end of the first quarter of 2026, followed by the decommissioning of the legacy on-premises applications. Operating our applications from the Google Cloud allows for a more efficient process to commercialize and launch new products and services. We have also advanced the preparations to move our markets to Google Cloud. Google Cloud is developing a new private cloud region and a co-location facility in Aurora, Illinois. This facility will host Google Cloud's platform designed to support the global trading of CME Group's futures and options markets in the cloud with next-generation cloud technology, ultra-low-latency networking and high-performance computing. In addition to our state-of-the-art trading infrastructure, our clients will also be able to utilize Google’s artificial intelligence and data capabilities to help develop, test and implement trading strategies to manage their risk more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121"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offer equity index futures and options on key benchmarks, including S&amp;P, Nasdaq, Dow Jones, FTSE Russell and fixed income index futures. These products are listed by us subject to license agreements with the applicable owners of the indexes, some of which are exclusive. In connection with S&amp;P Dow Jones Indices, we have a license agreement (S&amp;P License Agreement) for certain S&amp;P stock indices and related trade names, trademarks and service marks in connection with the creation, marketing, trading, clearing and promoting of futures contracts and/or options on futures contracts that are indexed to certain S&amp;P stock indices. Our license for the S&amp;P 500 Index will be exclusive for futures and options until one year prior to the termination of the S&amp;P License Agreement, and non-exclusive for the last year. The license for the other S&amp;P stock indices is generally exclusive for futures and options. The term of the S&amp;P License Agreement will continue until the date that is one year after the date that CME Group ceases to own at least 5% (accounting for dilution) of the outstanding interests in S&amp;P Dow Jones Indices. Upon the occurrence of certain events, including certain terminations of the joint venture, the term may be extended up to an additional ten years. In connection with S&amp;P Dow Jones Indices, we also have an exclusive license agreement (Dow Jones License Agreement) for certain Dow Jones indices. The initial term of the agreement is through June 30, 2026. Following the initial term, the Dow Jones License Agreement will automatically renew for renewal terms of five years thereafter, so long as there is open interest in any of CBOT’s or its affiliates’ products based on one or more of the Dow Jones licensed indices. In the event there is no open interest in any such products, then we may terminate the agreement. We also have exclusive license agreements for certain Nasdaq indices through 2039 and for certain Russell indices through 2037. We pay the applicable third-party a revenue share under the terms of these licensing agreements. A copy of the S&amp;P License Agreement has been filed as a material contract.</w:t>
      </w:r>
    </w:p>
    <w:p>
      <w:pPr>
        <w:spacing w:after="0" w:line="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CME Group is the distributor of CME Term SOFR, a daily set of forward-looking interest rate estimates, calculated and published for 1-month, 3-month, 6-month and 12-month tenors and administered by CME Benchmark.</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cannot guarantee we will be able to maintain the exclusivity of our licensing agreements with S&amp;P, Dow Jones, Nasdaq and FTSE Russell or that any renewal will be on terms as favorable to us. In addition, we cannot guarantee that others will not succeed in creating stock index futures based on information similar to that which we own or have obtained by license, or that market participants will not increasingly use other instruments, including securities and options based on the S&amp;P, Dow Jones, Nasdaq or FTSE Russell indices, to manage or speculate on U.S. stock risks or that clients select another interest rate alternative. Parties also may succeed in offering indexed products that are similar to our licensed products without being required to obtain a license, or in countries that are beyond our and/or our licensors' jurisdictional reach.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3.0, Markets in Financial Instruments Directive II (MiFID II), Capital Requirements Directive IV, Market Abuse Regulation, Benchmarks Regulation, Basel III and various other laws and regulations.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refer to the discussion below and in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Item 1A - Risk Factors" beginning on page 16 for a description of competitive risks and uncertainties.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Derivatives Exchange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competition in the derivatives business is based on a number of factors, including, among others:</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secure clearing, settlement and support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liquidity of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margin efficiencies;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product offerings and frequency and quality of new product development and innovative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position and expand upon existing products to address changing market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seamless customer experience;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reliability, anonymity and security in transaction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accessibility, flexibility in execution methods and distribution;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capability and innovation;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transaction costs.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Our deep, liquid markets; diverse and complementary product offerings; frequency and quality of new product development; and efficient, secure clearing, settlement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compete in a large and expanding financial services trading, clearing and settlement marketplace globally. Our competitors include, among other entities, exchanges such as Intercontinental Exchange, Inc. (ICE), Cboe Global Markets (Cboe), Euronext N.V., the Hong Kong Exchanges and Clearing Limited (HKEX), and Deutsche Börse AG. We also face competition from new entrants into the marketplace, including newly launched FMX Futures Exchange, as well as digital asset platforms and emerging prediction markets.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Derivatives Clearing Business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recent years there has been increased competition in the provision of clearing services for derivatives, and we expect competition to continue to increase in connection with compliance with Dodd-Frank, EMIR 3.0, Basel III, MiFID II and other various laws and regulations.</w:t>
      </w:r>
    </w:p>
    <w:p>
      <w:pPr>
        <w:spacing w:after="0" w:line="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Our competitors in the derivatives clearing services space include, among others, companies such as ICE, LCH Group, OCC, Cboe Clear, DTCC, HKEX, Japan Securities Clearing Corporation, LME Clear and Eurex Clearing. Several new derivatives clearing operators have gained approval in the U.S. in the last decade. In light of the implementation of new regulatory requirements and other financial services reforms, we believe other exchanges and infrastructure providers also may undertake to provide clearing and other related post-trade services in the U.S. as CFTC-regulated clearing organizations.</w:t>
      </w:r>
    </w:p>
    <w:p>
      <w:pPr>
        <w:spacing w:after="0" w:line="5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believe competition in derivatives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Securities Clearing Business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plan to launch our securities clearing business later in 2026 beginning with cash U.S. Treasury and repo transactions. FICC, a subsidiary of DTCC, is the primary player in the U.S. Treasury clearing market with new entrants, including ICE Clear Credit’s Treasury Clearing Service. We believe competition in securities clearing will be based upon principles similar to the derivatives clearing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Cash Markets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cash markets businesses face substantial competition across a wide array and growing number of venues. In FX, the marketplace is highly fragmented, and there is competition from other electronic communication networks, single-dealer platforms, bank-owned multi-participant platforms, streaming and request for quote services, trading venues tied to data platforms, voice brokers, other broker enabled platforms and other venues. There is a growing array of platforms and technologies, often owned by well-capitalized financial institutions and intermediaries that are also driving internalization of client FX trade flows. There is also increasing competition from foreign government entities providing financial inducements to establish new FX trading venues in their countries.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fixed income space, there are also multiple providers of U.S.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broker-and exchange-enabled platforms. Internalization is a growing part of the fixed income marketplace as well. We also face competition from parties able to offer both on-the-run and off-the-run marketplaces.</w:t>
      </w:r>
    </w:p>
    <w:p>
      <w:pPr>
        <w:spacing w:after="0" w:line="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key strategy of several of these alternative and emerging venues is to compete on price, offering their services at significantly lower rates than the established EBS and BrokerTec platforms. This strategy aims to draw customers away from our markets, thereby shifting market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Data Services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Technology companies, market data and information vendors and front-end software vendors also represent actual and potential competitors because they have their own substantial market data calculation and distribution capabilities that could serve as alternative means for receiving open market data feeds instead of connecting directly to our exchanges. Multiple other industry participants offer both referential and indicative pricing alternatives to our offerings, which are widely distributed and available across a variety of media. Distributors and consumers of our market data also may use our market data as an input into products that compete against our traded or cleared products. Although we may receive license fees for such products, such fees may not offset the impact of any loss in revenue from our comparable product.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Our businesses are regulated and serve a customer base that includes regulated market participants, and as such, we are subject to extensive regulation, primarily in the U.S., UK and EU. Developments in the regulatory environment therefore have the potential to significantly affect our businesses.</w:t>
      </w:r>
    </w:p>
    <w:p>
      <w:pPr>
        <w:spacing w:after="0" w:line="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Please also refer to the discussion below and in "Item 1A - Risk Factors" beginning on page 16 for a description of regulatory and legislative risks and uncertainties.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Derivatives Business, Derivatives Clearing Business, and Swap Data Repositories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operation of our U.S. futures exchanges and our derivatives clearing business are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(CEA) as amended by, among others, the Commodity Futures Modernization Act and Dodd-Frank.</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and clearing and settlement activities by the CFTC and the Federal Reserve Board.</w:t>
      </w:r>
    </w:p>
    <w:p>
      <w:pPr>
        <w:spacing w:after="0" w:line="6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connection with the global offering of our products and clearing services, this business is also subject to the rules and regulations of the local jurisdictions in which we conduct business, including the European Securities and Markets Authority, the UK Financial Conduct Authority (FCA) and Bank of England, the Netherlands Authority for the Financial Markets (AFM) and the Federal Financial Supervisory Authority in Germany, among others.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FanDuel Prediction Markets LLC, which is part of our joint venture with FanDuel, is a registered FCM. As an FCM, it is subject to the CEA and the related CFTC regulations and the applicable rules and provisions of the National Futures Association. It is also subject to our applicable exchange rulebooks.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Cash Markets Business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operation of BrokerTec subjects us to regulation by the Financial Industry Regulatory Authority and the SEC as a broker-dealer and alternative trading system operator. BrokerTec is also subject to regulation in the UK by the FCA, as a multilateral trading facility (MTF), in the EU by the AFM, as a regulated market and by the applicable regulators in Singapore and Canada.</w:t>
      </w:r>
    </w:p>
    <w:p>
      <w:pPr>
        <w:spacing w:after="0" w:line="68"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Our EBS business holds various permissions, approvals and exemptions globally, including those that subject certain of its activities to FCA, AFM, Monetary Authority of Singapore, Australian Securities and Investments Commission, Hong Kong Monetary Authority and Canadian oversight.</w:t>
      </w:r>
    </w:p>
    <w:p>
      <w:pPr>
        <w:spacing w:after="0" w:line="3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settlement of matched principal and exchange-traded businesses requires access to clearing houses either directly or through third-party providers of clearing and settlement services. BrokerTec Americas is a member of the FICC, through which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it clears U.S. Treasury and repo products. Our BrokerTec business operated in the EU also connects to LCH Limited, LCH SA, BME Meff Clear and Cassa di Compensazione e Garanzia, which act as central clearing participants in the European and UK gilt repo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Securities Clearing Business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operation of CMESC subjects us to regulation by the SEC as a securities clearing agency under the Securities Exchange Act and its related rules and regulations.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Data Services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subsidiary, CME Benchmark, is a registered benchmark administrator, authorized and supervised by the FCA under the UK Benchmark Regulations.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Benchmark administers a variety of different multi-asset class data products, including CME Term SOFR.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Areas of Focus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actively monitor and participate in the domestic and international legislative and rulemaking processes for our industry, including providing government testimony, commenting on proposed legislation and rulemaking, and engaging with our regulators and policymakers on potential impacts to the marketplace. We are also focused on impacts from the new U.S. administration and its federal regulatory appointees and any anticipated changes that may result.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areas of focus in the regulatory environment are:</w:t>
      </w:r>
    </w:p>
    <w:p>
      <w:pPr>
        <w:spacing w:after="0" w:line="117" w:lineRule="exact"/>
        <w:rPr>
          <w:sz w:val="20"/>
          <w:szCs w:val="20"/>
          <w:color w:val="auto"/>
        </w:rPr>
      </w:pPr>
    </w:p>
    <w:p>
      <w:pPr>
        <w:ind w:left="660" w:right="20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to digital assets regulation and market structure legislation, which may affect our existing offerings or our ability to provide future offerings.</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both litigation and regulatory consideration of issues relating to prediction markets, which could impact our existing and future offerings through our joint venture with FanDuel.</w:t>
      </w:r>
    </w:p>
    <w:p>
      <w:pPr>
        <w:spacing w:after="0" w:line="1" w:lineRule="exact"/>
        <w:rPr>
          <w:rFonts w:ascii="Times New Roman" w:cs="Times New Roman" w:eastAsia="Times New Roman" w:hAnsi="Times New Roman"/>
          <w:sz w:val="18"/>
          <w:szCs w:val="18"/>
          <w:color w:val="auto"/>
        </w:rPr>
      </w:pPr>
    </w:p>
    <w:p>
      <w:pPr>
        <w:ind w:left="660" w:right="20" w:hanging="328"/>
        <w:spacing w:after="0" w:line="298"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ind w:left="660" w:right="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SEC's mandate for central clearing of U.S. Treasury securities and potential impacts to the industry. We plan to launch clearing services under CMESC later in 2026 to help market participants comply with the mandate for U.S. Treasury transactions (as of December 31, 2026) and repo transactions (as of June 30, 2027).</w:t>
      </w:r>
    </w:p>
    <w:p>
      <w:pPr>
        <w:spacing w:after="0" w:line="13"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Basel III Endgame rules. In July 2023, the Federal Reserve Board, Federal Deposit Insurance Corporation, and Office of the Comptroller of the Currency jointly proposed changes to the regulatory capital framework for global systemically important banks, to implement international capital standards issued by the Basel Committee on Banking Supervision, which the Fed Vice Chair said will not be implemented as originally proposed. Thus, CME Group’s focus is more broadly on monitoring any new developments and implementations of the framework. The U.S. prudential regulators have proposed rules to implement the final aspects of the Basel III framework that would standardize further aspects of the capital framework, as well as more broadly apply the capital framework to banks with assets greater than $100 billion. Additionally, other areas of the U.S. bank capital framework have come into focus as potential changes to the global systemically important bank capital surcharge calculation worksheet have been introduced, which could increase capital requirements.</w:t>
      </w:r>
    </w:p>
    <w:p>
      <w:pPr>
        <w:spacing w:after="0" w:line="29" w:lineRule="exact"/>
        <w:rPr>
          <w:rFonts w:ascii="Times New Roman" w:cs="Times New Roman" w:eastAsia="Times New Roman" w:hAnsi="Times New Roman"/>
          <w:sz w:val="18"/>
          <w:szCs w:val="18"/>
          <w:color w:val="auto"/>
        </w:rPr>
      </w:pPr>
    </w:p>
    <w:p>
      <w:pPr>
        <w:ind w:left="660" w:right="20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Stability Board (FSB) consultation proposing that central counterparties (CCPs) maintain separate, dedicated resources and tools for resolution. While the FSB cannot dictate the implementation of its standards, including in the U.S., it has historically exerted pressure on local jurisdictions to adopt its proposals. While the CFTC has not indicated any intention to support such a proposal, if it were supported in the U.S., this proposal could negatively impact cleared markets by increasing costs, reducing participation, and disincentivizing default management participation. The FSB consultation also supports early intervention by resolution authorities which could preempt CCP recovery efforts and the role of the CFTC.</w:t>
      </w:r>
    </w:p>
    <w:p>
      <w:pPr>
        <w:spacing w:after="0" w:line="25"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regulatory or policy actions that could result in changes to market structure for the clearing of derivative transactions, which may impact our business model or the competitive landscape of the industry.</w:t>
      </w:r>
    </w:p>
    <w:p>
      <w:pPr>
        <w:spacing w:after="0" w:line="1"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transaction tax or user fee in the U.S., UK or EU, or in the States of Illinois or New Jersey, which could discourage institutions and individuals from using our markets or products or encourage them to trade in another less costly jurisdiction. Legislation to impose a financial transaction tax has been proposed previously in the U.S. Congress, Illinois General Assembly (including a recent such proposal) and the State of New Jersey Legislature. Additionally, from time to time, the proposed U.S. presidential budget request has included a proposal to impose a user fee to fund all or a portion of the budget of the CFTC. Legislation would be necessary to impose such a fee. Federal legislation has previously been proposed by Congress that would impose a user fee on digital asset spot markets to</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80"/>
        <w:spacing w:after="0" w:line="281" w:lineRule="auto"/>
        <w:rPr>
          <w:sz w:val="20"/>
          <w:szCs w:val="20"/>
          <w:color w:val="auto"/>
        </w:rPr>
      </w:pPr>
      <w:r>
        <w:rPr>
          <w:rFonts w:ascii="Times New Roman" w:cs="Times New Roman" w:eastAsia="Times New Roman" w:hAnsi="Times New Roman"/>
          <w:sz w:val="18"/>
          <w:szCs w:val="18"/>
          <w:color w:val="auto"/>
        </w:rPr>
        <w:t>fund CFTC regulation of those assets. Such a user fee, if adopted, could potentially be expanded to apply more broadly to the futures and options markets.</w:t>
      </w:r>
    </w:p>
    <w:p>
      <w:pPr>
        <w:spacing w:after="0" w:line="1" w:lineRule="exact"/>
        <w:rPr>
          <w:sz w:val="20"/>
          <w:szCs w:val="20"/>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that proposes to eliminate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also see "Item 1A - Risk Factors" beginning on page 16 for additional information on our areas of regulatory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a highly skilled and experienced global workforce to meet our business objectives. As of December 31, 2025, our global employee population consisted of approximately 3,875 employees, with 58% (approximately 2,230) working in the U.S. and the remaining 42% (approximately 1,645) working in our various non-U.S. locations (Australia, Brazil, Canada, China, France, Hong Kong, India, Japan, Mexico, Netherlands, Singapore, South Korea, Switzerland, United Arab Emirates and the UK).</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provide our workforce with a compelling employee experience that allows us to attract and retain industry-leading talent. We are continually seeking new ways to challenge, develop and support our employees. Select highlights of our employee experience include the following:</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wide range of benefits designed to support our employees’ health and well-being, retirement needs and work/life balance.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compensation programs align employee rewards with shareholder interests and emphasize our pay-for-performance philosophy.</w:t>
      </w:r>
    </w:p>
    <w:p>
      <w:pPr>
        <w:spacing w:after="0" w:line="6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variety of avenues for employees to grow their expertise, including tuition assistance for continuing education, onsite and virtual-led professional development training courses, access to external seminars and technical skills training and thousands of online educational courses. We also offer an integrated series of customized leadership development programs to prepare employees for each stage of their careers.</w:t>
      </w:r>
    </w:p>
    <w:p>
      <w:pPr>
        <w:spacing w:after="0" w:line="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regularly conduct employee engagement surveys to better understand employee perspectives and improve our processes and offerings. Our 2025 engagement survey had a 74% participation rate and an overall engagement score of 82%, indicating employees feel very positively about a number of factors, including learning, collaboration, the future of the company and recognition.We also monitor human capital metrics, such as voluntary turnover, internal placement for open roles and promotions, to understand where further workforce investments may be necessary. During 2025, our performance against these metrics was:</w:t>
      </w:r>
    </w:p>
    <w:p>
      <w:pPr>
        <w:spacing w:after="0" w:line="7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voluntary turnover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of open roles filled with internal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 of employees promoted</w:t>
      </w:r>
    </w:p>
    <w:p>
      <w:pPr>
        <w:spacing w:after="0" w:line="117" w:lineRule="exact"/>
        <w:rPr>
          <w:sz w:val="20"/>
          <w:szCs w:val="20"/>
          <w:color w:val="auto"/>
        </w:rPr>
      </w:pPr>
    </w:p>
    <w:p>
      <w:pPr>
        <w:ind w:right="1200"/>
        <w:spacing w:after="0" w:line="399" w:lineRule="auto"/>
        <w:rPr>
          <w:sz w:val="20"/>
          <w:szCs w:val="20"/>
          <w:color w:val="auto"/>
        </w:rPr>
      </w:pPr>
      <w:r>
        <w:rPr>
          <w:rFonts w:ascii="Times New Roman" w:cs="Times New Roman" w:eastAsia="Times New Roman" w:hAnsi="Times New Roman"/>
          <w:sz w:val="18"/>
          <w:szCs w:val="18"/>
          <w:color w:val="auto"/>
        </w:rPr>
        <w:t xml:space="preserve">Our Chief Human Resources Officer provides our senior management and Board with regular updates related to our employee experience. </w:t>
      </w:r>
      <w:r>
        <w:rPr>
          <w:rFonts w:ascii="Times New Roman" w:cs="Times New Roman" w:eastAsia="Times New Roman" w:hAnsi="Times New Roman"/>
          <w:sz w:val="18"/>
          <w:szCs w:val="18"/>
          <w:b w:val="1"/>
          <w:bCs w:val="1"/>
          <w:i w:val="1"/>
          <w:iCs w:val="1"/>
          <w:color w:val="auto"/>
        </w:rPr>
        <w:t>Information about our Executive Officers</w:t>
      </w:r>
    </w:p>
    <w:p>
      <w:pPr>
        <w:spacing w:after="0"/>
        <w:rPr>
          <w:sz w:val="20"/>
          <w:szCs w:val="20"/>
          <w:color w:val="auto"/>
        </w:rPr>
      </w:pPr>
      <w:r>
        <w:rPr>
          <w:rFonts w:ascii="Times New Roman" w:cs="Times New Roman" w:eastAsia="Times New Roman" w:hAnsi="Times New Roman"/>
          <w:sz w:val="18"/>
          <w:szCs w:val="18"/>
          <w:color w:val="auto"/>
        </w:rPr>
        <w:t>The following are CME Group's executive officers. Ages are as of February 11, 2026.</w:t>
      </w:r>
    </w:p>
    <w:p>
      <w:pPr>
        <w:spacing w:after="0" w:line="11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Terrence A. Duffy, </w:t>
      </w:r>
      <w:r>
        <w:rPr>
          <w:rFonts w:ascii="Times New Roman" w:cs="Times New Roman" w:eastAsia="Times New Roman" w:hAnsi="Times New Roman"/>
          <w:sz w:val="18"/>
          <w:szCs w:val="18"/>
          <w:color w:val="auto"/>
        </w:rPr>
        <w:t>67. Mr. Duffy has served as our Chairman and Chief Executive Officer since 2016. Mr. Duffy previously served as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6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Sunil Cutinho, </w:t>
      </w:r>
      <w:r>
        <w:rPr>
          <w:rFonts w:ascii="Times New Roman" w:cs="Times New Roman" w:eastAsia="Times New Roman" w:hAnsi="Times New Roman"/>
          <w:sz w:val="18"/>
          <w:szCs w:val="18"/>
          <w:color w:val="auto"/>
        </w:rPr>
        <w:t>54. Mr. Cutinho has served as our Chief Information Officer since February 2022 and previously served as President of our clearing 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2014. He joined CME Group in 2002 and since then has held various positions of increasing responsibility within the organization, including as Managing Director, Deputy Head of CME Clearing from April 2014 through September 2014.</w:t>
      </w:r>
    </w:p>
    <w:p>
      <w:pPr>
        <w:spacing w:after="0" w:line="63"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Dennis, </w:t>
      </w:r>
      <w:r>
        <w:rPr>
          <w:rFonts w:ascii="Times New Roman" w:cs="Times New Roman" w:eastAsia="Times New Roman" w:hAnsi="Times New Roman"/>
          <w:sz w:val="18"/>
          <w:szCs w:val="18"/>
          <w:color w:val="auto"/>
        </w:rPr>
        <w:t>45. Mr. Dennis has served as Senior Managing Director, Global Head of Fixed Income since August 2024 and in his role is responsible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leading our SOFR and U.S. Treasuries business and BrokerTec. Prior to joining CME Group, Mr. Dennis served as the Chief Commercial Officer for ABN AMRO Clearing USA LLC, one of CME Group’s largest global futures clearing firms. Mr. Dennis previously served on the CME Group Board of Directors from May 2020 to July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Lynne Fitzpatrick, </w:t>
      </w:r>
      <w:r>
        <w:rPr>
          <w:rFonts w:ascii="Times New Roman" w:cs="Times New Roman" w:eastAsia="Times New Roman" w:hAnsi="Times New Roman"/>
          <w:sz w:val="18"/>
          <w:szCs w:val="18"/>
          <w:color w:val="auto"/>
        </w:rPr>
        <w:t>47. Ms. Fitzpatrick has served as our President &amp; Chief Financial Officer since November 2024, when her role expanded to oversee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resources and transformation and execution, as well as her prior responsibilities for overseeing the company's finance functions. She previously served as Chief Financial Officer since April 2023, Deputy Chief Financial Officer since 2022 and Managing Director of Corporate Development and Treasurer of CME Group since 2017. Since joining the company in 2006, Ms. Fitzpatrick has held a variety of positions with increasing levels of responsibility within the organization. Prior to CME Group she worked as an investment banker at Credit Suisse and UBS. Ms. Fitzpatrick also serves as a director of S&amp;P Dow Jones Indices LLC.</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Marcus, </w:t>
      </w:r>
      <w:r>
        <w:rPr>
          <w:rFonts w:ascii="Times New Roman" w:cs="Times New Roman" w:eastAsia="Times New Roman" w:hAnsi="Times New Roman"/>
          <w:sz w:val="18"/>
          <w:szCs w:val="18"/>
          <w:color w:val="auto"/>
        </w:rPr>
        <w:t>57. Mr. Marcus has served as our Senior Managing Director and General Counsel since October 2022. Prior to joining CME Group,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Marcus most recently worked in private practice as a partner at Reed Smith LLP, where he specialized in derivatives regulation, litigation and enforcement. He previously served as General Counsel of the CFTC from 2013 to 2017. Mr. Marcus also served as the CFTC's Deputy General Counsel for Litigation and as an Assistant to the Solicitor General of the United States. His career also includes senior roles at other nationally recognized law firms and he began his career as a clerk for Judge Jose Cabranes of the U.S. Court of Appeals for the Second Circuit.</w:t>
      </w:r>
    </w:p>
    <w:p>
      <w:pPr>
        <w:spacing w:after="0" w:line="7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 McCourt, </w:t>
      </w:r>
      <w:r>
        <w:rPr>
          <w:rFonts w:ascii="Times New Roman" w:cs="Times New Roman" w:eastAsia="Times New Roman" w:hAnsi="Times New Roman"/>
          <w:sz w:val="18"/>
          <w:szCs w:val="18"/>
          <w:color w:val="auto"/>
        </w:rPr>
        <w:t>47. Mr. McCourt has served as Senior Managing Director, Global Head of Equities, FX and Alternative Products since August 2024.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Global Head of Financial and OTC Products since June 2023. Before that he was the global head of Equity and FX Products. He is responsible for leading the development and execution of the company’s global equity index, foreign exchange, cryptocurrency and alternative investment product strategies. He also serves on the S&amp;P Dow Jones Indices U.S. Advisory Panel. Before joining CME Group in 2013 as Global Head of Equity Products, Mr. McCourt worked for the Royal Bank of Scotland (RBS), where he was responsible for building and managing the Americas Index and Delta One trading book. Prior to RBS, he held a senior trading role with JPMorgan in New York, spending 10 years with the Equity Derivatives Group.</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Hilda Harris Piell, </w:t>
      </w:r>
      <w:r>
        <w:rPr>
          <w:rFonts w:ascii="Times New Roman" w:cs="Times New Roman" w:eastAsia="Times New Roman" w:hAnsi="Times New Roman"/>
          <w:sz w:val="18"/>
          <w:szCs w:val="18"/>
          <w:color w:val="auto"/>
        </w:rPr>
        <w:t>58. Ms. Piell has served as our Chief Human Resources Officer since 2007. A practicing attorney for fifteen years, Ms. Piell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positions of increasing responsibility in our Legal &amp; Market Regulation division, most recently as Managing Director and Senior Associate General Counsel. Prior to joining CME Group in 2000, Ms. Piell served as Associate Commercial Counsel at MCI Telecommunications (1996-2000) and Associate Litigation Attorney at Jenner &amp; Block (1992-1996). Her career also includes service as a clerk for a judge of the U.S. District Court for the Northern District of Illinois.</w:t>
      </w:r>
    </w:p>
    <w:p>
      <w:pPr>
        <w:spacing w:after="0" w:line="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Derek Sammann, </w:t>
      </w:r>
      <w:r>
        <w:rPr>
          <w:rFonts w:ascii="Times New Roman" w:cs="Times New Roman" w:eastAsia="Times New Roman" w:hAnsi="Times New Roman"/>
          <w:sz w:val="17"/>
          <w:szCs w:val="17"/>
          <w:color w:val="auto"/>
        </w:rPr>
        <w:t>57. Mr. Sammann has served as our Senior Managing Director, Global Head of Commodities Markets since November 2021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previously served as our Senior Managing Director, Commodities and Options Products since 2014. He previously 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w:t>
      </w:r>
    </w:p>
    <w:p>
      <w:pPr>
        <w:ind w:right="300"/>
        <w:spacing w:after="0" w:line="277" w:lineRule="auto"/>
        <w:rPr>
          <w:sz w:val="20"/>
          <w:szCs w:val="20"/>
          <w:color w:val="auto"/>
        </w:rPr>
      </w:pPr>
      <w:r>
        <w:rPr>
          <w:rFonts w:ascii="Times New Roman" w:cs="Times New Roman" w:eastAsia="Times New Roman" w:hAnsi="Times New Roman"/>
          <w:sz w:val="17"/>
          <w:szCs w:val="17"/>
          <w:color w:val="auto"/>
        </w:rPr>
        <w:t>2006. Mr. Sammann serves as a member of the board of the following entities: the Gulf Mercantile Exchange, the COMEX Board of Governors and the Commodities Markets Council, where he also serves as Treasurer. He also serves on the Shanghai Gold Exchange’s International Advisory Board, the CFTC's Agricultural &amp; Energy and Environmental Markets Advisory Committees, and the Security Traders Association’s Listed Options Committee.</w:t>
      </w:r>
    </w:p>
    <w:p>
      <w:pPr>
        <w:spacing w:after="0" w:line="5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Sprague, </w:t>
      </w:r>
      <w:r>
        <w:rPr>
          <w:rFonts w:ascii="Times New Roman" w:cs="Times New Roman" w:eastAsia="Times New Roman" w:hAnsi="Times New Roman"/>
          <w:sz w:val="18"/>
          <w:szCs w:val="18"/>
          <w:color w:val="auto"/>
        </w:rPr>
        <w:t>45. Ms. Sprague has served as our Chief Operating Officer and Global Head of Clearing since November 2024. She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Managing Director &amp; Global Head of Clearing and Post-Trade Services for CME Group since February 2022. She joined the company in 2002 and has held numerous roles and leadership positions in financial management and risk management since that time. During her tenure, she has played a key role in the company’s development of risk management policy. From 2015 to 2022, she served as Managing Director, Credit &amp; Liquidity Risk, Risk Policy &amp; Banking, overseeing our clearing house's exposure to counterparty credit risk, liquidity risk management and financial performance, acceptable collateral and collateral services, risk management policies and procedures, financial operations, and banking.</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Tobin, </w:t>
      </w:r>
      <w:r>
        <w:rPr>
          <w:rFonts w:ascii="Times New Roman" w:cs="Times New Roman" w:eastAsia="Times New Roman" w:hAnsi="Times New Roman"/>
          <w:sz w:val="18"/>
          <w:szCs w:val="18"/>
          <w:color w:val="auto"/>
        </w:rPr>
        <w:t>62. Mr. Tobin has served as Managing Director and Chief Accounting Officer since 2015. Mr. Tobin most recently served as our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Corporate 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Kendal Vroman, </w:t>
      </w:r>
      <w:r>
        <w:rPr>
          <w:rFonts w:ascii="Times New Roman" w:cs="Times New Roman" w:eastAsia="Times New Roman" w:hAnsi="Times New Roman"/>
          <w:sz w:val="18"/>
          <w:szCs w:val="18"/>
          <w:color w:val="auto"/>
        </w:rPr>
        <w:t>54. Mr. Vroman has served as our Chief Transformation Officer since November 2021. He previously served as Senior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International and Optimization Services since February 2020 and as our Senior Managing Director, Cash Markets and Optimization Service since 2018. Since joining the company in 2001, he has held a variety of senior leadership roles, including Managing Director, Planning and Execution; Global Head, Commodity Products and OTC Solutions, and Managing Director and Chief Corporate Development Officer.</w:t>
      </w:r>
    </w:p>
    <w:p>
      <w:pPr>
        <w:spacing w:after="0" w:line="6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Winkler, </w:t>
      </w:r>
      <w:r>
        <w:rPr>
          <w:rFonts w:ascii="Times New Roman" w:cs="Times New Roman" w:eastAsia="Times New Roman" w:hAnsi="Times New Roman"/>
          <w:sz w:val="18"/>
          <w:szCs w:val="18"/>
          <w:color w:val="auto"/>
        </w:rPr>
        <w:t>51. Ms. Winkler has served as our Chief Commercial Officer since 2016. She leads the company’s sales, product marketing,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and innovation lab functions. She also oversees the international, retail, and data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and analytics services business lines. She previously served as 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 Dow Jones Indices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website is www.cmegroup.com.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may also be found on our website. The SEC also maintains an internet site that contains proxy and information statements and other reports that we file or furnish with the SEC at http://www.sec.gov. Copies of these materials also are available to shareholders free of charge upon request to Shareholder Relations, officeofthesecretary@cmegroup.com. Information regarding our sustainability practices is available at the following: https://www.cmegroup.com/company/corporate-citizenship/esg.html, including our 2025 report when issued.</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you should carefully consider the factors discussed below, which are the risks we believe are material at this time. If any of these risks actually occur or continue to occur, our business, financial condition and results of operations could be materially and adversely affected. These risks and uncertainties are not the only ones facing us. Additional risks and uncertainties not presently known to us or that we currently believe to be immaterial may also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7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economic, political and geopolitical market conditions, including the instability caused by trade policies and wars;</w:t>
      </w:r>
    </w:p>
    <w:p>
      <w:pPr>
        <w:spacing w:after="0" w:line="35" w:lineRule="exact"/>
        <w:rPr>
          <w:rFonts w:ascii="Arial" w:cs="Arial" w:eastAsia="Arial" w:hAnsi="Arial"/>
          <w:sz w:val="22"/>
          <w:szCs w:val="22"/>
          <w:color w:val="auto"/>
        </w:rPr>
      </w:pPr>
    </w:p>
    <w:p>
      <w:pPr>
        <w:ind w:left="660" w:right="14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any direct or indirect restrictions on or increased costs associated with trading in our markets or our clearing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the industry and financial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trading volumes and volatility in the derivatives, cash and OTC markets and in their underlying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or supply in commodities underlying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policies and the U.S. Federal Reserve and other international banks' forecasted interest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to our market participants and their appetite for risk-taking;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assets under our customers'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patterns, droughts, natural disasters and other catastrophes;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affecting our customer base or our ability to operate our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expansion in our customer base and within our industry.</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in the period after a material market disturbance, there may persist extreme uncertainties, which may lead to decreased volume due to factors such as reduced risk exposure, fluctuating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1A - Risk Factors - Risks Relating To Our Business" beginning on page 20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 fines or other consequences to our regulated status.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primarily subject to the jurisdiction of the regulatory agencies in the U.S., UK and EU. As a result of our global operations, we are also subject to the rules and regulations of other local jurisdictions in which we conduct business and offer our products and services, as appropriate.</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businesses and those of many of our clients have been and continue to be subject to extensive legislation and regulatory scrutiny, and we face the risk of continued increasing oversight and changes to our regulatory environment and business in the future and have incurred and expect to continue to incur significant costs to comply. Additional new laws or regulations or changes in enforcement practices applicable to our businesses or those of our clients could be imposed in the U.S. or other jurisdictions, which could change, or require us to change, our business practices or the structure of our business, including its current governance, risk oversight or regulatory structure, or impose significant costs on us by, for example, requiring more of our funds to be set aside for the guaranty fund or to meet other compliance requirements.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becomes more onerous for us or less beneficial for us or our customers, our business, financial condition and operating results could be negatively affected.</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Legislation may be proposed, both domestically and internationally, that could, for example,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 with a resulting negative impact on our business, financial condition and operating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regarding the regulatory market structure applicable to the trading and clearing of spot digital assets is currently being considered in Congress.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yet certain whether the legislation will be signed into law or whether it will have any impact on listed derivatives regulation.</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status of certain event-based contracts, most notably those based on sports events, is the subject of litigation in various jurisdictions. The outcome of these cases, new laws or regulations, or changes in the interpretation of existing laws or regulations could immediately or subsequently impact our ability to offer certain event contracts and could subject us to additional litigation or regulatory scrutiny.</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data repository, broker-dealer, MTF or other regulatory status.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broker-dealer and MTF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and/or disciplinary action against the firm and individuals, monetary penalties and restrictions on future activities.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with FICC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1 - Business - Regulatory Matters" beginning on page 12 for additional information on our areas of regulatory focus.</w:t>
      </w:r>
    </w:p>
    <w:p>
      <w:pPr>
        <w:spacing w:after="0" w:line="11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clearing house's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positions established on our exchanges or to freely move open positions among clearing houses in order to take advantage of our liquidity. Even if they are not successful, these factors may cause them to limit the use of our markets.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business, financial condition and operating results could be adversely affected.</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5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industry is highly competitive, and we expect competition to continue to intensify. We encounter competition in all aspects of our business, including from entities having substantially greater capital and resources, offering a wide range of products and services and in some cases operating under a different</w:t>
      </w:r>
    </w:p>
    <w:p>
      <w:pPr>
        <w:spacing w:after="0" w:line="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and possibly less stringent regulatory regime. We face competition from other futures, securities and securities option exchanges; OTC markets; clearing organizations; consortia formed by our members and large industry participants; alternative trade execution facilities and crypto and prediction market platforms; technology firms, including market data distributors and electronic trading system developers; and others. Our competitors and potential competitors may have greater financial, marketing, technological and personnel resources than we do.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may:</w:t>
      </w:r>
    </w:p>
    <w:p>
      <w:pPr>
        <w:spacing w:after="0" w:line="158" w:lineRule="exact"/>
        <w:rPr>
          <w:sz w:val="20"/>
          <w:szCs w:val="20"/>
          <w:color w:val="auto"/>
        </w:rPr>
      </w:pPr>
    </w:p>
    <w:p>
      <w:pPr>
        <w:ind w:left="660" w:right="30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respond more quickly to competitive pressures and opportunities, including responses based upon their corporate governance structures, which may be more flexible and efficient than our corporate governance structure;</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are preferred by our customers compared to those offered by CME Group;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risk transfer products that compete with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their products and services more competitively;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their network infrastructure and service offerings more efficiently;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better, more user-friendly or more reliable technology, including artificial intelligence;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greater advantage of acquisitions, alliances and other opportunities that provide a competitive advantage;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effectively market, promote and sell their products and services;</w:t>
      </w:r>
    </w:p>
    <w:p>
      <w:pPr>
        <w:spacing w:after="0" w:line="63"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sell their services more effectively because of their existing customer and alliance partner relationships, as well as their recognized brand names; or</w:t>
      </w:r>
    </w:p>
    <w:p>
      <w:pPr>
        <w:spacing w:after="0" w:line="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 regulatory disparities between traditional, regulated exchanges and alternative markets that benefit from a reduced regulatory burden and lower-cost business model.</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products, markets and clearing services are not competitive or are viewed as less competitive, our business, financial condition and operating results could be adversely affected. A decline in our fees or loss of customers could lower our revenues, which would adversely affect our profitability.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see "Item 1 - Business - Competition" beginning on page 10 for additional information on the competitive environment and its potential impact on our business.</w:t>
      </w:r>
    </w:p>
    <w:p>
      <w:pPr>
        <w:spacing w:after="0" w:line="5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 and post-trade services and clearing facilities. Our success also depends on our ability to offer competitive prices and services in an increasingly price-sensitive business. For example, some of our competitors have engaged in aggressive pricing strategies in the 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to our profit margin.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clearing firms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places us at greater risk than other public companies for a cyber attack and other cyber-security risks. Our technology, our customers, our people and our third-party service providers are vulnerable to cyber-security threats, which could result in wrongful use of our data or our customers’ data or cause interruptions in our operations, our customers' operations, or our third-party service providers' operations, which could cause us to lose customers and trading volume and result in substantial liabilities. We also could be required to incur significant expense to protect or remediate damage to our systems and/or investigate any alleged attack.</w:t>
      </w:r>
    </w:p>
    <w:p>
      <w:pPr>
        <w:spacing w:after="0" w:line="7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We regard the secure storage and transmission of data and the ability to continuously transact and clear on our electronic trading platforms as critical elements of our operations and our operational resiliency. Our technology, our customers, our people and our third-party service providers are vulnerable to targeted attacks, such as "phishing" attacks, unauthorized access, fraud, business email compromise, computer viruses, denial of service attacks, terrorism, "ransomware" attacks, attacks created through artificial intelligence, firewall or encryption failures or other security or operational risks. Criminal groups, political activist groups and nation-state actors have targeted the financial services industry in general, including as a result of armed conflicts, and our role</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global marketplace places us at significant risk for a cyber attack and other information security threats. While to date we have not experienced cyber incidents that are individually, or in the aggregate, material, we and certain of our third-party service providers have experienced cyber attacks of varying degrees in the past.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usage of mobile, web, and cloud technologies, such as those pursuant to our partnership with Google Cloud, may increase our risk of a cyber attack. Our security defenses may also be impacted or breached due to employee error, malfeasance, system errors or vulnerabilities. Additionally, outside parties may attempt to fraudulently induce employees, users, customers or our third-party service providers to disclose sensitive information in order to gain access to our technology systems and data, or our customers’ systems and data, or our third parties' systems and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The regulatory environment related to information security, privacy, data collection, data usage and use of artificial intelligence is increasingly rigorous and complex, and any failure to comply may carry significant penalties and reputational damage.</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designed our cyber defense program to mitigate such attacks and security risks through administrative, physical and technical safeguards. As part of our global information security (GIS) and privacy programs, we employ resources to prevent, detect and respond to cyber attacks and security risks that could impact our people, processes and technology infrastructure, including rapid response to zero-day vulnerabilities. However, our security measures or those of our third-party service providers, including any cloud-based technologies, may prove insufficient depending upon the attack or threat posed. It is impossible to precisely predict the likelihood or impact of any cyberattack on our industry generally, or on our business.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and could have a material impact on our financial condition or results of operations. We may be subject to litigation and financial losses that exceed our insurance policy limits or are not covered under any of our current policies.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financial services provider, we are subject to significant litigation risk and regulatory liability and penalties.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which poses physical security risks and cybersecurity risks, than other companies.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against us or our third-party service providers, or on our industry generally. While we have implemented significant physical security protection measures, business continuity plans, and established backup sites to provide operational resiliency,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or the closure of our facilities or render our backup data and recovery systems inoperable, or have similar consequences for our third-party service providers.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could harm our business.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Maintaining our reputation and brand is critical to attracting and retaining customers, investors and employees and to maintaining our relationships with our regulators and other government officials. Negative publicity regarding our company or actual, alleged or perceived issues regarding our company, products or services, including social and environmental concerns relating to our company or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cybersecurity attacks, failures to meet our regulatory obligations, failures of a clearing firm or other counterparty, issues relating to our third-party service providers, alleged or actual fraud or misconduct or manipulative activity, or ineffective risk management.</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markets depends on our ability to complete development of, successfully implement and maintain electronic trading and clearing systems that have the functionality, performance, availability, resilience, capacity, security and speed required by our customers.</w:t>
      </w:r>
    </w:p>
    <w:p>
      <w:pPr>
        <w:spacing w:after="0" w:line="51"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color w:val="auto"/>
        </w:rPr>
        <w:t>The success of our business depends in large part on our ability to create interactive electronic marketplaces for a wide range of products that have the required functionality, performance, availability, resilience, capacity, security and speed to attract and retain customers. In 2025, 93% of our overall</w:t>
      </w:r>
    </w:p>
    <w:p>
      <w:pPr>
        <w:spacing w:after="0" w:line="1"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contract volume was generated through electronic trading on our CME Globex</w:t>
      </w:r>
      <w:r>
        <w:rPr>
          <w:sz w:val="20"/>
          <w:szCs w:val="20"/>
          <w:color w:val="auto"/>
        </w:rPr>
        <w:tab/>
      </w:r>
      <w:r>
        <w:rPr>
          <w:rFonts w:ascii="Times New Roman" w:cs="Times New Roman" w:eastAsia="Times New Roman" w:hAnsi="Times New Roman"/>
          <w:sz w:val="17"/>
          <w:szCs w:val="17"/>
          <w:color w:val="auto"/>
        </w:rPr>
        <w:t>electronic platform.</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9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provide reliable and cost-effective services to our customers;</w:t>
      </w:r>
    </w:p>
    <w:p>
      <w:pPr>
        <w:spacing w:after="0" w:line="35" w:lineRule="exact"/>
        <w:rPr>
          <w:rFonts w:ascii="Arial" w:cs="Arial" w:eastAsia="Arial" w:hAnsi="Arial"/>
          <w:sz w:val="22"/>
          <w:szCs w:val="22"/>
          <w:color w:val="auto"/>
        </w:rPr>
      </w:pPr>
    </w:p>
    <w:p>
      <w:pPr>
        <w:ind w:left="660" w:right="68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a timely manner, the required functionality to support electronic trading in a manner that is competitive with the functionality supported by other electronic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competitiveness of our fee structure;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ISVs to write software that will allow our customers to effectively access our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developments or service offerings by competitors;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justify the substantial capital investment we have made and will continue to make to enhance our electronic trading platforms and other technology offerings.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Failure to continuously improve our electronic trading systems and technology offerings could materially impact our financial condition or results of operations. This includes, but is not limited to, the successful development and migration of our markets and supporting operational and business functions to the Google Cloud in the new private Google Cloud region. If our trading systems and technology offerings cannot be developed to include other products and markets, or if they lack the functionality,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availability, resilience, capacity, security, and speed demanded by our customers, our ability to successfully compete, along with our revenues and profits, will be adversely affected.</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we rely on our customers' ability to have the necessary back office functionality to support our new products and our trading and clearing functionality, including generating sufficient liquidity. To the extent our customers and/or their third-party service providers are not prepared and/or lack the resources or infrastructure, the success of our new initiatives may be compromised.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financial markets volatility, which is caused by conditions that are beyond our control.</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Trading volume in our markets and products is largely driven by the degree of volatility - the magnitude and frequency of fluctuations - in prices and levels of the underlying commodities, securities, indices, financial benchmarks or other instruments. Volatility increases the need to hedge price risk and creates opportunities for investment and speculative or arbitrage trading. Were there to be a sustained period of stability in the prices or levels of the underlying commodities, securities, indices, benchmarks or other instruments of our products, we could experience lower trading volumes, slower growth or declines in revenues.</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Because our cost structure is largely fixed, if demand for our current products and services declines for any reason, we may not be able to adjust our cost structure to counteract the associated decline in revenues, which would cause our net income to decline.</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system failures or capacity constraints, our ability to conduct our operations and execute our business strategy could be materially harmed, and we could be subject to significant costs and liabilities.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provided by third parties. Our systems, or those of our third-party service providers, including data center and cloud providers, may fail or be shut down or, due to capacity constraints, may operate slowly, causing one or more of the following to occur:</w:t>
      </w:r>
    </w:p>
    <w:p>
      <w:pPr>
        <w:spacing w:after="0" w:line="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disruptions in service to our customers;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and delays in our customers' trade execution and processing;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settlement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inaccurate accounting, recording, or processing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customer claims;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sanctions.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assure that we will not experience system failures from power or telecommunications failures, acts of God, war or terrorism, human error on our part or on the part of our third-party service providers or partners, natural disasters, fire, rising temperatures, sabotage, hardware or software malfunctions or defects, computer viruses, cyber attacks, acts of vandalism or similar occurrences. If any of our systems or the systems of our third-party service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 On November 27, 2025, our largest data center owned and operated by CyrusOne experienced a critical cooling failure caused by human error. In response to the critical cooling failure, we made the decision to temporarily halt our markets. Our markets opened the following day on a delayed basis. Although the impact to our business from the event was limited and not material, we cannot make assurances that we will not experience future events that may be material.</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From time to time, we have experienced system errors and failures that have resulted in some customers being unable to connect to our electronic trading platforms and technology offerings, or that resulted in erroneous reporting.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and/or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Regulations relating to our trading and clearing systems generally require the handling of anticipated present and future peak trading volume. Heavy use of our systems during peak trading times or at times of unusual market volatility could exceed our available capacity based on estimated future trading volumes and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or speed.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well as many of our customers, depend on third-party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6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We depend on a number of suppliers, such as banking, clearing and settlement organizations, telephone companies, internet service providers, data processors, cloud hosting providers, data center providers, and software and hardware vendors, for elements of our trading, clearing, and other systems, as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well as communications and networking equipment, computer hardware and software and related support and maintenance. Although we conduct due diligence and monitor important suppliers and service providers (including the resiliency of their operations), we cannot provide assurances of their performance and any interruption or cessation of their supplies or services could negatively impact our operations or those of our customers, as well as affect our reputation, financial or regulatory posture. As discussed above in “If we experience system failures or capacity constraints, our ability to conduct our operations and execute our business strategy could be materially harmed, and we could be subject to significant costs and liabilities,” in November 2025, CyrusOne, the owner and operator of our largest data center, experienced a critical cooling failure, which resulted in our decision to temporarily halt our markets.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Many of our customers rely on third parties, such as ISVs, to provide them with front-end systems to access our trading platforms and other back office systems for their trade processing and risk management needs. While these service providers have undertaken to keep current and certify as to our enhancements and make corresponding changes to their software for our interfaces and functionality, we cannot guarantee that they will continue to make the necessary monetary, resource and time investments to keep up with our enhancements and changes.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the extent any of our service providers or the organizations that provide services to our customers in connection with their trading activities cease to provide these services or cease to provide these services in an efficient, cost-effective manner, or fail to adequately expand their services to meet our needs and the needs of our customers, we could experience decreased trading volume, lower revenues and higher costs. In addition, while we may be entitled to recovery for breaches of, or liabilities otherwise incurred in connection with, our agreements with third-party service providers, such recovery is limited by the terms of these agreements and may not compensate us in full.</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clearing house operations expose us to counterparties with differing risk profiles. In our derivatives business,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derivatives clearing firms. During 2025, the clearing house transferred an average of approximately $6.7 billion a day through the clearing system for settlement from clearing firms whose positions had lost value to clearing firms whose positions had gained value. Additionally, we are exposed to the risk of loss from the failure of a matched principal counterparty to settle its trades at BrokerTec Americas.</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Later in 2026, we expect to launch clearing services for U.S. Treasury cash and repo transactions. While we have a long history in, and deep understanding of,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from the operation of our derivatives clearing house, the operation of a securities clearing house is new to our business.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policies and procedures which are designed to ensure that our clearing firms and other counterparties can satisfy their obligations, including collecting margin and guaranty fund contributions from clearing firms, may not succeed in detecting problems or preventing defaults. The processes for calculating and setting margins and financial safeguards is complex and there is no guarantee that our risk models that are utilized to calculate margin and our financial safeguard procedures will adequately protect us in all circumstances. We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we have established a fund (currently $98.0 million) to provide payments, up to certain maximum levels, to qualified family farmers, ranchers and other agricultural industry participants who use our derivatives products and who suffer losses to their segregated account balances if their clearing firm becomes insolvent.</w:t>
      </w:r>
    </w:p>
    <w:p>
      <w:pPr>
        <w:spacing w:after="0" w:line="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offer a wide range of data services designed to support the trading, risk management, investment and business needs of our customers. Revenues from our market data and information services represented 12% of our total revenues during the years ended December 31, 2025 and December 31, 2024. Factors that may affect our performance and demand for our data include, but are not limited to:</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existing customers utilizing our data and to attract new customers with our products and services;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challenging business environment for our customers, which may require them to reduce their usage of our market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new regulations, laws, rules or other government policies;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that customers are appropriately licensed and are paying fees for the data used;</w:t>
      </w:r>
    </w:p>
    <w:p>
      <w:pPr>
        <w:spacing w:after="0" w:line="63"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intellectual property rights and identification of misappropriation and/or misuses of CME Group market data, including through the use of artificial intelligence;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developments and client preferences.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executing our growth strategy and maintaining our growth effectively.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execute on strategic initiatives to grow our business, including efforts to serve the OTC markets and to distribute our products and services on a global basis, and other initiatives to enter new markets.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and partnerships. Our growth strategy also may subject us to increased legal, compliance and regulatory obligations. Unless our growth results in an increase in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explore and pursue acquisitions and other strategic opportunities to strengthen our business and grow our company. We may make</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issue additional equity and/or debt as part of strategic partnerships with third parties, as was the case in connection with our partnership with Google Cloud. The issuance of additional equity in connection with any future transaction could be substantially dilutive to our existing shareholders. The issuance of additional debt could increase our leverage substantially.</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the extent we acquire a new business, the process of integration also may produce unforeseen regulatory and operating difficulties and expenditures and may divert the attention of management from the ongoing operation of our business. To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expanded global operations, we face certain risks inherent in doing business internationally. These risks include:</w:t>
      </w:r>
    </w:p>
    <w:p>
      <w:pPr>
        <w:spacing w:after="0" w:line="13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35" w:lineRule="exact"/>
        <w:rPr>
          <w:rFonts w:ascii="Arial" w:cs="Arial" w:eastAsia="Arial" w:hAnsi="Arial"/>
          <w:sz w:val="22"/>
          <w:szCs w:val="22"/>
          <w:color w:val="auto"/>
        </w:rPr>
      </w:pPr>
    </w:p>
    <w:p>
      <w:pPr>
        <w:ind w:left="660" w:right="54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extensive and complex compliance requirements, regulations and oversight by regulators other than our primary functional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associated costs in managing multiple international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and cultural differences;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compliance and monitoring programs might not be effective and may result in outcomes that could adversely affect our reputation, financial condition and operating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our business, we discuss matters with our regulators, including during supervisory engagements and regulatory examinations, and we are subject to their inquiry and oversight. Our regulators have broad enforcement and supervisory powers, including, for example,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regulatory standing, financial condition and operating results. In extreme cases, these outcomes could adversely affect our ability to conduct our business.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risk management, compliance and monitoring policies, procedures and programs that are designed to prevent, detect, deter, monitor and manage our risks, including enterprise risk, compliance and internal audit programs, but such policies, procedures and programs may not be fully effective in their design or operation. Some of our risk management processes depend upon evaluation of information regarding markets, customers, employees, third parties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guarantee that our policies and procedures will always be effective or that we will always be successful in evaluating, monitoring or managing the risks to which we are or may be exposed.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harmed by misconduct or errors that are difficult to detect and deter.</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continues to be highly publicized cases involving fraud or other misconduct or manipulative activity by employees of financial services firms and other market participants.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the company, improper securities trading activities, circumvention of controls and procedures, improper use of assets, improper use and unauthorized disclosure of data or confidential information of the company or its customers or third parties, improper use of artificial intelligence or failure to provide effective oversight over artificial intelligence, among other potential misconduct.</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It is not always possible to deter misconduct, and the precautions we take to prevent and detect this activity, including our internal controls, may not be effective in all cases. Additionally, the emergence of increasingly sophisticated and widely accessible generative artificial intelligence and its ability to create believable yet fabricated content may elevate our risk and susceptibility to fraudulent activities which could result in the wrongful transferring of funds, divulging of sensitive information or other unintended consequences. If we were found to have not met our regulatory oversight and compliance obligations, we could be subject to regulatory sanctions, enforcement actions, financial penalties and restrictions on our activities for failure to properly identify, monitor and respond to potentially problematic activity, and such outcomes could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in our markets could affect our brand and reputation and reduce the number of participants trading in our markets. If that should occur, we could face a corresponding decline in trading volume and revenue.</w:t>
      </w:r>
    </w:p>
    <w:p>
      <w:pPr>
        <w:spacing w:after="0" w:line="7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contract volume and revenue is based on indexes derived from third-party price reporting agencies. If such third parties take actions that result in the loss of protection for those intellectual property rights or changes in intellectual property laws yield that result, it could have a negative impact on our contract volume and revenues.</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is dependent on proprietary technology and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patents, trademarks, copyright, database rights, trade secrets, restrictions on disclosure, and other methods. Notwithstanding the precautions we take to protect our proprietary technology and intellectual property rights, it is possible that employees or third parties may copy, misappropriate, or otherwise obtain and use our proprietary technology without authorization or otherwise infringe on our rights. The use of certain artificial intelligence technology can give rise to intellectual property risks, including claims that the data used to train, or in connection with certain models infringes the intellectual property rights of the owner of such data. In addition, in the future, we may have to rely on litigation to enforce our intellectual property rights, protect our trade secrets, challenge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6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in our business may be unsuccessful and may give rise to various risks, which could adversely affect our business, reputation or operating results.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financial performance depends, in part, on our ability to develop and market new and innovative services that differentiate our products or provide cost efficiencies, while avoiding increased related expenses. As artificial intelligence is a new and evolving technology in the early stages of commercial use, there are significant risks involved in the development and deployment of artificial intelligence. Moreover, there can be no assurance that our use of artificial intelligence in our business processes, system development, operations, or as part of our product and service offerings will enhance our products or services or augment our business or operating results. Market acceptance of artificial intelligence technologies is uncertain, and we may be unsuccessful in our product development efforts. Our artificial intelligence-related product initiatives and offerings, or use in our internal business operations, may give rise to risks related to accuracy, bias, discrimination, intellectual property infringement, misappropriation or leakage of intellectual property, defamation, data privacy and cybersecurity, among others. We are also exposed to risks related to the use of artificial intelligence technologies by third-party service providers, clients and other financial intermediaries. Risks related to our development and use of artificial intelligence include the possibility of new or enhanced laws or regulations or novel enforcement of existing laws related to artificial intelligence, compliance with which may be costly and burdensome or involve changes to our business practices or products, litigation or other legal liability, or additional oversight, audits or enforcement under existing laws or regulations. Our use of artificial intelligence may also give rise to ethical concerns or negative public perceptions, which may cause brand or reputational harm. Additionally, our existing competitors or new entrants may be developing their own artificial intelligence products and technologies, which may be superior in features or functionality, or cost, to our offerings. Any of these factors could adversely affect our business, reputation or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CLASS A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$3.4 billion of total indebtedness and we had excess borrowing capacity for general corporate purposes under our existing facilities of approximately $2.3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 our indebtedness may:</w:t>
      </w:r>
    </w:p>
    <w:p>
      <w:pPr>
        <w:spacing w:after="0" w:line="117" w:lineRule="exact"/>
        <w:rPr>
          <w:sz w:val="20"/>
          <w:szCs w:val="20"/>
          <w:color w:val="auto"/>
        </w:rPr>
      </w:pPr>
    </w:p>
    <w:p>
      <w:pPr>
        <w:ind w:left="660" w:right="38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or challenges relating to our business and industry;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against any less leveraged competitors.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particularly given changes in interest rates, could increase the risks described above to the extent that we incur additional debt. Our regulated businesses are also required to maintain minimum capital requirements set by their applicable regulators.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Please see "Item 7 - Management's Discussion and Analysis of Financial Condition and Results of Operations — Regulatory Requirements" beginning on page 47 for additional information regarding capital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 could increase the cost of our funding from the capital markets.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As a result, there can be no assurance that we will maintain our current ratings. In the past, we have experienced ratings downgrades. Our failure to maintain our ratings could adversely affect the cost and other terms upon which we are able to obtain</w:t>
      </w:r>
    </w:p>
    <w:p>
      <w:pPr>
        <w:spacing w:after="0" w:line="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Nine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influence over the operation of our business.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Nine of our directors own, or are officers or directors of firms that own trading rights on our exchanges. We are dependent on the revenues from the trading and clearing activities of our exchange members. In 2025, 85% of our derivatives contract volume was derived from our members. This dependence may give them influence over how we operate our business.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and prior attempts to do so did not receive the necessary shareholder approvals.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a highly regulated global financial services company, we understand the substantial operational risks for companies in our industry as well as the importance of protecting the information and data of our clients, third parties and employees and the resilience of our systems. As such, our GIS Program is designed and operated to mitigate information security risks and threats to the company. Its intent is to safeguard the confidentiality, integrity and availability of our information and services. The GIS Program is designed to strengthen the integrity of the global markets we support, protect CME Group’s information assets, maintain client, third party and employee trust, support our pursuit of strategic objectives, contribute to shareholder value and preserve our reputation and brand. We implement technical, physical and administrative safeguards to protect the confidential and sensitive information of our clients, third parties, employees and other information under CME Group’s stewardship. We manage cybersecurity risk to the organization as part of our business strategy, risk management and financial functions in alignment with our overall Enterprise Risk Management Program and regularly engage with the risk committee of the board of directors and the board of directors as a whole regarding the effectiveness of the GIS Program and the management of our cybersecurity risks.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GIS Program is led by the individual serving in the role of Chief Information Security Officer (CISO). Our former CISO transitioned to a new role at another company. We have appointed an interim CISO while we complete our search for a permanent replacement. Our interim CISO has over 25 years of technology experience and 22 years as a senior leader within CME Group's information security operations and incident response program. The CISO reports to our Chief Information Officer (CIO), a member of our Management Team. Our GIS team is comprised of over 250 full-time employees, many of whom hold cybersecurity, risk, or management certifications, such as Certified Information Systems Security Professional, Certified Information Security Manager, Certified in Risk and Information Systems Control, Series 99, Certified Information Systems Auditor, Project Management Professional, various cloud provider certifications and various levels of certifications demonstrating expertise in technology infrastructure. As part of our GIS Program, CME Group operates a Cyber Defense Center that virtually links 24/7 to our international cybersecurity teams and serves as a global hub for cybersecurity risk management activities, including log collection, event monitoring, threat detection and incident response, resiliency, operations, vulnerability management and the proactive collection and processing of both open source and proprietary threat and intelligence feeds allowing the company to efficiently manage, investigate and respond to cybersecurity events. Our GIS team conducts analyses and aims to prevent, detect and respond to systemic events that might threaten our company, industry or the economy.</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GIS Program includes a Cyber Defense team, which manages the Incident Response Plan (Response Plan), and consists of subject matter experts from GIS and Information Governance, who work together to monitor and respond to cybersecurity incidents. The Response Plan outlines our cyber and incident response policies and governs our incident response lifecycle, which divides overall incident response into serial phases. The Crisis Management Team is responsible for oversight during an incident, in conjunction with the Cyber Coordination Team. The Cyber Coordination Team manages responses to cybersecurity and compliance incidents, collaborating with subject matter experts from various departments in response to specific incidents. When an incident reaches a certain threshold of severity, our CISO and CIO escalate the matter to our Chief Operating Officer, who is a member of our Management Team, to determine next steps, as well as possible customer and external communications. Throughout the incident response process, the Legal team is engaged, as appropriate, and helps consider whether disclosure is required once a determination is made in connection with the company’s leadership and the Crisis Management Team.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identify, assess and manage material risks from cybersecurity threats through our GIS Program as follows:</w:t>
      </w:r>
    </w:p>
    <w:p>
      <w:pPr>
        <w:spacing w:after="0" w:line="117" w:lineRule="exact"/>
        <w:rPr>
          <w:sz w:val="20"/>
          <w:szCs w:val="20"/>
          <w:color w:val="auto"/>
        </w:rPr>
      </w:pPr>
    </w:p>
    <w:p>
      <w:pPr>
        <w:ind w:left="660" w:right="4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deploy a defense-in-depth strategy, acknowledging the importance of people, processes and technology in upholding information security. The strategy incorporates multiple layers of controls, including, monitoring, vulnerability management, identity and access management and security assessments.</w:t>
      </w:r>
    </w:p>
    <w:p>
      <w:pPr>
        <w:spacing w:after="0" w:line="13" w:lineRule="exact"/>
        <w:rPr>
          <w:rFonts w:ascii="Times New Roman" w:cs="Times New Roman" w:eastAsia="Times New Roman" w:hAnsi="Times New Roman"/>
          <w:sz w:val="18"/>
          <w:szCs w:val="18"/>
          <w:color w:val="auto"/>
        </w:rPr>
      </w:pPr>
    </w:p>
    <w:p>
      <w:pPr>
        <w:ind w:left="660" w:right="44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is aligned with the National Institute of Standards and Technology Cybersecurity Framework and other technical standards and frameworks.</w:t>
      </w:r>
    </w:p>
    <w:p>
      <w:pPr>
        <w:spacing w:after="0" w:line="1"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robust cybersecurity defense response plan that provides a documented framework for handling security incidents and facilitates coordination across multiple parts of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threat intelligence and operate a Cyber Defense Center, which acts as our hub of information sharing and threat intelligence analysis.</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external expertise and reviews into our cybersecurity risk management program and continue to engage leading professional consulting firms to assist our company in incorporating cybersecurity best practices.</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annual cybersecurity awareness and ongoing phishing training, and we routinely conduct cybersecurity attack simulation exercises, which includes participation from various levels of management.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risk-based approach, we conduct due diligence reviews of our third-party service providers for potential cybersecurity risks to the company. We also maintain a cross-functional Third Party Risk Management program, which partners with our GIS, Information Governance, and Operational Resilience teams, among others, to manage and monitor third party risk presented by CME Group vendors and certain third parties of third parties (fourth parties). The teams conduct initial due diligence on vendors and monitor cyber-related incidents and known vulnerabilities with the goal of enhancing processes, improving risk management and partnering on exit planning and testing for certain vendors associated with essential functions.</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insurance against certain cybersecurity and privacy risks and attacks.</w:t>
      </w:r>
    </w:p>
    <w:p>
      <w:pPr>
        <w:spacing w:after="0" w:line="6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active participant in the financial services industry and government forums and information sharing programs, designed to improve both internal and sector cybersecurity defense. These valuable external partnerships are established and maintained in order to gain more timely, comprehensive and actionable threat information across geographies and industries and to facilitate the exchange of best practices and security techniques. They allow for a high degree of collaboration and cooperation with local, state, federal, and international law enforcement and intelligence agencies, industry groups, and other private sector chief information security officers.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5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the design and effectiveness of our information security controls and processes through a program of testing performed by internal and independent third-party teams. Remediation of gaps and opportunities identified through testing are tracked through to closure. Testing activities support a variety of regulatory requirements and external industry certifications held by CME Group.</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provides oversight of cybersecurity risks and has designated primary responsibility to the risk committee which oversees our information security programs, including cybersecurity, and is actively involved in monitoring the progress of key cybersecurity initiatives. Our board and risk committee receive regular updates on the activities and effectiveness of our GIS Program, including reports on incident response plan testing exercises and results of compliance testing and third-party evaluation results. Our CISO provides quarterly, or as needed, reports and updates to our board and risk committee on the company's cybersecurity risk management program and meets with the risk committee at least annually in a private session. The CISO has an indirect reporting line to the risk committee. We also engage with leading professional consulting firms to provide periodic updates to the board on cybersecurity-related risks in the evolving threat landscape and to provide education on best practices for board oversight of our GIS Program.</w:t>
      </w:r>
    </w:p>
    <w:p>
      <w:pPr>
        <w:spacing w:after="0" w:line="8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To date, the company is not aware of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32"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See "Item 1A - Risk Factors" beginning on page 16 for additional information on cyber attacks and other cybersecurity risks the company faces. </w:t>
      </w:r>
      <w:r>
        <w:rPr>
          <w:rFonts w:ascii="Times New Roman" w:cs="Times New Roman" w:eastAsia="Times New Roman" w:hAnsi="Times New Roman"/>
          <w:sz w:val="18"/>
          <w:szCs w:val="18"/>
          <w:b w:val="1"/>
          <w:bCs w:val="1"/>
          <w:color w:val="auto"/>
        </w:rPr>
        <w:t>ITEM 2. PROPERTIES</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20 South Wacker Drive, Chicago, IL, where we lease approximately 500,000 square feet of general office space. This lease expires in 2032. Our European headquarters are located at the London Fruit &amp; Wool Exchange at 1 Duval Square, London, where we lease approximately 120,000 square feet of general office space. This lease expires in 2038.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our largest data center from CyrusOne in Aurora, IL. This lease expires in 2031.</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5. Property and note 11. Leases to the consolidated financial statements for more information.</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12. Contingencies to the consolidated financial statements beginning on page 77 for CME Group’s legal proceedings disclosure, which is incorporated herein by reference.</w:t>
      </w:r>
    </w:p>
    <w:p>
      <w:pPr>
        <w:spacing w:after="0" w:line="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840" w:right="22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Nasdaq under the ticker symbol "CME." As of February 11, 2026, there were approximately 3,650 holders of record of our Class A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Class B common stock is not listed on a national securities exchange or traded in an organized OTC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February 11, 2026, there were approximately 1,430 holders of record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2021, we issued and sold in a private placement approximately 4.6 million shares of Series G Non-Voting Convertible Preferred Stock. Series G Non-Voting Convertible Preferred Stock is not listed on a national securities exchange or traded in an organized OTC market. These shares are convertible to Class A common stock at the discretion of the holder at a specified conversion rate, which is initially 1:1. Series G Non-Voting Convertible Preferred Stock has the same equitable interest in our earnings and the same dividend payments per share as our Class A shares on an as converted basis. As of February 11, 2026, there was one holder of record of our Series G Non-Voting Convertible Preferred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31, 2020 and its relative performance is tracked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59690</wp:posOffset>
            </wp:positionV>
            <wp:extent cx="5254625" cy="4354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54625"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Group Inc.</w:t>
            </w:r>
          </w:p>
        </w:tc>
        <w:tc>
          <w:tcPr>
            <w:tcW w:w="20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129.46</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99.82</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131.06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151.29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0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2"/>
              </w:rPr>
              <w:t>128.71</w:t>
            </w:r>
          </w:p>
        </w:tc>
        <w:tc>
          <w:tcPr>
            <w:tcW w:w="9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105.40</w:t>
            </w:r>
          </w:p>
        </w:tc>
        <w:tc>
          <w:tcPr>
            <w:tcW w:w="9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133.10</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166.40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2"/>
              </w:rPr>
              <w:t>119.73</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103.97</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126.59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152.01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60" w:type="dxa"/>
            <w:vAlign w:val="bottom"/>
          </w:tcPr>
          <w:p>
            <w:pPr>
              <w:spacing w:after="0"/>
              <w:rPr>
                <w:sz w:val="13"/>
                <w:szCs w:val="13"/>
                <w:color w:val="auto"/>
              </w:rPr>
            </w:pPr>
          </w:p>
        </w:tc>
        <w:tc>
          <w:tcPr>
            <w:tcW w:w="19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60" w:type="dxa"/>
            <w:vAlign w:val="bottom"/>
          </w:tcPr>
          <w:p>
            <w:pPr>
              <w:spacing w:after="0"/>
              <w:rPr>
                <w:sz w:val="12"/>
                <w:szCs w:val="12"/>
                <w:color w:val="auto"/>
              </w:rPr>
            </w:pPr>
          </w:p>
        </w:tc>
        <w:tc>
          <w:tcPr>
            <w:tcW w:w="194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00" w:type="dxa"/>
            <w:vAlign w:val="bottom"/>
          </w:tcPr>
          <w:p>
            <w:pPr>
              <w:spacing w:after="0"/>
              <w:rPr>
                <w:sz w:val="11"/>
                <w:szCs w:val="11"/>
                <w:color w:val="auto"/>
              </w:rPr>
            </w:pPr>
          </w:p>
        </w:tc>
        <w:tc>
          <w:tcPr>
            <w:tcW w:w="14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2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9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in 2025</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400" w:type="dxa"/>
            <w:vAlign w:val="bottom"/>
          </w:tcPr>
          <w:p>
            <w:pPr>
              <w:spacing w:after="0"/>
              <w:rPr>
                <w:sz w:val="12"/>
                <w:szCs w:val="12"/>
                <w:color w:val="auto"/>
              </w:rPr>
            </w:pPr>
          </w:p>
        </w:tc>
        <w:tc>
          <w:tcPr>
            <w:tcW w:w="146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94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 Programs (in</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23"/>
                <w:szCs w:val="23"/>
                <w:b w:val="1"/>
                <w:bCs w:val="1"/>
                <w:color w:val="auto"/>
                <w:w w:val="96"/>
                <w:vertAlign w:val="superscript"/>
              </w:rPr>
              <w:t>(1)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6"/>
              </w:rPr>
              <w:t>Unit)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 xml:space="preserve">millions)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2,991.8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269,829</w:t>
            </w: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1"/>
                <w:szCs w:val="11"/>
                <w:color w:val="auto"/>
              </w:rPr>
              <w:t>(2)</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277.62</w:t>
            </w:r>
          </w:p>
        </w:tc>
        <w:tc>
          <w:tcPr>
            <w:tcW w:w="1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269,735</w:t>
            </w:r>
          </w:p>
        </w:tc>
        <w:tc>
          <w:tcPr>
            <w:tcW w:w="260" w:type="dxa"/>
            <w:vAlign w:val="bottom"/>
          </w:tcPr>
          <w:p>
            <w:pPr>
              <w:spacing w:after="0"/>
              <w:rPr>
                <w:sz w:val="19"/>
                <w:szCs w:val="19"/>
                <w:color w:val="auto"/>
              </w:rPr>
            </w:pPr>
          </w:p>
        </w:tc>
        <w:tc>
          <w:tcPr>
            <w:tcW w:w="19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2,917.0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671,384</w:t>
            </w:r>
          </w:p>
        </w:tc>
        <w:tc>
          <w:tcPr>
            <w:tcW w:w="4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rPr>
              <w:t>(3)</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274.08</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660,603</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2,735.9</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941,213</w:t>
            </w: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1"/>
                <w:szCs w:val="11"/>
                <w:color w:val="auto"/>
              </w:rPr>
              <w:t>(4)</w:t>
            </w:r>
          </w:p>
        </w:tc>
        <w:tc>
          <w:tcPr>
            <w:tcW w:w="1460" w:type="dxa"/>
            <w:vAlign w:val="bottom"/>
          </w:tcPr>
          <w:p>
            <w:pPr>
              <w:spacing w:after="0"/>
              <w:rPr>
                <w:sz w:val="19"/>
                <w:szCs w:val="19"/>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930,338</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80" w:hanging="652"/>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CME Group maintains a share repurchase program under which CME Group is authorized to repurchase up to $3.0 billion of its outstanding Class A common stock, par value $0.01 per share (the common stock) as announced on December 5, 2024. The share repurchase program has no expiration date.</w:t>
      </w:r>
    </w:p>
    <w:p>
      <w:pPr>
        <w:spacing w:after="0" w:line="7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94 shares of Class A common stock surrendered to satisfy employees' tax obligations upon the vesting of restricted stock.</w:t>
      </w:r>
    </w:p>
    <w:p>
      <w:pPr>
        <w:spacing w:after="0" w:line="11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10,781 shares of Class A common stock surrendered to satisfy employees' tax obligations upon the vesting of restricted stock.</w:t>
      </w:r>
    </w:p>
    <w:p>
      <w:pPr>
        <w:spacing w:after="0" w:line="126"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included an aggregate of 10,875 shares of Class A common stock surrendered to satisfy employee tax obligations upon the vesting of restricted stock.</w:t>
      </w: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Includes an overview of our business; current economic, competitive and regulatory trends relevant to our business;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business strategy; and our primary sources of operating and non-operating revenues and expenses.</w:t>
      </w:r>
    </w:p>
    <w:p>
      <w:pPr>
        <w:spacing w:after="0" w:line="33"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Provides an explanation of accounting policies that may have a significant impact on our financial results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assumptions and risks associated with those policies.</w:t>
      </w:r>
    </w:p>
    <w:p>
      <w:pPr>
        <w:spacing w:after="0" w:line="19"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Includes an analysis of our 2025 financial results and a discussion of any known events or trends that are likely to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results.</w:t>
      </w:r>
    </w:p>
    <w:p>
      <w:pPr>
        <w:spacing w:after="0" w:line="33"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Includes a discussion of our future cash requirements, capital resources, significant planned expenditures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arrangements.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CME Group, a Delaware stock corporation, is the holding company for CME, CBOT, NYMEX, COMEX, NEX Group plc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offer our customers the opportunity to trade futures contracts and options contracts on a range of products, including those based on interest rates, equity indexes, foreign exchange, energy, metals and agricultural commodities.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contracts are cleared at third-party clearing houses.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Our customers continue to use our markets as an effective and transparent means to manage risk and meet their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Trading activity in our centralized markets has fluctuated due to the ongoing uncertainty in the financial markets, fluctuations in the availability of credit, variations in the amount of assets under management as well as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Federal Reserve Bank’s interest rate policy. We continue to maintain high quality and diverse products as well as various clearing and market data services, which support our customers in any economic environment.</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Our industry is competitive and we continue to encounter competition in all aspects of our business. We expect competition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intensify, especially in light of ongoing regulatory developments in the financial services industry. Competition is influenced by our brand and reputation; the efficiency and security of our clearing, settlement and support services; depth and liquidity of our markets; capital and margin efficiencies;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and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compete in a large and expanding financial services trading, clearing and settlement marketplace globally. As markets continue to evolve, we will continue to adapt our trading technology and clearing services to meet the needs of our customers. The competitive environment to which we are subject is discussed in "Item 1 - Business" beginning on page 10.</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Environment. </w:t>
      </w:r>
      <w:r>
        <w:rPr>
          <w:rFonts w:ascii="Times New Roman" w:cs="Times New Roman" w:eastAsia="Times New Roman" w:hAnsi="Times New Roman"/>
          <w:sz w:val="18"/>
          <w:szCs w:val="18"/>
          <w:color w:val="auto"/>
        </w:rPr>
        <w:t>Our exchange-traded derivatives exchanges and other businesses are regulated and we serve a customer base that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institutions and individuals. Developments in the regulatory 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 Business" beginning on page 12.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strategy focuses on maximizing futures and options growth globally, diversifying our business and revenues and delivering unparalleled customer efficiencies and operational excellence, including through our partnership with Google Cloud. This strategy allows us to continue to develop into a more broadly diversified financial exchange that provides trading and clearing solutions across a wide range of products and asset classes. Our strategic initiatives are discussed in "Item 1 - Business" beginning on page 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Clearing and transaction fees. </w:t>
      </w:r>
      <w:r>
        <w:rPr>
          <w:rFonts w:ascii="Times New Roman" w:cs="Times New Roman" w:eastAsia="Times New Roman" w:hAnsi="Times New Roman"/>
          <w:sz w:val="18"/>
          <w:szCs w:val="18"/>
          <w:color w:val="auto"/>
        </w:rPr>
        <w:t>A majority of our revenue is derived from clearing and transaction fees, which include electronic trading fees, surcharges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privately negotiated transactions and other volume-related charges for exchange-traded and over-the-counter (OTC)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While volume has the most significant impact on our clearing and transaction fees revenue, there are four other factors that also influence this source of revenue:</w:t>
      </w:r>
    </w:p>
    <w:p>
      <w:pPr>
        <w:spacing w:after="0" w:line="54"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structure;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trades executed by customers who are members compared with non-member customers.</w:t>
      </w:r>
    </w:p>
    <w:p>
      <w:pPr>
        <w:spacing w:after="0" w:line="115" w:lineRule="exact"/>
        <w:rPr>
          <w:sz w:val="20"/>
          <w:szCs w:val="20"/>
          <w:color w:val="auto"/>
        </w:rPr>
      </w:pPr>
    </w:p>
    <w:p>
      <w:pPr>
        <w:ind w:left="34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Rate structure. </w:t>
      </w:r>
      <w:r>
        <w:rPr>
          <w:rFonts w:ascii="Times New Roman" w:cs="Times New Roman" w:eastAsia="Times New Roman" w:hAnsi="Times New Roman"/>
          <w:sz w:val="18"/>
          <w:szCs w:val="18"/>
          <w:color w:val="auto"/>
        </w:rPr>
        <w:t>Customers benefit from volume discounts and limits on fees as part of our effort to increase liquidity in certain products. 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65" w:lineRule="exact"/>
        <w:rPr>
          <w:sz w:val="20"/>
          <w:szCs w:val="20"/>
          <w:color w:val="auto"/>
        </w:rPr>
      </w:pPr>
    </w:p>
    <w:p>
      <w:pPr>
        <w:ind w:left="34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We offer exchange-traded futures and options contracts as well as cleared-only interest rate swap contracts and event contracts.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foreign exchange spot and forward contracts and fixed income products. Rates are varied by product in order to optimize revenue on existing products and to encourage contract volume upon introduction of new products.</w:t>
      </w:r>
    </w:p>
    <w:p>
      <w:pPr>
        <w:spacing w:after="0" w:line="65" w:lineRule="exact"/>
        <w:rPr>
          <w:sz w:val="20"/>
          <w:szCs w:val="20"/>
          <w:color w:val="auto"/>
        </w:rPr>
      </w:pPr>
    </w:p>
    <w:p>
      <w:pPr>
        <w:jc w:val="both"/>
        <w:ind w:left="34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Venue. </w:t>
      </w:r>
      <w:r>
        <w:rPr>
          <w:rFonts w:ascii="Times New Roman" w:cs="Times New Roman" w:eastAsia="Times New Roman" w:hAnsi="Times New Roman"/>
          <w:sz w:val="18"/>
          <w:szCs w:val="18"/>
          <w:color w:val="auto"/>
        </w:rPr>
        <w:t>Our exchange and platforms are an international marketplace that brings together buyers and sellers mainly through our electronic trading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through open outcry trading and privately negotiated transactions. Any customer who is guaranteed by a clearing firm and who agrees to be bound by our exchange rules is able to obtain direct access to our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electronic platforms. Open outcry trading is conducted exclusively by our members, who may execute trades on behalf of customers or for themselves.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outcry trading is limited to Secured Overnight Financing Rate (SOFR) options products.</w:t>
      </w:r>
    </w:p>
    <w:p>
      <w:pPr>
        <w:spacing w:after="0" w:line="9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66" w:lineRule="exact"/>
        <w:rPr>
          <w:sz w:val="20"/>
          <w:szCs w:val="20"/>
          <w:color w:val="auto"/>
        </w:rPr>
      </w:pPr>
    </w:p>
    <w:p>
      <w:pPr>
        <w:ind w:left="340" w:right="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Member/non-member mix. </w:t>
      </w:r>
      <w:r>
        <w:rPr>
          <w:rFonts w:ascii="Times New Roman" w:cs="Times New Roman" w:eastAsia="Times New Roman" w:hAnsi="Times New Roman"/>
          <w:sz w:val="17"/>
          <w:szCs w:val="17"/>
          <w:color w:val="auto"/>
        </w:rPr>
        <w:t>Generally, member customers are charged lower fees than our non-member customers. Holding all other factors constant,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decreases if the percentage of trades executed by members increases, and increases if the percentage of non-member trades increases.</w:t>
      </w:r>
    </w:p>
    <w:p>
      <w:pPr>
        <w:spacing w:after="0" w:line="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Clearing and transaction fees for cash markets business</w:t>
      </w:r>
      <w:r>
        <w:rPr>
          <w:rFonts w:ascii="Times New Roman" w:cs="Times New Roman" w:eastAsia="Times New Roman" w:hAnsi="Times New Roman"/>
          <w:sz w:val="18"/>
          <w:szCs w:val="18"/>
          <w:color w:val="auto"/>
        </w:rPr>
        <w:t>. Our cash markets business provides matching services whereby we match a buyer and seller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BrokerTec Americas also generates revenue from a matched principal business. This business serves as a fully matched counterparty to offsetting positions entered into by clients on our electronic trading platform to facilitate anonymity and access to clearing and settlement. Revenue is generated from this business generally on a transaction fee basis.</w:t>
      </w:r>
    </w:p>
    <w:p>
      <w:pPr>
        <w:spacing w:after="0" w:line="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Revenue is also derived from other sources, including market data and information services and other various services related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We receive market data and information services revenue from the dissemination of our market data to subscribers.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can obtain access to our market data services either directly or through third-party distributors.</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7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 includes access and communication fees. Access and communication fees are connectivity fees charged to members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revenues also include fees for collateral management, equity subscription fees and fees for trade order routing through agreements from various strategic relationships as well as other services to members and clearing firms.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expenses do not vary directly with changes in our contract volume. However, licensing and other fee agreements can vary directly with certain equity, energy and swap volumes.</w:t>
      </w:r>
    </w:p>
    <w:p>
      <w:pPr>
        <w:spacing w:after="0" w:line="5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Compensation and benefits expense is our most significant expense and includes employee wages, bonuses,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benefits and employer taxes. Changes in this expense are driven by fluctuations in the number of employees, increases in wages as a result of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performance share grants is based on either the share price on the date of the grant or a model of expected future stock prices.</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fees and outside services. </w:t>
      </w:r>
      <w:r>
        <w:rPr>
          <w:rFonts w:ascii="Times New Roman" w:cs="Times New Roman" w:eastAsia="Times New Roman" w:hAnsi="Times New Roman"/>
          <w:sz w:val="18"/>
          <w:szCs w:val="18"/>
          <w:color w:val="auto"/>
        </w:rPr>
        <w:t>This expense includes fees for consulting services received on strategic and technology initiatives;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long-lived assets such as buildings,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furniture, fixtures and equipment. This expense also includes the amortization of purchased and internally developed software.</w:t>
      </w:r>
    </w:p>
    <w:p>
      <w:pPr>
        <w:spacing w:after="0" w:line="4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amortization of intangible assets obtained in our acquisitions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We incur additional ongoing expenses for technology, licensing and other fee agreements and various other activities necessary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w:t>
      </w:r>
    </w:p>
    <w:p>
      <w:pPr>
        <w:spacing w:after="0" w:line="51" w:lineRule="exact"/>
        <w:rPr>
          <w:sz w:val="20"/>
          <w:szCs w:val="20"/>
          <w:color w:val="auto"/>
        </w:rPr>
      </w:pPr>
    </w:p>
    <w:p>
      <w:pPr>
        <w:ind w:left="660" w:right="160" w:hanging="328"/>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cloud consumption,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3"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occupancy and building operations expenses including rent, maintenance, real estate taxes, utilities and other related costs related to leased property in Chicago, New York, the UK, and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and expenses incurred through activities outside of our core operations are considered non-operating. These activities include non-core investing and financing activities.</w:t>
      </w:r>
    </w:p>
    <w:p>
      <w:pPr>
        <w:spacing w:after="0" w:line="54" w:lineRule="exact"/>
        <w:rPr>
          <w:sz w:val="20"/>
          <w:szCs w:val="20"/>
          <w:color w:val="auto"/>
        </w:rPr>
      </w:pPr>
    </w:p>
    <w:p>
      <w:pPr>
        <w:ind w:left="660" w:right="2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and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21" w:lineRule="exact"/>
        <w:rPr>
          <w:rFonts w:ascii="Times New Roman" w:cs="Times New Roman" w:eastAsia="Times New Roman" w:hAnsi="Times New Roman"/>
          <w:sz w:val="18"/>
          <w:szCs w:val="18"/>
          <w:color w:val="auto"/>
        </w:rPr>
      </w:pPr>
    </w:p>
    <w:p>
      <w:pPr>
        <w:ind w:left="660" w:right="640" w:hanging="328"/>
        <w:spacing w:after="0" w:line="27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borrowing costs expense includes charges associated with various short-term and long-term funding facilities, including commitment fees on lines of credit agreements.</w:t>
      </w:r>
    </w:p>
    <w:p>
      <w:pPr>
        <w:spacing w:after="0" w:line="4"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in net earnings (losses) of unconsolidated subsidiaries includes income and losses from our investments in FanDuel Prediction Markets Holdings LLC, S&amp;P Dow Jones Indices LLC, OSTTRA, Shanghai CFETS-NEX International Money Broking Co., Ltd. and Gulf Mercantile Exchange.</w:t>
      </w:r>
    </w:p>
    <w:p>
      <w:pPr>
        <w:spacing w:after="0" w:line="1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expenses related to the distribution of a portion of interest earned on performance bond collateral reinvestment to the clearing firms, gains and losses on derivative contracts and other various income and expenses outside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notes to our consolidated financial statements include disclosure of our significant accounting policies. In establishing these policies within the framework of accounting principles generally accepted in the United States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below, relate to the valuation of financial instruments, goodwill and intangible assets, revenue recognition, income taxes and internal use software costs.</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67" w:lineRule="exact"/>
        <w:rPr>
          <w:sz w:val="20"/>
          <w:szCs w:val="20"/>
          <w:color w:val="auto"/>
        </w:rPr>
      </w:pPr>
    </w:p>
    <w:p>
      <w:pPr>
        <w:ind w:left="660" w:right="4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the fair value of financial assets and liabilities, see note 2. Summary of Significant Accounting Policies and note 17. Fair Value Measurements to the consolidated financial statements.</w:t>
      </w:r>
    </w:p>
    <w:p>
      <w:pPr>
        <w:spacing w:after="0" w:line="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We review goodwill for impairment on a quarterly basis and whenever events or circumstances indicate that its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 is derived from the clearing and transaction fees we assess on each contract executed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trading venues and cleared through our clearing house. Clearing and transaction fees are recognized as revenue when a buy and sell order are matched, novated and when the trade is cleared. On occasion,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We also earn revenue from the dissemination of market data to subscribers, distributors, and other third-party licensees of market data. Market data and information services fee revenue is generally recognized on a monthly basis as the customers receive and consume the benefit of the market data services.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Calculation of the income tax provision includes an estimate of the income taxes that will be paid for the current year, as well as an estimate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third-party expertise where appropriate. We recognize potential liabilities for anticipated tax audit issues in the U.S.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led to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costs. </w:t>
      </w:r>
      <w:r>
        <w:rPr>
          <w:rFonts w:ascii="Times New Roman" w:cs="Times New Roman" w:eastAsia="Times New Roman" w:hAnsi="Times New Roman"/>
          <w:sz w:val="18"/>
          <w:szCs w:val="18"/>
          <w:color w:val="auto"/>
        </w:rPr>
        <w:t>Certain internal and external costs that are incurred in connection with developing or obtaining software for internal use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We also enter into software hosting arrangements for software projects maintained or developed in the cloud. Software development costs incurred during the planning or maintenance stages of a software project are expensed as incurred, while certain costs incurred during the application development stage are capitalized and are amortized over the estimated useful life of the software, which is generally two to four years, but up to eight years for certain trading and clearing applications.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years presented. For a comparison of our results of operations for the fiscal years ended December 31, 2024 to December 31, 2023, see "Part II, Item 7 - Management's Discussion and Analysis of Financial Condition and Results of Operations" of our Annual Report on Form 10-K for the fiscal year ended December 31, 2024, filed with the SEC on February 27,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700" w:type="dxa"/>
            <w:vAlign w:val="bottom"/>
          </w:tcPr>
          <w:p>
            <w:pPr>
              <w:spacing w:after="0"/>
              <w:rPr>
                <w:sz w:val="2"/>
                <w:szCs w:val="2"/>
                <w:color w:val="auto"/>
              </w:rPr>
            </w:pPr>
          </w:p>
        </w:tc>
        <w:tc>
          <w:tcPr>
            <w:tcW w:w="122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
                <w:szCs w:val="2"/>
                <w:color w:val="auto"/>
              </w:rPr>
            </w:pP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6,520.6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6,130.1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700" w:type="dxa"/>
            <w:vAlign w:val="bottom"/>
          </w:tcPr>
          <w:p>
            <w:pPr>
              <w:spacing w:after="0"/>
              <w:rPr>
                <w:sz w:val="19"/>
                <w:szCs w:val="19"/>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2,291.1</w:t>
            </w:r>
          </w:p>
        </w:tc>
        <w:tc>
          <w:tcPr>
            <w:tcW w:w="42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2,198.6</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64.1 %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1,101.0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609.9</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expense rate</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4,072.2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3,525.8</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CME Group</w:t>
            </w:r>
          </w:p>
        </w:tc>
        <w:tc>
          <w:tcPr>
            <w:tcW w:w="1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11.16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9.67</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700" w:type="dxa"/>
            <w:vAlign w:val="bottom"/>
          </w:tcPr>
          <w:p>
            <w:pPr>
              <w:spacing w:after="0"/>
              <w:rPr>
                <w:sz w:val="20"/>
                <w:szCs w:val="20"/>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4,277.1</w:t>
            </w:r>
          </w:p>
        </w:tc>
        <w:tc>
          <w:tcPr>
            <w:tcW w:w="420" w:type="dxa"/>
            <w:vAlign w:val="bottom"/>
          </w:tcPr>
          <w:p>
            <w:pPr>
              <w:spacing w:after="0"/>
              <w:rPr>
                <w:sz w:val="20"/>
                <w:szCs w:val="20"/>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3,690.5</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873"/>
        </w:trPr>
        <w:tc>
          <w:tcPr>
            <w:tcW w:w="5060" w:type="dxa"/>
            <w:vAlign w:val="bottom"/>
          </w:tcPr>
          <w:p>
            <w:pPr>
              <w:spacing w:after="0"/>
              <w:rPr>
                <w:sz w:val="24"/>
                <w:szCs w:val="24"/>
                <w:color w:val="auto"/>
              </w:rPr>
            </w:pPr>
          </w:p>
        </w:tc>
        <w:tc>
          <w:tcPr>
            <w:tcW w:w="17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2"/>
                <w:szCs w:val="2"/>
                <w:color w:val="auto"/>
              </w:rPr>
            </w:pPr>
          </w:p>
        </w:tc>
        <w:tc>
          <w:tcPr>
            <w:tcW w:w="10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w:t>
      </w:r>
    </w:p>
    <w:p>
      <w:pPr>
        <w:spacing w:after="0" w:line="10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event contracts, the cash markets business as well as interest rate swaps.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r>
      <w:tr>
        <w:trPr>
          <w:trHeight w:val="23"/>
        </w:trPr>
        <w:tc>
          <w:tcPr>
            <w:tcW w:w="4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9"/>
        </w:trPr>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2025-2024</w:t>
            </w:r>
          </w:p>
        </w:tc>
      </w:tr>
      <w:tr>
        <w:trPr>
          <w:trHeight w:val="23"/>
        </w:trPr>
        <w:tc>
          <w:tcPr>
            <w:tcW w:w="48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7,060.4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6,685.0</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4,913.0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4,623.3</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0.696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0.692</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estimate the following net increase in clearing and transaction fees based on a change in total contract volume and a change in average rate per contract during 2025 compared with 2024.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change in total contract volume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Year-over-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2025-2024</w:t>
      </w:r>
    </w:p>
    <w:p>
      <w:pPr>
        <w:spacing w:after="0" w:line="61" w:lineRule="exact"/>
        <w:rPr>
          <w:sz w:val="20"/>
          <w:szCs w:val="20"/>
          <w:color w:val="auto"/>
        </w:rPr>
      </w:pPr>
    </w:p>
    <w:p>
      <w:pPr>
        <w:ind w:left="940" w:hanging="940"/>
        <w:spacing w:after="0"/>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261.2</w:t>
      </w:r>
    </w:p>
    <w:p>
      <w:pPr>
        <w:spacing w:after="0" w:line="38"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28.5</w:t>
      </w:r>
    </w:p>
    <w:p>
      <w:pPr>
        <w:spacing w:after="0" w:line="31" w:lineRule="exact"/>
        <w:rPr>
          <w:sz w:val="20"/>
          <w:szCs w:val="20"/>
          <w:color w:val="auto"/>
        </w:rPr>
      </w:pPr>
    </w:p>
    <w:p>
      <w:pPr>
        <w:ind w:left="940" w:hanging="940"/>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9080" w:space="720"/>
            <w:col w:w="1420"/>
          </w:cols>
          <w:pgMar w:left="320" w:top="118" w:right="359" w:bottom="1440" w:gutter="0" w:footer="0" w:header="0"/>
          <w:type w:val="continuous"/>
        </w:sectPr>
      </w:pPr>
    </w:p>
    <w:p>
      <w:pPr>
        <w:spacing w:after="0" w:line="8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Volume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5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15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6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16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Market volatility remained high throughout most of 2025. Interest rate and equity index volatility was higher as a result of mixed inflation levels, the threat of anticipated and implemented tariffs, and market uncertainty surrounding the Federal Reserve’s interest rate policy decisions. The Federal Open Markets Committee (FOMC) cut the federal funds rate multiple times throughout 2025 and issued cautious guidance for the future. In addition, market uncertainty also remained high within the energy, agricultural commodities, and metals markets throughout 2025. This was mainly due to new and existing geopolitical tensions, the anticipation and implementation of tariffs, and uncertain weather conditions in 2025. Finally, we also continued to expand product offerings across many of our asset classes which contributed to volume and sales growth across the globe. We believe these factors contributed to the increase in total volume in 2025 compared with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r>
      <w:tr>
        <w:trPr>
          <w:trHeight w:val="194"/>
        </w:trPr>
        <w:tc>
          <w:tcPr>
            <w:tcW w:w="5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r>
      <w:tr>
        <w:trPr>
          <w:trHeight w:val="196"/>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4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2025-2024</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3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2,888</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2,654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3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1,441</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1,053</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3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3,224</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3,248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3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2,055</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1,977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1,107</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3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749</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T-Note</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718</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3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430</w:t>
            </w: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34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495</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compared with 2024, overall interest rate contract volume increased as a result of higher overall market volatility. We believe this was a result of mixed inflation results that occurred throughout the year, as well as uncertainty surrounding the Federal Reserve's interest rate policy decisions. In addition, new and existing geopolitical tensions as well as the potential economic impacts of anticipated and implemented tariffs also led to higher overall interest rate contract volume in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and Cryptocurrency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300" w:type="dxa"/>
            <w:vAlign w:val="bottom"/>
            <w:vMerge w:val="restart"/>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3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4,119</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4,016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3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2,335</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2,065</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3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303</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308</w:t>
            </w: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Dow futures and options</w:t>
            </w:r>
          </w:p>
        </w:tc>
        <w:tc>
          <w:tcPr>
            <w:tcW w:w="3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226</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Ether futures and options</w:t>
            </w:r>
          </w:p>
        </w:tc>
        <w:tc>
          <w:tcPr>
            <w:tcW w:w="3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168</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 futures and options</w:t>
            </w:r>
          </w:p>
        </w:tc>
        <w:tc>
          <w:tcPr>
            <w:tcW w:w="3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Equity index contract volume increased in 2025 compared with 2024, as a result of higher overall volatility. We believe this higher volatility was due to the potential economic impacts of anticipated and implemented tariffs that occurred in the first half of 2025 as well as new and existing geopolitical tensions that occurred throughout the year. We also believe that higher volatility within the technology sector as a result of continued market speculation about artificial intelligence initiatives also contributed to higher Nasdaq-100 contract volume.</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cryptocurrency contract volume was higher in 2025 when compared to 2024, as a result of the continued broader acceptance of cryptocurrency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factors led to the overall increase in equity complex volume in 2025 when compared with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253</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4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185</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4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4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103</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4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91</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Overall foreign exchange contract volume decreased in 2025 when compared with 2024, which we believe is due to lower overall volatility. We believe this was the result of less variability surrounding the global central bank's interest rate policies, which has led to overall decreases in foreign exchange contract volumes.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energy products.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40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1,186</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40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916</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811</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40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396</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375</w:t>
            </w: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crude oil</w:t>
            </w:r>
          </w:p>
        </w:tc>
        <w:tc>
          <w:tcPr>
            <w:tcW w:w="40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173</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Overall energy contract volume increased in 2025 when compared with 2024, due to higher overall volatility. We believe crude oil volatility was higher as a result of geopolitical tensions across the globe, a shift in global supply levels, and the potential economic impacts of anticipated and implemented tariffs. Natural gas volatility remained high as a result of uncertain weather conditions and a shift in supplies in the U.S. in 2025, which impacted prices throughout the year. We believe these factors contributed to higher overall energy volume in 2025 compared with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agricultural commodity products.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40" w:type="dxa"/>
            <w:vAlign w:val="bottom"/>
            <w:vMerge w:val="restart"/>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557</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511</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404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367</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240</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228</w:t>
            </w:r>
          </w:p>
        </w:tc>
        <w:tc>
          <w:tcPr>
            <w:tcW w:w="15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2025 when compared with 2024, overall commodity contract volume increased due to higher overall market volatility. We believe the increase was a result of uncertainty surrounding the potential economic impacts of anticipated and implemented tariffs as they relate to the commodities market. In addition, changes in market expectations regarding grain supplies as well as uncertain weather conditions in 2025 also led to an increase in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683</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431</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4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153</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40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96</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133</w:t>
            </w:r>
          </w:p>
        </w:tc>
        <w:tc>
          <w:tcPr>
            <w:tcW w:w="1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Overall metal contract volume increased in 2025 when compared with 2024. We believe gold and silver volumes increased as a result of increased price volatility caused by investors using these metals as a safe-haven alternative investment due to uncertainty in other markets. In addition, the increase in volume was due to additional use of our metal products by our retail client base. The decrease in copper volume is due to reductions in demand for the metal due to economic instability as well as the continued tariff risk associated with copper. We believe these factors contributed to higher overall metals volume in 2025 when compared with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Rate per Contract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average rate per contract increased slightly in 2025 when compared with 2024. The overall increase is primarily due to the increase in our fee structure, which went into effect on February 1, 2025. The increase is also due to a change in product mix. Interest rate contract volume decreased by 1 percentage point as a percent of total volume, while all other products collectively increased by 1 percentage point. The increase was partially offset by higher volume tier-based incentives.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Total clearing and transaction fees revenue in 2025 included $283.7 million of transaction fees attributable to the cash markets business, compared with $276.7 million in 2024. This revenue primarily includes transaction fees from BrokerTecs's fixed income volume and EBS foreign exchange volume.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2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160" w:type="dxa"/>
            <w:vAlign w:val="bottom"/>
          </w:tcPr>
          <w:p>
            <w:pPr>
              <w:spacing w:after="0"/>
              <w:rPr>
                <w:sz w:val="2"/>
                <w:szCs w:val="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
                <w:szCs w:val="2"/>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151.1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145.1</w:t>
            </w:r>
          </w:p>
        </w:tc>
        <w:tc>
          <w:tcPr>
            <w:tcW w:w="15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132.6</w:t>
            </w:r>
          </w:p>
        </w:tc>
        <w:tc>
          <w:tcPr>
            <w:tcW w:w="42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131.6</w:t>
            </w: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years ended 2025 and 2024 for key cash markets products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billions)</w:t>
            </w:r>
          </w:p>
        </w:tc>
        <w:tc>
          <w:tcPr>
            <w:tcW w:w="2700" w:type="dxa"/>
            <w:vAlign w:val="bottom"/>
          </w:tcPr>
          <w:p>
            <w:pPr>
              <w:spacing w:after="0"/>
              <w:rPr>
                <w:sz w:val="2"/>
                <w:szCs w:val="2"/>
                <w:color w:val="auto"/>
              </w:rPr>
            </w:pP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
                <w:szCs w:val="2"/>
                <w:color w:val="auto"/>
              </w:rPr>
            </w:pPr>
          </w:p>
        </w:tc>
        <w:tc>
          <w:tcPr>
            <w:tcW w:w="120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Repos</w:t>
            </w:r>
          </w:p>
        </w:tc>
        <w:tc>
          <w:tcPr>
            <w:tcW w:w="2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7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307.8</w:t>
            </w:r>
          </w:p>
        </w:tc>
        <w:tc>
          <w:tcPr>
            <w:tcW w:w="42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290.1</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96.6</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101.9</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70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63.8</w:t>
            </w:r>
          </w:p>
        </w:tc>
        <w:tc>
          <w:tcPr>
            <w:tcW w:w="4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59.5</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higher in 2025 when compared with the same period in 2024 due to higher overall U.S. debt issuances. U.S. debt issuances were significantly higher in 2025 as a result of the increase of the debt ceiling in early 2025, which resulted in an increase in U.S. Repo volumes. Volume for the U.S. Treasury cash markets products declined slightly due to lower expected future volatility within the Treasury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One clearing firm represented 12% of our clearing and transaction fees in 2025.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In 2025 when compared with 2024, the increase in market data and information services revenue was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price increases for certain products as well as an increase in usage for certain products.</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Approximately 30% of our market data and information services revenue in 2025 was earned from the two largest resellers of our market data. Despite this concentration, we consider exposure to significant risk of revenue loss to be minimal. In the event that one of these vendors no longer distributes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2"/>
                <w:szCs w:val="2"/>
                <w:color w:val="auto"/>
              </w:rPr>
            </w:pPr>
          </w:p>
        </w:tc>
        <w:tc>
          <w:tcPr>
            <w:tcW w:w="134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1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21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Compared With 2024</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$92.5 million in 2025 when compared with 2024. The following table shows the estimated impact of key factors resulting in the net increase in operating expenses.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over-Year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Expenses</w:t>
            </w:r>
          </w:p>
        </w:tc>
        <w:tc>
          <w:tcPr>
            <w:tcW w:w="0" w:type="dxa"/>
            <w:vAlign w:val="bottom"/>
          </w:tcPr>
          <w:p>
            <w:pPr>
              <w:spacing w:after="0"/>
              <w:rPr>
                <w:sz w:val="1"/>
                <w:szCs w:val="1"/>
                <w:color w:val="auto"/>
              </w:rPr>
            </w:pPr>
          </w:p>
        </w:tc>
      </w:tr>
      <w:tr>
        <w:trPr>
          <w:trHeight w:val="22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OSTTRA sale professional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Google Cloud professional fees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increased in 2025 when compared with 2024 due to the following reasons:</w:t>
      </w:r>
    </w:p>
    <w:p>
      <w:pPr>
        <w:spacing w:after="0" w:line="117" w:lineRule="exact"/>
        <w:rPr>
          <w:sz w:val="20"/>
          <w:szCs w:val="20"/>
          <w:color w:val="auto"/>
        </w:rPr>
      </w:pPr>
    </w:p>
    <w:p>
      <w:pPr>
        <w:ind w:left="660" w:right="20" w:hanging="328"/>
        <w:spacing w:after="0" w:line="298"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employer taxes expense was higher as a result of salary increases that went into effect during the first quarter of 2025 as well as an increase in headcount during the year, which was primarily attributable to additional headcount in the company's international locations.</w:t>
      </w:r>
    </w:p>
    <w:p>
      <w:pPr>
        <w:ind w:left="660" w:right="54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expense related to technology support services was primarily driven by higher third party services license fees and software license fees to support the ongoing Google Cloud transformation project.</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expense increased due to transaction-related costs including banking and legal fees resulting from the sale of the OSTTRA joint venture in the fourth quarter of 2025.</w:t>
      </w:r>
    </w:p>
    <w:p>
      <w:pPr>
        <w:spacing w:after="0" w:line="1"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expense was higher primarily due to an increase in volume for certain equity products as well as the addition of multiple new products during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fees were higher primarily due to the class action lawsuit litigation in the second and third quarter of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expenses in 2025 when compared with 2024 were due to the following reasons:</w:t>
      </w:r>
    </w:p>
    <w:p>
      <w:pPr>
        <w:spacing w:after="0" w:line="63" w:lineRule="exact"/>
        <w:rPr>
          <w:sz w:val="20"/>
          <w:szCs w:val="20"/>
          <w:color w:val="auto"/>
        </w:rPr>
      </w:pPr>
    </w:p>
    <w:p>
      <w:pPr>
        <w:ind w:left="660" w:right="28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fees related to the Google Cloud transformation project, which began in late 2021, was the result of a shift in need from an overall project consulting focus to a technology migration focus.</w:t>
      </w:r>
    </w:p>
    <w:p>
      <w:pPr>
        <w:spacing w:after="0" w:line="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 primarily decreased due to gains recognized in 2025 due to a reduction in our leased office space as well as lower rent and data center occupancy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2"/>
                <w:szCs w:val="2"/>
                <w:color w:val="auto"/>
              </w:rPr>
            </w:pPr>
          </w:p>
        </w:tc>
        <w:tc>
          <w:tcPr>
            <w:tcW w:w="12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4,079.1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(160.9)</w:t>
            </w:r>
          </w:p>
        </w:tc>
        <w:tc>
          <w:tcPr>
            <w:tcW w:w="2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350.9</w:t>
            </w:r>
          </w:p>
        </w:tc>
        <w:tc>
          <w:tcPr>
            <w:tcW w:w="2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(3,659.2)</w:t>
            </w:r>
          </w:p>
        </w:tc>
        <w:tc>
          <w:tcPr>
            <w:tcW w:w="230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609.9</w:t>
            </w:r>
          </w:p>
        </w:tc>
        <w:tc>
          <w:tcPr>
            <w:tcW w:w="2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Investment income</w:t>
      </w:r>
      <w:r>
        <w:rPr>
          <w:rFonts w:ascii="Times New Roman" w:cs="Times New Roman" w:eastAsia="Times New Roman" w:hAnsi="Times New Roman"/>
          <w:sz w:val="18"/>
          <w:szCs w:val="18"/>
          <w:color w:val="auto"/>
        </w:rPr>
        <w:t>. In 2025 when compared with 2024, there was an increase in earnings from reinvested cash performance bond and guaranty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due to higher average reinvestment balances. In 2025 and 2024, earnings from cash performance bond and guaranty fund contributions were $5,253.6 million and $3,943.8 million, respectively. In addition, there was an increase in net realized and unrealized gains on investments, including the $306.1 million gain on the sale of the OSTTRA joint venture.</w:t>
      </w:r>
    </w:p>
    <w:p>
      <w:pPr>
        <w:spacing w:after="0" w:line="7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S&amp;P/DJI and OSTTRA business ventures contributed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equity in net earnings of unconsolidated subsidiaries in 2025 when compared with 2024.</w:t>
      </w:r>
    </w:p>
    <w:p>
      <w:pPr>
        <w:spacing w:after="0" w:line="5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2025 when compared with 2024, we recognized higher expense related to the distribution of interest earned on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collateral reinvestments to the clearing firms as a result of higher average reinvestment balances.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2025 and 2024, expenses related to the distribution of interest earned on collateral reinvestments were $4,842.5 million and $3,669.4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jc w:val="right"/>
              <w:ind w:right="7079"/>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23.6 %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overall effective tax rate increased in 2025 when compared with the same period in 2024. The increase is largely due to changes in our state and local apportionment factors including remeasurement of our deferred taxes during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historically met our funding requirements with cash generated by our ongoing operations. However, we have used our commercial paper program from time to time to fund large short-term funding needs.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Cash will also be required for non-cancellable purchase obligations as at December 31, 2025. Commitments include material contractual purchase obligations that are non-cancellable. Purchase obligations relate to advertising, licensing, hardware, software and maintenance as well as telecommunication services. Aside from the table below, we have certain other arrangements that have a perpetual term for which we pay a minimum of $5.0 million per year. At December 31, 2025, future minimum payments due under purchase obligations were payable as follows (in millions):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2029-2030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Future capital expenditures for technology are anticipated as we continue to support our growth through increased system capacity, performance improvements, integration of acquired platforms and improvements to some of our office spaces. Each year, capital expenditures are incurred for improvements to and modification of our offices, remote data centers, telecommunications network and other operating equipment. In 2026, we expect capital expenditures to total approximately $85.0 million, net of any leasehold improvement allowances. We continue to monitor our capital needs and may revise our forecasted expenditures as necessary in the future.</w:t>
      </w:r>
    </w:p>
    <w:p>
      <w:pPr>
        <w:spacing w:after="0" w:line="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limit our ability to declare and pay dividends. On February 12, 2026, the company declared a regular quarterly dividend of $1.30 per share for all outstanding common and preferred shares. The dividend will be payable on March 26, 2026 to shareholders of record on March 10, 2026. Assuming no changes in the number of shares outstanding, the first quarter dividend payment will total approximately $467.3 million. The board of directors also declared an additional, annual variable dividend of $6.15 per share on February 12, 2026 to be paid on March 26, 2026 to the shareholders of record on March 10, 2026. In general, the amount of the annual variable dividend will be determined based on prior year's performance and our expected cash needs,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from operating, investing and financing activities.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20" w:type="dxa"/>
            <w:vAlign w:val="bottom"/>
          </w:tcPr>
          <w:p>
            <w:pPr>
              <w:spacing w:after="0"/>
              <w:rPr>
                <w:sz w:val="2"/>
                <w:szCs w:val="2"/>
                <w:color w:val="auto"/>
              </w:rPr>
            </w:pP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
                <w:szCs w:val="2"/>
                <w:color w:val="auto"/>
              </w:rPr>
            </w:pPr>
          </w:p>
        </w:tc>
        <w:tc>
          <w:tcPr>
            <w:tcW w:w="11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4,277.1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3,690.5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1,498.8</w:t>
            </w:r>
          </w:p>
        </w:tc>
        <w:tc>
          <w:tcPr>
            <w:tcW w:w="4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56,509.5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5,076.5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higher in 2025 compared with 2024, largely due to an increase in revenue resulting from fee increases, an increase in overall volumes and higher interest earned on reinvestment of collateral, net of distributions.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investing activities in 2025 compared with 2024 was due to higher proceeds on sales of investments in 2025 compared to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higher in 2025 when compared with 2024 mainly due to an increase in cash performance bonds and guaranty fund contributions. This was partially offset by an increase in dividends paid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outstanding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20" w:type="dxa"/>
            <w:vAlign w:val="bottom"/>
          </w:tcPr>
          <w:p>
            <w:pPr>
              <w:spacing w:after="0"/>
              <w:rPr>
                <w:sz w:val="16"/>
                <w:szCs w:val="16"/>
                <w:color w:val="auto"/>
              </w:rPr>
            </w:pP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3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2030, stated rate of 4.40%</w:t>
            </w:r>
          </w:p>
        </w:tc>
        <w:tc>
          <w:tcPr>
            <w:tcW w:w="3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3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(1)</w:t>
            </w:r>
          </w:p>
        </w:tc>
        <w:tc>
          <w:tcPr>
            <w:tcW w:w="30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3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600" w:hanging="328"/>
        <w:spacing w:after="0" w:line="29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3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December 31, 2025, guaranty fund contributions available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collateralize the facility totaled $10.7 billion. We have the option to increase the line from $7.0 billion to $10.0 billion with the consent of the agent and lenders providing the additional funds.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7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December 31, 2025,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that it uses to pay dividends to its shareholders.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December 31, 2025, the letters of credit totaled $400.0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68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Times New Roman" w:cs="Times New Roman" w:eastAsia="Times New Roman" w:hAnsi="Times New Roman"/>
                <w:sz w:val="18"/>
                <w:szCs w:val="18"/>
                <w:color w:val="auto"/>
                <w:w w:val="99"/>
              </w:rPr>
              <w:t>A1+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680" w:type="dxa"/>
            <w:vAlign w:val="bottom"/>
          </w:tcPr>
          <w:p>
            <w:pPr>
              <w:jc w:val="center"/>
              <w:ind w:left="2079"/>
              <w:spacing w:after="0"/>
              <w:rPr>
                <w:sz w:val="20"/>
                <w:szCs w:val="20"/>
                <w:color w:val="auto"/>
              </w:rPr>
            </w:pPr>
            <w:r>
              <w:rPr>
                <w:rFonts w:ascii="Times New Roman" w:cs="Times New Roman" w:eastAsia="Times New Roman" w:hAnsi="Times New Roman"/>
                <w:sz w:val="18"/>
                <w:szCs w:val="18"/>
                <w:color w:val="auto"/>
              </w:rPr>
              <w:t>P1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Management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Cash and cash equivalents, excluding restricted cash and restricted cash equivalents, totaled $4.4 billion and $2.9 billion at December 31, 2025 and December 31, 2024,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 Cash performance bonds and guarantee fund contribution assets are deemed to be restricted cash and restricted cash equivalents.</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maintain a share repurchase program under which we are authorized to repurchase up to $3.0 billion of our outstanding Class A common stock, par value $0.01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considerations. The share repurchase program has no expiration date, does not obligate us to acquire any particular amount of common stock and may be modified, suspended or terminated at any time. As of December 31, 2025, the maximum remaining value of shares to be repurchased was $2.7 billion.</w:t>
      </w:r>
    </w:p>
    <w:p>
      <w:pPr>
        <w:spacing w:after="0" w:line="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$10.1 million additional contribution will be necessary in 2026 to meet our funding goal. However, the amount of the actual contribution is contingent on various factors, including the actual rate of return on our plan assets during 2026 and the December 31, 2026 discount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the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broker-dealer in November 2017 following notification to the Financial Industry Regulatory Authority and the SEC. A company operating under the (k)(2)(i) exemption is not required to lock up customer funds as would otherwise be required under Exchange Act Rule 15c3-3.</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Debt outstanding at December 31, 2025 consisted of fixed-rate borrowings of $3.4 billion. Changes in interest rates impact the fair values of fixed-rate debt, but do not impact earnings or cash flows. We did not have any variable-rate borrowings at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CME Clearing House</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clearing house acts as the counterparty to all trades consummated on our exchange as well as through a third-party exchange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each business day (twice each business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positions before those financial obligations become exceptionally large and jeopardize the ability of our clearing house to ensure performance of their open positions.</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Although we have policies and procedures designed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two separate financial safeguard packages:</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all futures, options and OTC swap contracts other than cleared interest rate swap contracts (base package);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interest rate swap contracts.</w:t>
      </w:r>
    </w:p>
    <w:p>
      <w:pPr>
        <w:spacing w:after="0" w:line="11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non-defaulting clearing firms within the respective financial safeguard package to satisfy the deficit.</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8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At December 31, 2025, aggregate performance bond deposits for clearing firms for both financial safeguard packages was $347.3 billion, including cash performance bond deposits, non-cash deposits, Interest Earnings Facility funds and letters of credit. A defaulting firm's performance bond deposits can be used in the event of default of that clearing firm.</w:t>
      </w:r>
    </w:p>
    <w:p>
      <w:pPr>
        <w:spacing w:after="0" w:line="68"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color w:val="auto"/>
        </w:rPr>
        <w:t>The following shows the available assets at December 31, 2025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9"/>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5"/>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8"/>
        </w:trPr>
        <w:tc>
          <w:tcPr>
            <w:tcW w:w="6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Designated corporate contributions for futures and options</w:t>
            </w:r>
            <w:r>
              <w:rPr>
                <w:rFonts w:ascii="Times New Roman" w:cs="Times New Roman" w:eastAsia="Times New Roman" w:hAnsi="Times New Roman"/>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22,841.7</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660" w:right="20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16" w:lineRule="exact"/>
        <w:rPr>
          <w:rFonts w:ascii="Times New Roman" w:cs="Times New Roman" w:eastAsia="Times New Roman" w:hAnsi="Times New Roman"/>
          <w:sz w:val="16"/>
          <w:szCs w:val="16"/>
          <w:color w:val="auto"/>
        </w:rPr>
      </w:pPr>
    </w:p>
    <w:p>
      <w:pPr>
        <w:ind w:left="660" w:right="140" w:hanging="652"/>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line="23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clearing firm, our corporate contribution and the non-defaulting clearing firms' guaranty fund contributions, we would assess all non-defaulting clearing firms as provided in the rules governing the guaranty fund. We could assess non-defaulting clearing firms 275% of their existing guaranty fund requirements in the event of a single default, and up to a maximum of 550% of their existing guaranty fund requirements in the event of a default by multiple clearing firms, as provided in the rules. Assessment powers are calculated to reflect the potential obligation that each clearing firm could be called for in the event clearing firm's default exhausts the guaranty fund; however, the total amount available would be reduced by the defaulted clearing firms' assessment obligations since they would no longer be able to satisfy their obligations.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interest rate swap financial safeguard package at December 31, 2025 in the event of a payment default by a clearing firm that clears interest rate swap contracts, after first utilizing the defaulting clearing firm's available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tcPr>
          <w:p>
            <w:pPr>
              <w:spacing w:after="0"/>
              <w:rPr>
                <w:sz w:val="13"/>
                <w:szCs w:val="13"/>
                <w:color w:val="auto"/>
              </w:rPr>
            </w:pP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Clearing House</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Designated corporate contributions for interest rate swap contracts</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Assessment powers</w:t>
            </w:r>
            <w:r>
              <w:rPr>
                <w:rFonts w:ascii="Times New Roman" w:cs="Times New Roman" w:eastAsia="Times New Roman" w:hAnsi="Times New Roman"/>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180" w:hanging="652"/>
        <w:spacing w:after="0" w:line="28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2" w:lineRule="exact"/>
        <w:rPr>
          <w:rFonts w:ascii="Times New Roman" w:cs="Times New Roman" w:eastAsia="Times New Roman" w:hAnsi="Times New Roman"/>
          <w:sz w:val="16"/>
          <w:szCs w:val="16"/>
          <w:color w:val="auto"/>
        </w:rPr>
      </w:pPr>
    </w:p>
    <w:p>
      <w:pPr>
        <w:ind w:left="660" w:right="120" w:hanging="652"/>
        <w:spacing w:after="0" w:line="29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ind w:left="660" w:hanging="652"/>
        <w:spacing w:after="0" w:line="263"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clearing firm, our corporate contribution and the non-defaulting firms' guaranty fund contributions, we would assess non-defaulting clearing firms as provided in the rules governing the interest rate swap guaranty fund. Assessment powers are calculated to reflect the potential obligation that each clearing firm could be called for based on potential failure of the third and fourth largest clearing firm; however, the total amount available would be reduced by the defaulted clearing firms' assessment obligations since they would no longer be able to satisfy their obligations.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BrokerTec Americas Matched Principal Business</w:t>
      </w:r>
    </w:p>
    <w:p>
      <w:pPr>
        <w:spacing w:after="0" w:line="11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business day that can vary based on the size of unsettled transactions and any adverse market changes. At December 31, 2025, the balance of the collateral at FICC was $200.0 million, which was included in other current assets on the consolidated balance sheet.</w:t>
      </w:r>
    </w:p>
    <w:p>
      <w:pPr>
        <w:spacing w:after="0" w:line="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business day following execution and, prior to settlement, BrokerTec Americas is exposed to the risk of loss in the event a counterparty fails to meet its obligations. If that were to occur, BrokerTec Americas would have the right to cover or liquidate the open position but could incur a loss as a result of market movements.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Risk</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Aggregate transaction gains (losses) for 2025, 2024 and 2023 were $(6.0) million, $(3.0) million and $(12.9) million, respectively. We expect the foreign currency gain/loss to continue to fluctuate as long as we continue to hold monetary assets and liabilities at those subsidiaries. Market uncertainty could potentially lead to significant volatility with foreign currency exchange rates, which could result in additional foreign currency gain/loss.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Risk</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foreign currency translation risk related to the translation of our foreign consolidated and unconsolidated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for 2025, 2024 and 2023 were $163.2 million, $(61.0) million and $70.8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 Related to Customer Collateral</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portion of performance bond deposits is denominated in various foreign currencies. We mark-to-market all deposits at least once each business day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$10.0 and $9.0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(includes $6.5 and $6.3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103,033.5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102,313.9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110,960.1</w:t>
            </w: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December 31, 2025 and 2024; 4,584 issued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2025 and 2024</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as of December 31, 2025 and 2024,</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358,950 and 359,602 shares issued and outstanding as of December 31, 2025 and 2024,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December 31,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and 2024</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22,403.0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w:t>
            </w: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359,023</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176"/>
        </w:trPr>
        <w:tc>
          <w:tcPr>
            <w:tcW w:w="72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and prior service costs included in compensation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benefits expense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72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 included in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(gain) loss included in other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3"/>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3,303.9</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84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4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4,746.8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3,226.2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of $9.65 per common share and per preferred</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(3,517.8)</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issued restricted Class A common stock</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Board of Directors</w:t>
            </w: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8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9"/>
              </w:rPr>
              <w:t>4,455.2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60"/>
        <w:spacing w:after="0" w:line="268" w:lineRule="auto"/>
        <w:rPr>
          <w:sz w:val="20"/>
          <w:szCs w:val="20"/>
          <w:color w:val="auto"/>
        </w:rPr>
      </w:pPr>
      <w:r>
        <w:rPr>
          <w:rFonts w:ascii="Times New Roman" w:cs="Times New Roman" w:eastAsia="Times New Roman" w:hAnsi="Times New Roman"/>
          <w:sz w:val="18"/>
          <w:szCs w:val="18"/>
          <w:color w:val="auto"/>
        </w:rPr>
        <w:t>Balance at December 31, 2023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Dividends of $10.40 per common share and preferred share Vesting of issued restricted Class A common stock Shares issued to Board of Directors</w:t>
      </w:r>
    </w:p>
    <w:p>
      <w:pPr>
        <w:ind w:right="560"/>
        <w:spacing w:after="0" w:line="284" w:lineRule="auto"/>
        <w:rPr>
          <w:sz w:val="20"/>
          <w:szCs w:val="20"/>
          <w:color w:val="auto"/>
        </w:rPr>
      </w:pPr>
      <w:r>
        <w:rPr>
          <w:rFonts w:ascii="Times New Roman" w:cs="Times New Roman" w:eastAsia="Times New Roman" w:hAnsi="Times New Roman"/>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vMerge w:val="continue"/>
          </w:tcPr>
          <w:p>
            <w:pPr>
              <w:spacing w:after="0"/>
              <w:rPr>
                <w:sz w:val="11"/>
                <w:szCs w:val="11"/>
                <w:color w:val="auto"/>
              </w:rPr>
            </w:pPr>
          </w:p>
        </w:tc>
        <w:tc>
          <w:tcPr>
            <w:tcW w:w="80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0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0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4,455.2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9"/>
              </w:rPr>
              <w:t>3,525.8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(3,795.2)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9"/>
              </w:rPr>
              <w:t>4,185.8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-1362710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-1062355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-770890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-479425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-187960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60"/>
            <w:col w:w="688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 xml:space="preserve">CONSOLIDATED STATEMENTS OF EQUITY </w:t>
      </w:r>
      <w:r>
        <w:rPr>
          <w:rFonts w:ascii="Times New Roman" w:cs="Times New Roman" w:eastAsia="Times New Roman" w:hAnsi="Times New Roman"/>
          <w:sz w:val="17"/>
          <w:szCs w:val="17"/>
          <w:color w:val="auto"/>
        </w:rPr>
        <w:t>(continued)</w:t>
      </w:r>
    </w:p>
    <w:p>
      <w:pPr>
        <w:spacing w:after="0" w:line="4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ectPr>
          <w:pgSz w:w="11900" w:h="16838" w:orient="portrait"/>
          <w:cols w:equalWidth="0" w:num="1">
            <w:col w:w="11220"/>
          </w:cols>
          <w:pgMar w:left="34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80"/>
        <w:spacing w:after="0" w:line="268" w:lineRule="auto"/>
        <w:rPr>
          <w:sz w:val="20"/>
          <w:szCs w:val="20"/>
          <w:color w:val="auto"/>
        </w:rPr>
      </w:pPr>
      <w:r>
        <w:rPr>
          <w:rFonts w:ascii="Times New Roman" w:cs="Times New Roman" w:eastAsia="Times New Roman" w:hAnsi="Times New Roman"/>
          <w:sz w:val="18"/>
          <w:szCs w:val="18"/>
          <w:color w:val="auto"/>
        </w:rPr>
        <w:t>Balance at December 31, 2024 Net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Dividends of $5.00 per common share and preferred share Vesting of issued restricted Class A common stock Shares issued to Board of Directors</w:t>
      </w:r>
    </w:p>
    <w:p>
      <w:pPr>
        <w:ind w:right="480"/>
        <w:spacing w:after="0" w:line="278" w:lineRule="auto"/>
        <w:rPr>
          <w:sz w:val="20"/>
          <w:szCs w:val="20"/>
          <w:color w:val="auto"/>
        </w:rPr>
      </w:pPr>
      <w:r>
        <w:rPr>
          <w:rFonts w:ascii="Times New Roman" w:cs="Times New Roman" w:eastAsia="Times New Roman" w:hAnsi="Times New Roman"/>
          <w:sz w:val="18"/>
          <w:szCs w:val="18"/>
          <w:color w:val="auto"/>
        </w:rPr>
        <w:t>Shares issued under Employee Stock Purchase Plan Repurchase of Class A common stock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0" w:type="dxa"/>
            <w:vAlign w:val="bottom"/>
          </w:tcPr>
          <w:p>
            <w:pPr>
              <w:spacing w:after="0"/>
              <w:rPr>
                <w:sz w:val="1"/>
                <w:szCs w:val="1"/>
                <w:color w:val="auto"/>
              </w:rPr>
            </w:pPr>
          </w:p>
        </w:tc>
      </w:tr>
      <w:tr>
        <w:trPr>
          <w:trHeight w:val="146"/>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60" w:type="dxa"/>
            <w:vAlign w:val="bottom"/>
            <w:vMerge w:val="continue"/>
          </w:tcPr>
          <w:p>
            <w:pPr>
              <w:spacing w:after="0"/>
              <w:rPr>
                <w:sz w:val="11"/>
                <w:szCs w:val="11"/>
                <w:color w:val="auto"/>
              </w:rPr>
            </w:pPr>
          </w:p>
        </w:tc>
        <w:tc>
          <w:tcPr>
            <w:tcW w:w="800" w:type="dxa"/>
            <w:vAlign w:val="bottom"/>
          </w:tcPr>
          <w:p>
            <w:pPr>
              <w:jc w:val="center"/>
              <w:ind w:right="17"/>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4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1180" w:type="dxa"/>
            <w:vAlign w:val="bottom"/>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6"/>
        </w:trPr>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4,185.8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4,072.2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(1,824.8)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4"/>
        </w:trPr>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358,950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6,433.2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28,728.2</w:t>
            </w: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-1508125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-1207770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-916305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-624840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-334010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0"/>
            <w:col w:w="6960"/>
          </w:cols>
          <w:pgMar w:left="340" w:top="887" w:right="339" w:bottom="1440" w:gutter="0" w:footer="0" w:header="0"/>
          <w:type w:val="continuous"/>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3,453.8</w:t>
            </w: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 ventures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 including call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including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(48,339.3)</w:t>
            </w: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0" w:type="dxa"/>
            <w:vAlign w:val="bottom"/>
          </w:tcPr>
          <w:p>
            <w:pPr>
              <w:spacing w:after="0"/>
              <w:rPr>
                <w:sz w:val="1"/>
                <w:szCs w:val="1"/>
                <w:color w:val="auto"/>
              </w:rPr>
            </w:pPr>
          </w:p>
        </w:tc>
      </w:tr>
      <w:tr>
        <w:trPr>
          <w:trHeight w:val="160"/>
        </w:trPr>
        <w:tc>
          <w:tcPr>
            <w:tcW w:w="6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164,079.5</w:t>
            </w:r>
          </w:p>
        </w:tc>
        <w:tc>
          <w:tcPr>
            <w:tcW w:w="44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 (within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Declaration of annual variable dividend, paid January 2025 and January 2024</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Inc. (CME Group) exchanges offer the widest range of global benchmark products across all major asset classes based on interest rates, equity indexes, foreign exchange (FX), agricultural, energy and metal commodities. We offer futures and options across asset classes as well as cash, repo fixed income and OTC FX trading through the CME Globex platform. In addition, it operates one of the world’s leading central counterparty clearing houses. CME Group offers clearing, settlement and guarantees for all products cleared through the clearing house, which is operated by CME.</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consolidated financial statements are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and include the accounts of the company and its subsidiaries. All intercompany transactions and balances have been eliminated.</w:t>
      </w:r>
    </w:p>
    <w:p>
      <w:pPr>
        <w:spacing w:after="0" w:line="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and highly liquid investments with a maturity of three months or less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w:t>
      </w:r>
    </w:p>
    <w:p>
      <w:pPr>
        <w:spacing w:after="0" w:line="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Investments. </w:t>
      </w:r>
      <w:r>
        <w:rPr>
          <w:rFonts w:ascii="Times New Roman" w:cs="Times New Roman" w:eastAsia="Times New Roman" w:hAnsi="Times New Roman"/>
          <w:sz w:val="18"/>
          <w:szCs w:val="18"/>
          <w:color w:val="auto"/>
        </w:rPr>
        <w:t>The company maintains short-term and long-term investments, classified as equity method investments, available-for-sale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equity investments in privately-held entities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Additionally, the company maintains long-term investments accounted for under the equity method, which requires that the company recognize its share of net income (loss) and other comprehensive income (loss) in the investee as an adjustment to the carrying amount of the investment each reporting period.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at least quarterly, as well as whenever facts or circumstances exist which indicate that the carrying value of an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debt securities that are deemed to represent indicators of impairment are charged to earnings as a realized loss.</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uses a three-level classification hierarchy of fair value measurements that establishes the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7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Derivative Investments. </w:t>
      </w:r>
      <w:r>
        <w:rPr>
          <w:rFonts w:ascii="Times New Roman" w:cs="Times New Roman" w:eastAsia="Times New Roman" w:hAnsi="Times New Roman"/>
          <w:sz w:val="18"/>
          <w:szCs w:val="18"/>
          <w:color w:val="auto"/>
        </w:rPr>
        <w:t>The company occasionally uses derivative instruments to limit exposure to changes in interest rates and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Derivatives are recorded at fair value on the consolidated balance sheets. For those derivatives that meet the criteria for hedge accounting and are classified as effective cash flow hedges, changes in the fair value of derivative financial instruments are initially recorded in other comprehensive income and subsequently reclassified into earnings when the hedged item affects income. The company assesses, both at the inception of each hedge and on an ongoing basis, whether the derivative financial instruments that are designated as cash flow hedging transactions are highly effective in offsetting changes in cash flows of the hedged items. For any hedges no longer deemed effective or for which hedge accounting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 not applied, changes in fair value of the derivative instruments are recognized in earnings within other non-operating income (expense). There were no outstanding derivative instruments at December 31, 2025.</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comprised of trade receivables and unbilled revenue. All accounts receivable are stated at net realizable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Bonds and Guaranty Fund Contributions. </w:t>
      </w:r>
      <w:r>
        <w:rPr>
          <w:rFonts w:ascii="Times New Roman" w:cs="Times New Roman" w:eastAsia="Times New Roman" w:hAnsi="Times New Roman"/>
          <w:sz w:val="18"/>
          <w:szCs w:val="18"/>
          <w:color w:val="auto"/>
        </w:rPr>
        <w:t>Performance bonds and guaranty fund contributions held for clearing firms may be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securities or other non-cash deposits.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investments in highly rated government securities, money market funds or through CME's Interest Earning Facility (IEF) program. Any interest earned on these investments accrues to CME and is included in investment income on the consolidated statements of income. CME may distribute any interest earned on these investments to the clearing firms at its discretion. Because CME has control of the cash collateral and the benefits and market risks of ownership accrue to CME, cash performance bonds and guaranty fund contributions are reflected on the consolidated balance sheets. The cash performance bonds and guaranty fund contributions are considered restricted as the cash deposits cannot be used for the company's operations or to satisfy any operational liabilities. Cash performance bonds and guaranty fund contributions are included as restricted cash and restricted cash equivalents on the consolidated statements of cash flows.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and other non-cash deposits may include U.S. Treasury securities, U.S. government agency securities, Eurobonds, corporate bonds, other foreign government securities, equity stocks and gold bullion. Securities and other non-cash deposits are held in safekeeping by a custodian bank. Interest and gains or losses on securities deposited to satisfy performance bond and guaranty fund requirements accrue to the clearing firm. Non-cash performance bonds can also include letters of credit. Because the benefits and risks of ownership accrue to the clearing firm, non-cash performance bonds and guaranty fund contributions are not reflected on the consolidated balance sheets.</w:t>
      </w:r>
    </w:p>
    <w:p>
      <w:pPr>
        <w:spacing w:after="0" w:line="7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Property is stated at cost, less accumulated depreciation and amortization. Depreciation and amortization are calculated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generally over one to twenty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obtaining, or implementing computer software for internal use which meet the requirements for capitalization are amortized on a straight-line basis over the estimated useful life of the software, generally two to four years, but up to eight years for certain trading and clearing applications.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accounts for our leases of office space as operating leases. Landlord allowances are recorded as a direct reduction to the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asset, which is reported in other assets and amortized to rent expense over the term of the lease. Both lease and direct non-lease costs are accounted for as a single lease component for purposes of capitalization on the consolidated balance sheets.The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the net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reviews goodwill for impairment at least quarterly and whenever events or circumstances indicate that the carrying value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accounts for business combinations using the acquisition method. The method requires the acquirer to recognize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The company recognizes the funded status of defined benefit postretirement plans on its consolidated balance sheets.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6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Foreign Currency Translation and Re-measurement</w:t>
      </w:r>
      <w:r>
        <w:rPr>
          <w:rFonts w:ascii="Times New Roman" w:cs="Times New Roman" w:eastAsia="Times New Roman" w:hAnsi="Times New Roman"/>
          <w:sz w:val="18"/>
          <w:szCs w:val="18"/>
          <w:color w:val="auto"/>
        </w:rPr>
        <w:t>. Foreign currency denominated monetary assets and liabilities are re-measured into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using period-end exchange rates. Gains and losses from foreign currency transactions and re-measurement of monetary assets and liabilities into the functional currency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recognition policies for specific sources of revenue are discussed below.</w:t>
      </w:r>
    </w:p>
    <w:p>
      <w:pPr>
        <w:spacing w:after="0" w:line="119"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upon successful execution of the trade, which represents completion of our trade matching, novation and clearing activities.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management's estimate of future adjustment activity. This reserve has historically been immaterial. The company believes the reserve is adequate to cover estimated adjustments as of December 31, 2025 and 2024.</w:t>
      </w:r>
    </w:p>
    <w:p>
      <w:pPr>
        <w:spacing w:after="0" w:line="77"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earned for the dissemination of market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72" w:lineRule="exact"/>
        <w:rPr>
          <w:sz w:val="20"/>
          <w:szCs w:val="20"/>
          <w:color w:val="auto"/>
        </w:rPr>
      </w:pPr>
    </w:p>
    <w:p>
      <w:pPr>
        <w:jc w:val="both"/>
        <w:ind w:left="4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include access and communication fees, fees for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as well as other services to customers. Revenue is recognized as services are provided.</w:t>
      </w:r>
    </w:p>
    <w:p>
      <w:pPr>
        <w:spacing w:after="0" w:line="65" w:lineRule="exact"/>
        <w:rPr>
          <w:sz w:val="20"/>
          <w:szCs w:val="20"/>
          <w:color w:val="auto"/>
        </w:rPr>
      </w:pPr>
    </w:p>
    <w:p>
      <w:pPr>
        <w:jc w:val="both"/>
        <w:ind w:left="46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Revenue. </w:t>
      </w:r>
      <w:r>
        <w:rPr>
          <w:rFonts w:ascii="Times New Roman" w:cs="Times New Roman" w:eastAsia="Times New Roman" w:hAnsi="Times New Roman"/>
          <w:sz w:val="18"/>
          <w:szCs w:val="18"/>
          <w:color w:val="auto"/>
        </w:rPr>
        <w:t>One clearing firm represented 12% of the company's clearing and transaction fee revenue in 2025, one clearing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10% of the company's clearing and transaction fee revenue in 2024, but no clearing firms represented at least 10% of the company's clearing and transaction fee revenue in 2023. Should a clearing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68"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The two largest resellers of market data represented approximately 30% of market data and information services revenue in 2025 and 2024, and approximately 32% in 2023.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The company accounts for share-based payments at fair value, which is based on the grant date price of the equity awards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Marketing Costs. </w:t>
      </w:r>
      <w:r>
        <w:rPr>
          <w:rFonts w:ascii="Times New Roman" w:cs="Times New Roman" w:eastAsia="Times New Roman" w:hAnsi="Times New Roman"/>
          <w:sz w:val="18"/>
          <w:szCs w:val="18"/>
          <w:color w:val="auto"/>
        </w:rPr>
        <w:t>Marketing costs are incurred for the production and communication of advertising as well as other marketing activities. These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expensed when incurred, except for costs related to the production of broadcast advertising, which are expensed when the first broadcast occurs.</w:t>
      </w:r>
    </w:p>
    <w:p>
      <w:pPr>
        <w:spacing w:after="0" w:line="4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arise from temporary differences between the tax basis and book basis of assets and liabilities. A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recognizes interest and penalties related to uncertain tax positions in income tax expense.</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The company reports the results of its operations as one operating segment primarily comprised of the businesses of CME, CBOT,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NYMEX, COMEX and our cash markets business. The individual operations of the company do not meet the criteria for classification as separate reporting segments.</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Newly Adopted Accounting Policies. </w:t>
      </w:r>
      <w:r>
        <w:rPr>
          <w:rFonts w:ascii="Times New Roman" w:cs="Times New Roman" w:eastAsia="Times New Roman" w:hAnsi="Times New Roman"/>
          <w:sz w:val="18"/>
          <w:szCs w:val="18"/>
          <w:color w:val="auto"/>
        </w:rPr>
        <w:t>In December 2023, the FASB issued an accounting standards update that requires public business entities to disclose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tax rate reconciliation table additional categories of information about federal, state and foreign income taxes and to provide more details about the reconciling items in certain categories if they meet a quantitative threshold. It is also noted that this guidance requires all entities to disclose annually income taxes paid (net of refunds received) disaggregated by federal, state and foreign taxes and to disaggregate the information by jurisdiction based on a quantitative threshold. The Company adopted this standard on January 1, 2025, on a retrospective basis. Accordingly, prior periods have been adjusted to conform to the current period presentation. The adoption of this guidance resulted in expanded disclosures in our income tax footnote but did not impact our recognized income tax expense or cash taxes paid. See Note 9 – Income Taxes for further information.</w:t>
      </w:r>
    </w:p>
    <w:p>
      <w:pPr>
        <w:spacing w:after="0" w:line="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Not Yet Adopted. </w:t>
      </w:r>
      <w:r>
        <w:rPr>
          <w:rFonts w:ascii="Times New Roman" w:cs="Times New Roman" w:eastAsia="Times New Roman" w:hAnsi="Times New Roman"/>
          <w:sz w:val="18"/>
          <w:szCs w:val="18"/>
          <w:color w:val="auto"/>
        </w:rPr>
        <w:t>In July 2025, the FASB issued an accounting standards update which provides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practical expedient when estimating the amount of expected credit losses on current accounts receivable and current contract assets. This update permits entities to assume that current conditions as of the balance sheet date do not change for the remaining life of the current accounts receivable and current contract assets. Therefore, entities will not need to develop reasonable and supportable forecasts of future economic conditions. The practical expedient must be applied consistently across all current accounts receivable and current contract assets. This guidance is effective beginning in 2026, on an interim and annual basis, and must be adopted prospectively. Upon adoption, entities are required to disclose whether they have applied the practical expedient. Early adoption is permitted. Adoption of this guidance is not expected to have a material impact on our consolidated financial statements.</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an accounting standards update that clarifies and modernizes the accounting for costs related to internal-use software. The guidance removes all references to project stages and clarifies the threshold entities apply to begin capitalizing costs. With the removal of all references to project stages, the new guidance requires entities to begin capitalizing software costs when both of the following occur: (a) management, with the relevant authority, implicitly or explicitly authorizes and commits to funding a computer software project and (b) it is probable that the project will be completed and the software will be used to perform the function intended. The guidance specifies that the property, plant, and equipment disclosure requirements apply to capitalized software costs, regardless of how those costs are presented in the financial statements. The guidance is effective beginning in 2028, on an interim and annual basis. Entities may apply the guidance using a prospective, retrospective, or modified transition approach. Early adoption is permitted. Adoption of this guidance is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2025, 2024 and 2023:</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4,887.4</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4,491.1</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2025 were not materially impacted by any other factors. The balance of contract liabilities was $16.7 million and $15.6 million as of December 31, 2025 and 2024,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funds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mark-to-market settlement cycles each business day, mandatory guaranty fund contributions and intra-day monitoring.</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clearing firm is required to deposit and maintain balances in the form of cash, U.S. government securities, certain foreign government securities, bank letters of credit or other approved collateral to satisfy performance bond and guaranty fund requirements. All non-cash deposits and certain cash deposits with foreign currency exposure are marked-to-market and haircut each business day. Securities deposited by the clearing firms are not reflected on the consolidated financial statements and the clearing house does not earn any interest on these deposits. These balances may fluctuate significantly over time due to investment choices available to clearing firms and changes in the amount of contributions required. Cash performance bonds and guaranty fund contributions are included as restricted cash and restricted cash equivalents on the consolidated statements of cash flows.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clearing house marks-to-market open positions at least once each business day (twice each business day for futures and options contracts), and requires payment from clearing firms whose positions have lost value and makes payments to clearing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firms whose positions have gained value. The clearing house has the capability to mark-to-market more frequently as market conditions warrant.</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extremely unlikely scenario of simultaneous default by every clearing firm who has open positions with unrealized losses, the maximum exposure at the time of default related to futures and options on futures positions would be one half of a business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business day of changes in fair value of all open positions, before considering the clearing house's ability to access defaulting clearing firms' collateral. During 2025, the clearing house transferred an average of approximately $6.7 billion per business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business day of anticipated price movements. For interest rate swap products, the clearing firms' collateral requirements are sized to cover at least five business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2025.</w:t>
      </w:r>
    </w:p>
    <w:p>
      <w:pPr>
        <w:spacing w:after="0" w:line="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CME has been designated as a systemically important financial market utility by the Financial Stability Oversight Council and is authorized to maintain cash accounts at the Federal Reserve Bank of Chicago. At December 31, 2025 and 2024, the clearing house maintained $141.7 billion and $87.4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2025 and 2024, earnings from cash performance bond and guaranty fund contributions were $5,253.6 million and $3,943.8 million, respectively. In 2025 and 2024, expense related to the distribution of interest earned on collateral reinvestments were $4,842.5 million and $3,669.4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 margin account would be allocated equally between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 addition, CME has a cross-margin arrangement with Fixed Income Clearing Corporation (FICC) whereby a clearing firm may be subject to reduced margin requirements for certain of its offsetting positions. Clearing firms maintain separate performance bond deposits with each clearing house, but based on the net offsetting positions between CME and FICC, each clearing house may reduce that firm's performance bond requirements. If a participating firm defaults, the gain or loss on the liquidation of the firm’s open positions and the proceeds from the liquidation of the cross margin account would be allocated between CME and FICC pursuant to a publicly-available cross-margining agreement.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potential losses after first utilizing $100.0 million of corporate contributions designated by CME to be used in the event of a default of a clearing firm for the base guaranty fund.</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2025, guaranty fund contributions available to collateralize the facility were $10.7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The company currently does not have any borrowings outstanding under these facilities.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CME also maintains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The company currently does not have any foreign currency trades outstanding under this facility.</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clearing house is required under the U.S. Commodity Exchange Act to segregate cash and securities deposited by clearing firms from its clearing member customers. In addition, the clearing house requires segregation of all funds deposited by its clearing firms from operating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non-cash deposits held as performance bonds and guaranty fund contributions at fair value at December 31, 2025 and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 xml:space="preserve">IEF Funds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191,241.1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Cross-margin arrangements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199,898.9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IEF funds include customer-directed investments in IEF funds that are not included on the consolidated balance sheets.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Cross-margin arrangements include collateral for the cross-margin accounts with OCC and FICC.</w:t>
      </w:r>
    </w:p>
    <w:p>
      <w:pPr>
        <w:spacing w:after="0" w:line="1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collateral for delivery and accrued interest earned on collateral reinvestment due to the clearing firms.</w:t>
      </w:r>
    </w:p>
    <w:p>
      <w:pPr>
        <w:spacing w:after="0" w:line="10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Cash performance bonds may include intraday settlement, if any, that is owed to the clearing firms and paid the following business day. The balance of intraday settlements was $534.3 million and $198.4 million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Intraday settlements may be invested on an overnight basis and are offset by an equal liability owed to clearing firms.</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cash, securities and other non-cash deposits, irrevocable letters of credit may be used as performance bond deposits for clearing firms. At December 31, 2025 and 2024, these letters of credit, which are not included in the accompanying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All cash, securities and letters of credit posted as performance bonds are only available to meet the financial obligations of that clearing firm to the clearing house.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property accounts at December 31, 2025 and 2024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66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w w:val="99"/>
              </w:rPr>
              <w:t>1 - 10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00" w:type="dxa"/>
            <w:vAlign w:val="bottom"/>
          </w:tcPr>
          <w:p>
            <w:pPr>
              <w:spacing w:after="0"/>
              <w:rPr>
                <w:sz w:val="19"/>
                <w:szCs w:val="19"/>
                <w:color w:val="auto"/>
              </w:rPr>
            </w:pPr>
          </w:p>
        </w:tc>
        <w:tc>
          <w:tcPr>
            <w:tcW w:w="1260" w:type="dxa"/>
            <w:vAlign w:val="bottom"/>
            <w:gridSpan w:val="3"/>
          </w:tcPr>
          <w:p>
            <w:pPr>
              <w:jc w:val="center"/>
              <w:ind w:right="214"/>
              <w:spacing w:after="0"/>
              <w:rPr>
                <w:sz w:val="20"/>
                <w:szCs w:val="20"/>
                <w:color w:val="auto"/>
              </w:rPr>
            </w:pPr>
            <w:r>
              <w:rPr>
                <w:rFonts w:ascii="Times New Roman" w:cs="Times New Roman" w:eastAsia="Times New Roman" w:hAnsi="Times New Roman"/>
                <w:sz w:val="18"/>
                <w:szCs w:val="18"/>
                <w:color w:val="auto"/>
                <w:w w:val="99"/>
              </w:rPr>
              <w:t>2 - 20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4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rPr>
              <w:t>1 - 7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center"/>
              <w:ind w:right="214"/>
              <w:spacing w:after="0"/>
              <w:rPr>
                <w:sz w:val="20"/>
                <w:szCs w:val="20"/>
                <w:color w:val="auto"/>
              </w:rPr>
            </w:pPr>
            <w:r>
              <w:rPr>
                <w:rFonts w:ascii="Times New Roman" w:cs="Times New Roman" w:eastAsia="Times New Roman" w:hAnsi="Times New Roman"/>
                <w:sz w:val="18"/>
                <w:szCs w:val="18"/>
                <w:color w:val="auto"/>
              </w:rPr>
              <w:t>2 - 8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2025 and 2024:</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gridSpan w:val="2"/>
          </w:tcPr>
          <w:p>
            <w:pPr>
              <w:jc w:val="right"/>
              <w:ind w:right="170"/>
              <w:spacing w:after="0" w:line="12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200" w:type="dxa"/>
            <w:vAlign w:val="bottom"/>
            <w:gridSpan w:val="3"/>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vMerge w:val="continue"/>
          </w:tcPr>
          <w:p>
            <w:pPr>
              <w:spacing w:after="0"/>
              <w:rPr>
                <w:sz w:val="17"/>
                <w:szCs w:val="17"/>
                <w:color w:val="auto"/>
              </w:rPr>
            </w:pPr>
          </w:p>
        </w:tc>
        <w:tc>
          <w:tcPr>
            <w:tcW w:w="12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71.1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Assets—Other, Net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top w:val="single" w:sz="8" w:color="CCEEFF"/>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63"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originally assigned useful lives for the amortizable intangible assets as of December 31, 2025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5 - 9 years</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3 - 24.5 years</w:t>
            </w:r>
          </w:p>
        </w:tc>
      </w:tr>
    </w:tbl>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$223.4 million, $221.7 million and $226.6 million for the years ended December 31, 2025, 2024 and 2023, respectively. As of December 31, 2025, the future estimated amortization expense related to amortizable intangible assets is expected to be as follows: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Pr>
          <w:p>
            <w:pPr>
              <w:spacing w:after="0"/>
              <w:rPr>
                <w:sz w:val="21"/>
                <w:szCs w:val="21"/>
                <w:color w:val="auto"/>
              </w:rPr>
            </w:pP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tcPr>
          <w:p>
            <w:pPr>
              <w:spacing w:after="0"/>
              <w:rPr>
                <w:sz w:val="19"/>
                <w:szCs w:val="19"/>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9"/>
                <w:szCs w:val="19"/>
                <w:color w:val="auto"/>
              </w:rPr>
            </w:pP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9"/>
                <w:szCs w:val="19"/>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9"/>
                <w:szCs w:val="19"/>
                <w:color w:val="auto"/>
              </w:rPr>
            </w:pPr>
          </w:p>
        </w:tc>
      </w:tr>
      <w:tr>
        <w:trPr>
          <w:trHeight w:val="234"/>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20" w:type="dxa"/>
            <w:vAlign w:val="bottom"/>
          </w:tcPr>
          <w:p>
            <w:pPr>
              <w:spacing w:after="0"/>
              <w:rPr>
                <w:sz w:val="20"/>
                <w:szCs w:val="20"/>
                <w:color w:val="auto"/>
              </w:rPr>
            </w:pPr>
          </w:p>
        </w:tc>
      </w:tr>
      <w:tr>
        <w:trPr>
          <w:trHeight w:val="387"/>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years ended December 31, 2025 and 2024</w:t>
            </w: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9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20" w:type="dxa"/>
            <w:vAlign w:val="bottom"/>
            <w:shd w:val="clear" w:color="auto" w:fill="CCEEFF"/>
          </w:tcPr>
          <w:p>
            <w:pPr>
              <w:spacing w:after="0"/>
              <w:rPr>
                <w:sz w:val="19"/>
                <w:szCs w:val="19"/>
                <w:color w:val="auto"/>
              </w:rPr>
            </w:pPr>
          </w:p>
        </w:tc>
      </w:tr>
      <w:tr>
        <w:trPr>
          <w:trHeight w:val="230"/>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20" w:type="dxa"/>
            <w:vAlign w:val="bottom"/>
            <w:shd w:val="clear" w:color="auto" w:fill="CCEEFF"/>
          </w:tcPr>
          <w:p>
            <w:pPr>
              <w:spacing w:after="0"/>
              <w:rPr>
                <w:sz w:val="19"/>
                <w:szCs w:val="19"/>
                <w:color w:val="auto"/>
              </w:rPr>
            </w:pPr>
          </w:p>
        </w:tc>
      </w:tr>
      <w:tr>
        <w:trPr>
          <w:trHeight w:val="230"/>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auto"/>
            </w:tcBorders>
          </w:tcPr>
          <w:p>
            <w:pPr>
              <w:spacing w:after="0"/>
              <w:rPr>
                <w:sz w:val="19"/>
                <w:szCs w:val="19"/>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various long-term investments as described below. The investments are recorded in other assets on the consolidated balance sheets.</w:t>
      </w:r>
    </w:p>
    <w:p>
      <w:pPr>
        <w:spacing w:after="0" w:line="11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FanDuel Prediction Markets Holdings LLC. </w:t>
      </w:r>
      <w:r>
        <w:rPr>
          <w:rFonts w:ascii="Times New Roman" w:cs="Times New Roman" w:eastAsia="Times New Roman" w:hAnsi="Times New Roman"/>
          <w:sz w:val="18"/>
          <w:szCs w:val="18"/>
          <w:color w:val="auto"/>
        </w:rPr>
        <w:t>The company owns 51% of the equity interest in FanDuel Prediction Markets Holdings LLC (FanDuel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Prediction Markets), and accounts for its investment in FanDuel Prediction Markets using the equity method of accounting. The FanDuel Prediction Markets joint venture was formed in December 2025 through capital contributions by FanDuel and CME Group. The joint venture was formed to launch a new prediction markets application that offers retail customers simplified event contracts based on major financial and economic benchmarks as well as on sports. The company contributed cash of $10.2 million to capitalize the joint venture. Also in connection with the transaction, the new entity recognized brand name intangible assets of $32.9 million. As a result, the company recognized a net gain of approximately $16.9 million upon the deconsolidation of the net assets contributed to the joint venture. The net gain is recognized in other non-operating income on the consolidated statements of net income during 2025. The carrying amount of the company's investment in FanDuel Prediction Markets was $25.3 million at December 31, 2025.</w:t>
      </w:r>
    </w:p>
    <w:p>
      <w:pPr>
        <w:spacing w:after="0" w:line="7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GME Holdings Limited. </w:t>
      </w:r>
      <w:r>
        <w:rPr>
          <w:rFonts w:ascii="Times New Roman" w:cs="Times New Roman" w:eastAsia="Times New Roman" w:hAnsi="Times New Roman"/>
          <w:sz w:val="18"/>
          <w:szCs w:val="18"/>
          <w:color w:val="auto"/>
        </w:rPr>
        <w:t>The company owns a 33% interest in GME Holdings Limited (GME Holdings), and accounts for its investment in GME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using the equity method of accounting. Dubai Mercantile Exchange (DME) was rebranded as the Gulf Mercantile Exchange (GME) in 2024 to reflect its position as the key regional commodities exchange in the Middle East. In June 2024, the company invested $3.5 million in GME Holdings in exchange for 3.5 million additional shares of GME. This transaction was immediately followed by a secondary share sale to a third party of 15.5 million shares for $15.5 million, which ultimately reduced our stake in GME Holdings from 50% to 33%. The company recognized a net gain of $9.2 million on the transaction as recorded in other non-operating income on the consolidated statements of income during 2024. The carrying amount of the company's investment in GME Holdings was $11.8 million at December 31, 2025. The company and GME Holdings maintain an agreement for Gulf Mercantile Exchange futures contracts to be exclusively traded on the CME Globex platform.</w:t>
      </w:r>
    </w:p>
    <w:p>
      <w:pPr>
        <w:spacing w:after="0" w:line="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OSTTRA. </w:t>
      </w:r>
      <w:r>
        <w:rPr>
          <w:rFonts w:ascii="Times New Roman" w:cs="Times New Roman" w:eastAsia="Times New Roman" w:hAnsi="Times New Roman"/>
          <w:sz w:val="18"/>
          <w:szCs w:val="18"/>
          <w:color w:val="auto"/>
        </w:rPr>
        <w:t>In October 2025, S&amp;P Global and CME Group completed the sale of OSTTRA, of which the company owned a 50% equity interest,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funds managed by KKR &amp; Co. Inc. OSTTRA is a provider of post-trade solutions for the over the counter market. The carrying amount of the company's investment in OSTTRA was $1.2 billion at September 30, 2025 and was included in other assets on the consolidated balance sheets prior to the sale. The company recognized a net gain of $306.1 million on the sale of OSTTRA in investment income on the consolidated statements of net income during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S&amp;P Dow Jones Indices LLC. </w:t>
      </w:r>
      <w:r>
        <w:rPr>
          <w:rFonts w:ascii="Times New Roman" w:cs="Times New Roman" w:eastAsia="Times New Roman" w:hAnsi="Times New Roman"/>
          <w:sz w:val="18"/>
          <w:szCs w:val="18"/>
          <w:color w:val="auto"/>
        </w:rPr>
        <w:t>The company owns a 27% interest in S&amp;P Dow Jones Indices LLC and accounts for its investment in S&amp;P Dow Jones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Indices LLC using the equity method of accounting. The carrying amount of the company's investment in S&amp;P Dow Jones Indices LLC was $1.4 billion at December 31, 2025. The company has long-term exclusive licensing agreements with S&amp;P Dow Jones Indices LLC to list products based on the Standard &amp; Poor's Indices and Dow Jones Indices.</w:t>
      </w:r>
    </w:p>
    <w:p>
      <w:pPr>
        <w:spacing w:after="0" w:line="68"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Shanghai CFETS-NEX International Money Broking Co., Ltd. </w:t>
      </w:r>
      <w:r>
        <w:rPr>
          <w:rFonts w:ascii="Times New Roman" w:cs="Times New Roman" w:eastAsia="Times New Roman" w:hAnsi="Times New Roman"/>
          <w:sz w:val="18"/>
          <w:szCs w:val="18"/>
          <w:color w:val="auto"/>
        </w:rPr>
        <w:t>The company owns a 33% interest in Shanghai CFETS-NEX International Money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Broking Co., Ltd. (CFETS) and accounts for its investment in CFETS using the equity method of accounting. The carrying amount of the company's investment in CFETS was $63.4 million at December 31,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March 2025, the Company completed an offering of $750.0 million of its 4.4% fixed rate notes due March 2030 and also repaid the $750.0 million of 3% fixed rate notes due March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 stated rate of 3.00%</w:t>
            </w:r>
          </w:p>
        </w:tc>
        <w:tc>
          <w:tcPr>
            <w:tcW w:w="3240" w:type="dxa"/>
            <w:vAlign w:val="bottom"/>
            <w:shd w:val="clear" w:color="auto" w:fill="CCEEFF"/>
          </w:tcPr>
          <w:p>
            <w:pPr>
              <w:jc w:val="right"/>
              <w:ind w:right="3008"/>
              <w:spacing w:after="0"/>
              <w:rPr>
                <w:sz w:val="20"/>
                <w:szCs w:val="20"/>
                <w:color w:val="auto"/>
              </w:rPr>
            </w:pPr>
            <w:r>
              <w:rPr>
                <w:rFonts w:ascii="Times New Roman" w:cs="Times New Roman" w:eastAsia="Times New Roman" w:hAnsi="Times New Roman"/>
                <w:sz w:val="12"/>
                <w:szCs w:val="12"/>
                <w:color w:val="auto"/>
                <w:w w:val="99"/>
              </w:rPr>
              <w:t>(1)</w:t>
            </w:r>
          </w:p>
        </w:tc>
        <w:tc>
          <w:tcPr>
            <w:tcW w:w="1020" w:type="dxa"/>
            <w:vAlign w:val="bottom"/>
            <w:shd w:val="clear" w:color="auto" w:fill="CCEEFF"/>
          </w:tcPr>
          <w:p>
            <w:pPr>
              <w:spacing w:after="0"/>
              <w:rPr>
                <w:sz w:val="22"/>
                <w:szCs w:val="22"/>
                <w:color w:val="auto"/>
              </w:rPr>
            </w:pPr>
          </w:p>
        </w:tc>
        <w:tc>
          <w:tcPr>
            <w:tcW w:w="5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jc w:val="right"/>
              <w:ind w:right="810"/>
              <w:spacing w:after="0" w:line="149"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3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460" w:hanging="652"/>
        <w:spacing w:after="0" w:line="280"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outstanding consisted of the following at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9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8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517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p>
      <w:pPr>
        <w:spacing w:after="0" w:line="117" w:lineRule="exact"/>
        <w:rPr>
          <w:sz w:val="20"/>
          <w:szCs w:val="20"/>
          <w:color w:val="auto"/>
        </w:rPr>
      </w:pPr>
    </w:p>
    <w:p>
      <w:pPr>
        <w:ind w:left="20" w:right="2520"/>
        <w:spacing w:after="0" w:line="297" w:lineRule="auto"/>
        <w:rPr>
          <w:sz w:val="20"/>
          <w:szCs w:val="20"/>
          <w:color w:val="auto"/>
        </w:rPr>
      </w:pPr>
      <w:r>
        <w:rPr>
          <w:rFonts w:ascii="Times New Roman" w:cs="Times New Roman" w:eastAsia="Times New Roman" w:hAnsi="Times New Roman"/>
          <w:sz w:val="18"/>
          <w:szCs w:val="18"/>
          <w:color w:val="auto"/>
        </w:rPr>
        <w:t>$750.0 million fixed rate notes due March 2030, stated rate of 4.4% $750.0 million fixed rate notes due March 2032, stated rate of 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151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$750.0 million fixed rate notes due September 2043, stated rate of 5.30%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15175" cy="266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149" w:lineRule="exact"/>
        <w:rPr>
          <w:sz w:val="20"/>
          <w:szCs w:val="20"/>
          <w:color w:val="auto"/>
        </w:rPr>
      </w:pPr>
    </w:p>
    <w:p>
      <w:pPr>
        <w:ind w:left="20" w:right="2660"/>
        <w:spacing w:after="0" w:line="406" w:lineRule="auto"/>
        <w:rPr>
          <w:sz w:val="20"/>
          <w:szCs w:val="20"/>
          <w:color w:val="auto"/>
        </w:rPr>
      </w:pPr>
      <w:r>
        <w:rPr>
          <w:rFonts w:ascii="Times New Roman" w:cs="Times New Roman" w:eastAsia="Times New Roman" w:hAnsi="Times New Roman"/>
          <w:sz w:val="18"/>
          <w:szCs w:val="18"/>
          <w:color w:val="auto"/>
        </w:rPr>
        <w:t>$700.0 million fixed rate notes due June 2048, stated rate of 4.15% Total long-term debt</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9"/>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419"/>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418"/>
        </w:trPr>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5" w:lineRule="exact"/>
        <w:rPr>
          <w:sz w:val="20"/>
          <w:szCs w:val="20"/>
          <w:color w:val="auto"/>
        </w:rPr>
      </w:pPr>
    </w:p>
    <w:p>
      <w:pPr>
        <w:sectPr>
          <w:pgSz w:w="11900" w:h="16838" w:orient="portrait"/>
          <w:cols w:equalWidth="0" w:num="2">
            <w:col w:w="7520" w:space="720"/>
            <w:col w:w="3000"/>
          </w:cols>
          <w:pgMar w:left="320" w:top="118" w:right="339" w:bottom="1440" w:gutter="0" w:footer="0" w:header="0"/>
          <w:type w:val="continuous"/>
        </w:sectPr>
      </w:pPr>
    </w:p>
    <w:p>
      <w:pPr>
        <w:ind w:left="660" w:right="460" w:hanging="652"/>
        <w:spacing w:after="0" w:line="280"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and long-term debt maturities, at par value were as follows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31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Pr>
          <w:p>
            <w:pPr>
              <w:spacing w:after="0"/>
              <w:rPr>
                <w:sz w:val="20"/>
                <w:szCs w:val="20"/>
                <w:color w:val="auto"/>
              </w:rPr>
            </w:pPr>
          </w:p>
        </w:tc>
      </w:tr>
      <w:tr>
        <w:trPr>
          <w:trHeight w:val="873"/>
        </w:trPr>
        <w:tc>
          <w:tcPr>
            <w:tcW w:w="3160" w:type="dxa"/>
            <w:vAlign w:val="bottom"/>
          </w:tcPr>
          <w:p>
            <w:pPr>
              <w:spacing w:after="0"/>
              <w:rPr>
                <w:sz w:val="24"/>
                <w:szCs w:val="24"/>
                <w:color w:val="auto"/>
              </w:rPr>
            </w:pPr>
          </w:p>
        </w:tc>
        <w:tc>
          <w:tcPr>
            <w:tcW w:w="688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69</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2025,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4,807.6</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5,330.5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920.7</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1,258.3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Reconciliation of the U.S. federal income tax provision and rate (statutory tax rate) to the effective tax rate is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21.0 %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75"/>
        </w:trPr>
        <w:tc>
          <w:tcPr>
            <w:tcW w:w="3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taxes, net of federal income tax</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effect</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Subpart F income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Expense Benefit Rate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6"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Illinois made up the majority (greater than 50 percent) of the tax effect in this category.</w:t>
      </w:r>
    </w:p>
    <w:p>
      <w:pPr>
        <w:spacing w:after="0" w:line="200" w:lineRule="exact"/>
        <w:rPr>
          <w:sz w:val="20"/>
          <w:szCs w:val="20"/>
          <w:color w:val="auto"/>
        </w:rPr>
      </w:pPr>
    </w:p>
    <w:p>
      <w:pPr>
        <w:spacing w:after="0" w:line="27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2025, 2024 and 2023, the effective tax rates were higher than the statutory tax rate. The increases to the effective tax rate for the state taxes were partially offset by the foreign-derived intangible income (FDII) deduction.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deferred income tax assets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expenses, compensation, leases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Reported 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when it is more-likely-than-not that some portion or all of the deferred income tax assets may not be realized. The ultimate realization of the deferred income taxes depends on the ability to generate sufficient taxable income of the appropriate character in the future and in the appropriate taxing jurisdictions.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domestic income tax loss carryforwards of $21.3 million of which $19.3 million will expire between 2030 and 2036 and $2.0 million can be carried forward indefinitely. These amounts primarily relate to losses from the acquisition of NEX Group plc and the acquisition of Pivot, Inc. At December 2025, the company determined that it was more-likely-than-not that certain foreign deferred income tax assets will be fully realized. No valuation allowance was recorded at December 31, 2025 and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unrecognized tax benefits for the year ended December 31, 2025,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tax impacts in other jurisdictions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penalties related to uncertain tax positions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recognized on the consolidated statements of income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2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is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resulting from the lapse of statutes of limitations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taxes in Illinois and multiple other state, local and foreign jurisdictions. As of December 31, 2025, substantially all federal income tax matters have been concluded through 2016 other than the Section 199 deduction, all United Kingdom income tax matters have been concluded through 2023, and all state income tax matters have been concluded through 2019.</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income taxes paid (net of refunds) by jurisdiction at December 31, 2025,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exceeded 5 percent of total income taxes paid (net of refunds) in the following jurisdictions: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City:</w:t>
            </w:r>
          </w:p>
        </w:tc>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Illinois</w:t>
            </w: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171.3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York and New York City</w:t>
            </w:r>
          </w:p>
        </w:tc>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Plans. </w:t>
      </w:r>
      <w:r>
        <w:rPr>
          <w:rFonts w:ascii="Times New Roman" w:cs="Times New Roman" w:eastAsia="Times New Roman" w:hAnsi="Times New Roman"/>
          <w:sz w:val="18"/>
          <w:szCs w:val="18"/>
          <w:color w:val="auto"/>
        </w:rPr>
        <w:t>CME maintains a non-contributory defined benefit cash balance pension plan for eligible employees. CME's plan provides for a pay-based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projected benefit obligation: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accumulated benefit obligation was $366.4 million and $335.6 million at December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fair value of plan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major category of plan assets as of December 31, 2025 and 2024 is indicated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fair value of pension plan assets exceeded the pension benefit obligation by $5.4 million and $3.5 million, respectively, and the excess was recorded as a non-current pension asset in other assets.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CME's funding goal is to have its pension plan 100% funded at each year-end on a projected benefit obligation basis, while also satisfying any minimum required contribution and obtaining the maximum tax deduction. Year-end 2025 assumptions have been used to project the assets and liabilities from December 31, 2025 to December 31, 2026. The company anticipates based on this projection that an additional contribution of $10.1 million in 2026 will be necessary for it to meet its funding goal. However, the amount of the actual contribution is contingent on various factors, including the actual rate of return on the plan assets during 2026 and the December 31, 2026 discount rate.</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components of net pension expense and the assumptions used to determine the end-of-year projected benefit obligation and net pension expense in aggregate at December 31, 2025, 2024 and 2023 are indicated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(25.6)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Assumptions Used to Determine End-of-Year Benefit Obligation:</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crediting rate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4.75</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2025 and 2024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tcPr>
          <w:p>
            <w:pPr>
              <w:ind w:left="8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6"/>
                <w:szCs w:val="16"/>
                <w:color w:val="auto"/>
              </w:rPr>
            </w:pPr>
          </w:p>
        </w:tc>
        <w:tc>
          <w:tcPr>
            <w:tcW w:w="13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47.1 %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equity</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37.0</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equity</w:t>
            </w:r>
          </w:p>
        </w:tc>
        <w:tc>
          <w:tcPr>
            <w:tcW w:w="9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14.1</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2026, management expects the fixed income asset class to be approximately 50% of the portfolio. The target allocation for the equity asset classes is expected to be approximately 50% of the portfolio.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times, the company may determine that it is necessary to place some assets in cash equivalent investments in order to pay expected plan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this, the actual asset allocation for the plan may not fall within the target allocation ranges from time to time.</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balance and activity of actuarial losses for the pension plan, which are included in other comprehensive income (loss), for 2025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0" w:type="dxa"/>
            <w:vAlign w:val="bottom"/>
          </w:tcPr>
          <w:p>
            <w:pPr>
              <w:spacing w:after="0"/>
              <w:rPr>
                <w:sz w:val="1"/>
                <w:szCs w:val="1"/>
                <w:color w:val="auto"/>
              </w:rPr>
            </w:pPr>
          </w:p>
        </w:tc>
      </w:tr>
      <w:tr>
        <w:trPr>
          <w:trHeight w:val="195"/>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net loss (gain) for the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2025,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Savings Plans. </w:t>
      </w:r>
      <w:r>
        <w:rPr>
          <w:rFonts w:ascii="Times New Roman" w:cs="Times New Roman" w:eastAsia="Times New Roman" w:hAnsi="Times New Roman"/>
          <w:sz w:val="18"/>
          <w:szCs w:val="18"/>
          <w:color w:val="auto"/>
        </w:rPr>
        <w:t>CME maintains a defined contribution savings plan pursuant to Section 401(k) of the Internal Revenue Code, whereby all U.S.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participants and have the option to contribute to this plan. CME matches employee contributions up to 3% of the employee's base salary and may make additional discretionary contributions.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plan for U.S. employees, the company maintains defined contribution savings plans for employees in international locations.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Aggregate expense for all of the defined contribution savings plans amounted to $22.0 million, $20.8 million and $19.7 million in 2025, 2024 and 2023, respectively.</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CME Non-Qualified Plans. </w:t>
      </w:r>
      <w:r>
        <w:rPr>
          <w:rFonts w:ascii="Times New Roman" w:cs="Times New Roman" w:eastAsia="Times New Roman" w:hAnsi="Times New Roman"/>
          <w:sz w:val="18"/>
          <w:szCs w:val="18"/>
          <w:color w:val="auto"/>
        </w:rPr>
        <w:t>CME maintains non-qualified plans, under which participants may make assumed investment choices with respect to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their behalf. Although not required to do so, CME invests such contributions in assets that mirror the assumed investment choices. The balances in these plans are subject to the claims of general creditors of the company and totaled $116.3 million and $104.2 million at December 31, 2025 and 2024, respectively. Although the value of the plans is recorded as an asset in marketable securities on the consolidated balance sheets, there is an equal and offsetting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Savings Plan. </w:t>
      </w:r>
      <w:r>
        <w:rPr>
          <w:rFonts w:ascii="Times New Roman" w:cs="Times New Roman" w:eastAsia="Times New Roman" w:hAnsi="Times New Roman"/>
          <w:sz w:val="18"/>
          <w:szCs w:val="18"/>
          <w:color w:val="auto"/>
        </w:rPr>
        <w:t>CME maintains a supplemental plan to provide benefits for employees who have been impacted by statutory limits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qualified pension and savings plan. Employees in this plan are subject to the vesting requirements of the underlying qualified plans.</w:t>
      </w:r>
    </w:p>
    <w:p>
      <w:pPr>
        <w:spacing w:after="0" w:line="5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A deferred compensation plan is maintained by CME, under which eligible employees and members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contribute a percentage of their compensation and defer income taxes thereon until the time of distribution.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leases for datacenters and corporate offices. The operating leases have remaining lease terms of up to 12 years,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for leasing arrangements with a contractual term of 12 months or less from the lease commencement date.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for the years ended December 31,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2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years ended December 31, 2025 and 2024: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December 31,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12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7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20"/>
                <w:szCs w:val="20"/>
                <w:color w:val="auto"/>
              </w:rPr>
            </w:pPr>
          </w:p>
        </w:tc>
      </w:tr>
      <w:tr>
        <w:trPr>
          <w:trHeight w:val="42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7"/>
                <w:szCs w:val="17"/>
                <w:color w:val="auto"/>
              </w:rPr>
            </w:pPr>
          </w:p>
        </w:tc>
        <w:tc>
          <w:tcPr>
            <w:tcW w:w="12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December 31, 2025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9"/>
                <w:szCs w:val="19"/>
                <w:color w:val="auto"/>
              </w:rPr>
            </w:pPr>
          </w:p>
        </w:tc>
      </w:tr>
      <w:tr>
        <w:trPr>
          <w:trHeight w:val="23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5"/>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3"/>
        </w:trPr>
        <w:tc>
          <w:tcPr>
            <w:tcW w:w="72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 remaining claims for a jury trial. After a three week trial, on July 25, 2025, the jury returned a unanimous verdict in favor of the defendants on all counts. Plaintiffs have filed a post-trial motion seeking a new trial, and we expect the plaintiffs to appeal the verdict should the post-trial motions be denied.</w:t>
      </w:r>
    </w:p>
    <w:p>
      <w:pPr>
        <w:spacing w:after="0" w:line="6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 No accrual was required for contingent legal and regulatory matters as none were probable and estimable as of December 31, 2025 and 2024.</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GUARANTEES</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2027.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2027 unless either party provides advance notice of its intent to terminate. CME can maintain collateral in the form of irrevocable standby letters of credit. At December 31, 2025, CME was contingently liable to SGX on irrevocable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December 31,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agricultural products and who suffer losses to their segregated account balances due to their CME clearing member becoming insolvent.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Fund, farmers and ranchers are eligible for up to $25,000 per participant. Farming and ranching cooperatives are eligible for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per cooperative. The Fund has an aggregate maximum payment amount of $100.0 million. Since its establishment, the Fund has made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$2.0 million, which leaves $98.0 million available for future claims. If payments to participants were to exceed this amount,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be pro-rated. Clearing firms and customers must register in advance with the company and provide certain documentation in order to substantiate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eligibility. The company believes that its guarantee liability is nominal and therefore has not recorded any liability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The following table presents information regarding capital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4,584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authorized</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358,950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B-1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B-2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B-3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B-4 common stock authorized, issued and outstanding</w:t>
            </w:r>
          </w:p>
        </w:tc>
        <w:tc>
          <w:tcPr>
            <w:tcW w:w="20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CME Group has approximately 4.6 million shares of Series G Non-Voting Convertible Preferred Stock (Series G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The Series G preferred stock is non-voting and is convertible into Class A common stock at a specified conversion rate, which is initially 1:1. The Series G preferred stock ranks on a parity basis with the Class A common stock with respect to dividend and liquidation rights and therefore participates in the earnings and losses of CME Group on the same basis as Class A common stock.</w:t>
      </w:r>
    </w:p>
    <w:p>
      <w:pPr>
        <w:spacing w:after="0" w:line="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Associated Trading Rights. </w:t>
      </w:r>
      <w:r>
        <w:rPr>
          <w:rFonts w:ascii="Times New Roman" w:cs="Times New Roman" w:eastAsia="Times New Roman" w:hAnsi="Times New Roman"/>
          <w:sz w:val="18"/>
          <w:szCs w:val="18"/>
          <w:color w:val="auto"/>
        </w:rPr>
        <w:t>Members of CME, CBOT, NYMEX and COMEX own or lease trading rights which entitle them access to open outcry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Core Rights. </w:t>
      </w:r>
      <w:r>
        <w:rPr>
          <w:rFonts w:ascii="Times New Roman" w:cs="Times New Roman" w:eastAsia="Times New Roman" w:hAnsi="Times New Roman"/>
          <w:sz w:val="18"/>
          <w:szCs w:val="18"/>
          <w:color w:val="auto"/>
        </w:rPr>
        <w:t>Holders of CME Group Class B common shares have the right to approve changes in specified rights relating to the trading privileges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7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With the exception of the matters reserved to holders of CME Group Class B common stock, holders of CME Group common stock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on all matters for which a vote of common shareholders is required. In these votes, each holder of shares of Class A or Class B common stock of CME Group has one vote per share. The holder of Series G preferred stock does not have any voting rights.</w:t>
      </w:r>
    </w:p>
    <w:p>
      <w:pPr>
        <w:spacing w:after="0" w:line="6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Each class of CME Group Class B common stock is subject to transfer restrictions contained in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Group. These transfer restrictions prohibit the sale or transfer of any shares of Class B common stock separate from the sale of the associated trading rights.</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CME Group board of directors is currently comprised of 19 members. Holders of Class B-1, Class B-2 and Class B-3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6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Class A and Class B common stock and Series G preferred stock of CME Group are entitled to receive proportionately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if any, as may be declared by the CME Group board of directors.</w:t>
      </w:r>
    </w:p>
    <w:p>
      <w:pPr>
        <w:spacing w:after="0" w:line="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CME Group Omnibus Stock Plan. </w:t>
      </w:r>
      <w:r>
        <w:rPr>
          <w:rFonts w:ascii="Times New Roman" w:cs="Times New Roman" w:eastAsia="Times New Roman" w:hAnsi="Times New Roman"/>
          <w:sz w:val="18"/>
          <w:szCs w:val="18"/>
          <w:color w:val="auto"/>
        </w:rPr>
        <w:t>CME Group has adopted an Omnibus Stock Plan under which stock-based awards may be made to employees. A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40.2 million Class A common stock shares have been reserved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Awards totaling 26.2 million shares have been granted and are outstanding or have been exercised under this plan at December 31, 2025 (See note 15 for further discussion).</w:t>
      </w:r>
    </w:p>
    <w:p>
      <w:pPr>
        <w:spacing w:after="0" w:line="5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Director Stock Plan. </w:t>
      </w:r>
      <w:r>
        <w:rPr>
          <w:rFonts w:ascii="Times New Roman" w:cs="Times New Roman" w:eastAsia="Times New Roman" w:hAnsi="Times New Roman"/>
          <w:sz w:val="18"/>
          <w:szCs w:val="18"/>
          <w:color w:val="auto"/>
        </w:rPr>
        <w:t>CME Group has adopted a Director Stock Plan under which awards are made to non-executive directors as part of their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The number of Class A available shares reserved under the plan is 725,000, and approximately 499,187 shares have been awarded through December 31, 2025.</w:t>
      </w:r>
    </w:p>
    <w:p>
      <w:pPr>
        <w:spacing w:after="0" w:line="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CME Group has adopted an Employee Stock Purchase Plan (ESPP) under which employees may purchase Class A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90% of the market value of the shares using after-tax payroll deductions. The number of Class A shares reserved under the plan is 800,000, of which approximately 542,871 shares have been purchased through December 31, 2025 (See note 15 for further discussion).</w:t>
      </w:r>
    </w:p>
    <w:p>
      <w:pPr>
        <w:spacing w:after="0" w:line="6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The company maintains a share repurchase program (the Share Repurchase Program), which authorizes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$3.0 billion of CME Group Class A common stock at prevailing market prices. As of December 31, 2025, the remaining aggregate authorized amount is $2.7 billion.</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any repurchases and the number of shares repurchased under the Share Repurchase Program are within the discretion of CME Group and may be affected by various factors, including general market and economic conditions; the market price of the Class A common stock; CME Group’s earnings, financial condition, capital requirements and levels of indebtedness; legal requirements; and other considerations. The Share Repurchase Program has no expiration date, does not obligate CME Group to acquire any particular amount of Class A common stock and may be modified, suspended or terminated at any time.</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repurchases are funded from existing cash balances and may be made from time to time on the open market, through established trading plans, in privately-negotiated transactions or otherwise in accordance with all applicable securities laws, rules, and regulations. Shares repurchased under the Share Repurchase Program are retired and cancelled.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r>
      <w:tr>
        <w:trPr>
          <w:trHeight w:val="22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of Class A common stock repurchased</w:t>
            </w: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962,603</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(in millions)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PAYMENTS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CME Group adopted an Omnibus Stock Plan under which stock-based awards may be made to employees. A total of 40.2 million Class A shares have been reserved for awards under the plan. Awards totaling 26.2 million shares have been granted and are outstanding or have been exercised under the plan as of December 31, 2025. Awards granted generally vest over a four-year period, with 25% vesting one year after the grant date and on that same date in each of the following three years.</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compensation expense for all stock-related awards (including ESPP) and total income tax benefit recognized on the consolidated statements of income for these awards at December 31, 2025, 2024 and 2023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2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recognized</w:t>
            </w:r>
          </w:p>
        </w:tc>
        <w:tc>
          <w:tcPr>
            <w:tcW w:w="3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8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At December 31, 2025, there was $148.6 million of total unrecognized compensation expense related to employee stock-based compensation arrangements that had not yet vested. The total unrecognized expense is expected to be recognized over a weighted average period of 2.2 years.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2025, the company granted 304,784 shares of restricted Class A common stock and restricted stock units with respect to 11,072 shares of Class A common stock. Restricted common stock and restricted stock units generally have a vesting period of two to four years. The fair value related to these grants was $81.8 million, which is recognized as compensation expense on an accelerated basis over the vesting period. Dividends are accrued on restricted Class A common stock and restricted stock units and are paid once the restricted stock vests. In 2025, the company also granted 71,420 performance shares. The fair value related to these grants was $22.5 million, which is recognized as compensation expense on a straight-lined basis over the vesting period. The vesting of these shares is contingent on meeting stated performance or market conditions, generally measured over a three-year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restricted stock units and performance shares activity for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1"/>
                <w:szCs w:val="11"/>
                <w:color w:val="auto"/>
              </w:rPr>
            </w:pPr>
          </w:p>
        </w:tc>
        <w:tc>
          <w:tcPr>
            <w:tcW w:w="1260" w:type="dxa"/>
            <w:vAlign w:val="bottom"/>
          </w:tcPr>
          <w:p>
            <w:pPr>
              <w:jc w:val="center"/>
              <w:ind w:right="19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1,087,358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387,276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(267,737)</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(170,301)</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1,036,596</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restricted stock units and performance shares that vested during 2025, 2024 and 2023 was $69.7 million, $61.4 million and $49.6 million, respectively.</w:t>
      </w:r>
    </w:p>
    <w:p>
      <w:pPr>
        <w:spacing w:after="0" w:line="5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2025, 2024 and 2023, a total of 32,304, 37,466 and 40,960 shares, respectively, of Class A common stock were issued to participating employees. These shares are subject to a six-month holding period. Annual expense of $0.9 million, $0.8 million, and $0.8 million for the purchase discount was recognized in 2025, 2024 and 2023, respectively.</w:t>
      </w:r>
    </w:p>
    <w:p>
      <w:pPr>
        <w:spacing w:after="0" w:line="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Non-executive directors receive an annual award of Class A common stock with a value equal to $145,000. Non-executive directors could also elect to receive some or all of the cash portion of their annual stipend, up to $95,000, in shares of stock based on the closing price at the date of distribution. As a result, 10,964 shares, 18,901 shares and 19,966 shares of Class A common stock were issued to non-executive directors during 2025, 2024 and 2023, respectively. These shares are not subject to any vesting restrictions. Expense of $3.3 million, $3.6 million, and $3.6 million related to these stock-based payments was recognized for the years ended December 31, 2025, 2024 and 2023,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1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2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0" w:type="dxa"/>
            <w:vAlign w:val="bottom"/>
          </w:tcPr>
          <w:p>
            <w:pPr>
              <w:spacing w:after="0"/>
              <w:rPr>
                <w:sz w:val="24"/>
                <w:szCs w:val="24"/>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 w:type="dxa"/>
            <w:vAlign w:val="bottom"/>
          </w:tcPr>
          <w:p>
            <w:pPr>
              <w:spacing w:after="0"/>
              <w:rPr>
                <w:sz w:val="24"/>
                <w:szCs w:val="24"/>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recorded at fair value on the consolidated balance sheets as of December 31, 2025 and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asset's fair value measurement.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During 2025, the company recognized a net unrealized gain of $1.4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The fair value of this investment was estimated to be $10.2 million at December 31, 2025. This fair value assessment was based on quantitative factors, including observable price changes. The fair value measurement of this investment is considered level 3 and non-recurring. This investment is included in other assets on the consolidated balance sheet.</w:t>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fair values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0" w:type="dxa"/>
            <w:vAlign w:val="bottom"/>
          </w:tcPr>
          <w:p>
            <w:pPr>
              <w:spacing w:after="0"/>
              <w:rPr>
                <w:sz w:val="16"/>
                <w:szCs w:val="16"/>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3"/>
        </w:trPr>
        <w:tc>
          <w:tcPr>
            <w:tcW w:w="6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2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501.6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w:t>
            </w:r>
          </w:p>
        </w:tc>
        <w:tc>
          <w:tcPr>
            <w:tcW w:w="2600" w:type="dxa"/>
            <w:vAlign w:val="bottom"/>
          </w:tcPr>
          <w:p>
            <w:pPr>
              <w:spacing w:after="0"/>
              <w:rPr>
                <w:sz w:val="19"/>
                <w:szCs w:val="19"/>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763.0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685.2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2600" w:type="dxa"/>
            <w:vAlign w:val="bottom"/>
          </w:tcPr>
          <w:p>
            <w:pPr>
              <w:spacing w:after="0"/>
              <w:rPr>
                <w:sz w:val="19"/>
                <w:szCs w:val="19"/>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754.1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2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588.9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the senior leadership team that includes the Chairman and Chief Executive Officer, Chief Information Officer, Senior Managing Director Global Head of Fixed Income, President and Chief Financial Officer, Senior Managing Director and General Counsel, Senior Managing Director Global Head Equities, FX, and Alternative Products, Chief Human Resources Officer, Senior Managing Director Global Head of Commodities Markets, Chief Operating Officer and Global Head of Clearing, Chief Transformation Officer, and Chief Commercial Officer. The members of the senior leadership team represent a cross-functional group of management, which evaluates the company’s operating results in order to evaluate performance and make decisions about the company’s operating matters.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table below presents geographic locations with material revenue for the years ended December 31, 2025, 2024 and 2023 and geographic locations with material long-lived assets as of December 31, 2025 and 2024. Locations with revenue or long lived assets representing 10% or more of total revenue or long lived assets are considered to have material revenue or long lived assets.</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18"/>
                <w:szCs w:val="18"/>
                <w:b w:val="1"/>
                <w:bCs w:val="1"/>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8"/>
                <w:szCs w:val="18"/>
                <w:b w:val="1"/>
                <w:bCs w:val="1"/>
                <w:color w:val="auto"/>
                <w:vertAlign w:val="superscript"/>
              </w:rPr>
              <w:t>(3)</w:t>
            </w:r>
          </w:p>
        </w:tc>
        <w:tc>
          <w:tcPr>
            <w:tcW w:w="860" w:type="dxa"/>
            <w:vAlign w:val="bottom"/>
            <w:tcBorders>
              <w:bottom w:val="single" w:sz="8" w:color="auto"/>
            </w:tcBorders>
          </w:tcPr>
          <w:p>
            <w:pPr>
              <w:spacing w:after="0"/>
              <w:rPr>
                <w:sz w:val="18"/>
                <w:szCs w:val="18"/>
                <w:color w:val="auto"/>
              </w:rPr>
            </w:pPr>
          </w:p>
        </w:tc>
      </w:tr>
      <w:tr>
        <w:trPr>
          <w:trHeight w:val="190"/>
        </w:trPr>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27,258.0</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27,433.5</w:t>
            </w:r>
          </w:p>
        </w:tc>
      </w:tr>
      <w:tr>
        <w:trPr>
          <w:trHeight w:val="230"/>
        </w:trPr>
        <w:tc>
          <w:tcPr>
            <w:tcW w:w="306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United Kingdom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3,467.6</w:t>
            </w:r>
          </w:p>
        </w:tc>
      </w:tr>
      <w:tr>
        <w:trPr>
          <w:trHeight w:val="229"/>
        </w:trPr>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6,130.1</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30,749.2</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30,952.0</w:t>
            </w:r>
          </w:p>
        </w:tc>
      </w:tr>
      <w:tr>
        <w:trPr>
          <w:trHeight w:val="20"/>
        </w:trPr>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Kingdom includes Great Britain and Northern Ireland.</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are classified based upon the location of the customer.</w:t>
      </w:r>
    </w:p>
    <w:p>
      <w:pPr>
        <w:spacing w:after="0" w:line="59" w:lineRule="exact"/>
        <w:rPr>
          <w:rFonts w:ascii="Times New Roman" w:cs="Times New Roman" w:eastAsia="Times New Roman" w:hAnsi="Times New Roman"/>
          <w:sz w:val="16"/>
          <w:szCs w:val="16"/>
          <w:color w:val="auto"/>
        </w:rPr>
      </w:pPr>
    </w:p>
    <w:p>
      <w:pPr>
        <w:ind w:left="660" w:right="40" w:hanging="652"/>
        <w:spacing w:after="0" w:line="272"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represent property, plant and equipment, indefinite-lived intangible assets, amortizable intangible assets, and other investments included in other assets. See Note 5 for further information on property. See Note 6 for further information on goodwill and other intangible assets. See Note 17 for further information on investments included in other assets. These assets are reported in the country where they are primarily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Series G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stock awards were as follows for the years presented: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years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overdistributed earnings allocated to preferred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stock options and stock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4"/>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the fourth quarter of 2025,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believes that, as of December 31, 2025, our internal control over financial reporting is effective. The effectiveness of our internal control over financial reporting as of December 31, 2025 has been audited by Ernst &amp; Young LLP (PCAOB ID 42), an independent registered public accounting firm, as stated in the report on page 88.</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CME Group Inc. and subsidiaries (the Company) as of December 31, 2025 and 2024, the related consolidated statements of income, comprehensive income,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52"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9 to the consolidated financial statements, the Company had unrecognized income tax benefits of $294.8</w:t>
      </w:r>
    </w:p>
    <w:p>
      <w:pPr>
        <w:spacing w:after="0" w:line="18" w:lineRule="exact"/>
        <w:rPr>
          <w:sz w:val="20"/>
          <w:szCs w:val="20"/>
          <w:color w:val="auto"/>
        </w:rPr>
      </w:pPr>
    </w:p>
    <w:p>
      <w:pPr>
        <w:jc w:val="both"/>
        <w:ind w:left="1680" w:hanging="1659"/>
        <w:spacing w:after="0" w:line="238" w:lineRule="auto"/>
        <w:tabs>
          <w:tab w:leader="none" w:pos="16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million related to uncertain tax positions as of December 31, 2025. Uncertainty in a tax position may arise due to the application of complex tax regulations, among other considerations. In its accounting for uncertain tax positions the Company used significant judgment to (1) determine whether, based on the technical merits, the tax position is more likely than not to be sustained upon examination and (2) measure the amount of the tax benefit that qualifies for recognition.</w:t>
      </w:r>
    </w:p>
    <w:p>
      <w:pPr>
        <w:spacing w:after="0" w:line="212" w:lineRule="exact"/>
        <w:rPr>
          <w:sz w:val="20"/>
          <w:szCs w:val="20"/>
          <w:color w:val="auto"/>
        </w:rPr>
      </w:pPr>
    </w:p>
    <w:p>
      <w:pPr>
        <w:jc w:val="both"/>
        <w:ind w:left="1680"/>
        <w:spacing w:after="0"/>
        <w:rPr>
          <w:sz w:val="20"/>
          <w:szCs w:val="20"/>
          <w:color w:val="auto"/>
        </w:rPr>
      </w:pPr>
      <w:r>
        <w:rPr>
          <w:rFonts w:ascii="Times New Roman" w:cs="Times New Roman" w:eastAsia="Times New Roman" w:hAnsi="Times New Roman"/>
          <w:sz w:val="18"/>
          <w:szCs w:val="18"/>
          <w:color w:val="auto"/>
        </w:rPr>
        <w:t>Auditing management’s estimate of the Company’s uncertain tax positions that qualified for recognition was especially challenging because management’s estimate involved significant judgment in evaluating the technical merits of the positions, including interpretations of applicable tax laws and regulations, as well as in measuring the amount of the tax benefit that qualifies for recognition.</w:t>
      </w:r>
    </w:p>
    <w:p>
      <w:pPr>
        <w:spacing w:after="0" w:line="2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tested the Company’s controls that address the risk of material misstatement relating to the recognition and measurement of</w:t>
      </w:r>
    </w:p>
    <w:p>
      <w:pPr>
        <w:spacing w:after="0" w:line="13"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uncertain tax positions. For example, we tested controls over the Company’s assessment of the technical merits of tax positions and</w:t>
      </w:r>
    </w:p>
    <w:p>
      <w:pPr>
        <w:ind w:left="1680" w:hanging="1659"/>
        <w:spacing w:after="0" w:line="243" w:lineRule="auto"/>
        <w:tabs>
          <w:tab w:leader="none" w:pos="166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management’s process to measure the benefit of those tax positions that qualified for recognition, including management’s review of the inputs used in the calculations.</w:t>
      </w:r>
    </w:p>
    <w:p>
      <w:pPr>
        <w:spacing w:after="0" w:line="209" w:lineRule="exact"/>
        <w:rPr>
          <w:sz w:val="20"/>
          <w:szCs w:val="20"/>
          <w:color w:val="auto"/>
        </w:rPr>
      </w:pPr>
    </w:p>
    <w:p>
      <w:pPr>
        <w:jc w:val="both"/>
        <w:ind w:left="1680"/>
        <w:spacing w:after="0" w:line="238" w:lineRule="auto"/>
        <w:rPr>
          <w:sz w:val="20"/>
          <w:szCs w:val="20"/>
          <w:color w:val="auto"/>
        </w:rPr>
      </w:pPr>
      <w:r>
        <w:rPr>
          <w:rFonts w:ascii="Times New Roman" w:cs="Times New Roman" w:eastAsia="Times New Roman" w:hAnsi="Times New Roman"/>
          <w:sz w:val="18"/>
          <w:szCs w:val="18"/>
          <w:color w:val="auto"/>
        </w:rPr>
        <w:t>We also involved our tax professionals to evaluate the Company's uncertain tax positions. Our audit procedures included, among others, evaluating the assumptions the Company used to develop and measure its uncertain tax positions that qualified for recognition, as well as testing the completeness and accuracy of the underlying data used by management. We also assessed the technical merits and measurement of the Company’s uncertain tax positions by evaluating evolving interpretations of the tax regulations, together with the Company’s relevant correspondence with tax authorities and third-parties, which were used by the Company to recognize and measure its uncertain tax positions.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CME Group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CME Group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equity and cash flows for each of the three years in the period ended December 31, 2025, and the related notes and financial statement schedule listed in the Index at Item 15(a)(2) and our report dated February 26,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2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12529"/>
        </w:rPr>
        <w:t>quarter ended</w:t>
      </w:r>
      <w:r>
        <w:rPr>
          <w:rFonts w:ascii="Times New Roman" w:cs="Times New Roman" w:eastAsia="Times New Roman" w:hAnsi="Times New Roman"/>
          <w:sz w:val="18"/>
          <w:szCs w:val="18"/>
          <w:color w:val="auto"/>
        </w:rPr>
        <w:t xml:space="preserve"> December 31, 2025, no director or officer of the Company adopted or terminated a “Rule 10b5-1 trading arrangement” or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Interactive Data File Submission</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is furnishing the information below solely for the purpose of including the required Inline XBRL tagging of the following disclosures: (1) “Item 1C. Cybersecurity” on pgs. 27-28 of the company’s annual report on Form 10-K for the fiscal year ended December 31, 2024 (2024 Form 10-K), filed with the SEC on February 27, 2025; (2) “Pay versus performance disclosure” on pgs. 87-91 and “Equity grant practices” on pgs. 68-69 of the company’s proxy statement on Schedule 14A, filed with the SEC on March 20, 2025 (2025 Proxy Statement); and (3) “Item 5. Other Information” on pgs. 31, 33 and 33 of the company’s quarterly reports on Form 10-Q for the quarters ended March 31, 2025, June 30, 2025 and September 30, 2025, respectively (2025 Forms 10-Q). Other than the inclusion of Inline XBRL tagging, the disclosures below do not modify any information set forth in the 2024 Form 10-K, the 2025 Proxy Statement or the 2025 Forms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Form 10-K</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highly regulated global financial services company, we understand the substantial operational risks for companies in our industry as well as the</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importance of protecting the information and data of our clients, third parties and employees and the resilience of our systems. As such, our Global Informational Security (GIS) Program is designed and operated to mitigate information security risks and threats to the company. Its intent is to safeguard the confidentiality, integrity and availability of our information and services. The GIS Program is designed to strengthen the integrity of the global markets we support, protect CME Group’s information assets, maintain client, third party and employee trust, support our pursuit of strategic objectives, contribute to shareholder value and preserve our reputation and brand. We implement technical, physical and administrative safeguards to protect the confidential and sensitive information of our clients, third parties, employees and other information under CME Group’s stewardship. We manage cybersecurity risk to the organization as part of our business strategy, risk management and financial functions in alignment with our overall Enterprise Risk Management Program and regularly engage with the risk committee of the board of directors and the board of directors as a whole regarding the effectiveness of the GIS Program and the management of our cybersecurity risks.</w:t>
      </w:r>
    </w:p>
    <w:p>
      <w:pPr>
        <w:spacing w:after="0" w:line="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GIS Program is led by CME Group’s Chief Information Security Officer (CISO), who has worked in various roles in information security for over 20 years and has led our GIS Program for more than five years since joining the company in 2016 in a senior role in GIS. The CISO reports to our Chief Information Officer (CIO), a member of our Management Team. Our GIS team is comprised of over 200 full-time employees, many of whom hold cybersecurity, risk, or management certifications, such as Certified Information Systems Security Professional, Certified Information Security Manager, Certified in Risk and Information Systems Control, Series 99, Certified Information Systems Auditor, Project Management Professional, various cloud provider certifications and various levels of ITIL certifications. As part of our GIS Program, CME Group operates a Cyber Defense Center that virtually links 24/7 to our international cybersecurity teams and serves as a global hub for cybersecurity risk management activities, including log collection, event monitoring, threat detection and incident response, resiliency, operations, vulnerability management and the proactive collection and processing of both open source and proprietary threat and intelligence feeds allowing the company to efficiently manage, investigate and respond to cybersecurity events. Our GIS team conducts analyses and aims to prevent, detect and respond to systemic events that might threaten our company, industry or the economy.</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GIS Program includes a Cyber Defense team, which manages the Incident Response Plan (IRP), and consists of subject matter experts from GIS and Information Governance, who work together to monitor and respond to cybersecurity incidents. The IRP outlines our cyber and incident response policies and governs our incident response lifecycle, which divides overall incident response into serial phases. The Crisis Management Team (CMT) is responsible for oversight during an incident, in conjunction with the Cyber Coordination Team (CCT). The CCT manages responses to cybersecurity and compliance incidents, collaborating with subject matter experts from various departments in response to specific incidents. When an incident reaches a certain threshold of severity, our CISO and CIO escalate the matter to our Chief Operating Officer, who is another member of our Management Team, to determine next steps, as well as possible customer and external communication. Throughout the incident response process, the Legal team is engaged, as appropriate, and helps consider whether disclosure is required once a determination is made in connection with the company’s leadership and the CMT.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identify, assess and manage material risks from cybersecurity threats through our GIS Program as follows:</w:t>
      </w:r>
    </w:p>
    <w:p>
      <w:pPr>
        <w:spacing w:after="0" w:line="158" w:lineRule="exact"/>
        <w:rPr>
          <w:sz w:val="20"/>
          <w:szCs w:val="20"/>
          <w:color w:val="auto"/>
        </w:rPr>
      </w:pPr>
    </w:p>
    <w:p>
      <w:pPr>
        <w:ind w:left="660" w:right="60" w:hanging="328"/>
        <w:spacing w:after="0" w:line="239" w:lineRule="auto"/>
        <w:tabs>
          <w:tab w:leader="none" w:pos="65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We deploy a defense-in-depth strategy, acknowledging the importance of people, processes and technology in upholding information security. The strategy incorporates multiple layers of controls, including, monitoring, vulnerability management, identity and access management and security assessments.</w:t>
      </w:r>
    </w:p>
    <w:p>
      <w:pPr>
        <w:spacing w:after="0" w:line="37" w:lineRule="exact"/>
        <w:rPr>
          <w:rFonts w:ascii="Arial" w:cs="Arial" w:eastAsia="Arial" w:hAnsi="Arial"/>
          <w:sz w:val="22"/>
          <w:szCs w:val="22"/>
          <w:color w:val="auto"/>
        </w:rPr>
      </w:pPr>
    </w:p>
    <w:p>
      <w:pPr>
        <w:ind w:left="660" w:right="200" w:hanging="328"/>
        <w:spacing w:after="0" w:line="28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 is aligned with the National Institute of Standards and Technology Cybersecurity Framework (NIST) and other technical standards and frameworks.</w:t>
      </w:r>
    </w:p>
    <w:p>
      <w:pPr>
        <w:spacing w:after="0" w:line="1" w:lineRule="exact"/>
        <w:rPr>
          <w:rFonts w:ascii="Times New Roman" w:cs="Times New Roman" w:eastAsia="Times New Roman" w:hAnsi="Times New Roman"/>
          <w:sz w:val="18"/>
          <w:szCs w:val="18"/>
          <w:color w:val="auto"/>
        </w:rPr>
      </w:pPr>
    </w:p>
    <w:p>
      <w:pPr>
        <w:ind w:left="660" w:right="560" w:hanging="328"/>
        <w:spacing w:after="0" w:line="28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robust cybersecurity defense response plan that provides a documented framework for handling security incidents and facilitates coordination across multiple parts of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threat intelligence and operate a Cyber Defense Center, which acts as our hub of information sharing and threat intelligence analysis.</w:t>
      </w:r>
    </w:p>
    <w:p>
      <w:pPr>
        <w:spacing w:after="0" w:line="63"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external expertise and reviews into our cybersecurity risk management program and continue to engage leading professional consulting firms to assist our company in incorporating cybersecurity best practices.</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annual cybersecurity awareness and ongoing phishing training, and we routinely conduct cybersecurity attack simulation exercises, which includes participation from various levels of management.</w:t>
      </w:r>
    </w:p>
    <w:p>
      <w:pPr>
        <w:spacing w:after="0" w:line="1"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risk-based approach, we conduct due diligence reviews of our third party providers for potential cybersecurity risks to the company. We also maintain a cross-functional Third Party Risk Management program, which partners with our GIS, Information Governance, and Operational Resilience teams, among others, to manage and monitor third party risk presented by CME Group vendors and certain third parties of third parties (fourth parties). The teams conduct initial due diligence on vendors and monitor cyber-related incidents and known vulnerabilities with the goal of enhancing processes, improving risk management and partnering on exit planning and testing for certain vendors associated with essential functions.</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insurance against certain cybersecurity and privacy risks and attacks.</w:t>
      </w:r>
    </w:p>
    <w:p>
      <w:pPr>
        <w:spacing w:after="0" w:line="6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active participant in the financial services industry and government forums and information sharing programs, designed to improve both internal and sector cybersecurity defense. These valuable external partnerships are established and maintained in order to gain more timely, comprehensive and actionable threat information across geographies and industries and to facilitate the exchange of best practices and security techniques. They allow for a high degree of collaboration and cooperation with local, state, federal, and international law enforcement and intelligence agencies, industry groups, and other private sector chief information security officers.</w:t>
      </w:r>
    </w:p>
    <w:p>
      <w:pPr>
        <w:spacing w:after="0" w:line="21"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the design and effectiveness of our information security controls and processes through a program of testing performed by internal and independent third-party teams. Remediation of gaps and opportunities identified through testing are tracked through to closure. Testing activities support a variety of regulatory requirements and external industry certifications held by CME Group.</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board provides oversight of cybersecurity risks and has designated primary responsibility to the risk committee which oversees our information security programs, including cybersecurity, and is actively involved in monitoring the progress of key cybersecurity initiatives. Our board and risk committee receive regular updates on the activities and effectiveness of our GIS Program, including reports on incident response plan testing exercises and results of compliance testing and third-party evaluation results. Our CISO provides quarterly, or as needed, reports and updates to our board and risk committee on the company's cybersecurity risk management program and meets with the risk committee at least annually in a private session. The CISO has an indirect reporting line to the risk committee. We also engage with leading professional consulting firms to provide periodic updates to the board on cybersecurity-related risks in the evolving threat landscape and to provide education on best practices for board oversight of our GIS Program.</w:t>
      </w:r>
    </w:p>
    <w:p>
      <w:pPr>
        <w:spacing w:after="0" w:line="8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To date, the company is not aware of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 - Risk Factors" beginning on page 16 for additional information on cyber attacks and other cybersecurity risks the company faces.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Proxy Statement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as well as by the company itself. We believe our insider trading policy is reasonably designed to promote compliance with insider trading laws, rules and regulations, and listing standards applicable to the company. A copy of our insider trading policy is filed with our most recent Annual Report on Form 10-K as 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840" w:type="dxa"/>
            <w:vAlign w:val="bottom"/>
            <w:shd w:val="clear" w:color="auto" w:fill="112B4A"/>
          </w:tcPr>
          <w:p>
            <w:pPr>
              <w:spacing w:after="0"/>
              <w:rPr>
                <w:sz w:val="24"/>
                <w:szCs w:val="24"/>
                <w:color w:val="auto"/>
              </w:rPr>
            </w:pPr>
          </w:p>
        </w:tc>
        <w:tc>
          <w:tcPr>
            <w:tcW w:w="180" w:type="dxa"/>
            <w:vAlign w:val="bottom"/>
            <w:shd w:val="clear" w:color="auto" w:fill="112B4A"/>
          </w:tcPr>
          <w:p>
            <w:pPr>
              <w:spacing w:after="0"/>
              <w:rPr>
                <w:sz w:val="24"/>
                <w:szCs w:val="24"/>
                <w:color w:val="auto"/>
              </w:rPr>
            </w:pPr>
          </w:p>
        </w:tc>
        <w:tc>
          <w:tcPr>
            <w:tcW w:w="1100" w:type="dxa"/>
            <w:vAlign w:val="bottom"/>
            <w:shd w:val="clear" w:color="auto" w:fill="112B4A"/>
          </w:tcPr>
          <w:p>
            <w:pPr>
              <w:spacing w:after="0"/>
              <w:rPr>
                <w:sz w:val="24"/>
                <w:szCs w:val="24"/>
                <w:color w:val="auto"/>
              </w:rPr>
            </w:pPr>
          </w:p>
        </w:tc>
        <w:tc>
          <w:tcPr>
            <w:tcW w:w="140" w:type="dxa"/>
            <w:vAlign w:val="bottom"/>
            <w:shd w:val="clear" w:color="auto" w:fill="112B4A"/>
          </w:tcPr>
          <w:p>
            <w:pPr>
              <w:spacing w:after="0"/>
              <w:rPr>
                <w:sz w:val="24"/>
                <w:szCs w:val="24"/>
                <w:color w:val="auto"/>
              </w:rPr>
            </w:pPr>
          </w:p>
        </w:tc>
        <w:tc>
          <w:tcPr>
            <w:tcW w:w="1160" w:type="dxa"/>
            <w:vAlign w:val="bottom"/>
            <w:shd w:val="clear" w:color="auto" w:fill="112B4A"/>
          </w:tcPr>
          <w:p>
            <w:pPr>
              <w:spacing w:after="0"/>
              <w:rPr>
                <w:sz w:val="24"/>
                <w:szCs w:val="24"/>
                <w:color w:val="auto"/>
              </w:rPr>
            </w:pPr>
          </w:p>
        </w:tc>
        <w:tc>
          <w:tcPr>
            <w:tcW w:w="140" w:type="dxa"/>
            <w:vAlign w:val="bottom"/>
            <w:shd w:val="clear" w:color="auto" w:fill="112B4A"/>
          </w:tcPr>
          <w:p>
            <w:pPr>
              <w:spacing w:after="0"/>
              <w:rPr>
                <w:sz w:val="24"/>
                <w:szCs w:val="24"/>
                <w:color w:val="auto"/>
              </w:rPr>
            </w:pPr>
          </w:p>
        </w:tc>
        <w:tc>
          <w:tcPr>
            <w:tcW w:w="1320" w:type="dxa"/>
            <w:vAlign w:val="bottom"/>
            <w:shd w:val="clear" w:color="auto" w:fill="112B4A"/>
          </w:tcPr>
          <w:p>
            <w:pPr>
              <w:spacing w:after="0"/>
              <w:rPr>
                <w:sz w:val="24"/>
                <w:szCs w:val="24"/>
                <w:color w:val="auto"/>
              </w:rPr>
            </w:pPr>
          </w:p>
        </w:tc>
        <w:tc>
          <w:tcPr>
            <w:tcW w:w="160" w:type="dxa"/>
            <w:vAlign w:val="bottom"/>
            <w:shd w:val="clear" w:color="auto" w:fill="112B4A"/>
          </w:tcPr>
          <w:p>
            <w:pPr>
              <w:spacing w:after="0"/>
              <w:rPr>
                <w:sz w:val="24"/>
                <w:szCs w:val="24"/>
                <w:color w:val="auto"/>
              </w:rPr>
            </w:pPr>
          </w:p>
        </w:tc>
        <w:tc>
          <w:tcPr>
            <w:tcW w:w="1140" w:type="dxa"/>
            <w:vAlign w:val="bottom"/>
            <w:shd w:val="clear" w:color="auto" w:fill="112B4A"/>
          </w:tcPr>
          <w:p>
            <w:pPr>
              <w:spacing w:after="0"/>
              <w:rPr>
                <w:sz w:val="24"/>
                <w:szCs w:val="24"/>
                <w:color w:val="auto"/>
              </w:rPr>
            </w:pPr>
          </w:p>
        </w:tc>
        <w:tc>
          <w:tcPr>
            <w:tcW w:w="380" w:type="dxa"/>
            <w:vAlign w:val="bottom"/>
            <w:shd w:val="clear" w:color="auto" w:fill="112B4A"/>
          </w:tcPr>
          <w:p>
            <w:pPr>
              <w:spacing w:after="0"/>
              <w:rPr>
                <w:sz w:val="24"/>
                <w:szCs w:val="24"/>
                <w:color w:val="auto"/>
              </w:rPr>
            </w:pPr>
          </w:p>
        </w:tc>
        <w:tc>
          <w:tcPr>
            <w:tcW w:w="2080" w:type="dxa"/>
            <w:vAlign w:val="bottom"/>
            <w:gridSpan w:val="3"/>
            <w:shd w:val="clear" w:color="auto" w:fill="112B4A"/>
          </w:tcPr>
          <w:p>
            <w:pPr>
              <w:jc w:val="right"/>
              <w:spacing w:after="0"/>
              <w:rPr>
                <w:sz w:val="20"/>
                <w:szCs w:val="20"/>
                <w:color w:val="auto"/>
              </w:rPr>
            </w:pPr>
            <w:r>
              <w:rPr>
                <w:rFonts w:ascii="Arial" w:cs="Arial" w:eastAsia="Arial" w:hAnsi="Arial"/>
                <w:sz w:val="14"/>
                <w:szCs w:val="14"/>
                <w:b w:val="1"/>
                <w:bCs w:val="1"/>
                <w:color w:val="FFFFFF"/>
              </w:rPr>
              <w:t>Value of Initial Fixed $100</w:t>
            </w:r>
          </w:p>
        </w:tc>
        <w:tc>
          <w:tcPr>
            <w:tcW w:w="260" w:type="dxa"/>
            <w:vAlign w:val="bottom"/>
            <w:shd w:val="clear" w:color="auto" w:fill="112B4A"/>
          </w:tcPr>
          <w:p>
            <w:pPr>
              <w:spacing w:after="0"/>
              <w:rPr>
                <w:sz w:val="24"/>
                <w:szCs w:val="24"/>
                <w:color w:val="auto"/>
              </w:rPr>
            </w:pPr>
          </w:p>
        </w:tc>
        <w:tc>
          <w:tcPr>
            <w:tcW w:w="940" w:type="dxa"/>
            <w:vAlign w:val="bottom"/>
            <w:shd w:val="clear" w:color="auto" w:fill="112B4A"/>
          </w:tcPr>
          <w:p>
            <w:pPr>
              <w:spacing w:after="0"/>
              <w:rPr>
                <w:sz w:val="24"/>
                <w:szCs w:val="24"/>
                <w:color w:val="auto"/>
              </w:rPr>
            </w:pPr>
          </w:p>
        </w:tc>
        <w:tc>
          <w:tcPr>
            <w:tcW w:w="140" w:type="dxa"/>
            <w:vAlign w:val="bottom"/>
            <w:shd w:val="clear" w:color="auto" w:fill="112B4A"/>
          </w:tcPr>
          <w:p>
            <w:pPr>
              <w:spacing w:after="0"/>
              <w:rPr>
                <w:sz w:val="24"/>
                <w:szCs w:val="24"/>
                <w:color w:val="auto"/>
              </w:rPr>
            </w:pPr>
          </w:p>
        </w:tc>
        <w:tc>
          <w:tcPr>
            <w:tcW w:w="1260" w:type="dxa"/>
            <w:vAlign w:val="bottom"/>
            <w:shd w:val="clear" w:color="auto" w:fill="112B4A"/>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40" w:type="dxa"/>
            <w:vAlign w:val="bottom"/>
            <w:shd w:val="clear" w:color="auto" w:fill="112B4A"/>
          </w:tcPr>
          <w:p>
            <w:pPr>
              <w:spacing w:after="0"/>
              <w:rPr>
                <w:sz w:val="22"/>
                <w:szCs w:val="22"/>
                <w:color w:val="auto"/>
              </w:rPr>
            </w:pPr>
          </w:p>
        </w:tc>
        <w:tc>
          <w:tcPr>
            <w:tcW w:w="180" w:type="dxa"/>
            <w:vAlign w:val="bottom"/>
            <w:shd w:val="clear" w:color="auto" w:fill="112B4A"/>
          </w:tcPr>
          <w:p>
            <w:pPr>
              <w:spacing w:after="0"/>
              <w:rPr>
                <w:sz w:val="22"/>
                <w:szCs w:val="22"/>
                <w:color w:val="auto"/>
              </w:rPr>
            </w:pPr>
          </w:p>
        </w:tc>
        <w:tc>
          <w:tcPr>
            <w:tcW w:w="1100" w:type="dxa"/>
            <w:vAlign w:val="bottom"/>
            <w:shd w:val="clear" w:color="auto" w:fill="112B4A"/>
          </w:tcPr>
          <w:p>
            <w:pPr>
              <w:spacing w:after="0"/>
              <w:rPr>
                <w:sz w:val="22"/>
                <w:szCs w:val="22"/>
                <w:color w:val="auto"/>
              </w:rPr>
            </w:pPr>
          </w:p>
        </w:tc>
        <w:tc>
          <w:tcPr>
            <w:tcW w:w="140" w:type="dxa"/>
            <w:vAlign w:val="bottom"/>
            <w:shd w:val="clear" w:color="auto" w:fill="112B4A"/>
          </w:tcPr>
          <w:p>
            <w:pPr>
              <w:spacing w:after="0"/>
              <w:rPr>
                <w:sz w:val="22"/>
                <w:szCs w:val="22"/>
                <w:color w:val="auto"/>
              </w:rPr>
            </w:pPr>
          </w:p>
        </w:tc>
        <w:tc>
          <w:tcPr>
            <w:tcW w:w="1160" w:type="dxa"/>
            <w:vAlign w:val="bottom"/>
            <w:shd w:val="clear" w:color="auto" w:fill="112B4A"/>
          </w:tcPr>
          <w:p>
            <w:pPr>
              <w:spacing w:after="0"/>
              <w:rPr>
                <w:sz w:val="22"/>
                <w:szCs w:val="22"/>
                <w:color w:val="auto"/>
              </w:rPr>
            </w:pPr>
          </w:p>
        </w:tc>
        <w:tc>
          <w:tcPr>
            <w:tcW w:w="140" w:type="dxa"/>
            <w:vAlign w:val="bottom"/>
            <w:shd w:val="clear" w:color="auto" w:fill="112B4A"/>
          </w:tcPr>
          <w:p>
            <w:pPr>
              <w:spacing w:after="0"/>
              <w:rPr>
                <w:sz w:val="22"/>
                <w:szCs w:val="22"/>
                <w:color w:val="auto"/>
              </w:rPr>
            </w:pPr>
          </w:p>
        </w:tc>
        <w:tc>
          <w:tcPr>
            <w:tcW w:w="1320" w:type="dxa"/>
            <w:vAlign w:val="bottom"/>
            <w:shd w:val="clear" w:color="auto" w:fill="112B4A"/>
          </w:tcPr>
          <w:p>
            <w:pPr>
              <w:spacing w:after="0"/>
              <w:rPr>
                <w:sz w:val="22"/>
                <w:szCs w:val="22"/>
                <w:color w:val="auto"/>
              </w:rPr>
            </w:pPr>
          </w:p>
        </w:tc>
        <w:tc>
          <w:tcPr>
            <w:tcW w:w="160" w:type="dxa"/>
            <w:vAlign w:val="bottom"/>
            <w:shd w:val="clear" w:color="auto" w:fill="112B4A"/>
          </w:tcPr>
          <w:p>
            <w:pPr>
              <w:spacing w:after="0"/>
              <w:rPr>
                <w:sz w:val="22"/>
                <w:szCs w:val="22"/>
                <w:color w:val="auto"/>
              </w:rPr>
            </w:pPr>
          </w:p>
        </w:tc>
        <w:tc>
          <w:tcPr>
            <w:tcW w:w="1140" w:type="dxa"/>
            <w:vAlign w:val="bottom"/>
            <w:shd w:val="clear" w:color="auto" w:fill="112B4A"/>
          </w:tcPr>
          <w:p>
            <w:pPr>
              <w:spacing w:after="0"/>
              <w:rPr>
                <w:sz w:val="22"/>
                <w:szCs w:val="22"/>
                <w:color w:val="auto"/>
              </w:rPr>
            </w:pPr>
          </w:p>
        </w:tc>
        <w:tc>
          <w:tcPr>
            <w:tcW w:w="380" w:type="dxa"/>
            <w:vAlign w:val="bottom"/>
            <w:shd w:val="clear" w:color="auto" w:fill="112B4A"/>
          </w:tcPr>
          <w:p>
            <w:pPr>
              <w:spacing w:after="0"/>
              <w:rPr>
                <w:sz w:val="22"/>
                <w:szCs w:val="22"/>
                <w:color w:val="auto"/>
              </w:rPr>
            </w:pPr>
          </w:p>
        </w:tc>
        <w:tc>
          <w:tcPr>
            <w:tcW w:w="2080" w:type="dxa"/>
            <w:vAlign w:val="bottom"/>
            <w:gridSpan w:val="3"/>
            <w:shd w:val="clear" w:color="auto" w:fill="112B4A"/>
          </w:tcPr>
          <w:p>
            <w:pPr>
              <w:jc w:val="right"/>
              <w:spacing w:after="0"/>
              <w:rPr>
                <w:sz w:val="20"/>
                <w:szCs w:val="20"/>
                <w:color w:val="auto"/>
              </w:rPr>
            </w:pPr>
            <w:r>
              <w:rPr>
                <w:rFonts w:ascii="Arial" w:cs="Arial" w:eastAsia="Arial" w:hAnsi="Arial"/>
                <w:sz w:val="14"/>
                <w:szCs w:val="14"/>
                <w:b w:val="1"/>
                <w:bCs w:val="1"/>
                <w:color w:val="FFFFFF"/>
              </w:rPr>
              <w:t>Investment based on:</w:t>
            </w:r>
            <w:r>
              <w:rPr>
                <w:rFonts w:ascii="Arial" w:cs="Arial" w:eastAsia="Arial" w:hAnsi="Arial"/>
                <w:sz w:val="18"/>
                <w:szCs w:val="18"/>
                <w:b w:val="1"/>
                <w:bCs w:val="1"/>
                <w:color w:val="FFFFFF"/>
                <w:vertAlign w:val="superscript"/>
              </w:rPr>
              <w:t>4</w:t>
            </w:r>
          </w:p>
        </w:tc>
        <w:tc>
          <w:tcPr>
            <w:tcW w:w="260" w:type="dxa"/>
            <w:vAlign w:val="bottom"/>
            <w:shd w:val="clear" w:color="auto" w:fill="112B4A"/>
          </w:tcPr>
          <w:p>
            <w:pPr>
              <w:spacing w:after="0"/>
              <w:rPr>
                <w:sz w:val="22"/>
                <w:szCs w:val="22"/>
                <w:color w:val="auto"/>
              </w:rPr>
            </w:pPr>
          </w:p>
        </w:tc>
        <w:tc>
          <w:tcPr>
            <w:tcW w:w="940" w:type="dxa"/>
            <w:vAlign w:val="bottom"/>
            <w:shd w:val="clear" w:color="auto" w:fill="112B4A"/>
          </w:tcPr>
          <w:p>
            <w:pPr>
              <w:spacing w:after="0"/>
              <w:rPr>
                <w:sz w:val="22"/>
                <w:szCs w:val="22"/>
                <w:color w:val="auto"/>
              </w:rPr>
            </w:pPr>
          </w:p>
        </w:tc>
        <w:tc>
          <w:tcPr>
            <w:tcW w:w="140" w:type="dxa"/>
            <w:vAlign w:val="bottom"/>
            <w:shd w:val="clear" w:color="auto" w:fill="112B4A"/>
          </w:tcPr>
          <w:p>
            <w:pPr>
              <w:spacing w:after="0"/>
              <w:rPr>
                <w:sz w:val="22"/>
                <w:szCs w:val="22"/>
                <w:color w:val="auto"/>
              </w:rPr>
            </w:pPr>
          </w:p>
        </w:tc>
        <w:tc>
          <w:tcPr>
            <w:tcW w:w="1260" w:type="dxa"/>
            <w:vAlign w:val="bottom"/>
            <w:shd w:val="clear" w:color="auto" w:fill="112B4A"/>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40" w:type="dxa"/>
            <w:vAlign w:val="bottom"/>
            <w:shd w:val="clear" w:color="auto" w:fill="112B4A"/>
          </w:tcPr>
          <w:p>
            <w:pPr>
              <w:spacing w:after="0"/>
              <w:rPr>
                <w:sz w:val="18"/>
                <w:szCs w:val="18"/>
                <w:color w:val="auto"/>
              </w:rPr>
            </w:pPr>
          </w:p>
        </w:tc>
        <w:tc>
          <w:tcPr>
            <w:tcW w:w="180" w:type="dxa"/>
            <w:vAlign w:val="bottom"/>
            <w:shd w:val="clear" w:color="auto" w:fill="112B4A"/>
          </w:tcPr>
          <w:p>
            <w:pPr>
              <w:spacing w:after="0"/>
              <w:rPr>
                <w:sz w:val="18"/>
                <w:szCs w:val="18"/>
                <w:color w:val="auto"/>
              </w:rPr>
            </w:pPr>
          </w:p>
        </w:tc>
        <w:tc>
          <w:tcPr>
            <w:tcW w:w="11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Summary</w:t>
            </w:r>
          </w:p>
        </w:tc>
        <w:tc>
          <w:tcPr>
            <w:tcW w:w="140" w:type="dxa"/>
            <w:vAlign w:val="bottom"/>
            <w:shd w:val="clear" w:color="auto" w:fill="112B4A"/>
          </w:tcPr>
          <w:p>
            <w:pPr>
              <w:spacing w:after="0"/>
              <w:rPr>
                <w:sz w:val="18"/>
                <w:szCs w:val="18"/>
                <w:color w:val="auto"/>
              </w:rPr>
            </w:pPr>
          </w:p>
        </w:tc>
        <w:tc>
          <w:tcPr>
            <w:tcW w:w="11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shd w:val="clear" w:color="auto" w:fill="112B4A"/>
          </w:tcPr>
          <w:p>
            <w:pPr>
              <w:spacing w:after="0"/>
              <w:rPr>
                <w:sz w:val="18"/>
                <w:szCs w:val="18"/>
                <w:color w:val="auto"/>
              </w:rPr>
            </w:pPr>
          </w:p>
        </w:tc>
        <w:tc>
          <w:tcPr>
            <w:tcW w:w="13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Summary</w:t>
            </w:r>
          </w:p>
        </w:tc>
        <w:tc>
          <w:tcPr>
            <w:tcW w:w="160" w:type="dxa"/>
            <w:vAlign w:val="bottom"/>
            <w:shd w:val="clear" w:color="auto" w:fill="112B4A"/>
          </w:tcPr>
          <w:p>
            <w:pPr>
              <w:spacing w:after="0"/>
              <w:rPr>
                <w:sz w:val="18"/>
                <w:szCs w:val="18"/>
                <w:color w:val="auto"/>
              </w:rPr>
            </w:pPr>
          </w:p>
        </w:tc>
        <w:tc>
          <w:tcPr>
            <w:tcW w:w="11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w:t>
            </w:r>
          </w:p>
        </w:tc>
        <w:tc>
          <w:tcPr>
            <w:tcW w:w="380" w:type="dxa"/>
            <w:vAlign w:val="bottom"/>
            <w:shd w:val="clear" w:color="auto" w:fill="112B4A"/>
          </w:tcPr>
          <w:p>
            <w:pPr>
              <w:spacing w:after="0"/>
              <w:rPr>
                <w:sz w:val="18"/>
                <w:szCs w:val="18"/>
                <w:color w:val="auto"/>
              </w:rPr>
            </w:pPr>
          </w:p>
        </w:tc>
        <w:tc>
          <w:tcPr>
            <w:tcW w:w="840" w:type="dxa"/>
            <w:vAlign w:val="bottom"/>
            <w:shd w:val="clear" w:color="auto" w:fill="112B4A"/>
          </w:tcPr>
          <w:p>
            <w:pPr>
              <w:spacing w:after="0"/>
              <w:rPr>
                <w:sz w:val="18"/>
                <w:szCs w:val="18"/>
                <w:color w:val="auto"/>
              </w:rPr>
            </w:pPr>
          </w:p>
        </w:tc>
        <w:tc>
          <w:tcPr>
            <w:tcW w:w="400" w:type="dxa"/>
            <w:vAlign w:val="bottom"/>
            <w:shd w:val="clear" w:color="auto" w:fill="112B4A"/>
          </w:tcPr>
          <w:p>
            <w:pPr>
              <w:spacing w:after="0"/>
              <w:rPr>
                <w:sz w:val="18"/>
                <w:szCs w:val="18"/>
                <w:color w:val="auto"/>
              </w:rPr>
            </w:pPr>
          </w:p>
        </w:tc>
        <w:tc>
          <w:tcPr>
            <w:tcW w:w="840" w:type="dxa"/>
            <w:vAlign w:val="bottom"/>
            <w:shd w:val="clear" w:color="auto" w:fill="112B4A"/>
          </w:tcPr>
          <w:p>
            <w:pPr>
              <w:spacing w:after="0"/>
              <w:rPr>
                <w:sz w:val="18"/>
                <w:szCs w:val="18"/>
                <w:color w:val="auto"/>
              </w:rPr>
            </w:pPr>
          </w:p>
        </w:tc>
        <w:tc>
          <w:tcPr>
            <w:tcW w:w="260" w:type="dxa"/>
            <w:vAlign w:val="bottom"/>
            <w:shd w:val="clear" w:color="auto" w:fill="112B4A"/>
          </w:tcPr>
          <w:p>
            <w:pPr>
              <w:spacing w:after="0"/>
              <w:rPr>
                <w:sz w:val="18"/>
                <w:szCs w:val="18"/>
                <w:color w:val="auto"/>
              </w:rPr>
            </w:pPr>
          </w:p>
        </w:tc>
        <w:tc>
          <w:tcPr>
            <w:tcW w:w="940" w:type="dxa"/>
            <w:vAlign w:val="bottom"/>
            <w:shd w:val="clear" w:color="auto" w:fill="112B4A"/>
          </w:tcPr>
          <w:p>
            <w:pPr>
              <w:spacing w:after="0"/>
              <w:rPr>
                <w:sz w:val="18"/>
                <w:szCs w:val="18"/>
                <w:color w:val="auto"/>
              </w:rPr>
            </w:pPr>
          </w:p>
        </w:tc>
        <w:tc>
          <w:tcPr>
            <w:tcW w:w="140" w:type="dxa"/>
            <w:vAlign w:val="bottom"/>
            <w:shd w:val="clear" w:color="auto" w:fill="112B4A"/>
          </w:tcPr>
          <w:p>
            <w:pPr>
              <w:spacing w:after="0"/>
              <w:rPr>
                <w:sz w:val="18"/>
                <w:szCs w:val="18"/>
                <w:color w:val="auto"/>
              </w:rPr>
            </w:pPr>
          </w:p>
        </w:tc>
        <w:tc>
          <w:tcPr>
            <w:tcW w:w="1260" w:type="dxa"/>
            <w:vAlign w:val="bottom"/>
            <w:shd w:val="clear" w:color="auto" w:fill="112B4A"/>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112B4A"/>
          </w:tcPr>
          <w:p>
            <w:pPr>
              <w:spacing w:after="0"/>
              <w:rPr>
                <w:sz w:val="12"/>
                <w:szCs w:val="12"/>
                <w:color w:val="auto"/>
              </w:rPr>
            </w:pPr>
          </w:p>
        </w:tc>
        <w:tc>
          <w:tcPr>
            <w:tcW w:w="180" w:type="dxa"/>
            <w:vAlign w:val="bottom"/>
            <w:shd w:val="clear" w:color="auto" w:fill="112B4A"/>
          </w:tcPr>
          <w:p>
            <w:pPr>
              <w:spacing w:after="0"/>
              <w:rPr>
                <w:sz w:val="12"/>
                <w:szCs w:val="12"/>
                <w:color w:val="auto"/>
              </w:rPr>
            </w:pPr>
          </w:p>
        </w:tc>
        <w:tc>
          <w:tcPr>
            <w:tcW w:w="1100" w:type="dxa"/>
            <w:vAlign w:val="bottom"/>
            <w:shd w:val="clear" w:color="auto" w:fill="112B4A"/>
          </w:tcPr>
          <w:p>
            <w:pPr>
              <w:jc w:val="right"/>
              <w:spacing w:after="0" w:line="145" w:lineRule="exact"/>
              <w:rPr>
                <w:sz w:val="20"/>
                <w:szCs w:val="20"/>
                <w:color w:val="auto"/>
              </w:rPr>
            </w:pPr>
            <w:r>
              <w:rPr>
                <w:rFonts w:ascii="Arial" w:cs="Arial" w:eastAsia="Arial" w:hAnsi="Arial"/>
                <w:sz w:val="14"/>
                <w:szCs w:val="14"/>
                <w:b w:val="1"/>
                <w:bCs w:val="1"/>
                <w:color w:val="FFFFFF"/>
              </w:rPr>
              <w:t>Compensation</w:t>
            </w:r>
          </w:p>
        </w:tc>
        <w:tc>
          <w:tcPr>
            <w:tcW w:w="140" w:type="dxa"/>
            <w:vAlign w:val="bottom"/>
            <w:shd w:val="clear" w:color="auto" w:fill="112B4A"/>
          </w:tcPr>
          <w:p>
            <w:pPr>
              <w:spacing w:after="0"/>
              <w:rPr>
                <w:sz w:val="12"/>
                <w:szCs w:val="12"/>
                <w:color w:val="auto"/>
              </w:rPr>
            </w:pPr>
          </w:p>
        </w:tc>
        <w:tc>
          <w:tcPr>
            <w:tcW w:w="2620" w:type="dxa"/>
            <w:vAlign w:val="bottom"/>
            <w:gridSpan w:val="3"/>
            <w:shd w:val="clear" w:color="auto" w:fill="112B4A"/>
          </w:tcPr>
          <w:p>
            <w:pPr>
              <w:jc w:val="right"/>
              <w:spacing w:after="0" w:line="145" w:lineRule="exact"/>
              <w:rPr>
                <w:sz w:val="20"/>
                <w:szCs w:val="20"/>
                <w:color w:val="auto"/>
              </w:rPr>
            </w:pPr>
            <w:r>
              <w:rPr>
                <w:rFonts w:ascii="Arial" w:cs="Arial" w:eastAsia="Arial" w:hAnsi="Arial"/>
                <w:sz w:val="14"/>
                <w:szCs w:val="14"/>
                <w:b w:val="1"/>
                <w:bCs w:val="1"/>
                <w:color w:val="FFFFFF"/>
              </w:rPr>
              <w:t>Actually Paid to Compensation Table</w:t>
            </w:r>
          </w:p>
        </w:tc>
        <w:tc>
          <w:tcPr>
            <w:tcW w:w="160" w:type="dxa"/>
            <w:vAlign w:val="bottom"/>
            <w:shd w:val="clear" w:color="auto" w:fill="112B4A"/>
          </w:tcPr>
          <w:p>
            <w:pPr>
              <w:spacing w:after="0"/>
              <w:rPr>
                <w:sz w:val="12"/>
                <w:szCs w:val="12"/>
                <w:color w:val="auto"/>
              </w:rPr>
            </w:pPr>
          </w:p>
        </w:tc>
        <w:tc>
          <w:tcPr>
            <w:tcW w:w="1140" w:type="dxa"/>
            <w:vAlign w:val="bottom"/>
            <w:shd w:val="clear" w:color="auto" w:fill="112B4A"/>
          </w:tcPr>
          <w:p>
            <w:pPr>
              <w:jc w:val="right"/>
              <w:spacing w:after="0" w:line="145" w:lineRule="exact"/>
              <w:rPr>
                <w:sz w:val="20"/>
                <w:szCs w:val="20"/>
                <w:color w:val="auto"/>
              </w:rPr>
            </w:pPr>
            <w:r>
              <w:rPr>
                <w:rFonts w:ascii="Arial" w:cs="Arial" w:eastAsia="Arial" w:hAnsi="Arial"/>
                <w:sz w:val="14"/>
                <w:szCs w:val="14"/>
                <w:b w:val="1"/>
                <w:bCs w:val="1"/>
                <w:color w:val="FFFFFF"/>
              </w:rPr>
              <w:t>Compensation</w:t>
            </w:r>
          </w:p>
        </w:tc>
        <w:tc>
          <w:tcPr>
            <w:tcW w:w="380" w:type="dxa"/>
            <w:vAlign w:val="bottom"/>
            <w:shd w:val="clear" w:color="auto" w:fill="112B4A"/>
          </w:tcPr>
          <w:p>
            <w:pPr>
              <w:spacing w:after="0"/>
              <w:rPr>
                <w:sz w:val="12"/>
                <w:szCs w:val="12"/>
                <w:color w:val="auto"/>
              </w:rPr>
            </w:pPr>
          </w:p>
        </w:tc>
        <w:tc>
          <w:tcPr>
            <w:tcW w:w="840" w:type="dxa"/>
            <w:vAlign w:val="bottom"/>
            <w:shd w:val="clear" w:color="auto" w:fill="112B4A"/>
          </w:tcPr>
          <w:p>
            <w:pPr>
              <w:spacing w:after="0"/>
              <w:rPr>
                <w:sz w:val="12"/>
                <w:szCs w:val="12"/>
                <w:color w:val="auto"/>
              </w:rPr>
            </w:pPr>
          </w:p>
        </w:tc>
        <w:tc>
          <w:tcPr>
            <w:tcW w:w="400" w:type="dxa"/>
            <w:vAlign w:val="bottom"/>
            <w:shd w:val="clear" w:color="auto" w:fill="112B4A"/>
          </w:tcPr>
          <w:p>
            <w:pPr>
              <w:spacing w:after="0"/>
              <w:rPr>
                <w:sz w:val="12"/>
                <w:szCs w:val="12"/>
                <w:color w:val="auto"/>
              </w:rPr>
            </w:pPr>
          </w:p>
        </w:tc>
        <w:tc>
          <w:tcPr>
            <w:tcW w:w="840" w:type="dxa"/>
            <w:vAlign w:val="bottom"/>
            <w:shd w:val="clear" w:color="auto" w:fill="112B4A"/>
          </w:tcPr>
          <w:p>
            <w:pPr>
              <w:spacing w:after="0"/>
              <w:rPr>
                <w:sz w:val="12"/>
                <w:szCs w:val="12"/>
                <w:color w:val="auto"/>
              </w:rPr>
            </w:pPr>
          </w:p>
        </w:tc>
        <w:tc>
          <w:tcPr>
            <w:tcW w:w="260" w:type="dxa"/>
            <w:vAlign w:val="bottom"/>
            <w:shd w:val="clear" w:color="auto" w:fill="112B4A"/>
          </w:tcPr>
          <w:p>
            <w:pPr>
              <w:spacing w:after="0"/>
              <w:rPr>
                <w:sz w:val="12"/>
                <w:szCs w:val="12"/>
                <w:color w:val="auto"/>
              </w:rPr>
            </w:pPr>
          </w:p>
        </w:tc>
        <w:tc>
          <w:tcPr>
            <w:tcW w:w="940" w:type="dxa"/>
            <w:vAlign w:val="bottom"/>
            <w:shd w:val="clear" w:color="auto" w:fill="112B4A"/>
          </w:tcPr>
          <w:p>
            <w:pPr>
              <w:spacing w:after="0"/>
              <w:rPr>
                <w:sz w:val="12"/>
                <w:szCs w:val="12"/>
                <w:color w:val="auto"/>
              </w:rPr>
            </w:pPr>
          </w:p>
        </w:tc>
        <w:tc>
          <w:tcPr>
            <w:tcW w:w="140" w:type="dxa"/>
            <w:vAlign w:val="bottom"/>
            <w:shd w:val="clear" w:color="auto" w:fill="112B4A"/>
          </w:tcPr>
          <w:p>
            <w:pPr>
              <w:spacing w:after="0"/>
              <w:rPr>
                <w:sz w:val="12"/>
                <w:szCs w:val="12"/>
                <w:color w:val="auto"/>
              </w:rPr>
            </w:pPr>
          </w:p>
        </w:tc>
        <w:tc>
          <w:tcPr>
            <w:tcW w:w="1260" w:type="dxa"/>
            <w:vAlign w:val="bottom"/>
            <w:shd w:val="clear" w:color="auto" w:fill="112B4A"/>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40" w:type="dxa"/>
            <w:vAlign w:val="bottom"/>
            <w:shd w:val="clear" w:color="auto" w:fill="112B4A"/>
          </w:tcPr>
          <w:p>
            <w:pPr>
              <w:spacing w:after="0"/>
              <w:rPr>
                <w:sz w:val="11"/>
                <w:szCs w:val="11"/>
                <w:color w:val="auto"/>
              </w:rPr>
            </w:pPr>
          </w:p>
        </w:tc>
        <w:tc>
          <w:tcPr>
            <w:tcW w:w="180" w:type="dxa"/>
            <w:vAlign w:val="bottom"/>
            <w:shd w:val="clear" w:color="auto" w:fill="112B4A"/>
          </w:tcPr>
          <w:p>
            <w:pPr>
              <w:spacing w:after="0"/>
              <w:rPr>
                <w:sz w:val="11"/>
                <w:szCs w:val="11"/>
                <w:color w:val="auto"/>
              </w:rPr>
            </w:pPr>
          </w:p>
        </w:tc>
        <w:tc>
          <w:tcPr>
            <w:tcW w:w="1100" w:type="dxa"/>
            <w:vAlign w:val="bottom"/>
            <w:shd w:val="clear" w:color="auto" w:fill="112B4A"/>
          </w:tcPr>
          <w:p>
            <w:pPr>
              <w:jc w:val="right"/>
              <w:spacing w:after="0" w:line="137" w:lineRule="exact"/>
              <w:rPr>
                <w:sz w:val="20"/>
                <w:szCs w:val="20"/>
                <w:color w:val="auto"/>
              </w:rPr>
            </w:pPr>
            <w:r>
              <w:rPr>
                <w:rFonts w:ascii="Arial" w:cs="Arial" w:eastAsia="Arial" w:hAnsi="Arial"/>
                <w:sz w:val="14"/>
                <w:szCs w:val="14"/>
                <w:b w:val="1"/>
                <w:bCs w:val="1"/>
                <w:color w:val="FFFFFF"/>
              </w:rPr>
              <w:t>Table Total for</w:t>
            </w:r>
          </w:p>
        </w:tc>
        <w:tc>
          <w:tcPr>
            <w:tcW w:w="140" w:type="dxa"/>
            <w:vAlign w:val="bottom"/>
            <w:shd w:val="clear" w:color="auto" w:fill="112B4A"/>
          </w:tcPr>
          <w:p>
            <w:pPr>
              <w:spacing w:after="0"/>
              <w:rPr>
                <w:sz w:val="11"/>
                <w:szCs w:val="11"/>
                <w:color w:val="auto"/>
              </w:rPr>
            </w:pPr>
          </w:p>
        </w:tc>
        <w:tc>
          <w:tcPr>
            <w:tcW w:w="2620" w:type="dxa"/>
            <w:vAlign w:val="bottom"/>
            <w:gridSpan w:val="3"/>
            <w:shd w:val="clear" w:color="auto" w:fill="112B4A"/>
          </w:tcPr>
          <w:p>
            <w:pPr>
              <w:jc w:val="right"/>
              <w:spacing w:after="0" w:line="137" w:lineRule="exact"/>
              <w:rPr>
                <w:sz w:val="20"/>
                <w:szCs w:val="20"/>
                <w:color w:val="auto"/>
              </w:rPr>
            </w:pPr>
            <w:r>
              <w:rPr>
                <w:rFonts w:ascii="Arial" w:cs="Arial" w:eastAsia="Arial" w:hAnsi="Arial"/>
                <w:sz w:val="14"/>
                <w:szCs w:val="14"/>
                <w:b w:val="1"/>
                <w:bCs w:val="1"/>
                <w:color w:val="FFFFFF"/>
              </w:rPr>
              <w:t>Terrence A.   Total for Non-PEO</w:t>
            </w:r>
          </w:p>
        </w:tc>
        <w:tc>
          <w:tcPr>
            <w:tcW w:w="160" w:type="dxa"/>
            <w:vAlign w:val="bottom"/>
            <w:shd w:val="clear" w:color="auto" w:fill="112B4A"/>
          </w:tcPr>
          <w:p>
            <w:pPr>
              <w:spacing w:after="0"/>
              <w:rPr>
                <w:sz w:val="11"/>
                <w:szCs w:val="11"/>
                <w:color w:val="auto"/>
              </w:rPr>
            </w:pPr>
          </w:p>
        </w:tc>
        <w:tc>
          <w:tcPr>
            <w:tcW w:w="1140" w:type="dxa"/>
            <w:vAlign w:val="bottom"/>
            <w:shd w:val="clear" w:color="auto" w:fill="112B4A"/>
          </w:tcPr>
          <w:p>
            <w:pPr>
              <w:jc w:val="right"/>
              <w:spacing w:after="0" w:line="137" w:lineRule="exact"/>
              <w:rPr>
                <w:sz w:val="20"/>
                <w:szCs w:val="20"/>
                <w:color w:val="auto"/>
              </w:rPr>
            </w:pPr>
            <w:r>
              <w:rPr>
                <w:rFonts w:ascii="Arial" w:cs="Arial" w:eastAsia="Arial" w:hAnsi="Arial"/>
                <w:sz w:val="14"/>
                <w:szCs w:val="14"/>
                <w:b w:val="1"/>
                <w:bCs w:val="1"/>
                <w:color w:val="FFFFFF"/>
              </w:rPr>
              <w:t>Actually Paid to</w:t>
            </w:r>
          </w:p>
        </w:tc>
        <w:tc>
          <w:tcPr>
            <w:tcW w:w="380" w:type="dxa"/>
            <w:vAlign w:val="bottom"/>
            <w:shd w:val="clear" w:color="auto" w:fill="112B4A"/>
          </w:tcPr>
          <w:p>
            <w:pPr>
              <w:spacing w:after="0"/>
              <w:rPr>
                <w:sz w:val="11"/>
                <w:szCs w:val="11"/>
                <w:color w:val="auto"/>
              </w:rPr>
            </w:pPr>
          </w:p>
        </w:tc>
        <w:tc>
          <w:tcPr>
            <w:tcW w:w="840" w:type="dxa"/>
            <w:vAlign w:val="bottom"/>
            <w:shd w:val="clear" w:color="auto" w:fill="112B4A"/>
          </w:tcPr>
          <w:p>
            <w:pPr>
              <w:spacing w:after="0"/>
              <w:rPr>
                <w:sz w:val="11"/>
                <w:szCs w:val="11"/>
                <w:color w:val="auto"/>
              </w:rPr>
            </w:pPr>
          </w:p>
        </w:tc>
        <w:tc>
          <w:tcPr>
            <w:tcW w:w="400" w:type="dxa"/>
            <w:vAlign w:val="bottom"/>
            <w:shd w:val="clear" w:color="auto" w:fill="112B4A"/>
          </w:tcPr>
          <w:p>
            <w:pPr>
              <w:spacing w:after="0"/>
              <w:rPr>
                <w:sz w:val="11"/>
                <w:szCs w:val="11"/>
                <w:color w:val="auto"/>
              </w:rPr>
            </w:pPr>
          </w:p>
        </w:tc>
        <w:tc>
          <w:tcPr>
            <w:tcW w:w="840" w:type="dxa"/>
            <w:vAlign w:val="bottom"/>
            <w:shd w:val="clear" w:color="auto" w:fill="112B4A"/>
          </w:tcPr>
          <w:p>
            <w:pPr>
              <w:spacing w:after="0"/>
              <w:rPr>
                <w:sz w:val="11"/>
                <w:szCs w:val="11"/>
                <w:color w:val="auto"/>
              </w:rPr>
            </w:pPr>
          </w:p>
        </w:tc>
        <w:tc>
          <w:tcPr>
            <w:tcW w:w="260" w:type="dxa"/>
            <w:vAlign w:val="bottom"/>
            <w:shd w:val="clear" w:color="auto" w:fill="112B4A"/>
          </w:tcPr>
          <w:p>
            <w:pPr>
              <w:spacing w:after="0"/>
              <w:rPr>
                <w:sz w:val="11"/>
                <w:szCs w:val="11"/>
                <w:color w:val="auto"/>
              </w:rPr>
            </w:pPr>
          </w:p>
        </w:tc>
        <w:tc>
          <w:tcPr>
            <w:tcW w:w="940" w:type="dxa"/>
            <w:vAlign w:val="bottom"/>
            <w:shd w:val="clear" w:color="auto" w:fill="112B4A"/>
          </w:tcPr>
          <w:p>
            <w:pPr>
              <w:spacing w:after="0"/>
              <w:rPr>
                <w:sz w:val="11"/>
                <w:szCs w:val="11"/>
                <w:color w:val="auto"/>
              </w:rPr>
            </w:pPr>
          </w:p>
        </w:tc>
        <w:tc>
          <w:tcPr>
            <w:tcW w:w="140" w:type="dxa"/>
            <w:vAlign w:val="bottom"/>
            <w:shd w:val="clear" w:color="auto" w:fill="112B4A"/>
          </w:tcPr>
          <w:p>
            <w:pPr>
              <w:spacing w:after="0"/>
              <w:rPr>
                <w:sz w:val="11"/>
                <w:szCs w:val="11"/>
                <w:color w:val="auto"/>
              </w:rPr>
            </w:pPr>
          </w:p>
        </w:tc>
        <w:tc>
          <w:tcPr>
            <w:tcW w:w="1260" w:type="dxa"/>
            <w:vAlign w:val="bottom"/>
            <w:shd w:val="clear" w:color="auto" w:fill="112B4A"/>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40" w:type="dxa"/>
            <w:vAlign w:val="bottom"/>
            <w:vMerge w:val="restart"/>
            <w:shd w:val="clear" w:color="auto" w:fill="112B4A"/>
          </w:tcPr>
          <w:p>
            <w:pPr>
              <w:jc w:val="right"/>
              <w:ind w:right="173"/>
              <w:spacing w:after="0"/>
              <w:rPr>
                <w:sz w:val="20"/>
                <w:szCs w:val="20"/>
                <w:color w:val="auto"/>
              </w:rPr>
            </w:pPr>
            <w:r>
              <w:rPr>
                <w:rFonts w:ascii="Arial" w:cs="Arial" w:eastAsia="Arial" w:hAnsi="Arial"/>
                <w:sz w:val="14"/>
                <w:szCs w:val="14"/>
                <w:b w:val="1"/>
                <w:bCs w:val="1"/>
                <w:color w:val="FFFFFF"/>
              </w:rPr>
              <w:t>Year</w:t>
            </w:r>
          </w:p>
        </w:tc>
        <w:tc>
          <w:tcPr>
            <w:tcW w:w="1280" w:type="dxa"/>
            <w:vAlign w:val="bottom"/>
            <w:gridSpan w:val="2"/>
            <w:shd w:val="clear" w:color="auto" w:fill="112B4A"/>
          </w:tcPr>
          <w:p>
            <w:pPr>
              <w:jc w:val="right"/>
              <w:spacing w:after="0" w:line="160" w:lineRule="exact"/>
              <w:rPr>
                <w:sz w:val="20"/>
                <w:szCs w:val="20"/>
                <w:color w:val="auto"/>
              </w:rPr>
            </w:pPr>
            <w:r>
              <w:rPr>
                <w:rFonts w:ascii="Arial" w:cs="Arial" w:eastAsia="Arial" w:hAnsi="Arial"/>
                <w:sz w:val="14"/>
                <w:szCs w:val="14"/>
                <w:b w:val="1"/>
                <w:bCs w:val="1"/>
                <w:color w:val="FFFFFF"/>
              </w:rPr>
              <w:t>Terrence A. Duffy</w:t>
            </w:r>
            <w:r>
              <w:rPr>
                <w:rFonts w:ascii="Arial" w:cs="Arial" w:eastAsia="Arial" w:hAnsi="Arial"/>
                <w:sz w:val="18"/>
                <w:szCs w:val="18"/>
                <w:b w:val="1"/>
                <w:bCs w:val="1"/>
                <w:color w:val="FFFFFF"/>
                <w:vertAlign w:val="superscript"/>
              </w:rPr>
              <w:t>1</w:t>
            </w:r>
          </w:p>
        </w:tc>
        <w:tc>
          <w:tcPr>
            <w:tcW w:w="140" w:type="dxa"/>
            <w:vAlign w:val="bottom"/>
            <w:shd w:val="clear" w:color="auto" w:fill="112B4A"/>
          </w:tcPr>
          <w:p>
            <w:pPr>
              <w:spacing w:after="0"/>
              <w:rPr>
                <w:sz w:val="13"/>
                <w:szCs w:val="13"/>
                <w:color w:val="auto"/>
              </w:rPr>
            </w:pPr>
          </w:p>
        </w:tc>
        <w:tc>
          <w:tcPr>
            <w:tcW w:w="1160" w:type="dxa"/>
            <w:vAlign w:val="bottom"/>
            <w:shd w:val="clear" w:color="auto" w:fill="112B4A"/>
          </w:tcPr>
          <w:p>
            <w:pPr>
              <w:jc w:val="right"/>
              <w:spacing w:after="0" w:line="160" w:lineRule="exact"/>
              <w:rPr>
                <w:sz w:val="20"/>
                <w:szCs w:val="20"/>
                <w:color w:val="auto"/>
              </w:rPr>
            </w:pPr>
            <w:r>
              <w:rPr>
                <w:rFonts w:ascii="Arial" w:cs="Arial" w:eastAsia="Arial" w:hAnsi="Arial"/>
                <w:sz w:val="14"/>
                <w:szCs w:val="14"/>
                <w:b w:val="1"/>
                <w:bCs w:val="1"/>
                <w:color w:val="FFFFFF"/>
              </w:rPr>
              <w:t>Duffy</w:t>
            </w:r>
            <w:r>
              <w:rPr>
                <w:rFonts w:ascii="Arial" w:cs="Arial" w:eastAsia="Arial" w:hAnsi="Arial"/>
                <w:sz w:val="18"/>
                <w:szCs w:val="18"/>
                <w:b w:val="1"/>
                <w:bCs w:val="1"/>
                <w:color w:val="FFFFFF"/>
                <w:vertAlign w:val="superscript"/>
              </w:rPr>
              <w:t>1,2,3</w:t>
            </w:r>
          </w:p>
        </w:tc>
        <w:tc>
          <w:tcPr>
            <w:tcW w:w="140" w:type="dxa"/>
            <w:vAlign w:val="bottom"/>
            <w:shd w:val="clear" w:color="auto" w:fill="112B4A"/>
          </w:tcPr>
          <w:p>
            <w:pPr>
              <w:spacing w:after="0"/>
              <w:rPr>
                <w:sz w:val="13"/>
                <w:szCs w:val="13"/>
                <w:color w:val="auto"/>
              </w:rPr>
            </w:pPr>
          </w:p>
        </w:tc>
        <w:tc>
          <w:tcPr>
            <w:tcW w:w="1320" w:type="dxa"/>
            <w:vAlign w:val="bottom"/>
            <w:shd w:val="clear" w:color="auto" w:fill="112B4A"/>
          </w:tcPr>
          <w:p>
            <w:pPr>
              <w:jc w:val="right"/>
              <w:spacing w:after="0" w:line="160" w:lineRule="exact"/>
              <w:rPr>
                <w:sz w:val="20"/>
                <w:szCs w:val="20"/>
                <w:color w:val="auto"/>
              </w:rPr>
            </w:pPr>
            <w:r>
              <w:rPr>
                <w:rFonts w:ascii="Arial" w:cs="Arial" w:eastAsia="Arial" w:hAnsi="Arial"/>
                <w:sz w:val="14"/>
                <w:szCs w:val="14"/>
                <w:b w:val="1"/>
                <w:bCs w:val="1"/>
                <w:color w:val="FFFFFF"/>
              </w:rPr>
              <w:t>NEOs</w:t>
            </w:r>
            <w:r>
              <w:rPr>
                <w:rFonts w:ascii="Arial" w:cs="Arial" w:eastAsia="Arial" w:hAnsi="Arial"/>
                <w:sz w:val="18"/>
                <w:szCs w:val="18"/>
                <w:b w:val="1"/>
                <w:bCs w:val="1"/>
                <w:color w:val="FFFFFF"/>
                <w:vertAlign w:val="superscript"/>
              </w:rPr>
              <w:t>1</w:t>
            </w:r>
          </w:p>
        </w:tc>
        <w:tc>
          <w:tcPr>
            <w:tcW w:w="160" w:type="dxa"/>
            <w:vAlign w:val="bottom"/>
            <w:shd w:val="clear" w:color="auto" w:fill="112B4A"/>
          </w:tcPr>
          <w:p>
            <w:pPr>
              <w:spacing w:after="0"/>
              <w:rPr>
                <w:sz w:val="13"/>
                <w:szCs w:val="13"/>
                <w:color w:val="auto"/>
              </w:rPr>
            </w:pPr>
          </w:p>
        </w:tc>
        <w:tc>
          <w:tcPr>
            <w:tcW w:w="11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Non-PEO</w:t>
            </w:r>
          </w:p>
        </w:tc>
        <w:tc>
          <w:tcPr>
            <w:tcW w:w="380" w:type="dxa"/>
            <w:vAlign w:val="bottom"/>
            <w:shd w:val="clear" w:color="auto" w:fill="112B4A"/>
          </w:tcPr>
          <w:p>
            <w:pPr>
              <w:spacing w:after="0"/>
              <w:rPr>
                <w:sz w:val="13"/>
                <w:szCs w:val="13"/>
                <w:color w:val="auto"/>
              </w:rPr>
            </w:pPr>
          </w:p>
        </w:tc>
        <w:tc>
          <w:tcPr>
            <w:tcW w:w="8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TSR</w:t>
            </w:r>
          </w:p>
        </w:tc>
        <w:tc>
          <w:tcPr>
            <w:tcW w:w="124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Peer Group TSR</w:t>
            </w:r>
          </w:p>
        </w:tc>
        <w:tc>
          <w:tcPr>
            <w:tcW w:w="260" w:type="dxa"/>
            <w:vAlign w:val="bottom"/>
            <w:shd w:val="clear" w:color="auto" w:fill="112B4A"/>
          </w:tcPr>
          <w:p>
            <w:pPr>
              <w:spacing w:after="0"/>
              <w:rPr>
                <w:sz w:val="13"/>
                <w:szCs w:val="13"/>
                <w:color w:val="auto"/>
              </w:rPr>
            </w:pPr>
          </w:p>
        </w:tc>
        <w:tc>
          <w:tcPr>
            <w:tcW w:w="9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Net Income</w:t>
            </w:r>
          </w:p>
        </w:tc>
        <w:tc>
          <w:tcPr>
            <w:tcW w:w="140" w:type="dxa"/>
            <w:vAlign w:val="bottom"/>
            <w:shd w:val="clear" w:color="auto" w:fill="112B4A"/>
          </w:tcPr>
          <w:p>
            <w:pPr>
              <w:spacing w:after="0"/>
              <w:rPr>
                <w:sz w:val="13"/>
                <w:szCs w:val="13"/>
                <w:color w:val="auto"/>
              </w:rPr>
            </w:pPr>
          </w:p>
        </w:tc>
        <w:tc>
          <w:tcPr>
            <w:tcW w:w="1260" w:type="dxa"/>
            <w:vAlign w:val="bottom"/>
            <w:shd w:val="clear" w:color="auto" w:fill="112B4A"/>
          </w:tcPr>
          <w:p>
            <w:pPr>
              <w:jc w:val="right"/>
              <w:ind w:right="115"/>
              <w:spacing w:after="0" w:line="160" w:lineRule="exact"/>
              <w:rPr>
                <w:sz w:val="20"/>
                <w:szCs w:val="20"/>
                <w:color w:val="auto"/>
              </w:rPr>
            </w:pPr>
            <w:r>
              <w:rPr>
                <w:rFonts w:ascii="Arial" w:cs="Arial" w:eastAsia="Arial" w:hAnsi="Arial"/>
                <w:sz w:val="14"/>
                <w:szCs w:val="14"/>
                <w:b w:val="1"/>
                <w:bCs w:val="1"/>
                <w:color w:val="FFFFFF"/>
                <w:w w:val="99"/>
              </w:rPr>
              <w:t>Cash Earnings</w:t>
            </w:r>
            <w:r>
              <w:rPr>
                <w:rFonts w:ascii="Arial" w:cs="Arial" w:eastAsia="Arial" w:hAnsi="Arial"/>
                <w:sz w:val="18"/>
                <w:szCs w:val="18"/>
                <w:b w:val="1"/>
                <w:bCs w:val="1"/>
                <w:color w:val="FFFFFF"/>
                <w:w w:val="99"/>
                <w:vertAlign w:val="superscript"/>
              </w:rPr>
              <w:t>5</w:t>
            </w:r>
          </w:p>
        </w:tc>
        <w:tc>
          <w:tcPr>
            <w:tcW w:w="0" w:type="dxa"/>
            <w:vAlign w:val="bottom"/>
          </w:tcPr>
          <w:p>
            <w:pPr>
              <w:spacing w:after="0"/>
              <w:rPr>
                <w:sz w:val="1"/>
                <w:szCs w:val="1"/>
                <w:color w:val="auto"/>
              </w:rPr>
            </w:pPr>
          </w:p>
        </w:tc>
      </w:tr>
      <w:tr>
        <w:trPr>
          <w:trHeight w:val="189"/>
        </w:trPr>
        <w:tc>
          <w:tcPr>
            <w:tcW w:w="840" w:type="dxa"/>
            <w:vAlign w:val="bottom"/>
            <w:vMerge w:val="continue"/>
            <w:shd w:val="clear" w:color="auto" w:fill="112B4A"/>
          </w:tcPr>
          <w:p>
            <w:pPr>
              <w:spacing w:after="0"/>
              <w:rPr>
                <w:sz w:val="16"/>
                <w:szCs w:val="16"/>
                <w:color w:val="auto"/>
              </w:rPr>
            </w:pPr>
          </w:p>
        </w:tc>
        <w:tc>
          <w:tcPr>
            <w:tcW w:w="180" w:type="dxa"/>
            <w:vAlign w:val="bottom"/>
            <w:shd w:val="clear" w:color="auto" w:fill="112B4A"/>
          </w:tcPr>
          <w:p>
            <w:pPr>
              <w:spacing w:after="0"/>
              <w:rPr>
                <w:sz w:val="16"/>
                <w:szCs w:val="16"/>
                <w:color w:val="auto"/>
              </w:rPr>
            </w:pPr>
          </w:p>
        </w:tc>
        <w:tc>
          <w:tcPr>
            <w:tcW w:w="11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112B4A"/>
          </w:tcPr>
          <w:p>
            <w:pPr>
              <w:spacing w:after="0"/>
              <w:rPr>
                <w:sz w:val="16"/>
                <w:szCs w:val="16"/>
                <w:color w:val="auto"/>
              </w:rPr>
            </w:pPr>
          </w:p>
        </w:tc>
        <w:tc>
          <w:tcPr>
            <w:tcW w:w="11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112B4A"/>
          </w:tcPr>
          <w:p>
            <w:pPr>
              <w:spacing w:after="0"/>
              <w:rPr>
                <w:sz w:val="16"/>
                <w:szCs w:val="16"/>
                <w:color w:val="auto"/>
              </w:rPr>
            </w:pPr>
          </w:p>
        </w:tc>
        <w:tc>
          <w:tcPr>
            <w:tcW w:w="13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112B4A"/>
          </w:tcPr>
          <w:p>
            <w:pPr>
              <w:spacing w:after="0"/>
              <w:rPr>
                <w:sz w:val="16"/>
                <w:szCs w:val="16"/>
                <w:color w:val="auto"/>
              </w:rPr>
            </w:pPr>
          </w:p>
        </w:tc>
        <w:tc>
          <w:tcPr>
            <w:tcW w:w="1140" w:type="dxa"/>
            <w:vAlign w:val="bottom"/>
            <w:shd w:val="clear" w:color="auto" w:fill="112B4A"/>
          </w:tcPr>
          <w:p>
            <w:pPr>
              <w:jc w:val="center"/>
              <w:ind w:left="199"/>
              <w:spacing w:after="0" w:line="189" w:lineRule="exact"/>
              <w:rPr>
                <w:sz w:val="20"/>
                <w:szCs w:val="20"/>
                <w:color w:val="auto"/>
              </w:rPr>
            </w:pPr>
            <w:r>
              <w:rPr>
                <w:rFonts w:ascii="Arial" w:cs="Arial" w:eastAsia="Arial" w:hAnsi="Arial"/>
                <w:sz w:val="14"/>
                <w:szCs w:val="14"/>
                <w:b w:val="1"/>
                <w:bCs w:val="1"/>
                <w:color w:val="FFFFFF"/>
                <w:w w:val="95"/>
              </w:rPr>
              <w:t>NEOs</w:t>
            </w:r>
            <w:r>
              <w:rPr>
                <w:rFonts w:ascii="Arial" w:cs="Arial" w:eastAsia="Arial" w:hAnsi="Arial"/>
                <w:sz w:val="18"/>
                <w:szCs w:val="18"/>
                <w:b w:val="1"/>
                <w:bCs w:val="1"/>
                <w:color w:val="FFFFFF"/>
                <w:w w:val="95"/>
                <w:vertAlign w:val="superscript"/>
              </w:rPr>
              <w:t>1,2,3</w:t>
            </w:r>
            <w:r>
              <w:rPr>
                <w:rFonts w:ascii="Arial" w:cs="Arial" w:eastAsia="Arial" w:hAnsi="Arial"/>
                <w:sz w:val="14"/>
                <w:szCs w:val="14"/>
                <w:b w:val="1"/>
                <w:bCs w:val="1"/>
                <w:color w:val="FFFFFF"/>
                <w:w w:val="95"/>
              </w:rPr>
              <w:t xml:space="preserve"> ($)</w:t>
            </w:r>
          </w:p>
        </w:tc>
        <w:tc>
          <w:tcPr>
            <w:tcW w:w="380" w:type="dxa"/>
            <w:vAlign w:val="bottom"/>
            <w:shd w:val="clear" w:color="auto" w:fill="112B4A"/>
          </w:tcPr>
          <w:p>
            <w:pPr>
              <w:spacing w:after="0"/>
              <w:rPr>
                <w:sz w:val="16"/>
                <w:szCs w:val="16"/>
                <w:color w:val="auto"/>
              </w:rPr>
            </w:pPr>
          </w:p>
        </w:tc>
        <w:tc>
          <w:tcPr>
            <w:tcW w:w="8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shd w:val="clear" w:color="auto" w:fill="112B4A"/>
          </w:tcPr>
          <w:p>
            <w:pPr>
              <w:spacing w:after="0"/>
              <w:rPr>
                <w:sz w:val="16"/>
                <w:szCs w:val="16"/>
                <w:color w:val="auto"/>
              </w:rPr>
            </w:pPr>
          </w:p>
        </w:tc>
        <w:tc>
          <w:tcPr>
            <w:tcW w:w="8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112B4A"/>
          </w:tcPr>
          <w:p>
            <w:pPr>
              <w:spacing w:after="0"/>
              <w:rPr>
                <w:sz w:val="16"/>
                <w:szCs w:val="16"/>
                <w:color w:val="auto"/>
              </w:rPr>
            </w:pPr>
          </w:p>
        </w:tc>
        <w:tc>
          <w:tcPr>
            <w:tcW w:w="9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 Millions)</w:t>
            </w:r>
          </w:p>
        </w:tc>
        <w:tc>
          <w:tcPr>
            <w:tcW w:w="140" w:type="dxa"/>
            <w:vAlign w:val="bottom"/>
            <w:shd w:val="clear" w:color="auto" w:fill="112B4A"/>
          </w:tcPr>
          <w:p>
            <w:pPr>
              <w:spacing w:after="0"/>
              <w:rPr>
                <w:sz w:val="16"/>
                <w:szCs w:val="16"/>
                <w:color w:val="auto"/>
              </w:rPr>
            </w:pPr>
          </w:p>
        </w:tc>
        <w:tc>
          <w:tcPr>
            <w:tcW w:w="1260" w:type="dxa"/>
            <w:vAlign w:val="bottom"/>
            <w:shd w:val="clear" w:color="auto" w:fill="112B4A"/>
          </w:tcPr>
          <w:p>
            <w:pPr>
              <w:jc w:val="right"/>
              <w:ind w:right="115"/>
              <w:spacing w:after="0"/>
              <w:rPr>
                <w:sz w:val="20"/>
                <w:szCs w:val="20"/>
                <w:color w:val="auto"/>
              </w:rPr>
            </w:pPr>
            <w:r>
              <w:rPr>
                <w:rFonts w:ascii="Arial" w:cs="Arial" w:eastAsia="Arial" w:hAnsi="Arial"/>
                <w:sz w:val="14"/>
                <w:szCs w:val="14"/>
                <w:b w:val="1"/>
                <w:bCs w:val="1"/>
                <w:color w:val="FFFFFF"/>
              </w:rPr>
              <w:t>($ Millions)</w:t>
            </w:r>
          </w:p>
        </w:tc>
        <w:tc>
          <w:tcPr>
            <w:tcW w:w="0" w:type="dxa"/>
            <w:vAlign w:val="bottom"/>
          </w:tcPr>
          <w:p>
            <w:pPr>
              <w:spacing w:after="0"/>
              <w:rPr>
                <w:sz w:val="1"/>
                <w:szCs w:val="1"/>
                <w:color w:val="auto"/>
              </w:rPr>
            </w:pPr>
          </w:p>
        </w:tc>
      </w:tr>
      <w:tr>
        <w:trPr>
          <w:trHeight w:val="108"/>
        </w:trPr>
        <w:tc>
          <w:tcPr>
            <w:tcW w:w="840" w:type="dxa"/>
            <w:vAlign w:val="bottom"/>
            <w:shd w:val="clear" w:color="auto" w:fill="112B4A"/>
          </w:tcPr>
          <w:p>
            <w:pPr>
              <w:spacing w:after="0"/>
              <w:rPr>
                <w:sz w:val="9"/>
                <w:szCs w:val="9"/>
                <w:color w:val="auto"/>
              </w:rPr>
            </w:pPr>
          </w:p>
        </w:tc>
        <w:tc>
          <w:tcPr>
            <w:tcW w:w="180" w:type="dxa"/>
            <w:vAlign w:val="bottom"/>
            <w:shd w:val="clear" w:color="auto" w:fill="112B4A"/>
          </w:tcPr>
          <w:p>
            <w:pPr>
              <w:spacing w:after="0"/>
              <w:rPr>
                <w:sz w:val="9"/>
                <w:szCs w:val="9"/>
                <w:color w:val="auto"/>
              </w:rPr>
            </w:pPr>
          </w:p>
        </w:tc>
        <w:tc>
          <w:tcPr>
            <w:tcW w:w="1100" w:type="dxa"/>
            <w:vAlign w:val="bottom"/>
            <w:shd w:val="clear" w:color="auto" w:fill="112B4A"/>
          </w:tcPr>
          <w:p>
            <w:pPr>
              <w:spacing w:after="0"/>
              <w:rPr>
                <w:sz w:val="9"/>
                <w:szCs w:val="9"/>
                <w:color w:val="auto"/>
              </w:rPr>
            </w:pPr>
          </w:p>
        </w:tc>
        <w:tc>
          <w:tcPr>
            <w:tcW w:w="140" w:type="dxa"/>
            <w:vAlign w:val="bottom"/>
            <w:shd w:val="clear" w:color="auto" w:fill="112B4A"/>
          </w:tcPr>
          <w:p>
            <w:pPr>
              <w:spacing w:after="0"/>
              <w:rPr>
                <w:sz w:val="9"/>
                <w:szCs w:val="9"/>
                <w:color w:val="auto"/>
              </w:rPr>
            </w:pPr>
          </w:p>
        </w:tc>
        <w:tc>
          <w:tcPr>
            <w:tcW w:w="1160" w:type="dxa"/>
            <w:vAlign w:val="bottom"/>
            <w:shd w:val="clear" w:color="auto" w:fill="112B4A"/>
          </w:tcPr>
          <w:p>
            <w:pPr>
              <w:spacing w:after="0"/>
              <w:rPr>
                <w:sz w:val="9"/>
                <w:szCs w:val="9"/>
                <w:color w:val="auto"/>
              </w:rPr>
            </w:pPr>
          </w:p>
        </w:tc>
        <w:tc>
          <w:tcPr>
            <w:tcW w:w="140" w:type="dxa"/>
            <w:vAlign w:val="bottom"/>
            <w:shd w:val="clear" w:color="auto" w:fill="112B4A"/>
          </w:tcPr>
          <w:p>
            <w:pPr>
              <w:spacing w:after="0"/>
              <w:rPr>
                <w:sz w:val="9"/>
                <w:szCs w:val="9"/>
                <w:color w:val="auto"/>
              </w:rPr>
            </w:pPr>
          </w:p>
        </w:tc>
        <w:tc>
          <w:tcPr>
            <w:tcW w:w="1320" w:type="dxa"/>
            <w:vAlign w:val="bottom"/>
            <w:shd w:val="clear" w:color="auto" w:fill="112B4A"/>
          </w:tcPr>
          <w:p>
            <w:pPr>
              <w:spacing w:after="0"/>
              <w:rPr>
                <w:sz w:val="9"/>
                <w:szCs w:val="9"/>
                <w:color w:val="auto"/>
              </w:rPr>
            </w:pPr>
          </w:p>
        </w:tc>
        <w:tc>
          <w:tcPr>
            <w:tcW w:w="160" w:type="dxa"/>
            <w:vAlign w:val="bottom"/>
            <w:shd w:val="clear" w:color="auto" w:fill="112B4A"/>
          </w:tcPr>
          <w:p>
            <w:pPr>
              <w:spacing w:after="0"/>
              <w:rPr>
                <w:sz w:val="9"/>
                <w:szCs w:val="9"/>
                <w:color w:val="auto"/>
              </w:rPr>
            </w:pPr>
          </w:p>
        </w:tc>
        <w:tc>
          <w:tcPr>
            <w:tcW w:w="1140" w:type="dxa"/>
            <w:vAlign w:val="bottom"/>
            <w:shd w:val="clear" w:color="auto" w:fill="112B4A"/>
          </w:tcPr>
          <w:p>
            <w:pPr>
              <w:spacing w:after="0"/>
              <w:rPr>
                <w:sz w:val="9"/>
                <w:szCs w:val="9"/>
                <w:color w:val="auto"/>
              </w:rPr>
            </w:pPr>
          </w:p>
        </w:tc>
        <w:tc>
          <w:tcPr>
            <w:tcW w:w="380" w:type="dxa"/>
            <w:vAlign w:val="bottom"/>
            <w:shd w:val="clear" w:color="auto" w:fill="112B4A"/>
          </w:tcPr>
          <w:p>
            <w:pPr>
              <w:spacing w:after="0"/>
              <w:rPr>
                <w:sz w:val="9"/>
                <w:szCs w:val="9"/>
                <w:color w:val="auto"/>
              </w:rPr>
            </w:pPr>
          </w:p>
        </w:tc>
        <w:tc>
          <w:tcPr>
            <w:tcW w:w="840" w:type="dxa"/>
            <w:vAlign w:val="bottom"/>
            <w:shd w:val="clear" w:color="auto" w:fill="112B4A"/>
          </w:tcPr>
          <w:p>
            <w:pPr>
              <w:spacing w:after="0"/>
              <w:rPr>
                <w:sz w:val="9"/>
                <w:szCs w:val="9"/>
                <w:color w:val="auto"/>
              </w:rPr>
            </w:pPr>
          </w:p>
        </w:tc>
        <w:tc>
          <w:tcPr>
            <w:tcW w:w="400" w:type="dxa"/>
            <w:vAlign w:val="bottom"/>
            <w:shd w:val="clear" w:color="auto" w:fill="112B4A"/>
          </w:tcPr>
          <w:p>
            <w:pPr>
              <w:spacing w:after="0"/>
              <w:rPr>
                <w:sz w:val="9"/>
                <w:szCs w:val="9"/>
                <w:color w:val="auto"/>
              </w:rPr>
            </w:pPr>
          </w:p>
        </w:tc>
        <w:tc>
          <w:tcPr>
            <w:tcW w:w="840" w:type="dxa"/>
            <w:vAlign w:val="bottom"/>
            <w:shd w:val="clear" w:color="auto" w:fill="112B4A"/>
          </w:tcPr>
          <w:p>
            <w:pPr>
              <w:spacing w:after="0"/>
              <w:rPr>
                <w:sz w:val="9"/>
                <w:szCs w:val="9"/>
                <w:color w:val="auto"/>
              </w:rPr>
            </w:pPr>
          </w:p>
        </w:tc>
        <w:tc>
          <w:tcPr>
            <w:tcW w:w="260" w:type="dxa"/>
            <w:vAlign w:val="bottom"/>
            <w:shd w:val="clear" w:color="auto" w:fill="112B4A"/>
          </w:tcPr>
          <w:p>
            <w:pPr>
              <w:spacing w:after="0"/>
              <w:rPr>
                <w:sz w:val="9"/>
                <w:szCs w:val="9"/>
                <w:color w:val="auto"/>
              </w:rPr>
            </w:pPr>
          </w:p>
        </w:tc>
        <w:tc>
          <w:tcPr>
            <w:tcW w:w="940" w:type="dxa"/>
            <w:vAlign w:val="bottom"/>
            <w:shd w:val="clear" w:color="auto" w:fill="112B4A"/>
          </w:tcPr>
          <w:p>
            <w:pPr>
              <w:spacing w:after="0"/>
              <w:rPr>
                <w:sz w:val="9"/>
                <w:szCs w:val="9"/>
                <w:color w:val="auto"/>
              </w:rPr>
            </w:pPr>
          </w:p>
        </w:tc>
        <w:tc>
          <w:tcPr>
            <w:tcW w:w="140" w:type="dxa"/>
            <w:vAlign w:val="bottom"/>
            <w:shd w:val="clear" w:color="auto" w:fill="112B4A"/>
          </w:tcPr>
          <w:p>
            <w:pPr>
              <w:spacing w:after="0"/>
              <w:rPr>
                <w:sz w:val="9"/>
                <w:szCs w:val="9"/>
                <w:color w:val="auto"/>
              </w:rPr>
            </w:pPr>
          </w:p>
        </w:tc>
        <w:tc>
          <w:tcPr>
            <w:tcW w:w="1260" w:type="dxa"/>
            <w:vAlign w:val="bottom"/>
            <w:shd w:val="clear" w:color="auto" w:fill="112B4A"/>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23,945,589</w:t>
            </w:r>
          </w:p>
        </w:tc>
        <w:tc>
          <w:tcPr>
            <w:tcW w:w="1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26,813,826</w:t>
            </w:r>
          </w:p>
        </w:tc>
        <w:tc>
          <w:tcPr>
            <w:tcW w:w="1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3,425,778</w:t>
            </w:r>
          </w:p>
        </w:tc>
        <w:tc>
          <w:tcPr>
            <w:tcW w:w="1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25A9E0"/>
            </w:tcBorders>
          </w:tcPr>
          <w:p>
            <w:pPr>
              <w:jc w:val="center"/>
              <w:ind w:left="179"/>
              <w:spacing w:after="0"/>
              <w:rPr>
                <w:sz w:val="20"/>
                <w:szCs w:val="20"/>
                <w:color w:val="auto"/>
              </w:rPr>
            </w:pPr>
            <w:r>
              <w:rPr>
                <w:rFonts w:ascii="Times New Roman" w:cs="Times New Roman" w:eastAsia="Times New Roman" w:hAnsi="Times New Roman"/>
                <w:sz w:val="18"/>
                <w:szCs w:val="18"/>
                <w:color w:val="auto"/>
                <w:w w:val="99"/>
              </w:rPr>
              <w:t>3,983,777</w:t>
            </w:r>
          </w:p>
        </w:tc>
        <w:tc>
          <w:tcPr>
            <w:tcW w:w="380" w:type="dxa"/>
            <w:vAlign w:val="bottom"/>
            <w:tcBorders>
              <w:bottom w:val="single" w:sz="8" w:color="25A9E0"/>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400" w:type="dxa"/>
            <w:vAlign w:val="bottom"/>
            <w:tcBorders>
              <w:bottom w:val="single" w:sz="8" w:color="25A9E0"/>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60" w:type="dxa"/>
            <w:vAlign w:val="bottom"/>
            <w:tcBorders>
              <w:bottom w:val="single" w:sz="8" w:color="25A9E0"/>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23"/>
        </w:trPr>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25A9E0"/>
            </w:tcBorders>
          </w:tcPr>
          <w:p>
            <w:pPr>
              <w:spacing w:after="0"/>
              <w:rPr>
                <w:sz w:val="19"/>
                <w:szCs w:val="19"/>
                <w:color w:val="auto"/>
              </w:rPr>
            </w:pPr>
          </w:p>
        </w:tc>
        <w:tc>
          <w:tcPr>
            <w:tcW w:w="11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23,468,000</w:t>
            </w:r>
          </w:p>
        </w:tc>
        <w:tc>
          <w:tcPr>
            <w:tcW w:w="140" w:type="dxa"/>
            <w:vAlign w:val="bottom"/>
            <w:tcBorders>
              <w:bottom w:val="single" w:sz="8" w:color="25A9E0"/>
            </w:tcBorders>
          </w:tcPr>
          <w:p>
            <w:pPr>
              <w:spacing w:after="0"/>
              <w:rPr>
                <w:sz w:val="19"/>
                <w:szCs w:val="19"/>
                <w:color w:val="auto"/>
              </w:rPr>
            </w:pPr>
          </w:p>
        </w:tc>
        <w:tc>
          <w:tcPr>
            <w:tcW w:w="11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34,175,281</w:t>
            </w:r>
          </w:p>
        </w:tc>
        <w:tc>
          <w:tcPr>
            <w:tcW w:w="140" w:type="dxa"/>
            <w:vAlign w:val="bottom"/>
            <w:tcBorders>
              <w:bottom w:val="single" w:sz="8" w:color="25A9E0"/>
            </w:tcBorders>
          </w:tcPr>
          <w:p>
            <w:pPr>
              <w:spacing w:after="0"/>
              <w:rPr>
                <w:sz w:val="19"/>
                <w:szCs w:val="19"/>
                <w:color w:val="auto"/>
              </w:rPr>
            </w:pPr>
          </w:p>
        </w:tc>
        <w:tc>
          <w:tcPr>
            <w:tcW w:w="13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3,803,969</w:t>
            </w:r>
          </w:p>
        </w:tc>
        <w:tc>
          <w:tcPr>
            <w:tcW w:w="160" w:type="dxa"/>
            <w:vAlign w:val="bottom"/>
            <w:tcBorders>
              <w:bottom w:val="single" w:sz="8" w:color="25A9E0"/>
            </w:tcBorders>
          </w:tcPr>
          <w:p>
            <w:pPr>
              <w:spacing w:after="0"/>
              <w:rPr>
                <w:sz w:val="19"/>
                <w:szCs w:val="19"/>
                <w:color w:val="auto"/>
              </w:rPr>
            </w:pPr>
          </w:p>
        </w:tc>
        <w:tc>
          <w:tcPr>
            <w:tcW w:w="1140" w:type="dxa"/>
            <w:vAlign w:val="bottom"/>
            <w:tcBorders>
              <w:bottom w:val="single" w:sz="8" w:color="25A9E0"/>
            </w:tcBorders>
          </w:tcPr>
          <w:p>
            <w:pPr>
              <w:jc w:val="center"/>
              <w:ind w:left="179"/>
              <w:spacing w:after="0"/>
              <w:rPr>
                <w:sz w:val="20"/>
                <w:szCs w:val="20"/>
                <w:color w:val="auto"/>
              </w:rPr>
            </w:pPr>
            <w:r>
              <w:rPr>
                <w:rFonts w:ascii="Times New Roman" w:cs="Times New Roman" w:eastAsia="Times New Roman" w:hAnsi="Times New Roman"/>
                <w:sz w:val="18"/>
                <w:szCs w:val="18"/>
                <w:color w:val="auto"/>
                <w:w w:val="99"/>
              </w:rPr>
              <w:t>4,637,219</w:t>
            </w:r>
          </w:p>
        </w:tc>
        <w:tc>
          <w:tcPr>
            <w:tcW w:w="38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40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260" w:type="dxa"/>
            <w:vAlign w:val="bottom"/>
            <w:tcBorders>
              <w:bottom w:val="single" w:sz="8" w:color="25A9E0"/>
            </w:tcBorders>
          </w:tcPr>
          <w:p>
            <w:pPr>
              <w:spacing w:after="0"/>
              <w:rPr>
                <w:sz w:val="19"/>
                <w:szCs w:val="19"/>
                <w:color w:val="auto"/>
              </w:rPr>
            </w:pPr>
          </w:p>
        </w:tc>
        <w:tc>
          <w:tcPr>
            <w:tcW w:w="9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tcBorders>
              <w:bottom w:val="single" w:sz="8" w:color="25A9E0"/>
            </w:tcBorders>
          </w:tcPr>
          <w:p>
            <w:pPr>
              <w:spacing w:after="0"/>
              <w:rPr>
                <w:sz w:val="19"/>
                <w:szCs w:val="19"/>
                <w:color w:val="auto"/>
              </w:rPr>
            </w:pPr>
          </w:p>
        </w:tc>
        <w:tc>
          <w:tcPr>
            <w:tcW w:w="126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23"/>
        </w:trPr>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25A9E0"/>
            </w:tcBorders>
          </w:tcPr>
          <w:p>
            <w:pPr>
              <w:spacing w:after="0"/>
              <w:rPr>
                <w:sz w:val="19"/>
                <w:szCs w:val="19"/>
                <w:color w:val="auto"/>
              </w:rPr>
            </w:pPr>
          </w:p>
        </w:tc>
        <w:tc>
          <w:tcPr>
            <w:tcW w:w="11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22,943,077</w:t>
            </w:r>
          </w:p>
        </w:tc>
        <w:tc>
          <w:tcPr>
            <w:tcW w:w="140" w:type="dxa"/>
            <w:vAlign w:val="bottom"/>
            <w:tcBorders>
              <w:bottom w:val="single" w:sz="8" w:color="25A9E0"/>
            </w:tcBorders>
          </w:tcPr>
          <w:p>
            <w:pPr>
              <w:spacing w:after="0"/>
              <w:rPr>
                <w:sz w:val="19"/>
                <w:szCs w:val="19"/>
                <w:color w:val="auto"/>
              </w:rPr>
            </w:pPr>
          </w:p>
        </w:tc>
        <w:tc>
          <w:tcPr>
            <w:tcW w:w="11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12,471,976</w:t>
            </w:r>
          </w:p>
        </w:tc>
        <w:tc>
          <w:tcPr>
            <w:tcW w:w="140" w:type="dxa"/>
            <w:vAlign w:val="bottom"/>
            <w:tcBorders>
              <w:bottom w:val="single" w:sz="8" w:color="25A9E0"/>
            </w:tcBorders>
          </w:tcPr>
          <w:p>
            <w:pPr>
              <w:spacing w:after="0"/>
              <w:rPr>
                <w:sz w:val="19"/>
                <w:szCs w:val="19"/>
                <w:color w:val="auto"/>
              </w:rPr>
            </w:pPr>
          </w:p>
        </w:tc>
        <w:tc>
          <w:tcPr>
            <w:tcW w:w="13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3,408,739</w:t>
            </w:r>
          </w:p>
        </w:tc>
        <w:tc>
          <w:tcPr>
            <w:tcW w:w="160" w:type="dxa"/>
            <w:vAlign w:val="bottom"/>
            <w:tcBorders>
              <w:bottom w:val="single" w:sz="8" w:color="25A9E0"/>
            </w:tcBorders>
          </w:tcPr>
          <w:p>
            <w:pPr>
              <w:spacing w:after="0"/>
              <w:rPr>
                <w:sz w:val="19"/>
                <w:szCs w:val="19"/>
                <w:color w:val="auto"/>
              </w:rPr>
            </w:pPr>
          </w:p>
        </w:tc>
        <w:tc>
          <w:tcPr>
            <w:tcW w:w="1140" w:type="dxa"/>
            <w:vAlign w:val="bottom"/>
            <w:tcBorders>
              <w:bottom w:val="single" w:sz="8" w:color="25A9E0"/>
            </w:tcBorders>
          </w:tcPr>
          <w:p>
            <w:pPr>
              <w:jc w:val="center"/>
              <w:ind w:left="179"/>
              <w:spacing w:after="0"/>
              <w:rPr>
                <w:sz w:val="20"/>
                <w:szCs w:val="20"/>
                <w:color w:val="auto"/>
              </w:rPr>
            </w:pPr>
            <w:r>
              <w:rPr>
                <w:rFonts w:ascii="Times New Roman" w:cs="Times New Roman" w:eastAsia="Times New Roman" w:hAnsi="Times New Roman"/>
                <w:sz w:val="18"/>
                <w:szCs w:val="18"/>
                <w:color w:val="auto"/>
                <w:w w:val="99"/>
              </w:rPr>
              <w:t>1,212,892</w:t>
            </w:r>
          </w:p>
        </w:tc>
        <w:tc>
          <w:tcPr>
            <w:tcW w:w="38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40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260" w:type="dxa"/>
            <w:vAlign w:val="bottom"/>
            <w:tcBorders>
              <w:bottom w:val="single" w:sz="8" w:color="25A9E0"/>
            </w:tcBorders>
          </w:tcPr>
          <w:p>
            <w:pPr>
              <w:spacing w:after="0"/>
              <w:rPr>
                <w:sz w:val="19"/>
                <w:szCs w:val="19"/>
                <w:color w:val="auto"/>
              </w:rPr>
            </w:pPr>
          </w:p>
        </w:tc>
        <w:tc>
          <w:tcPr>
            <w:tcW w:w="9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tcBorders>
              <w:bottom w:val="single" w:sz="8" w:color="25A9E0"/>
            </w:tcBorders>
          </w:tcPr>
          <w:p>
            <w:pPr>
              <w:spacing w:after="0"/>
              <w:rPr>
                <w:sz w:val="19"/>
                <w:szCs w:val="19"/>
                <w:color w:val="auto"/>
              </w:rPr>
            </w:pPr>
          </w:p>
        </w:tc>
        <w:tc>
          <w:tcPr>
            <w:tcW w:w="126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3"/>
        </w:trPr>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25A9E0"/>
            </w:tcBorders>
          </w:tcPr>
          <w:p>
            <w:pPr>
              <w:spacing w:after="0"/>
              <w:rPr>
                <w:sz w:val="19"/>
                <w:szCs w:val="19"/>
                <w:color w:val="auto"/>
              </w:rPr>
            </w:pPr>
          </w:p>
        </w:tc>
        <w:tc>
          <w:tcPr>
            <w:tcW w:w="11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22,924,737</w:t>
            </w:r>
          </w:p>
        </w:tc>
        <w:tc>
          <w:tcPr>
            <w:tcW w:w="140" w:type="dxa"/>
            <w:vAlign w:val="bottom"/>
            <w:tcBorders>
              <w:bottom w:val="single" w:sz="8" w:color="25A9E0"/>
            </w:tcBorders>
          </w:tcPr>
          <w:p>
            <w:pPr>
              <w:spacing w:after="0"/>
              <w:rPr>
                <w:sz w:val="19"/>
                <w:szCs w:val="19"/>
                <w:color w:val="auto"/>
              </w:rPr>
            </w:pPr>
          </w:p>
        </w:tc>
        <w:tc>
          <w:tcPr>
            <w:tcW w:w="11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26,891,265</w:t>
            </w:r>
          </w:p>
        </w:tc>
        <w:tc>
          <w:tcPr>
            <w:tcW w:w="140" w:type="dxa"/>
            <w:vAlign w:val="bottom"/>
            <w:tcBorders>
              <w:bottom w:val="single" w:sz="8" w:color="25A9E0"/>
            </w:tcBorders>
          </w:tcPr>
          <w:p>
            <w:pPr>
              <w:spacing w:after="0"/>
              <w:rPr>
                <w:sz w:val="19"/>
                <w:szCs w:val="19"/>
                <w:color w:val="auto"/>
              </w:rPr>
            </w:pPr>
          </w:p>
        </w:tc>
        <w:tc>
          <w:tcPr>
            <w:tcW w:w="13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3,321,407</w:t>
            </w:r>
          </w:p>
        </w:tc>
        <w:tc>
          <w:tcPr>
            <w:tcW w:w="160" w:type="dxa"/>
            <w:vAlign w:val="bottom"/>
            <w:tcBorders>
              <w:bottom w:val="single" w:sz="8" w:color="25A9E0"/>
            </w:tcBorders>
          </w:tcPr>
          <w:p>
            <w:pPr>
              <w:spacing w:after="0"/>
              <w:rPr>
                <w:sz w:val="19"/>
                <w:szCs w:val="19"/>
                <w:color w:val="auto"/>
              </w:rPr>
            </w:pPr>
          </w:p>
        </w:tc>
        <w:tc>
          <w:tcPr>
            <w:tcW w:w="1140" w:type="dxa"/>
            <w:vAlign w:val="bottom"/>
            <w:tcBorders>
              <w:bottom w:val="single" w:sz="8" w:color="25A9E0"/>
            </w:tcBorders>
          </w:tcPr>
          <w:p>
            <w:pPr>
              <w:jc w:val="center"/>
              <w:ind w:left="179"/>
              <w:spacing w:after="0"/>
              <w:rPr>
                <w:sz w:val="20"/>
                <w:szCs w:val="20"/>
                <w:color w:val="auto"/>
              </w:rPr>
            </w:pPr>
            <w:r>
              <w:rPr>
                <w:rFonts w:ascii="Times New Roman" w:cs="Times New Roman" w:eastAsia="Times New Roman" w:hAnsi="Times New Roman"/>
                <w:sz w:val="18"/>
                <w:szCs w:val="18"/>
                <w:color w:val="auto"/>
                <w:w w:val="99"/>
              </w:rPr>
              <w:t>4,505,841</w:t>
            </w:r>
          </w:p>
        </w:tc>
        <w:tc>
          <w:tcPr>
            <w:tcW w:w="38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400" w:type="dxa"/>
            <w:vAlign w:val="bottom"/>
            <w:tcBorders>
              <w:bottom w:val="single" w:sz="8" w:color="25A9E0"/>
            </w:tcBorders>
          </w:tcPr>
          <w:p>
            <w:pPr>
              <w:spacing w:after="0"/>
              <w:rPr>
                <w:sz w:val="19"/>
                <w:szCs w:val="19"/>
                <w:color w:val="auto"/>
              </w:rPr>
            </w:pPr>
          </w:p>
        </w:tc>
        <w:tc>
          <w:tcPr>
            <w:tcW w:w="8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260" w:type="dxa"/>
            <w:vAlign w:val="bottom"/>
            <w:tcBorders>
              <w:bottom w:val="single" w:sz="8" w:color="25A9E0"/>
            </w:tcBorders>
          </w:tcPr>
          <w:p>
            <w:pPr>
              <w:spacing w:after="0"/>
              <w:rPr>
                <w:sz w:val="19"/>
                <w:szCs w:val="19"/>
                <w:color w:val="auto"/>
              </w:rPr>
            </w:pPr>
          </w:p>
        </w:tc>
        <w:tc>
          <w:tcPr>
            <w:tcW w:w="9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tcBorders>
              <w:bottom w:val="single" w:sz="8" w:color="25A9E0"/>
            </w:tcBorders>
          </w:tcPr>
          <w:p>
            <w:pPr>
              <w:spacing w:after="0"/>
              <w:rPr>
                <w:sz w:val="19"/>
                <w:szCs w:val="19"/>
                <w:color w:val="auto"/>
              </w:rPr>
            </w:pPr>
          </w:p>
        </w:tc>
        <w:tc>
          <w:tcPr>
            <w:tcW w:w="126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23"/>
        </w:trPr>
        <w:tc>
          <w:tcPr>
            <w:tcW w:w="8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112B4A"/>
            </w:tcBorders>
          </w:tcPr>
          <w:p>
            <w:pPr>
              <w:spacing w:after="0"/>
              <w:rPr>
                <w:sz w:val="19"/>
                <w:szCs w:val="19"/>
                <w:color w:val="auto"/>
              </w:rPr>
            </w:pPr>
          </w:p>
        </w:tc>
        <w:tc>
          <w:tcPr>
            <w:tcW w:w="110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16,118,467</w:t>
            </w:r>
          </w:p>
        </w:tc>
        <w:tc>
          <w:tcPr>
            <w:tcW w:w="140" w:type="dxa"/>
            <w:vAlign w:val="bottom"/>
            <w:tcBorders>
              <w:bottom w:val="single" w:sz="8" w:color="112B4A"/>
            </w:tcBorders>
          </w:tcPr>
          <w:p>
            <w:pPr>
              <w:spacing w:after="0"/>
              <w:rPr>
                <w:sz w:val="19"/>
                <w:szCs w:val="19"/>
                <w:color w:val="auto"/>
              </w:rPr>
            </w:pPr>
          </w:p>
        </w:tc>
        <w:tc>
          <w:tcPr>
            <w:tcW w:w="116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12,115,067</w:t>
            </w:r>
          </w:p>
        </w:tc>
        <w:tc>
          <w:tcPr>
            <w:tcW w:w="140" w:type="dxa"/>
            <w:vAlign w:val="bottom"/>
            <w:tcBorders>
              <w:bottom w:val="single" w:sz="8" w:color="112B4A"/>
            </w:tcBorders>
          </w:tcPr>
          <w:p>
            <w:pPr>
              <w:spacing w:after="0"/>
              <w:rPr>
                <w:sz w:val="19"/>
                <w:szCs w:val="19"/>
                <w:color w:val="auto"/>
              </w:rPr>
            </w:pPr>
          </w:p>
        </w:tc>
        <w:tc>
          <w:tcPr>
            <w:tcW w:w="132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3,046,801</w:t>
            </w:r>
          </w:p>
        </w:tc>
        <w:tc>
          <w:tcPr>
            <w:tcW w:w="160" w:type="dxa"/>
            <w:vAlign w:val="bottom"/>
            <w:tcBorders>
              <w:bottom w:val="single" w:sz="8" w:color="112B4A"/>
            </w:tcBorders>
          </w:tcPr>
          <w:p>
            <w:pPr>
              <w:spacing w:after="0"/>
              <w:rPr>
                <w:sz w:val="19"/>
                <w:szCs w:val="19"/>
                <w:color w:val="auto"/>
              </w:rPr>
            </w:pPr>
          </w:p>
        </w:tc>
        <w:tc>
          <w:tcPr>
            <w:tcW w:w="1140" w:type="dxa"/>
            <w:vAlign w:val="bottom"/>
            <w:tcBorders>
              <w:bottom w:val="single" w:sz="8" w:color="112B4A"/>
            </w:tcBorders>
          </w:tcPr>
          <w:p>
            <w:pPr>
              <w:jc w:val="center"/>
              <w:ind w:left="179"/>
              <w:spacing w:after="0"/>
              <w:rPr>
                <w:sz w:val="20"/>
                <w:szCs w:val="20"/>
                <w:color w:val="auto"/>
              </w:rPr>
            </w:pPr>
            <w:r>
              <w:rPr>
                <w:rFonts w:ascii="Times New Roman" w:cs="Times New Roman" w:eastAsia="Times New Roman" w:hAnsi="Times New Roman"/>
                <w:sz w:val="18"/>
                <w:szCs w:val="18"/>
                <w:color w:val="auto"/>
                <w:w w:val="99"/>
              </w:rPr>
              <w:t>1,882,475</w:t>
            </w:r>
          </w:p>
        </w:tc>
        <w:tc>
          <w:tcPr>
            <w:tcW w:w="380" w:type="dxa"/>
            <w:vAlign w:val="bottom"/>
            <w:tcBorders>
              <w:bottom w:val="single" w:sz="8" w:color="112B4A"/>
            </w:tcBorders>
          </w:tcPr>
          <w:p>
            <w:pPr>
              <w:spacing w:after="0"/>
              <w:rPr>
                <w:sz w:val="19"/>
                <w:szCs w:val="19"/>
                <w:color w:val="auto"/>
              </w:rPr>
            </w:pPr>
          </w:p>
        </w:tc>
        <w:tc>
          <w:tcPr>
            <w:tcW w:w="8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400" w:type="dxa"/>
            <w:vAlign w:val="bottom"/>
            <w:tcBorders>
              <w:bottom w:val="single" w:sz="8" w:color="112B4A"/>
            </w:tcBorders>
          </w:tcPr>
          <w:p>
            <w:pPr>
              <w:spacing w:after="0"/>
              <w:rPr>
                <w:sz w:val="19"/>
                <w:szCs w:val="19"/>
                <w:color w:val="auto"/>
              </w:rPr>
            </w:pPr>
          </w:p>
        </w:tc>
        <w:tc>
          <w:tcPr>
            <w:tcW w:w="8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260" w:type="dxa"/>
            <w:vAlign w:val="bottom"/>
            <w:tcBorders>
              <w:bottom w:val="single" w:sz="8" w:color="112B4A"/>
            </w:tcBorders>
          </w:tcPr>
          <w:p>
            <w:pPr>
              <w:spacing w:after="0"/>
              <w:rPr>
                <w:sz w:val="19"/>
                <w:szCs w:val="19"/>
                <w:color w:val="auto"/>
              </w:rPr>
            </w:pPr>
          </w:p>
        </w:tc>
        <w:tc>
          <w:tcPr>
            <w:tcW w:w="9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40" w:type="dxa"/>
            <w:vAlign w:val="bottom"/>
            <w:tcBorders>
              <w:bottom w:val="single" w:sz="8" w:color="112B4A"/>
            </w:tcBorders>
          </w:tcPr>
          <w:p>
            <w:pPr>
              <w:spacing w:after="0"/>
              <w:rPr>
                <w:sz w:val="19"/>
                <w:szCs w:val="19"/>
                <w:color w:val="auto"/>
              </w:rPr>
            </w:pPr>
          </w:p>
        </w:tc>
        <w:tc>
          <w:tcPr>
            <w:tcW w:w="1260" w:type="dxa"/>
            <w:vAlign w:val="bottom"/>
            <w:tcBorders>
              <w:bottom w:val="single" w:sz="8" w:color="112B4A"/>
            </w:tcBorders>
          </w:tcPr>
          <w:p>
            <w:pPr>
              <w:jc w:val="right"/>
              <w:ind w:right="155"/>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-1285240</wp:posOffset>
            </wp:positionV>
            <wp:extent cx="15601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56" w:lineRule="exact"/>
        <w:rPr>
          <w:sz w:val="20"/>
          <w:szCs w:val="20"/>
          <w:color w:val="auto"/>
        </w:rPr>
      </w:pPr>
    </w:p>
    <w:p>
      <w:pPr>
        <w:ind w:left="340" w:right="220" w:hanging="332"/>
        <w:spacing w:after="0" w:line="28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Terrence A. Duffy was our PEO for each year presented. The individuals comprising the Non-PEO named executive officers for each year presented are listed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220" w:type="dxa"/>
            <w:vAlign w:val="bottom"/>
            <w:shd w:val="clear" w:color="auto" w:fill="112B4A"/>
          </w:tcPr>
          <w:p>
            <w:pPr>
              <w:ind w:left="960"/>
              <w:spacing w:after="0"/>
              <w:rPr>
                <w:sz w:val="20"/>
                <w:szCs w:val="20"/>
                <w:color w:val="auto"/>
              </w:rPr>
            </w:pPr>
            <w:r>
              <w:rPr>
                <w:rFonts w:ascii="Arial" w:cs="Arial" w:eastAsia="Arial" w:hAnsi="Arial"/>
                <w:sz w:val="14"/>
                <w:szCs w:val="14"/>
                <w:b w:val="1"/>
                <w:bCs w:val="1"/>
                <w:color w:val="FFFFFF"/>
              </w:rPr>
              <w:t>2020</w:t>
            </w:r>
          </w:p>
        </w:tc>
        <w:tc>
          <w:tcPr>
            <w:tcW w:w="2220" w:type="dxa"/>
            <w:vAlign w:val="bottom"/>
            <w:shd w:val="clear" w:color="auto" w:fill="112B4A"/>
          </w:tcPr>
          <w:p>
            <w:pPr>
              <w:ind w:left="960"/>
              <w:spacing w:after="0"/>
              <w:rPr>
                <w:sz w:val="20"/>
                <w:szCs w:val="20"/>
                <w:color w:val="auto"/>
              </w:rPr>
            </w:pPr>
            <w:r>
              <w:rPr>
                <w:rFonts w:ascii="Arial" w:cs="Arial" w:eastAsia="Arial" w:hAnsi="Arial"/>
                <w:sz w:val="14"/>
                <w:szCs w:val="14"/>
                <w:b w:val="1"/>
                <w:bCs w:val="1"/>
                <w:color w:val="FFFFFF"/>
              </w:rPr>
              <w:t>2021</w:t>
            </w:r>
          </w:p>
        </w:tc>
        <w:tc>
          <w:tcPr>
            <w:tcW w:w="1840" w:type="dxa"/>
            <w:vAlign w:val="bottom"/>
            <w:shd w:val="clear" w:color="auto" w:fill="112B4A"/>
          </w:tcPr>
          <w:p>
            <w:pPr>
              <w:ind w:left="960"/>
              <w:spacing w:after="0"/>
              <w:rPr>
                <w:sz w:val="20"/>
                <w:szCs w:val="20"/>
                <w:color w:val="auto"/>
              </w:rPr>
            </w:pPr>
            <w:r>
              <w:rPr>
                <w:rFonts w:ascii="Arial" w:cs="Arial" w:eastAsia="Arial" w:hAnsi="Arial"/>
                <w:sz w:val="14"/>
                <w:szCs w:val="14"/>
                <w:b w:val="1"/>
                <w:bCs w:val="1"/>
                <w:color w:val="FFFFFF"/>
              </w:rPr>
              <w:t>2022</w:t>
            </w:r>
          </w:p>
        </w:tc>
        <w:tc>
          <w:tcPr>
            <w:tcW w:w="2300" w:type="dxa"/>
            <w:vAlign w:val="bottom"/>
            <w:shd w:val="clear" w:color="auto" w:fill="112B4A"/>
          </w:tcPr>
          <w:p>
            <w:pPr>
              <w:ind w:left="1380"/>
              <w:spacing w:after="0"/>
              <w:rPr>
                <w:sz w:val="20"/>
                <w:szCs w:val="20"/>
                <w:color w:val="auto"/>
              </w:rPr>
            </w:pPr>
            <w:r>
              <w:rPr>
                <w:rFonts w:ascii="Arial" w:cs="Arial" w:eastAsia="Arial" w:hAnsi="Arial"/>
                <w:sz w:val="14"/>
                <w:szCs w:val="14"/>
                <w:b w:val="1"/>
                <w:bCs w:val="1"/>
                <w:color w:val="FFFFFF"/>
              </w:rPr>
              <w:t>2023</w:t>
            </w:r>
          </w:p>
        </w:tc>
        <w:tc>
          <w:tcPr>
            <w:tcW w:w="2600" w:type="dxa"/>
            <w:vAlign w:val="bottom"/>
            <w:shd w:val="clear" w:color="auto" w:fill="112B4A"/>
          </w:tcPr>
          <w:p>
            <w:pPr>
              <w:ind w:left="1320"/>
              <w:spacing w:after="0"/>
              <w:rPr>
                <w:sz w:val="20"/>
                <w:szCs w:val="20"/>
                <w:color w:val="auto"/>
              </w:rPr>
            </w:pPr>
            <w:r>
              <w:rPr>
                <w:rFonts w:ascii="Arial" w:cs="Arial" w:eastAsia="Arial" w:hAnsi="Arial"/>
                <w:sz w:val="14"/>
                <w:szCs w:val="14"/>
                <w:b w:val="1"/>
                <w:bCs w:val="1"/>
                <w:color w:val="FFFFFF"/>
              </w:rPr>
              <w:t>2024</w:t>
            </w:r>
          </w:p>
        </w:tc>
      </w:tr>
      <w:tr>
        <w:trPr>
          <w:trHeight w:val="123"/>
        </w:trPr>
        <w:tc>
          <w:tcPr>
            <w:tcW w:w="2220" w:type="dxa"/>
            <w:vAlign w:val="bottom"/>
            <w:shd w:val="clear" w:color="auto" w:fill="112B4A"/>
          </w:tcPr>
          <w:p>
            <w:pPr>
              <w:spacing w:after="0"/>
              <w:rPr>
                <w:sz w:val="10"/>
                <w:szCs w:val="10"/>
                <w:color w:val="auto"/>
              </w:rPr>
            </w:pPr>
          </w:p>
        </w:tc>
        <w:tc>
          <w:tcPr>
            <w:tcW w:w="2220" w:type="dxa"/>
            <w:vAlign w:val="bottom"/>
            <w:shd w:val="clear" w:color="auto" w:fill="112B4A"/>
          </w:tcPr>
          <w:p>
            <w:pPr>
              <w:spacing w:after="0"/>
              <w:rPr>
                <w:sz w:val="10"/>
                <w:szCs w:val="10"/>
                <w:color w:val="auto"/>
              </w:rPr>
            </w:pPr>
          </w:p>
        </w:tc>
        <w:tc>
          <w:tcPr>
            <w:tcW w:w="1840" w:type="dxa"/>
            <w:vAlign w:val="bottom"/>
            <w:shd w:val="clear" w:color="auto" w:fill="112B4A"/>
          </w:tcPr>
          <w:p>
            <w:pPr>
              <w:spacing w:after="0"/>
              <w:rPr>
                <w:sz w:val="10"/>
                <w:szCs w:val="10"/>
                <w:color w:val="auto"/>
              </w:rPr>
            </w:pPr>
          </w:p>
        </w:tc>
        <w:tc>
          <w:tcPr>
            <w:tcW w:w="2300" w:type="dxa"/>
            <w:vAlign w:val="bottom"/>
            <w:shd w:val="clear" w:color="auto" w:fill="112B4A"/>
          </w:tcPr>
          <w:p>
            <w:pPr>
              <w:spacing w:after="0"/>
              <w:rPr>
                <w:sz w:val="10"/>
                <w:szCs w:val="10"/>
                <w:color w:val="auto"/>
              </w:rPr>
            </w:pPr>
          </w:p>
        </w:tc>
        <w:tc>
          <w:tcPr>
            <w:tcW w:w="2600" w:type="dxa"/>
            <w:vAlign w:val="bottom"/>
            <w:shd w:val="clear" w:color="auto" w:fill="112B4A"/>
          </w:tcPr>
          <w:p>
            <w:pPr>
              <w:spacing w:after="0"/>
              <w:rPr>
                <w:sz w:val="10"/>
                <w:szCs w:val="10"/>
                <w:color w:val="auto"/>
              </w:rPr>
            </w:pPr>
          </w:p>
        </w:tc>
      </w:tr>
      <w:tr>
        <w:trPr>
          <w:trHeight w:val="230"/>
        </w:trPr>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John W. Pietrowicz</w:t>
            </w:r>
          </w:p>
        </w:tc>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John W. Pietrowicz</w:t>
            </w:r>
          </w:p>
        </w:tc>
        <w:tc>
          <w:tcPr>
            <w:tcW w:w="184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John W. Pietrowicz</w:t>
            </w:r>
          </w:p>
        </w:tc>
        <w:tc>
          <w:tcPr>
            <w:tcW w:w="2300" w:type="dxa"/>
            <w:vAlign w:val="bottom"/>
            <w:tcBorders>
              <w:bottom w:val="single" w:sz="8" w:color="25A9E0"/>
            </w:tcBorders>
          </w:tcPr>
          <w:p>
            <w:pPr>
              <w:ind w:left="420"/>
              <w:spacing w:after="0"/>
              <w:rPr>
                <w:sz w:val="20"/>
                <w:szCs w:val="20"/>
                <w:color w:val="auto"/>
              </w:rPr>
            </w:pPr>
            <w:r>
              <w:rPr>
                <w:rFonts w:ascii="Times New Roman" w:cs="Times New Roman" w:eastAsia="Times New Roman" w:hAnsi="Times New Roman"/>
                <w:sz w:val="18"/>
                <w:szCs w:val="18"/>
                <w:color w:val="auto"/>
              </w:rPr>
              <w:t>Lynne C. Fitzpatrick</w:t>
            </w:r>
          </w:p>
        </w:tc>
        <w:tc>
          <w:tcPr>
            <w:tcW w:w="2600" w:type="dxa"/>
            <w:vAlign w:val="bottom"/>
            <w:tcBorders>
              <w:bottom w:val="single" w:sz="8" w:color="25A9E0"/>
            </w:tcBorders>
          </w:tcPr>
          <w:p>
            <w:pPr>
              <w:ind w:left="360"/>
              <w:spacing w:after="0"/>
              <w:rPr>
                <w:sz w:val="20"/>
                <w:szCs w:val="20"/>
                <w:color w:val="auto"/>
              </w:rPr>
            </w:pPr>
            <w:r>
              <w:rPr>
                <w:rFonts w:ascii="Times New Roman" w:cs="Times New Roman" w:eastAsia="Times New Roman" w:hAnsi="Times New Roman"/>
                <w:sz w:val="18"/>
                <w:szCs w:val="18"/>
                <w:color w:val="auto"/>
              </w:rPr>
              <w:t>Lynne C. Fitzpatrick</w:t>
            </w:r>
          </w:p>
        </w:tc>
      </w:tr>
      <w:tr>
        <w:trPr>
          <w:trHeight w:val="223"/>
        </w:trPr>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Kevin D. Kometer</w:t>
            </w:r>
          </w:p>
        </w:tc>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Kevin D. Kometer</w:t>
            </w:r>
          </w:p>
        </w:tc>
        <w:tc>
          <w:tcPr>
            <w:tcW w:w="184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Julie Holzrichter</w:t>
            </w:r>
          </w:p>
        </w:tc>
        <w:tc>
          <w:tcPr>
            <w:tcW w:w="2300" w:type="dxa"/>
            <w:vAlign w:val="bottom"/>
            <w:tcBorders>
              <w:bottom w:val="single" w:sz="8" w:color="25A9E0"/>
            </w:tcBorders>
          </w:tcPr>
          <w:p>
            <w:pPr>
              <w:ind w:left="420"/>
              <w:spacing w:after="0"/>
              <w:rPr>
                <w:sz w:val="20"/>
                <w:szCs w:val="20"/>
                <w:color w:val="auto"/>
              </w:rPr>
            </w:pPr>
            <w:r>
              <w:rPr>
                <w:rFonts w:ascii="Times New Roman" w:cs="Times New Roman" w:eastAsia="Times New Roman" w:hAnsi="Times New Roman"/>
                <w:sz w:val="18"/>
                <w:szCs w:val="18"/>
                <w:color w:val="auto"/>
              </w:rPr>
              <w:t>Julie Holzrichter</w:t>
            </w:r>
          </w:p>
        </w:tc>
        <w:tc>
          <w:tcPr>
            <w:tcW w:w="2600" w:type="dxa"/>
            <w:vAlign w:val="bottom"/>
            <w:tcBorders>
              <w:bottom w:val="single" w:sz="8" w:color="25A9E0"/>
            </w:tcBorders>
          </w:tcPr>
          <w:p>
            <w:pPr>
              <w:ind w:left="360"/>
              <w:spacing w:after="0"/>
              <w:rPr>
                <w:sz w:val="20"/>
                <w:szCs w:val="20"/>
                <w:color w:val="auto"/>
              </w:rPr>
            </w:pPr>
            <w:r>
              <w:rPr>
                <w:rFonts w:ascii="Times New Roman" w:cs="Times New Roman" w:eastAsia="Times New Roman" w:hAnsi="Times New Roman"/>
                <w:sz w:val="18"/>
                <w:szCs w:val="18"/>
                <w:color w:val="auto"/>
              </w:rPr>
              <w:t>Derek L. Sammann</w:t>
            </w:r>
          </w:p>
        </w:tc>
      </w:tr>
      <w:tr>
        <w:trPr>
          <w:trHeight w:val="223"/>
        </w:trPr>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Julie Holzrichter</w:t>
            </w:r>
          </w:p>
        </w:tc>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Julie Holzrichter</w:t>
            </w:r>
          </w:p>
        </w:tc>
        <w:tc>
          <w:tcPr>
            <w:tcW w:w="184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Sean P. Tully</w:t>
            </w:r>
          </w:p>
        </w:tc>
        <w:tc>
          <w:tcPr>
            <w:tcW w:w="2300" w:type="dxa"/>
            <w:vAlign w:val="bottom"/>
            <w:tcBorders>
              <w:bottom w:val="single" w:sz="8" w:color="25A9E0"/>
            </w:tcBorders>
          </w:tcPr>
          <w:p>
            <w:pPr>
              <w:ind w:left="420"/>
              <w:spacing w:after="0"/>
              <w:rPr>
                <w:sz w:val="20"/>
                <w:szCs w:val="20"/>
                <w:color w:val="auto"/>
              </w:rPr>
            </w:pPr>
            <w:r>
              <w:rPr>
                <w:rFonts w:ascii="Times New Roman" w:cs="Times New Roman" w:eastAsia="Times New Roman" w:hAnsi="Times New Roman"/>
                <w:sz w:val="18"/>
                <w:szCs w:val="18"/>
                <w:color w:val="auto"/>
              </w:rPr>
              <w:t>Derek L. Sammann</w:t>
            </w:r>
          </w:p>
        </w:tc>
        <w:tc>
          <w:tcPr>
            <w:tcW w:w="2600" w:type="dxa"/>
            <w:vAlign w:val="bottom"/>
            <w:tcBorders>
              <w:bottom w:val="single" w:sz="8" w:color="25A9E0"/>
            </w:tcBorders>
          </w:tcPr>
          <w:p>
            <w:pPr>
              <w:ind w:left="360"/>
              <w:spacing w:after="0"/>
              <w:rPr>
                <w:sz w:val="20"/>
                <w:szCs w:val="20"/>
                <w:color w:val="auto"/>
              </w:rPr>
            </w:pPr>
            <w:r>
              <w:rPr>
                <w:rFonts w:ascii="Times New Roman" w:cs="Times New Roman" w:eastAsia="Times New Roman" w:hAnsi="Times New Roman"/>
                <w:sz w:val="18"/>
                <w:szCs w:val="18"/>
                <w:color w:val="auto"/>
              </w:rPr>
              <w:t>Julie M. Winkler</w:t>
            </w:r>
          </w:p>
        </w:tc>
      </w:tr>
      <w:tr>
        <w:trPr>
          <w:trHeight w:val="223"/>
        </w:trPr>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Sunil K. Cutinho</w:t>
            </w:r>
          </w:p>
        </w:tc>
        <w:tc>
          <w:tcPr>
            <w:tcW w:w="222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Sunil K. Cutinho</w:t>
            </w:r>
          </w:p>
        </w:tc>
        <w:tc>
          <w:tcPr>
            <w:tcW w:w="1840" w:type="dxa"/>
            <w:vAlign w:val="bottom"/>
            <w:tcBorders>
              <w:bottom w:val="single" w:sz="8" w:color="25A9E0"/>
            </w:tcBorders>
          </w:tcPr>
          <w:p>
            <w:pPr>
              <w:ind w:left="20"/>
              <w:spacing w:after="0"/>
              <w:rPr>
                <w:sz w:val="20"/>
                <w:szCs w:val="20"/>
                <w:color w:val="auto"/>
              </w:rPr>
            </w:pPr>
            <w:r>
              <w:rPr>
                <w:rFonts w:ascii="Times New Roman" w:cs="Times New Roman" w:eastAsia="Times New Roman" w:hAnsi="Times New Roman"/>
                <w:sz w:val="18"/>
                <w:szCs w:val="18"/>
                <w:color w:val="auto"/>
              </w:rPr>
              <w:t>Sunil K. Cutinho</w:t>
            </w:r>
          </w:p>
        </w:tc>
        <w:tc>
          <w:tcPr>
            <w:tcW w:w="2300" w:type="dxa"/>
            <w:vAlign w:val="bottom"/>
            <w:tcBorders>
              <w:bottom w:val="single" w:sz="8" w:color="25A9E0"/>
            </w:tcBorders>
          </w:tcPr>
          <w:p>
            <w:pPr>
              <w:ind w:left="420"/>
              <w:spacing w:after="0"/>
              <w:rPr>
                <w:sz w:val="20"/>
                <w:szCs w:val="20"/>
                <w:color w:val="auto"/>
              </w:rPr>
            </w:pPr>
            <w:r>
              <w:rPr>
                <w:rFonts w:ascii="Times New Roman" w:cs="Times New Roman" w:eastAsia="Times New Roman" w:hAnsi="Times New Roman"/>
                <w:sz w:val="18"/>
                <w:szCs w:val="18"/>
                <w:color w:val="auto"/>
              </w:rPr>
              <w:t>Sunil K. Cutinho</w:t>
            </w:r>
          </w:p>
        </w:tc>
        <w:tc>
          <w:tcPr>
            <w:tcW w:w="2600" w:type="dxa"/>
            <w:vAlign w:val="bottom"/>
            <w:tcBorders>
              <w:bottom w:val="single" w:sz="8" w:color="25A9E0"/>
            </w:tcBorders>
          </w:tcPr>
          <w:p>
            <w:pPr>
              <w:ind w:left="360"/>
              <w:spacing w:after="0"/>
              <w:rPr>
                <w:sz w:val="20"/>
                <w:szCs w:val="20"/>
                <w:color w:val="auto"/>
              </w:rPr>
            </w:pPr>
            <w:r>
              <w:rPr>
                <w:rFonts w:ascii="Times New Roman" w:cs="Times New Roman" w:eastAsia="Times New Roman" w:hAnsi="Times New Roman"/>
                <w:sz w:val="18"/>
                <w:szCs w:val="18"/>
                <w:color w:val="auto"/>
              </w:rPr>
              <w:t>Sunil K. Cutinho</w:t>
            </w:r>
          </w:p>
        </w:tc>
      </w:tr>
      <w:tr>
        <w:trPr>
          <w:trHeight w:val="223"/>
        </w:trPr>
        <w:tc>
          <w:tcPr>
            <w:tcW w:w="2220" w:type="dxa"/>
            <w:vAlign w:val="bottom"/>
            <w:tcBorders>
              <w:bottom w:val="single" w:sz="8" w:color="112B4A"/>
            </w:tcBorders>
          </w:tcPr>
          <w:p>
            <w:pPr>
              <w:spacing w:after="0"/>
              <w:rPr>
                <w:sz w:val="19"/>
                <w:szCs w:val="19"/>
                <w:color w:val="auto"/>
              </w:rPr>
            </w:pPr>
          </w:p>
        </w:tc>
        <w:tc>
          <w:tcPr>
            <w:tcW w:w="2220" w:type="dxa"/>
            <w:vAlign w:val="bottom"/>
            <w:tcBorders>
              <w:bottom w:val="single" w:sz="8" w:color="112B4A"/>
            </w:tcBorders>
          </w:tcPr>
          <w:p>
            <w:pPr>
              <w:spacing w:after="0"/>
              <w:rPr>
                <w:sz w:val="19"/>
                <w:szCs w:val="19"/>
                <w:color w:val="auto"/>
              </w:rPr>
            </w:pPr>
          </w:p>
        </w:tc>
        <w:tc>
          <w:tcPr>
            <w:tcW w:w="1840" w:type="dxa"/>
            <w:vAlign w:val="bottom"/>
            <w:tcBorders>
              <w:bottom w:val="single" w:sz="8" w:color="112B4A"/>
            </w:tcBorders>
          </w:tcPr>
          <w:p>
            <w:pPr>
              <w:spacing w:after="0"/>
              <w:rPr>
                <w:sz w:val="19"/>
                <w:szCs w:val="19"/>
                <w:color w:val="auto"/>
              </w:rPr>
            </w:pPr>
          </w:p>
        </w:tc>
        <w:tc>
          <w:tcPr>
            <w:tcW w:w="2300" w:type="dxa"/>
            <w:vAlign w:val="bottom"/>
            <w:tcBorders>
              <w:bottom w:val="single" w:sz="8" w:color="112B4A"/>
            </w:tcBorders>
          </w:tcPr>
          <w:p>
            <w:pPr>
              <w:ind w:left="420"/>
              <w:spacing w:after="0"/>
              <w:rPr>
                <w:sz w:val="20"/>
                <w:szCs w:val="20"/>
                <w:color w:val="auto"/>
              </w:rPr>
            </w:pPr>
            <w:r>
              <w:rPr>
                <w:rFonts w:ascii="Times New Roman" w:cs="Times New Roman" w:eastAsia="Times New Roman" w:hAnsi="Times New Roman"/>
                <w:sz w:val="18"/>
                <w:szCs w:val="18"/>
                <w:color w:val="auto"/>
              </w:rPr>
              <w:t>John W. Pietrowicz</w:t>
            </w:r>
          </w:p>
        </w:tc>
        <w:tc>
          <w:tcPr>
            <w:tcW w:w="2600" w:type="dxa"/>
            <w:vAlign w:val="bottom"/>
            <w:tcBorders>
              <w:bottom w:val="single" w:sz="8" w:color="112B4A"/>
            </w:tcBorders>
          </w:tcPr>
          <w:p>
            <w:pPr>
              <w:spacing w:after="0"/>
              <w:rPr>
                <w:sz w:val="19"/>
                <w:szCs w:val="19"/>
                <w:color w:val="auto"/>
              </w:rPr>
            </w:pPr>
          </w:p>
        </w:tc>
      </w:tr>
    </w:tbl>
    <w:p>
      <w:pPr>
        <w:spacing w:after="0" w:line="225"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w:t>
      </w:r>
    </w:p>
    <w:p>
      <w:pPr>
        <w:spacing w:after="0" w:line="27" w:lineRule="exact"/>
        <w:rPr>
          <w:sz w:val="20"/>
          <w:szCs w:val="20"/>
          <w:color w:val="auto"/>
        </w:rPr>
      </w:pP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 xml:space="preserve">compensation actually earned, realized, or received by the company's NEOs. These amounts reflect the "Total" from the </w:t>
      </w:r>
      <w:r>
        <w:rPr>
          <w:rFonts w:ascii="Times New Roman" w:cs="Times New Roman" w:eastAsia="Times New Roman" w:hAnsi="Times New Roman"/>
          <w:sz w:val="18"/>
          <w:szCs w:val="18"/>
          <w:b w:val="1"/>
          <w:b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Table </w:t>
      </w:r>
      <w:r>
        <w:rPr>
          <w:rFonts w:ascii="Times New Roman" w:cs="Times New Roman" w:eastAsia="Times New Roman" w:hAnsi="Times New Roman"/>
          <w:sz w:val="18"/>
          <w:szCs w:val="18"/>
          <w:color w:val="auto"/>
        </w:rPr>
        <w:t>with certain adjustments as described in footnote 3 below.</w:t>
      </w:r>
    </w:p>
    <w:p>
      <w:pPr>
        <w:spacing w:after="0" w:line="1" w:lineRule="exact"/>
        <w:rPr>
          <w:sz w:val="20"/>
          <w:szCs w:val="20"/>
          <w:color w:val="auto"/>
        </w:rPr>
      </w:pPr>
    </w:p>
    <w:p>
      <w:pPr>
        <w:ind w:left="340" w:right="40" w:hanging="332"/>
        <w:spacing w:after="0" w:line="253"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"Compensation Actually Paid" reflects the exclusions and inclusions of certain amounts for the PEO and the Non-PEO NEOs as set forth below. Equity values are calculated in accordance with Financial Accounting Standards Board ASC Topic 718. Amounts in the "Exclusion of Stock Awards" column are the amounts from the "Stock Awards" column set forth in the </w:t>
      </w:r>
      <w:r>
        <w:rPr>
          <w:rFonts w:ascii="Times New Roman" w:cs="Times New Roman" w:eastAsia="Times New Roman" w:hAnsi="Times New Roman"/>
          <w:sz w:val="18"/>
          <w:szCs w:val="18"/>
          <w:b w:val="1"/>
          <w:bCs w:val="1"/>
          <w:color w:val="auto"/>
        </w:rPr>
        <w:t>Summary Compensation Table</w:t>
      </w:r>
      <w:r>
        <w:rPr>
          <w:rFonts w:ascii="Times New Roman" w:cs="Times New Roman" w:eastAsia="Times New Roman" w:hAnsi="Times New Roman"/>
          <w:sz w:val="18"/>
          <w:szCs w:val="18"/>
          <w:color w:val="auto"/>
        </w:rPr>
        <w:t xml:space="preserve">. Amounts in the "Exclusion of Change in Pension Value" column reflect the amounts attributable to the "Change in Pension Value" reported in the </w:t>
      </w:r>
      <w:r>
        <w:rPr>
          <w:rFonts w:ascii="Times New Roman" w:cs="Times New Roman" w:eastAsia="Times New Roman" w:hAnsi="Times New Roman"/>
          <w:sz w:val="18"/>
          <w:szCs w:val="18"/>
          <w:b w:val="1"/>
          <w:bCs w:val="1"/>
          <w:color w:val="auto"/>
        </w:rPr>
        <w:t>Summary Compensation Table</w:t>
      </w:r>
      <w:r>
        <w:rPr>
          <w:rFonts w:ascii="Times New Roman" w:cs="Times New Roman" w:eastAsia="Times New Roman" w:hAnsi="Times New Roman"/>
          <w:sz w:val="18"/>
          <w:szCs w:val="18"/>
          <w:color w:val="auto"/>
        </w:rPr>
        <w:t>. Amounts in the "Inclusion of Pension Service Cost" are based on the service cost for services rendered during the listed 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00" w:type="dxa"/>
            <w:vAlign w:val="bottom"/>
            <w:shd w:val="clear" w:color="auto" w:fill="112B4A"/>
          </w:tcPr>
          <w:p>
            <w:pPr>
              <w:spacing w:after="0"/>
              <w:rPr>
                <w:sz w:val="23"/>
                <w:szCs w:val="23"/>
                <w:color w:val="auto"/>
              </w:rPr>
            </w:pP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Summary</w:t>
            </w:r>
          </w:p>
        </w:tc>
        <w:tc>
          <w:tcPr>
            <w:tcW w:w="1580" w:type="dxa"/>
            <w:vAlign w:val="bottom"/>
            <w:shd w:val="clear" w:color="auto" w:fill="112B4A"/>
          </w:tcPr>
          <w:p>
            <w:pPr>
              <w:spacing w:after="0"/>
              <w:rPr>
                <w:sz w:val="23"/>
                <w:szCs w:val="23"/>
                <w:color w:val="auto"/>
              </w:rPr>
            </w:pPr>
          </w:p>
        </w:tc>
        <w:tc>
          <w:tcPr>
            <w:tcW w:w="1520" w:type="dxa"/>
            <w:vAlign w:val="bottom"/>
            <w:shd w:val="clear" w:color="auto" w:fill="112B4A"/>
          </w:tcPr>
          <w:p>
            <w:pPr>
              <w:spacing w:after="0"/>
              <w:rPr>
                <w:sz w:val="23"/>
                <w:szCs w:val="23"/>
                <w:color w:val="auto"/>
              </w:rPr>
            </w:pPr>
          </w:p>
        </w:tc>
        <w:tc>
          <w:tcPr>
            <w:tcW w:w="1580" w:type="dxa"/>
            <w:vAlign w:val="bottom"/>
            <w:shd w:val="clear" w:color="auto" w:fill="112B4A"/>
          </w:tcPr>
          <w:p>
            <w:pPr>
              <w:jc w:val="right"/>
              <w:ind w:right="18"/>
              <w:spacing w:after="0"/>
              <w:rPr>
                <w:sz w:val="20"/>
                <w:szCs w:val="20"/>
                <w:color w:val="auto"/>
              </w:rPr>
            </w:pPr>
            <w:r>
              <w:rPr>
                <w:rFonts w:ascii="Arial" w:cs="Arial" w:eastAsia="Arial" w:hAnsi="Arial"/>
                <w:sz w:val="14"/>
                <w:szCs w:val="14"/>
                <w:b w:val="1"/>
                <w:bCs w:val="1"/>
                <w:color w:val="FFFFFF"/>
              </w:rPr>
              <w:t>Inclusion of Pension</w:t>
            </w:r>
          </w:p>
        </w:tc>
        <w:tc>
          <w:tcPr>
            <w:tcW w:w="1640" w:type="dxa"/>
            <w:vAlign w:val="bottom"/>
            <w:shd w:val="clear" w:color="auto" w:fill="112B4A"/>
          </w:tcPr>
          <w:p>
            <w:pPr>
              <w:spacing w:after="0"/>
              <w:rPr>
                <w:sz w:val="23"/>
                <w:szCs w:val="23"/>
                <w:color w:val="auto"/>
              </w:rPr>
            </w:pPr>
          </w:p>
        </w:tc>
        <w:tc>
          <w:tcPr>
            <w:tcW w:w="1500" w:type="dxa"/>
            <w:vAlign w:val="bottom"/>
            <w:shd w:val="clear" w:color="auto" w:fill="112B4A"/>
          </w:tcPr>
          <w:p>
            <w:pPr>
              <w:spacing w:after="0"/>
              <w:rPr>
                <w:sz w:val="23"/>
                <w:szCs w:val="23"/>
                <w:color w:val="auto"/>
              </w:rPr>
            </w:pPr>
          </w:p>
        </w:tc>
      </w:tr>
      <w:tr>
        <w:trPr>
          <w:trHeight w:val="162"/>
        </w:trPr>
        <w:tc>
          <w:tcPr>
            <w:tcW w:w="1700" w:type="dxa"/>
            <w:vAlign w:val="bottom"/>
            <w:shd w:val="clear" w:color="auto" w:fill="112B4A"/>
          </w:tcPr>
          <w:p>
            <w:pPr>
              <w:spacing w:after="0"/>
              <w:rPr>
                <w:sz w:val="14"/>
                <w:szCs w:val="14"/>
                <w:color w:val="auto"/>
              </w:rPr>
            </w:pP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Compensation Table</w:t>
            </w:r>
          </w:p>
        </w:tc>
        <w:tc>
          <w:tcPr>
            <w:tcW w:w="15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Exclusion of Change</w:t>
            </w: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Exclusion of Stock</w:t>
            </w:r>
          </w:p>
        </w:tc>
        <w:tc>
          <w:tcPr>
            <w:tcW w:w="1580" w:type="dxa"/>
            <w:vAlign w:val="bottom"/>
            <w:shd w:val="clear" w:color="auto" w:fill="112B4A"/>
          </w:tcPr>
          <w:p>
            <w:pPr>
              <w:jc w:val="right"/>
              <w:ind w:right="18"/>
              <w:spacing w:after="0"/>
              <w:rPr>
                <w:sz w:val="20"/>
                <w:szCs w:val="20"/>
                <w:color w:val="auto"/>
              </w:rPr>
            </w:pPr>
            <w:r>
              <w:rPr>
                <w:rFonts w:ascii="Arial" w:cs="Arial" w:eastAsia="Arial" w:hAnsi="Arial"/>
                <w:sz w:val="14"/>
                <w:szCs w:val="14"/>
                <w:b w:val="1"/>
                <w:bCs w:val="1"/>
                <w:color w:val="FFFFFF"/>
              </w:rPr>
              <w:t>Service Cost for</w:t>
            </w:r>
          </w:p>
        </w:tc>
        <w:tc>
          <w:tcPr>
            <w:tcW w:w="1640" w:type="dxa"/>
            <w:vAlign w:val="bottom"/>
            <w:shd w:val="clear" w:color="auto" w:fill="112B4A"/>
          </w:tcPr>
          <w:p>
            <w:pPr>
              <w:jc w:val="right"/>
              <w:ind w:right="137"/>
              <w:spacing w:after="0"/>
              <w:rPr>
                <w:sz w:val="20"/>
                <w:szCs w:val="20"/>
                <w:color w:val="auto"/>
              </w:rPr>
            </w:pPr>
            <w:r>
              <w:rPr>
                <w:rFonts w:ascii="Arial" w:cs="Arial" w:eastAsia="Arial" w:hAnsi="Arial"/>
                <w:sz w:val="14"/>
                <w:szCs w:val="14"/>
                <w:b w:val="1"/>
                <w:bCs w:val="1"/>
                <w:color w:val="FFFFFF"/>
              </w:rPr>
              <w:t>Inclusion of Equity</w:t>
            </w:r>
          </w:p>
        </w:tc>
        <w:tc>
          <w:tcPr>
            <w:tcW w:w="1500" w:type="dxa"/>
            <w:vAlign w:val="bottom"/>
            <w:shd w:val="clear" w:color="auto" w:fill="112B4A"/>
          </w:tcPr>
          <w:p>
            <w:pPr>
              <w:jc w:val="right"/>
              <w:ind w:right="95"/>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1700" w:type="dxa"/>
            <w:vAlign w:val="bottom"/>
            <w:shd w:val="clear" w:color="auto" w:fill="112B4A"/>
          </w:tcPr>
          <w:p>
            <w:pPr>
              <w:spacing w:after="0"/>
              <w:rPr>
                <w:sz w:val="14"/>
                <w:szCs w:val="14"/>
                <w:color w:val="auto"/>
              </w:rPr>
            </w:pP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Total for Terrence A.</w:t>
            </w:r>
          </w:p>
        </w:tc>
        <w:tc>
          <w:tcPr>
            <w:tcW w:w="15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in Pension Value for</w:t>
            </w: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Awards for Terrence</w:t>
            </w:r>
          </w:p>
        </w:tc>
        <w:tc>
          <w:tcPr>
            <w:tcW w:w="1580" w:type="dxa"/>
            <w:vAlign w:val="bottom"/>
            <w:shd w:val="clear" w:color="auto" w:fill="112B4A"/>
          </w:tcPr>
          <w:p>
            <w:pPr>
              <w:jc w:val="right"/>
              <w:ind w:right="58"/>
              <w:spacing w:after="0"/>
              <w:rPr>
                <w:sz w:val="20"/>
                <w:szCs w:val="20"/>
                <w:color w:val="auto"/>
              </w:rPr>
            </w:pPr>
            <w:r>
              <w:rPr>
                <w:rFonts w:ascii="Arial" w:cs="Arial" w:eastAsia="Arial" w:hAnsi="Arial"/>
                <w:sz w:val="14"/>
                <w:szCs w:val="14"/>
                <w:b w:val="1"/>
                <w:bCs w:val="1"/>
                <w:color w:val="FFFFFF"/>
              </w:rPr>
              <w:t>Terrence A. Duffy</w:t>
            </w:r>
          </w:p>
        </w:tc>
        <w:tc>
          <w:tcPr>
            <w:tcW w:w="1640" w:type="dxa"/>
            <w:vAlign w:val="bottom"/>
            <w:shd w:val="clear" w:color="auto" w:fill="112B4A"/>
          </w:tcPr>
          <w:p>
            <w:pPr>
              <w:jc w:val="right"/>
              <w:ind w:right="137"/>
              <w:spacing w:after="0"/>
              <w:rPr>
                <w:sz w:val="20"/>
                <w:szCs w:val="20"/>
                <w:color w:val="auto"/>
              </w:rPr>
            </w:pPr>
            <w:r>
              <w:rPr>
                <w:rFonts w:ascii="Arial" w:cs="Arial" w:eastAsia="Arial" w:hAnsi="Arial"/>
                <w:sz w:val="14"/>
                <w:szCs w:val="14"/>
                <w:b w:val="1"/>
                <w:bCs w:val="1"/>
                <w:color w:val="FFFFFF"/>
              </w:rPr>
              <w:t>Values for Terrence</w:t>
            </w:r>
          </w:p>
        </w:tc>
        <w:tc>
          <w:tcPr>
            <w:tcW w:w="1500" w:type="dxa"/>
            <w:vAlign w:val="bottom"/>
            <w:shd w:val="clear" w:color="auto" w:fill="112B4A"/>
          </w:tcPr>
          <w:p>
            <w:pPr>
              <w:jc w:val="right"/>
              <w:ind w:right="95"/>
              <w:spacing w:after="0"/>
              <w:rPr>
                <w:sz w:val="20"/>
                <w:szCs w:val="20"/>
                <w:color w:val="auto"/>
              </w:rPr>
            </w:pPr>
            <w:r>
              <w:rPr>
                <w:rFonts w:ascii="Arial" w:cs="Arial" w:eastAsia="Arial" w:hAnsi="Arial"/>
                <w:sz w:val="14"/>
                <w:szCs w:val="14"/>
                <w:b w:val="1"/>
                <w:bCs w:val="1"/>
                <w:color w:val="FFFFFF"/>
              </w:rPr>
              <w:t>Actually Paid to</w:t>
            </w:r>
          </w:p>
        </w:tc>
      </w:tr>
      <w:tr>
        <w:trPr>
          <w:trHeight w:val="196"/>
        </w:trPr>
        <w:tc>
          <w:tcPr>
            <w:tcW w:w="1700" w:type="dxa"/>
            <w:vAlign w:val="bottom"/>
            <w:shd w:val="clear" w:color="auto" w:fill="112B4A"/>
          </w:tcPr>
          <w:p>
            <w:pPr>
              <w:jc w:val="right"/>
              <w:ind w:right="613"/>
              <w:spacing w:after="0"/>
              <w:rPr>
                <w:sz w:val="20"/>
                <w:szCs w:val="20"/>
                <w:color w:val="auto"/>
              </w:rPr>
            </w:pPr>
            <w:r>
              <w:rPr>
                <w:rFonts w:ascii="Arial" w:cs="Arial" w:eastAsia="Arial" w:hAnsi="Arial"/>
                <w:sz w:val="14"/>
                <w:szCs w:val="14"/>
                <w:b w:val="1"/>
                <w:bCs w:val="1"/>
                <w:color w:val="FFFFFF"/>
              </w:rPr>
              <w:t>Year</w:t>
            </w: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Duffy ($)</w:t>
            </w:r>
          </w:p>
        </w:tc>
        <w:tc>
          <w:tcPr>
            <w:tcW w:w="15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Terrence A. Duffy ($)</w:t>
            </w:r>
          </w:p>
        </w:tc>
        <w:tc>
          <w:tcPr>
            <w:tcW w:w="15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 Duffy ($)</w:t>
            </w:r>
          </w:p>
        </w:tc>
        <w:tc>
          <w:tcPr>
            <w:tcW w:w="1580" w:type="dxa"/>
            <w:vAlign w:val="bottom"/>
            <w:shd w:val="clear" w:color="auto" w:fill="112B4A"/>
          </w:tcPr>
          <w:p>
            <w:pPr>
              <w:jc w:val="right"/>
              <w:ind w:right="18"/>
              <w:spacing w:after="0"/>
              <w:rPr>
                <w:sz w:val="20"/>
                <w:szCs w:val="20"/>
                <w:color w:val="auto"/>
              </w:rPr>
            </w:pPr>
            <w:r>
              <w:rPr>
                <w:rFonts w:ascii="Arial" w:cs="Arial" w:eastAsia="Arial" w:hAnsi="Arial"/>
                <w:sz w:val="14"/>
                <w:szCs w:val="14"/>
                <w:b w:val="1"/>
                <w:bCs w:val="1"/>
                <w:color w:val="FFFFFF"/>
              </w:rPr>
              <w:t>($)</w:t>
            </w:r>
          </w:p>
        </w:tc>
        <w:tc>
          <w:tcPr>
            <w:tcW w:w="3140" w:type="dxa"/>
            <w:vAlign w:val="bottom"/>
            <w:gridSpan w:val="2"/>
            <w:shd w:val="clear" w:color="auto" w:fill="112B4A"/>
          </w:tcPr>
          <w:p>
            <w:pPr>
              <w:jc w:val="right"/>
              <w:ind w:right="95"/>
              <w:spacing w:after="0"/>
              <w:rPr>
                <w:sz w:val="20"/>
                <w:szCs w:val="20"/>
                <w:color w:val="auto"/>
              </w:rPr>
            </w:pPr>
            <w:r>
              <w:rPr>
                <w:rFonts w:ascii="Arial" w:cs="Arial" w:eastAsia="Arial" w:hAnsi="Arial"/>
                <w:sz w:val="14"/>
                <w:szCs w:val="14"/>
                <w:b w:val="1"/>
                <w:bCs w:val="1"/>
                <w:color w:val="FFFFFF"/>
              </w:rPr>
              <w:t>A. Duffy ($)  Terrence A. Duffy ($)</w:t>
            </w:r>
          </w:p>
        </w:tc>
      </w:tr>
      <w:tr>
        <w:trPr>
          <w:trHeight w:val="124"/>
        </w:trPr>
        <w:tc>
          <w:tcPr>
            <w:tcW w:w="1700" w:type="dxa"/>
            <w:vAlign w:val="bottom"/>
            <w:shd w:val="clear" w:color="auto" w:fill="112B4A"/>
          </w:tcPr>
          <w:p>
            <w:pPr>
              <w:spacing w:after="0"/>
              <w:rPr>
                <w:sz w:val="10"/>
                <w:szCs w:val="10"/>
                <w:color w:val="auto"/>
              </w:rPr>
            </w:pPr>
          </w:p>
        </w:tc>
        <w:tc>
          <w:tcPr>
            <w:tcW w:w="1520" w:type="dxa"/>
            <w:vAlign w:val="bottom"/>
            <w:shd w:val="clear" w:color="auto" w:fill="112B4A"/>
          </w:tcPr>
          <w:p>
            <w:pPr>
              <w:spacing w:after="0"/>
              <w:rPr>
                <w:sz w:val="10"/>
                <w:szCs w:val="10"/>
                <w:color w:val="auto"/>
              </w:rPr>
            </w:pPr>
          </w:p>
        </w:tc>
        <w:tc>
          <w:tcPr>
            <w:tcW w:w="1580" w:type="dxa"/>
            <w:vAlign w:val="bottom"/>
            <w:shd w:val="clear" w:color="auto" w:fill="112B4A"/>
          </w:tcPr>
          <w:p>
            <w:pPr>
              <w:spacing w:after="0"/>
              <w:rPr>
                <w:sz w:val="10"/>
                <w:szCs w:val="10"/>
                <w:color w:val="auto"/>
              </w:rPr>
            </w:pPr>
          </w:p>
        </w:tc>
        <w:tc>
          <w:tcPr>
            <w:tcW w:w="1520" w:type="dxa"/>
            <w:vAlign w:val="bottom"/>
            <w:shd w:val="clear" w:color="auto" w:fill="112B4A"/>
          </w:tcPr>
          <w:p>
            <w:pPr>
              <w:spacing w:after="0"/>
              <w:rPr>
                <w:sz w:val="10"/>
                <w:szCs w:val="10"/>
                <w:color w:val="auto"/>
              </w:rPr>
            </w:pPr>
          </w:p>
        </w:tc>
        <w:tc>
          <w:tcPr>
            <w:tcW w:w="1580" w:type="dxa"/>
            <w:vAlign w:val="bottom"/>
            <w:shd w:val="clear" w:color="auto" w:fill="112B4A"/>
          </w:tcPr>
          <w:p>
            <w:pPr>
              <w:spacing w:after="0"/>
              <w:rPr>
                <w:sz w:val="10"/>
                <w:szCs w:val="10"/>
                <w:color w:val="auto"/>
              </w:rPr>
            </w:pPr>
          </w:p>
        </w:tc>
        <w:tc>
          <w:tcPr>
            <w:tcW w:w="1640" w:type="dxa"/>
            <w:vAlign w:val="bottom"/>
            <w:shd w:val="clear" w:color="auto" w:fill="112B4A"/>
          </w:tcPr>
          <w:p>
            <w:pPr>
              <w:spacing w:after="0"/>
              <w:rPr>
                <w:sz w:val="10"/>
                <w:szCs w:val="10"/>
                <w:color w:val="auto"/>
              </w:rPr>
            </w:pPr>
          </w:p>
        </w:tc>
        <w:tc>
          <w:tcPr>
            <w:tcW w:w="1500" w:type="dxa"/>
            <w:vAlign w:val="bottom"/>
            <w:shd w:val="clear" w:color="auto" w:fill="112B4A"/>
          </w:tcPr>
          <w:p>
            <w:pPr>
              <w:spacing w:after="0"/>
              <w:rPr>
                <w:sz w:val="10"/>
                <w:szCs w:val="10"/>
                <w:color w:val="auto"/>
              </w:rPr>
            </w:pPr>
          </w:p>
        </w:tc>
      </w:tr>
      <w:tr>
        <w:trPr>
          <w:trHeight w:val="229"/>
        </w:trPr>
        <w:tc>
          <w:tcPr>
            <w:tcW w:w="1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23,945,589</w:t>
            </w:r>
          </w:p>
        </w:tc>
        <w:tc>
          <w:tcPr>
            <w:tcW w:w="15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(58,832)</w:t>
            </w:r>
          </w:p>
        </w:tc>
        <w:tc>
          <w:tcPr>
            <w:tcW w:w="1520" w:type="dxa"/>
            <w:vAlign w:val="bottom"/>
            <w:tcBorders>
              <w:bottom w:val="single" w:sz="8" w:color="25A9E0"/>
            </w:tcBorders>
          </w:tcPr>
          <w:p>
            <w:pPr>
              <w:ind w:left="540"/>
              <w:spacing w:after="0"/>
              <w:rPr>
                <w:sz w:val="20"/>
                <w:szCs w:val="20"/>
                <w:color w:val="auto"/>
              </w:rPr>
            </w:pPr>
            <w:r>
              <w:rPr>
                <w:rFonts w:ascii="Times New Roman" w:cs="Times New Roman" w:eastAsia="Times New Roman" w:hAnsi="Times New Roman"/>
                <w:sz w:val="18"/>
                <w:szCs w:val="18"/>
                <w:color w:val="auto"/>
              </w:rPr>
              <w:t>(13,512,333)</w:t>
            </w:r>
          </w:p>
        </w:tc>
        <w:tc>
          <w:tcPr>
            <w:tcW w:w="1580" w:type="dxa"/>
            <w:vAlign w:val="bottom"/>
            <w:tcBorders>
              <w:bottom w:val="single" w:sz="8" w:color="25A9E0"/>
            </w:tcBorders>
          </w:tcPr>
          <w:p>
            <w:pPr>
              <w:jc w:val="right"/>
              <w:ind w:right="18"/>
              <w:spacing w:after="0"/>
              <w:rPr>
                <w:sz w:val="20"/>
                <w:szCs w:val="20"/>
                <w:color w:val="auto"/>
              </w:rPr>
            </w:pPr>
            <w:r>
              <w:rPr>
                <w:rFonts w:ascii="Times New Roman" w:cs="Times New Roman" w:eastAsia="Times New Roman" w:hAnsi="Times New Roman"/>
                <w:sz w:val="18"/>
                <w:szCs w:val="18"/>
                <w:color w:val="auto"/>
              </w:rPr>
              <w:t>26,185</w:t>
            </w:r>
          </w:p>
        </w:tc>
        <w:tc>
          <w:tcPr>
            <w:tcW w:w="1640" w:type="dxa"/>
            <w:vAlign w:val="bottom"/>
            <w:tcBorders>
              <w:bottom w:val="single" w:sz="8" w:color="25A9E0"/>
            </w:tcBorders>
          </w:tcPr>
          <w:p>
            <w:pPr>
              <w:jc w:val="right"/>
              <w:ind w:right="137"/>
              <w:spacing w:after="0"/>
              <w:rPr>
                <w:sz w:val="20"/>
                <w:szCs w:val="20"/>
                <w:color w:val="auto"/>
              </w:rPr>
            </w:pPr>
            <w:r>
              <w:rPr>
                <w:rFonts w:ascii="Times New Roman" w:cs="Times New Roman" w:eastAsia="Times New Roman" w:hAnsi="Times New Roman"/>
                <w:sz w:val="18"/>
                <w:szCs w:val="18"/>
                <w:color w:val="auto"/>
              </w:rPr>
              <w:t>16,413,217</w:t>
            </w:r>
          </w:p>
        </w:tc>
        <w:tc>
          <w:tcPr>
            <w:tcW w:w="1500" w:type="dxa"/>
            <w:vAlign w:val="bottom"/>
            <w:tcBorders>
              <w:bottom w:val="single" w:sz="8" w:color="25A9E0"/>
            </w:tcBorders>
          </w:tcPr>
          <w:p>
            <w:pPr>
              <w:jc w:val="right"/>
              <w:ind w:right="95"/>
              <w:spacing w:after="0"/>
              <w:rPr>
                <w:sz w:val="20"/>
                <w:szCs w:val="20"/>
                <w:color w:val="auto"/>
              </w:rPr>
            </w:pPr>
            <w:r>
              <w:rPr>
                <w:rFonts w:ascii="Times New Roman" w:cs="Times New Roman" w:eastAsia="Times New Roman" w:hAnsi="Times New Roman"/>
                <w:sz w:val="18"/>
                <w:szCs w:val="18"/>
                <w:color w:val="auto"/>
              </w:rPr>
              <w:t>26,813,826</w:t>
            </w:r>
          </w:p>
        </w:tc>
      </w:tr>
      <w:tr>
        <w:trPr>
          <w:trHeight w:val="223"/>
        </w:trPr>
        <w:tc>
          <w:tcPr>
            <w:tcW w:w="1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23,468,000</w:t>
            </w:r>
          </w:p>
        </w:tc>
        <w:tc>
          <w:tcPr>
            <w:tcW w:w="15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1520" w:type="dxa"/>
            <w:vAlign w:val="bottom"/>
            <w:tcBorders>
              <w:bottom w:val="single" w:sz="8" w:color="25A9E0"/>
            </w:tcBorders>
          </w:tcPr>
          <w:p>
            <w:pPr>
              <w:ind w:left="540"/>
              <w:spacing w:after="0"/>
              <w:rPr>
                <w:sz w:val="20"/>
                <w:szCs w:val="20"/>
                <w:color w:val="auto"/>
              </w:rPr>
            </w:pPr>
            <w:r>
              <w:rPr>
                <w:rFonts w:ascii="Times New Roman" w:cs="Times New Roman" w:eastAsia="Times New Roman" w:hAnsi="Times New Roman"/>
                <w:sz w:val="18"/>
                <w:szCs w:val="18"/>
                <w:color w:val="auto"/>
              </w:rPr>
              <w:t>(12,594,380)</w:t>
            </w:r>
          </w:p>
        </w:tc>
        <w:tc>
          <w:tcPr>
            <w:tcW w:w="1580" w:type="dxa"/>
            <w:vAlign w:val="bottom"/>
            <w:tcBorders>
              <w:bottom w:val="single" w:sz="8" w:color="25A9E0"/>
            </w:tcBorders>
          </w:tcPr>
          <w:p>
            <w:pPr>
              <w:jc w:val="right"/>
              <w:ind w:right="18"/>
              <w:spacing w:after="0"/>
              <w:rPr>
                <w:sz w:val="20"/>
                <w:szCs w:val="20"/>
                <w:color w:val="auto"/>
              </w:rPr>
            </w:pPr>
            <w:r>
              <w:rPr>
                <w:rFonts w:ascii="Times New Roman" w:cs="Times New Roman" w:eastAsia="Times New Roman" w:hAnsi="Times New Roman"/>
                <w:sz w:val="18"/>
                <w:szCs w:val="18"/>
                <w:color w:val="auto"/>
              </w:rPr>
              <w:t>24,427</w:t>
            </w:r>
          </w:p>
        </w:tc>
        <w:tc>
          <w:tcPr>
            <w:tcW w:w="1640" w:type="dxa"/>
            <w:vAlign w:val="bottom"/>
            <w:tcBorders>
              <w:bottom w:val="single" w:sz="8" w:color="25A9E0"/>
            </w:tcBorders>
          </w:tcPr>
          <w:p>
            <w:pPr>
              <w:jc w:val="right"/>
              <w:ind w:right="137"/>
              <w:spacing w:after="0"/>
              <w:rPr>
                <w:sz w:val="20"/>
                <w:szCs w:val="20"/>
                <w:color w:val="auto"/>
              </w:rPr>
            </w:pPr>
            <w:r>
              <w:rPr>
                <w:rFonts w:ascii="Times New Roman" w:cs="Times New Roman" w:eastAsia="Times New Roman" w:hAnsi="Times New Roman"/>
                <w:sz w:val="18"/>
                <w:szCs w:val="18"/>
                <w:color w:val="auto"/>
              </w:rPr>
              <w:t>23,332,380</w:t>
            </w:r>
          </w:p>
        </w:tc>
        <w:tc>
          <w:tcPr>
            <w:tcW w:w="1500" w:type="dxa"/>
            <w:vAlign w:val="bottom"/>
            <w:tcBorders>
              <w:bottom w:val="single" w:sz="8" w:color="25A9E0"/>
            </w:tcBorders>
          </w:tcPr>
          <w:p>
            <w:pPr>
              <w:jc w:val="right"/>
              <w:ind w:right="95"/>
              <w:spacing w:after="0"/>
              <w:rPr>
                <w:sz w:val="20"/>
                <w:szCs w:val="20"/>
                <w:color w:val="auto"/>
              </w:rPr>
            </w:pPr>
            <w:r>
              <w:rPr>
                <w:rFonts w:ascii="Times New Roman" w:cs="Times New Roman" w:eastAsia="Times New Roman" w:hAnsi="Times New Roman"/>
                <w:sz w:val="18"/>
                <w:szCs w:val="18"/>
                <w:color w:val="auto"/>
              </w:rPr>
              <w:t>34,175,281</w:t>
            </w:r>
          </w:p>
        </w:tc>
      </w:tr>
      <w:tr>
        <w:trPr>
          <w:trHeight w:val="223"/>
        </w:trPr>
        <w:tc>
          <w:tcPr>
            <w:tcW w:w="1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22,943,077</w:t>
            </w:r>
          </w:p>
        </w:tc>
        <w:tc>
          <w:tcPr>
            <w:tcW w:w="15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1520" w:type="dxa"/>
            <w:vAlign w:val="bottom"/>
            <w:tcBorders>
              <w:bottom w:val="single" w:sz="8" w:color="25A9E0"/>
            </w:tcBorders>
          </w:tcPr>
          <w:p>
            <w:pPr>
              <w:ind w:left="520"/>
              <w:spacing w:after="0"/>
              <w:rPr>
                <w:sz w:val="20"/>
                <w:szCs w:val="20"/>
                <w:color w:val="auto"/>
              </w:rPr>
            </w:pPr>
            <w:r>
              <w:rPr>
                <w:rFonts w:ascii="Times New Roman" w:cs="Times New Roman" w:eastAsia="Times New Roman" w:hAnsi="Times New Roman"/>
                <w:sz w:val="18"/>
                <w:szCs w:val="18"/>
                <w:color w:val="auto"/>
              </w:rPr>
              <w:t>(12,530,269)</w:t>
            </w:r>
          </w:p>
        </w:tc>
        <w:tc>
          <w:tcPr>
            <w:tcW w:w="1580" w:type="dxa"/>
            <w:vAlign w:val="bottom"/>
            <w:tcBorders>
              <w:bottom w:val="single" w:sz="8" w:color="25A9E0"/>
            </w:tcBorders>
          </w:tcPr>
          <w:p>
            <w:pPr>
              <w:jc w:val="right"/>
              <w:ind w:right="78"/>
              <w:spacing w:after="0"/>
              <w:rPr>
                <w:sz w:val="20"/>
                <w:szCs w:val="20"/>
                <w:color w:val="auto"/>
              </w:rPr>
            </w:pPr>
            <w:r>
              <w:rPr>
                <w:rFonts w:ascii="Times New Roman" w:cs="Times New Roman" w:eastAsia="Times New Roman" w:hAnsi="Times New Roman"/>
                <w:sz w:val="18"/>
                <w:szCs w:val="18"/>
                <w:color w:val="auto"/>
              </w:rPr>
              <w:t>25,060</w:t>
            </w:r>
          </w:p>
        </w:tc>
        <w:tc>
          <w:tcPr>
            <w:tcW w:w="1640" w:type="dxa"/>
            <w:vAlign w:val="bottom"/>
            <w:tcBorders>
              <w:bottom w:val="single" w:sz="8" w:color="25A9E0"/>
            </w:tcBorders>
          </w:tcPr>
          <w:p>
            <w:pPr>
              <w:jc w:val="right"/>
              <w:ind w:right="197"/>
              <w:spacing w:after="0"/>
              <w:rPr>
                <w:sz w:val="20"/>
                <w:szCs w:val="20"/>
                <w:color w:val="auto"/>
              </w:rPr>
            </w:pPr>
            <w:r>
              <w:rPr>
                <w:rFonts w:ascii="Times New Roman" w:cs="Times New Roman" w:eastAsia="Times New Roman" w:hAnsi="Times New Roman"/>
                <w:sz w:val="18"/>
                <w:szCs w:val="18"/>
                <w:color w:val="auto"/>
              </w:rPr>
              <w:t>2,070,200</w:t>
            </w:r>
          </w:p>
        </w:tc>
        <w:tc>
          <w:tcPr>
            <w:tcW w:w="150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12,471,976</w:t>
            </w:r>
          </w:p>
        </w:tc>
      </w:tr>
      <w:tr>
        <w:trPr>
          <w:trHeight w:val="223"/>
        </w:trPr>
        <w:tc>
          <w:tcPr>
            <w:tcW w:w="1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5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22,924,737</w:t>
            </w:r>
          </w:p>
        </w:tc>
        <w:tc>
          <w:tcPr>
            <w:tcW w:w="15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1520" w:type="dxa"/>
            <w:vAlign w:val="bottom"/>
            <w:tcBorders>
              <w:bottom w:val="single" w:sz="8" w:color="25A9E0"/>
            </w:tcBorders>
          </w:tcPr>
          <w:p>
            <w:pPr>
              <w:ind w:left="540"/>
              <w:spacing w:after="0"/>
              <w:rPr>
                <w:sz w:val="20"/>
                <w:szCs w:val="20"/>
                <w:color w:val="auto"/>
              </w:rPr>
            </w:pPr>
            <w:r>
              <w:rPr>
                <w:rFonts w:ascii="Times New Roman" w:cs="Times New Roman" w:eastAsia="Times New Roman" w:hAnsi="Times New Roman"/>
                <w:sz w:val="18"/>
                <w:szCs w:val="18"/>
                <w:color w:val="auto"/>
              </w:rPr>
              <w:t>(11,563,324)</w:t>
            </w:r>
          </w:p>
        </w:tc>
        <w:tc>
          <w:tcPr>
            <w:tcW w:w="1580" w:type="dxa"/>
            <w:vAlign w:val="bottom"/>
            <w:tcBorders>
              <w:bottom w:val="single" w:sz="8" w:color="25A9E0"/>
            </w:tcBorders>
          </w:tcPr>
          <w:p>
            <w:pPr>
              <w:jc w:val="right"/>
              <w:ind w:right="78"/>
              <w:spacing w:after="0"/>
              <w:rPr>
                <w:sz w:val="20"/>
                <w:szCs w:val="20"/>
                <w:color w:val="auto"/>
              </w:rPr>
            </w:pPr>
            <w:r>
              <w:rPr>
                <w:rFonts w:ascii="Times New Roman" w:cs="Times New Roman" w:eastAsia="Times New Roman" w:hAnsi="Times New Roman"/>
                <w:sz w:val="18"/>
                <w:szCs w:val="18"/>
                <w:color w:val="auto"/>
              </w:rPr>
              <w:t>24,198</w:t>
            </w:r>
          </w:p>
        </w:tc>
        <w:tc>
          <w:tcPr>
            <w:tcW w:w="1640" w:type="dxa"/>
            <w:vAlign w:val="bottom"/>
            <w:tcBorders>
              <w:bottom w:val="single" w:sz="8" w:color="25A9E0"/>
            </w:tcBorders>
          </w:tcPr>
          <w:p>
            <w:pPr>
              <w:jc w:val="right"/>
              <w:ind w:right="197"/>
              <w:spacing w:after="0"/>
              <w:rPr>
                <w:sz w:val="20"/>
                <w:szCs w:val="20"/>
                <w:color w:val="auto"/>
              </w:rPr>
            </w:pPr>
            <w:r>
              <w:rPr>
                <w:rFonts w:ascii="Times New Roman" w:cs="Times New Roman" w:eastAsia="Times New Roman" w:hAnsi="Times New Roman"/>
                <w:sz w:val="18"/>
                <w:szCs w:val="18"/>
                <w:color w:val="auto"/>
              </w:rPr>
              <w:t>15,541,596</w:t>
            </w:r>
          </w:p>
        </w:tc>
        <w:tc>
          <w:tcPr>
            <w:tcW w:w="1500" w:type="dxa"/>
            <w:vAlign w:val="bottom"/>
            <w:tcBorders>
              <w:bottom w:val="single" w:sz="8" w:color="25A9E0"/>
            </w:tcBorders>
          </w:tcPr>
          <w:p>
            <w:pPr>
              <w:jc w:val="right"/>
              <w:ind w:right="155"/>
              <w:spacing w:after="0"/>
              <w:rPr>
                <w:sz w:val="20"/>
                <w:szCs w:val="20"/>
                <w:color w:val="auto"/>
              </w:rPr>
            </w:pPr>
            <w:r>
              <w:rPr>
                <w:rFonts w:ascii="Times New Roman" w:cs="Times New Roman" w:eastAsia="Times New Roman" w:hAnsi="Times New Roman"/>
                <w:sz w:val="18"/>
                <w:szCs w:val="18"/>
                <w:color w:val="auto"/>
              </w:rPr>
              <w:t>26,891,265</w:t>
            </w:r>
          </w:p>
        </w:tc>
      </w:tr>
      <w:tr>
        <w:trPr>
          <w:trHeight w:val="223"/>
        </w:trPr>
        <w:tc>
          <w:tcPr>
            <w:tcW w:w="170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52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16,118,467</w:t>
            </w:r>
          </w:p>
        </w:tc>
        <w:tc>
          <w:tcPr>
            <w:tcW w:w="158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(45,422)</w:t>
            </w:r>
          </w:p>
        </w:tc>
        <w:tc>
          <w:tcPr>
            <w:tcW w:w="1520" w:type="dxa"/>
            <w:vAlign w:val="bottom"/>
            <w:tcBorders>
              <w:bottom w:val="single" w:sz="8" w:color="112B4A"/>
            </w:tcBorders>
          </w:tcPr>
          <w:p>
            <w:pPr>
              <w:ind w:left="520"/>
              <w:spacing w:after="0"/>
              <w:rPr>
                <w:sz w:val="20"/>
                <w:szCs w:val="20"/>
                <w:color w:val="auto"/>
              </w:rPr>
            </w:pPr>
            <w:r>
              <w:rPr>
                <w:rFonts w:ascii="Times New Roman" w:cs="Times New Roman" w:eastAsia="Times New Roman" w:hAnsi="Times New Roman"/>
                <w:sz w:val="18"/>
                <w:szCs w:val="18"/>
                <w:color w:val="auto"/>
              </w:rPr>
              <w:t>(10,933,603)</w:t>
            </w:r>
          </w:p>
        </w:tc>
        <w:tc>
          <w:tcPr>
            <w:tcW w:w="1580" w:type="dxa"/>
            <w:vAlign w:val="bottom"/>
            <w:tcBorders>
              <w:bottom w:val="single" w:sz="8" w:color="112B4A"/>
            </w:tcBorders>
          </w:tcPr>
          <w:p>
            <w:pPr>
              <w:jc w:val="right"/>
              <w:ind w:right="78"/>
              <w:spacing w:after="0"/>
              <w:rPr>
                <w:sz w:val="20"/>
                <w:szCs w:val="20"/>
                <w:color w:val="auto"/>
              </w:rPr>
            </w:pPr>
            <w:r>
              <w:rPr>
                <w:rFonts w:ascii="Times New Roman" w:cs="Times New Roman" w:eastAsia="Times New Roman" w:hAnsi="Times New Roman"/>
                <w:sz w:val="18"/>
                <w:szCs w:val="18"/>
                <w:color w:val="auto"/>
              </w:rPr>
              <w:t>23,466</w:t>
            </w:r>
          </w:p>
        </w:tc>
        <w:tc>
          <w:tcPr>
            <w:tcW w:w="1640" w:type="dxa"/>
            <w:vAlign w:val="bottom"/>
            <w:tcBorders>
              <w:bottom w:val="single" w:sz="8" w:color="112B4A"/>
            </w:tcBorders>
          </w:tcPr>
          <w:p>
            <w:pPr>
              <w:jc w:val="right"/>
              <w:ind w:right="197"/>
              <w:spacing w:after="0"/>
              <w:rPr>
                <w:sz w:val="20"/>
                <w:szCs w:val="20"/>
                <w:color w:val="auto"/>
              </w:rPr>
            </w:pPr>
            <w:r>
              <w:rPr>
                <w:rFonts w:ascii="Times New Roman" w:cs="Times New Roman" w:eastAsia="Times New Roman" w:hAnsi="Times New Roman"/>
                <w:sz w:val="18"/>
                <w:szCs w:val="18"/>
                <w:color w:val="auto"/>
              </w:rPr>
              <w:t>6,952,159</w:t>
            </w:r>
          </w:p>
        </w:tc>
        <w:tc>
          <w:tcPr>
            <w:tcW w:w="1500" w:type="dxa"/>
            <w:vAlign w:val="bottom"/>
            <w:tcBorders>
              <w:bottom w:val="single" w:sz="8" w:color="112B4A"/>
            </w:tcBorders>
          </w:tcPr>
          <w:p>
            <w:pPr>
              <w:jc w:val="right"/>
              <w:ind w:right="155"/>
              <w:spacing w:after="0"/>
              <w:rPr>
                <w:sz w:val="20"/>
                <w:szCs w:val="20"/>
                <w:color w:val="auto"/>
              </w:rPr>
            </w:pPr>
            <w:r>
              <w:rPr>
                <w:rFonts w:ascii="Times New Roman" w:cs="Times New Roman" w:eastAsia="Times New Roman" w:hAnsi="Times New Roman"/>
                <w:sz w:val="18"/>
                <w:szCs w:val="18"/>
                <w:color w:val="auto"/>
              </w:rPr>
              <w:t>12,115,067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642"/>
        </w:trPr>
        <w:tc>
          <w:tcPr>
            <w:tcW w:w="102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316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4"/>
        </w:trPr>
        <w:tc>
          <w:tcPr>
            <w:tcW w:w="1020" w:type="dxa"/>
            <w:vAlign w:val="bottom"/>
            <w:shd w:val="clear" w:color="auto" w:fill="112B4A"/>
          </w:tcPr>
          <w:p>
            <w:pPr>
              <w:spacing w:after="0"/>
              <w:rPr>
                <w:sz w:val="23"/>
                <w:szCs w:val="23"/>
                <w:color w:val="auto"/>
              </w:rPr>
            </w:pPr>
          </w:p>
        </w:tc>
        <w:tc>
          <w:tcPr>
            <w:tcW w:w="680" w:type="dxa"/>
            <w:vAlign w:val="bottom"/>
            <w:shd w:val="clear" w:color="auto" w:fill="112B4A"/>
          </w:tcPr>
          <w:p>
            <w:pPr>
              <w:spacing w:after="0"/>
              <w:rPr>
                <w:sz w:val="23"/>
                <w:szCs w:val="23"/>
                <w:color w:val="auto"/>
              </w:rPr>
            </w:pP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Summary</w:t>
            </w:r>
          </w:p>
        </w:tc>
        <w:tc>
          <w:tcPr>
            <w:tcW w:w="1620" w:type="dxa"/>
            <w:vAlign w:val="bottom"/>
            <w:shd w:val="clear" w:color="auto" w:fill="112B4A"/>
          </w:tcPr>
          <w:p>
            <w:pPr>
              <w:jc w:val="right"/>
              <w:ind w:right="38"/>
              <w:spacing w:after="0"/>
              <w:rPr>
                <w:sz w:val="20"/>
                <w:szCs w:val="20"/>
                <w:color w:val="auto"/>
              </w:rPr>
            </w:pPr>
            <w:r>
              <w:rPr>
                <w:rFonts w:ascii="Arial" w:cs="Arial" w:eastAsia="Arial" w:hAnsi="Arial"/>
                <w:sz w:val="14"/>
                <w:szCs w:val="14"/>
                <w:b w:val="1"/>
                <w:bCs w:val="1"/>
                <w:color w:val="FFFFFF"/>
              </w:rPr>
              <w:t>Average Exclusion of</w:t>
            </w:r>
          </w:p>
        </w:tc>
        <w:tc>
          <w:tcPr>
            <w:tcW w:w="1460" w:type="dxa"/>
            <w:vAlign w:val="bottom"/>
            <w:shd w:val="clear" w:color="auto" w:fill="112B4A"/>
          </w:tcPr>
          <w:p>
            <w:pPr>
              <w:spacing w:after="0"/>
              <w:rPr>
                <w:sz w:val="23"/>
                <w:szCs w:val="23"/>
                <w:color w:val="auto"/>
              </w:rPr>
            </w:pP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Inclusion of</w:t>
            </w:r>
          </w:p>
        </w:tc>
        <w:tc>
          <w:tcPr>
            <w:tcW w:w="1500" w:type="dxa"/>
            <w:vAlign w:val="bottom"/>
            <w:shd w:val="clear" w:color="auto" w:fill="112B4A"/>
          </w:tcPr>
          <w:p>
            <w:pPr>
              <w:spacing w:after="0"/>
              <w:rPr>
                <w:sz w:val="23"/>
                <w:szCs w:val="23"/>
                <w:color w:val="auto"/>
              </w:rPr>
            </w:pPr>
          </w:p>
        </w:tc>
        <w:tc>
          <w:tcPr>
            <w:tcW w:w="168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Average</w:t>
            </w:r>
          </w:p>
        </w:tc>
      </w:tr>
      <w:tr>
        <w:trPr>
          <w:trHeight w:val="162"/>
        </w:trPr>
        <w:tc>
          <w:tcPr>
            <w:tcW w:w="1020" w:type="dxa"/>
            <w:vAlign w:val="bottom"/>
            <w:shd w:val="clear" w:color="auto" w:fill="112B4A"/>
          </w:tcPr>
          <w:p>
            <w:pPr>
              <w:spacing w:after="0"/>
              <w:rPr>
                <w:sz w:val="14"/>
                <w:szCs w:val="14"/>
                <w:color w:val="auto"/>
              </w:rPr>
            </w:pPr>
          </w:p>
        </w:tc>
        <w:tc>
          <w:tcPr>
            <w:tcW w:w="680" w:type="dxa"/>
            <w:vAlign w:val="bottom"/>
            <w:shd w:val="clear" w:color="auto" w:fill="112B4A"/>
          </w:tcPr>
          <w:p>
            <w:pPr>
              <w:spacing w:after="0"/>
              <w:rPr>
                <w:sz w:val="14"/>
                <w:szCs w:val="14"/>
                <w:color w:val="auto"/>
              </w:rPr>
            </w:pP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Compensation Table</w:t>
            </w:r>
          </w:p>
        </w:tc>
        <w:tc>
          <w:tcPr>
            <w:tcW w:w="4620" w:type="dxa"/>
            <w:vAlign w:val="bottom"/>
            <w:gridSpan w:val="3"/>
            <w:shd w:val="clear" w:color="auto" w:fill="112B4A"/>
          </w:tcPr>
          <w:p>
            <w:pPr>
              <w:jc w:val="right"/>
              <w:spacing w:after="0"/>
              <w:rPr>
                <w:sz w:val="20"/>
                <w:szCs w:val="20"/>
                <w:color w:val="auto"/>
              </w:rPr>
            </w:pPr>
            <w:r>
              <w:rPr>
                <w:rFonts w:ascii="Arial" w:cs="Arial" w:eastAsia="Arial" w:hAnsi="Arial"/>
                <w:sz w:val="14"/>
                <w:szCs w:val="14"/>
                <w:b w:val="1"/>
                <w:bCs w:val="1"/>
                <w:color w:val="FFFFFF"/>
              </w:rPr>
              <w:t>Change in Pension Average Exclusion of Pension Service Cost</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Inclusion of</w:t>
            </w:r>
          </w:p>
        </w:tc>
        <w:tc>
          <w:tcPr>
            <w:tcW w:w="168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1020" w:type="dxa"/>
            <w:vAlign w:val="bottom"/>
            <w:shd w:val="clear" w:color="auto" w:fill="112B4A"/>
          </w:tcPr>
          <w:p>
            <w:pPr>
              <w:spacing w:after="0"/>
              <w:rPr>
                <w:sz w:val="14"/>
                <w:szCs w:val="14"/>
                <w:color w:val="auto"/>
              </w:rPr>
            </w:pPr>
          </w:p>
        </w:tc>
        <w:tc>
          <w:tcPr>
            <w:tcW w:w="680" w:type="dxa"/>
            <w:vAlign w:val="bottom"/>
            <w:shd w:val="clear" w:color="auto" w:fill="112B4A"/>
          </w:tcPr>
          <w:p>
            <w:pPr>
              <w:spacing w:after="0"/>
              <w:rPr>
                <w:sz w:val="14"/>
                <w:szCs w:val="14"/>
                <w:color w:val="auto"/>
              </w:rPr>
            </w:pP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Total for Non-PEO</w:t>
            </w:r>
          </w:p>
        </w:tc>
        <w:tc>
          <w:tcPr>
            <w:tcW w:w="1620" w:type="dxa"/>
            <w:vAlign w:val="bottom"/>
            <w:shd w:val="clear" w:color="auto" w:fill="112B4A"/>
          </w:tcPr>
          <w:p>
            <w:pPr>
              <w:jc w:val="right"/>
              <w:ind w:right="38"/>
              <w:spacing w:after="0"/>
              <w:rPr>
                <w:sz w:val="20"/>
                <w:szCs w:val="20"/>
                <w:color w:val="auto"/>
              </w:rPr>
            </w:pPr>
            <w:r>
              <w:rPr>
                <w:rFonts w:ascii="Arial" w:cs="Arial" w:eastAsia="Arial" w:hAnsi="Arial"/>
                <w:sz w:val="14"/>
                <w:szCs w:val="14"/>
                <w:b w:val="1"/>
                <w:bCs w:val="1"/>
                <w:color w:val="FFFFFF"/>
              </w:rPr>
              <w:t>Value for Non-PEO</w:t>
            </w:r>
          </w:p>
        </w:tc>
        <w:tc>
          <w:tcPr>
            <w:tcW w:w="14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Stock Awards for</w:t>
            </w: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for Non-PEO NEOs</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Equity Values for</w:t>
            </w:r>
          </w:p>
        </w:tc>
        <w:tc>
          <w:tcPr>
            <w:tcW w:w="168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Actually Paid to Non-</w:t>
            </w:r>
          </w:p>
        </w:tc>
      </w:tr>
      <w:tr>
        <w:trPr>
          <w:trHeight w:val="196"/>
        </w:trPr>
        <w:tc>
          <w:tcPr>
            <w:tcW w:w="1700" w:type="dxa"/>
            <w:vAlign w:val="bottom"/>
            <w:gridSpan w:val="2"/>
            <w:shd w:val="clear" w:color="auto" w:fill="112B4A"/>
          </w:tcPr>
          <w:p>
            <w:pPr>
              <w:jc w:val="right"/>
              <w:ind w:right="680"/>
              <w:spacing w:after="0"/>
              <w:rPr>
                <w:sz w:val="20"/>
                <w:szCs w:val="20"/>
                <w:color w:val="auto"/>
              </w:rPr>
            </w:pPr>
            <w:r>
              <w:rPr>
                <w:rFonts w:ascii="Arial" w:cs="Arial" w:eastAsia="Arial" w:hAnsi="Arial"/>
                <w:sz w:val="14"/>
                <w:szCs w:val="14"/>
                <w:b w:val="1"/>
                <w:bCs w:val="1"/>
                <w:color w:val="FFFFFF"/>
              </w:rPr>
              <w:t>Year</w:t>
            </w: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NEOs ($)</w:t>
            </w:r>
          </w:p>
        </w:tc>
        <w:tc>
          <w:tcPr>
            <w:tcW w:w="1620" w:type="dxa"/>
            <w:vAlign w:val="bottom"/>
            <w:shd w:val="clear" w:color="auto" w:fill="112B4A"/>
          </w:tcPr>
          <w:p>
            <w:pPr>
              <w:jc w:val="right"/>
              <w:ind w:right="38"/>
              <w:spacing w:after="0"/>
              <w:rPr>
                <w:sz w:val="20"/>
                <w:szCs w:val="20"/>
                <w:color w:val="auto"/>
              </w:rPr>
            </w:pPr>
            <w:r>
              <w:rPr>
                <w:rFonts w:ascii="Arial" w:cs="Arial" w:eastAsia="Arial" w:hAnsi="Arial"/>
                <w:sz w:val="14"/>
                <w:szCs w:val="14"/>
                <w:b w:val="1"/>
                <w:bCs w:val="1"/>
                <w:color w:val="FFFFFF"/>
              </w:rPr>
              <w:t>NEOs ($)</w:t>
            </w:r>
          </w:p>
        </w:tc>
        <w:tc>
          <w:tcPr>
            <w:tcW w:w="14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Non-PEO NEOs ($)</w:t>
            </w:r>
          </w:p>
        </w:tc>
        <w:tc>
          <w:tcPr>
            <w:tcW w:w="15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Non-PEO NEOs ($)</w:t>
            </w:r>
          </w:p>
        </w:tc>
        <w:tc>
          <w:tcPr>
            <w:tcW w:w="168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PEO NEOs ($)</w:t>
            </w:r>
          </w:p>
        </w:tc>
      </w:tr>
      <w:tr>
        <w:trPr>
          <w:trHeight w:val="123"/>
        </w:trPr>
        <w:tc>
          <w:tcPr>
            <w:tcW w:w="1700" w:type="dxa"/>
            <w:vAlign w:val="bottom"/>
            <w:gridSpan w:val="2"/>
            <w:shd w:val="clear" w:color="auto" w:fill="112B4A"/>
          </w:tcPr>
          <w:p>
            <w:pPr>
              <w:spacing w:after="0"/>
              <w:rPr>
                <w:sz w:val="10"/>
                <w:szCs w:val="10"/>
                <w:color w:val="auto"/>
              </w:rPr>
            </w:pPr>
          </w:p>
        </w:tc>
        <w:tc>
          <w:tcPr>
            <w:tcW w:w="1540" w:type="dxa"/>
            <w:vAlign w:val="bottom"/>
            <w:shd w:val="clear" w:color="auto" w:fill="112B4A"/>
          </w:tcPr>
          <w:p>
            <w:pPr>
              <w:spacing w:after="0"/>
              <w:rPr>
                <w:sz w:val="10"/>
                <w:szCs w:val="10"/>
                <w:color w:val="auto"/>
              </w:rPr>
            </w:pPr>
          </w:p>
        </w:tc>
        <w:tc>
          <w:tcPr>
            <w:tcW w:w="1620" w:type="dxa"/>
            <w:vAlign w:val="bottom"/>
            <w:shd w:val="clear" w:color="auto" w:fill="112B4A"/>
          </w:tcPr>
          <w:p>
            <w:pPr>
              <w:spacing w:after="0"/>
              <w:rPr>
                <w:sz w:val="10"/>
                <w:szCs w:val="10"/>
                <w:color w:val="auto"/>
              </w:rPr>
            </w:pPr>
          </w:p>
        </w:tc>
        <w:tc>
          <w:tcPr>
            <w:tcW w:w="1460" w:type="dxa"/>
            <w:vAlign w:val="bottom"/>
            <w:shd w:val="clear" w:color="auto" w:fill="112B4A"/>
          </w:tcPr>
          <w:p>
            <w:pPr>
              <w:spacing w:after="0"/>
              <w:rPr>
                <w:sz w:val="10"/>
                <w:szCs w:val="10"/>
                <w:color w:val="auto"/>
              </w:rPr>
            </w:pPr>
          </w:p>
        </w:tc>
        <w:tc>
          <w:tcPr>
            <w:tcW w:w="1540" w:type="dxa"/>
            <w:vAlign w:val="bottom"/>
            <w:shd w:val="clear" w:color="auto" w:fill="112B4A"/>
          </w:tcPr>
          <w:p>
            <w:pPr>
              <w:spacing w:after="0"/>
              <w:rPr>
                <w:sz w:val="10"/>
                <w:szCs w:val="10"/>
                <w:color w:val="auto"/>
              </w:rPr>
            </w:pPr>
          </w:p>
        </w:tc>
        <w:tc>
          <w:tcPr>
            <w:tcW w:w="1500" w:type="dxa"/>
            <w:vAlign w:val="bottom"/>
            <w:shd w:val="clear" w:color="auto" w:fill="112B4A"/>
          </w:tcPr>
          <w:p>
            <w:pPr>
              <w:spacing w:after="0"/>
              <w:rPr>
                <w:sz w:val="10"/>
                <w:szCs w:val="10"/>
                <w:color w:val="auto"/>
              </w:rPr>
            </w:pPr>
          </w:p>
        </w:tc>
        <w:tc>
          <w:tcPr>
            <w:tcW w:w="1680" w:type="dxa"/>
            <w:vAlign w:val="bottom"/>
            <w:shd w:val="clear" w:color="auto" w:fill="112B4A"/>
          </w:tcPr>
          <w:p>
            <w:pPr>
              <w:spacing w:after="0"/>
              <w:rPr>
                <w:sz w:val="10"/>
                <w:szCs w:val="10"/>
                <w:color w:val="auto"/>
              </w:rPr>
            </w:pPr>
          </w:p>
        </w:tc>
      </w:tr>
      <w:tr>
        <w:trPr>
          <w:trHeight w:val="230"/>
        </w:trPr>
        <w:tc>
          <w:tcPr>
            <w:tcW w:w="170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3,425,778</w:t>
            </w:r>
          </w:p>
        </w:tc>
        <w:tc>
          <w:tcPr>
            <w:tcW w:w="1620" w:type="dxa"/>
            <w:vAlign w:val="bottom"/>
            <w:tcBorders>
              <w:bottom w:val="single" w:sz="8" w:color="25A9E0"/>
            </w:tcBorders>
          </w:tcPr>
          <w:p>
            <w:pPr>
              <w:jc w:val="right"/>
              <w:ind w:right="38"/>
              <w:spacing w:after="0"/>
              <w:rPr>
                <w:sz w:val="20"/>
                <w:szCs w:val="20"/>
                <w:color w:val="auto"/>
              </w:rPr>
            </w:pPr>
            <w:r>
              <w:rPr>
                <w:rFonts w:ascii="Times New Roman" w:cs="Times New Roman" w:eastAsia="Times New Roman" w:hAnsi="Times New Roman"/>
                <w:sz w:val="18"/>
                <w:szCs w:val="18"/>
                <w:color w:val="auto"/>
              </w:rPr>
              <w:t>(20,778)</w:t>
            </w:r>
          </w:p>
        </w:tc>
        <w:tc>
          <w:tcPr>
            <w:tcW w:w="14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(1,773,691)</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2,330,999</w:t>
            </w:r>
          </w:p>
        </w:tc>
        <w:tc>
          <w:tcPr>
            <w:tcW w:w="168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3,983,777</w:t>
            </w:r>
          </w:p>
        </w:tc>
      </w:tr>
      <w:tr>
        <w:trPr>
          <w:trHeight w:val="223"/>
        </w:trPr>
        <w:tc>
          <w:tcPr>
            <w:tcW w:w="170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3,803,969</w:t>
            </w:r>
          </w:p>
        </w:tc>
        <w:tc>
          <w:tcPr>
            <w:tcW w:w="1620" w:type="dxa"/>
            <w:vAlign w:val="bottom"/>
            <w:tcBorders>
              <w:bottom w:val="single" w:sz="8" w:color="25A9E0"/>
            </w:tcBorders>
          </w:tcPr>
          <w:p>
            <w:pPr>
              <w:jc w:val="right"/>
              <w:ind w:right="38"/>
              <w:spacing w:after="0"/>
              <w:rPr>
                <w:sz w:val="20"/>
                <w:szCs w:val="20"/>
                <w:color w:val="auto"/>
              </w:rPr>
            </w:pPr>
            <w:r>
              <w:rPr>
                <w:rFonts w:ascii="Times New Roman" w:cs="Times New Roman" w:eastAsia="Times New Roman" w:hAnsi="Times New Roman"/>
                <w:sz w:val="18"/>
                <w:szCs w:val="18"/>
                <w:color w:val="auto"/>
              </w:rPr>
              <w:t>(65,419)</w:t>
            </w:r>
          </w:p>
        </w:tc>
        <w:tc>
          <w:tcPr>
            <w:tcW w:w="14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(2,082,032)</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2,959,091</w:t>
            </w:r>
          </w:p>
        </w:tc>
        <w:tc>
          <w:tcPr>
            <w:tcW w:w="168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4,637,219</w:t>
            </w:r>
          </w:p>
        </w:tc>
      </w:tr>
      <w:tr>
        <w:trPr>
          <w:trHeight w:val="223"/>
        </w:trPr>
        <w:tc>
          <w:tcPr>
            <w:tcW w:w="170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3,408,739</w:t>
            </w:r>
          </w:p>
        </w:tc>
        <w:tc>
          <w:tcPr>
            <w:tcW w:w="1620" w:type="dxa"/>
            <w:vAlign w:val="bottom"/>
            <w:tcBorders>
              <w:bottom w:val="single" w:sz="8" w:color="25A9E0"/>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(1,703,264)</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(518,610)</w:t>
            </w:r>
          </w:p>
        </w:tc>
        <w:tc>
          <w:tcPr>
            <w:tcW w:w="168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1,212,892</w:t>
            </w:r>
          </w:p>
        </w:tc>
      </w:tr>
      <w:tr>
        <w:trPr>
          <w:trHeight w:val="223"/>
        </w:trPr>
        <w:tc>
          <w:tcPr>
            <w:tcW w:w="170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3,321,407</w:t>
            </w:r>
          </w:p>
        </w:tc>
        <w:tc>
          <w:tcPr>
            <w:tcW w:w="1620" w:type="dxa"/>
            <w:vAlign w:val="bottom"/>
            <w:tcBorders>
              <w:bottom w:val="single" w:sz="8" w:color="25A9E0"/>
            </w:tcBorders>
          </w:tcPr>
          <w:p>
            <w:pPr>
              <w:jc w:val="right"/>
              <w:ind w:right="38"/>
              <w:spacing w:after="0"/>
              <w:rPr>
                <w:sz w:val="20"/>
                <w:szCs w:val="20"/>
                <w:color w:val="auto"/>
              </w:rPr>
            </w:pPr>
            <w:r>
              <w:rPr>
                <w:rFonts w:ascii="Times New Roman" w:cs="Times New Roman" w:eastAsia="Times New Roman" w:hAnsi="Times New Roman"/>
                <w:sz w:val="18"/>
                <w:szCs w:val="18"/>
                <w:color w:val="auto"/>
              </w:rPr>
              <w:t>(28,338)</w:t>
            </w:r>
          </w:p>
        </w:tc>
        <w:tc>
          <w:tcPr>
            <w:tcW w:w="14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(1,951,311)</w:t>
            </w:r>
          </w:p>
        </w:tc>
        <w:tc>
          <w:tcPr>
            <w:tcW w:w="15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24,227</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3,139,856</w:t>
            </w:r>
          </w:p>
        </w:tc>
        <w:tc>
          <w:tcPr>
            <w:tcW w:w="168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4,505,841</w:t>
            </w:r>
          </w:p>
        </w:tc>
      </w:tr>
      <w:tr>
        <w:trPr>
          <w:trHeight w:val="223"/>
        </w:trPr>
        <w:tc>
          <w:tcPr>
            <w:tcW w:w="1700" w:type="dxa"/>
            <w:vAlign w:val="bottom"/>
            <w:tcBorders>
              <w:bottom w:val="single" w:sz="8" w:color="112B4A"/>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5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3,046,801</w:t>
            </w:r>
          </w:p>
        </w:tc>
        <w:tc>
          <w:tcPr>
            <w:tcW w:w="1620" w:type="dxa"/>
            <w:vAlign w:val="bottom"/>
            <w:tcBorders>
              <w:bottom w:val="single" w:sz="8" w:color="112B4A"/>
            </w:tcBorders>
          </w:tcPr>
          <w:p>
            <w:pPr>
              <w:jc w:val="right"/>
              <w:ind w:right="38"/>
              <w:spacing w:after="0"/>
              <w:rPr>
                <w:sz w:val="20"/>
                <w:szCs w:val="20"/>
                <w:color w:val="auto"/>
              </w:rPr>
            </w:pPr>
            <w:r>
              <w:rPr>
                <w:rFonts w:ascii="Times New Roman" w:cs="Times New Roman" w:eastAsia="Times New Roman" w:hAnsi="Times New Roman"/>
                <w:sz w:val="18"/>
                <w:szCs w:val="18"/>
                <w:color w:val="auto"/>
              </w:rPr>
              <w:t>(72,079)</w:t>
            </w:r>
          </w:p>
        </w:tc>
        <w:tc>
          <w:tcPr>
            <w:tcW w:w="146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(1,845,104)</w:t>
            </w:r>
          </w:p>
        </w:tc>
        <w:tc>
          <w:tcPr>
            <w:tcW w:w="15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22,351</w:t>
            </w:r>
          </w:p>
        </w:tc>
        <w:tc>
          <w:tcPr>
            <w:tcW w:w="150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730,507</w:t>
            </w:r>
          </w:p>
        </w:tc>
        <w:tc>
          <w:tcPr>
            <w:tcW w:w="1680" w:type="dxa"/>
            <w:vAlign w:val="bottom"/>
            <w:tcBorders>
              <w:bottom w:val="single" w:sz="8" w:color="112B4A"/>
            </w:tcBorders>
          </w:tcPr>
          <w:p>
            <w:pPr>
              <w:jc w:val="right"/>
              <w:ind w:right="98"/>
              <w:spacing w:after="0"/>
              <w:rPr>
                <w:sz w:val="20"/>
                <w:szCs w:val="20"/>
                <w:color w:val="auto"/>
              </w:rPr>
            </w:pPr>
            <w:r>
              <w:rPr>
                <w:rFonts w:ascii="Times New Roman" w:cs="Times New Roman" w:eastAsia="Times New Roman" w:hAnsi="Times New Roman"/>
                <w:sz w:val="18"/>
                <w:szCs w:val="18"/>
                <w:color w:val="auto"/>
              </w:rPr>
              <w:t>1,882,475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00" w:type="dxa"/>
            <w:vAlign w:val="bottom"/>
            <w:shd w:val="clear" w:color="auto" w:fill="112B4A"/>
          </w:tcPr>
          <w:p>
            <w:pPr>
              <w:spacing w:after="0"/>
              <w:rPr>
                <w:sz w:val="23"/>
                <w:szCs w:val="23"/>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Year-End Fair</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Change in</w:t>
            </w:r>
          </w:p>
        </w:tc>
        <w:tc>
          <w:tcPr>
            <w:tcW w:w="1440" w:type="dxa"/>
            <w:vAlign w:val="bottom"/>
            <w:shd w:val="clear" w:color="auto" w:fill="112B4A"/>
          </w:tcPr>
          <w:p>
            <w:pPr>
              <w:spacing w:after="0"/>
              <w:rPr>
                <w:sz w:val="23"/>
                <w:szCs w:val="23"/>
                <w:color w:val="auto"/>
              </w:rPr>
            </w:pPr>
          </w:p>
        </w:tc>
        <w:tc>
          <w:tcPr>
            <w:tcW w:w="1500" w:type="dxa"/>
            <w:vAlign w:val="bottom"/>
            <w:shd w:val="clear" w:color="auto" w:fill="112B4A"/>
          </w:tcPr>
          <w:p>
            <w:pPr>
              <w:spacing w:after="0"/>
              <w:rPr>
                <w:sz w:val="23"/>
                <w:szCs w:val="23"/>
                <w:color w:val="auto"/>
              </w:rPr>
            </w:pPr>
          </w:p>
        </w:tc>
        <w:tc>
          <w:tcPr>
            <w:tcW w:w="1420" w:type="dxa"/>
            <w:vAlign w:val="bottom"/>
            <w:shd w:val="clear" w:color="auto" w:fill="112B4A"/>
          </w:tcPr>
          <w:p>
            <w:pPr>
              <w:spacing w:after="0"/>
              <w:rPr>
                <w:sz w:val="23"/>
                <w:szCs w:val="23"/>
                <w:color w:val="auto"/>
              </w:rPr>
            </w:pPr>
          </w:p>
        </w:tc>
        <w:tc>
          <w:tcPr>
            <w:tcW w:w="1520" w:type="dxa"/>
            <w:vAlign w:val="bottom"/>
            <w:shd w:val="clear" w:color="auto" w:fill="112B4A"/>
          </w:tcPr>
          <w:p>
            <w:pPr>
              <w:spacing w:after="0"/>
              <w:rPr>
                <w:sz w:val="23"/>
                <w:szCs w:val="23"/>
                <w:color w:val="auto"/>
              </w:rPr>
            </w:pPr>
          </w:p>
        </w:tc>
        <w:tc>
          <w:tcPr>
            <w:tcW w:w="1560" w:type="dxa"/>
            <w:vAlign w:val="bottom"/>
            <w:shd w:val="clear" w:color="auto" w:fill="112B4A"/>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Value of Equity</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Fair Value from Last</w:t>
            </w:r>
          </w:p>
        </w:tc>
        <w:tc>
          <w:tcPr>
            <w:tcW w:w="1440" w:type="dxa"/>
            <w:vAlign w:val="bottom"/>
            <w:shd w:val="clear" w:color="auto" w:fill="112B4A"/>
          </w:tcPr>
          <w:p>
            <w:pPr>
              <w:spacing w:after="0"/>
              <w:rPr>
                <w:sz w:val="14"/>
                <w:szCs w:val="14"/>
                <w:color w:val="auto"/>
              </w:rPr>
            </w:pPr>
          </w:p>
        </w:tc>
        <w:tc>
          <w:tcPr>
            <w:tcW w:w="1500" w:type="dxa"/>
            <w:vAlign w:val="bottom"/>
            <w:vMerge w:val="restart"/>
            <w:shd w:val="clear" w:color="auto" w:fill="112B4A"/>
          </w:tcPr>
          <w:p>
            <w:pPr>
              <w:jc w:val="right"/>
              <w:spacing w:after="0"/>
              <w:rPr>
                <w:sz w:val="20"/>
                <w:szCs w:val="20"/>
                <w:color w:val="auto"/>
              </w:rPr>
            </w:pPr>
            <w:r>
              <w:rPr>
                <w:rFonts w:ascii="Arial" w:cs="Arial" w:eastAsia="Arial" w:hAnsi="Arial"/>
                <w:sz w:val="14"/>
                <w:szCs w:val="14"/>
                <w:b w:val="1"/>
                <w:bCs w:val="1"/>
                <w:color w:val="FFFFFF"/>
              </w:rPr>
              <w:t>Change in Fair Value</w:t>
            </w:r>
          </w:p>
        </w:tc>
        <w:tc>
          <w:tcPr>
            <w:tcW w:w="1420" w:type="dxa"/>
            <w:vAlign w:val="bottom"/>
            <w:vMerge w:val="restart"/>
            <w:shd w:val="clear" w:color="auto" w:fill="112B4A"/>
          </w:tcPr>
          <w:p>
            <w:pPr>
              <w:jc w:val="right"/>
              <w:spacing w:after="0"/>
              <w:rPr>
                <w:sz w:val="20"/>
                <w:szCs w:val="20"/>
                <w:color w:val="auto"/>
              </w:rPr>
            </w:pPr>
            <w:r>
              <w:rPr>
                <w:rFonts w:ascii="Arial" w:cs="Arial" w:eastAsia="Arial" w:hAnsi="Arial"/>
                <w:sz w:val="14"/>
                <w:szCs w:val="14"/>
                <w:b w:val="1"/>
                <w:bCs w:val="1"/>
                <w:color w:val="FFFFFF"/>
              </w:rPr>
              <w:t>Fair Value</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Value of Dividends</w:t>
            </w:r>
          </w:p>
        </w:tc>
        <w:tc>
          <w:tcPr>
            <w:tcW w:w="1560" w:type="dxa"/>
            <w:vAlign w:val="bottom"/>
            <w:shd w:val="clear" w:color="auto" w:fill="112B4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112B4A"/>
          </w:tcPr>
          <w:p>
            <w:pPr>
              <w:spacing w:after="0"/>
              <w:rPr>
                <w:sz w:val="12"/>
                <w:szCs w:val="12"/>
                <w:color w:val="auto"/>
              </w:rPr>
            </w:pPr>
          </w:p>
        </w:tc>
        <w:tc>
          <w:tcPr>
            <w:tcW w:w="1340" w:type="dxa"/>
            <w:vAlign w:val="bottom"/>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Awards Granted</w:t>
            </w:r>
          </w:p>
        </w:tc>
        <w:tc>
          <w:tcPr>
            <w:tcW w:w="1560" w:type="dxa"/>
            <w:vAlign w:val="bottom"/>
            <w:shd w:val="clear" w:color="auto" w:fill="112B4A"/>
          </w:tcPr>
          <w:p>
            <w:pPr>
              <w:jc w:val="right"/>
              <w:ind w:right="42"/>
              <w:spacing w:after="0" w:line="149" w:lineRule="exact"/>
              <w:rPr>
                <w:sz w:val="20"/>
                <w:szCs w:val="20"/>
                <w:color w:val="auto"/>
              </w:rPr>
            </w:pPr>
            <w:r>
              <w:rPr>
                <w:rFonts w:ascii="Arial" w:cs="Arial" w:eastAsia="Arial" w:hAnsi="Arial"/>
                <w:sz w:val="14"/>
                <w:szCs w:val="14"/>
                <w:b w:val="1"/>
                <w:bCs w:val="1"/>
                <w:color w:val="FFFFFF"/>
              </w:rPr>
              <w:t>Day of</w:t>
            </w:r>
          </w:p>
        </w:tc>
        <w:tc>
          <w:tcPr>
            <w:tcW w:w="1440" w:type="dxa"/>
            <w:vAlign w:val="bottom"/>
            <w:shd w:val="clear" w:color="auto" w:fill="112B4A"/>
          </w:tcPr>
          <w:p>
            <w:pPr>
              <w:spacing w:after="0"/>
              <w:rPr>
                <w:sz w:val="12"/>
                <w:szCs w:val="12"/>
                <w:color w:val="auto"/>
              </w:rPr>
            </w:pPr>
          </w:p>
        </w:tc>
        <w:tc>
          <w:tcPr>
            <w:tcW w:w="1500" w:type="dxa"/>
            <w:vAlign w:val="bottom"/>
            <w:vMerge w:val="continue"/>
            <w:shd w:val="clear" w:color="auto" w:fill="112B4A"/>
          </w:tcPr>
          <w:p>
            <w:pPr>
              <w:spacing w:after="0"/>
              <w:rPr>
                <w:sz w:val="12"/>
                <w:szCs w:val="12"/>
                <w:color w:val="auto"/>
              </w:rPr>
            </w:pPr>
          </w:p>
        </w:tc>
        <w:tc>
          <w:tcPr>
            <w:tcW w:w="1420" w:type="dxa"/>
            <w:vAlign w:val="bottom"/>
            <w:vMerge w:val="continue"/>
            <w:shd w:val="clear" w:color="auto" w:fill="112B4A"/>
          </w:tcPr>
          <w:p>
            <w:pPr>
              <w:spacing w:after="0"/>
              <w:rPr>
                <w:sz w:val="12"/>
                <w:szCs w:val="12"/>
                <w:color w:val="auto"/>
              </w:rPr>
            </w:pPr>
          </w:p>
        </w:tc>
        <w:tc>
          <w:tcPr>
            <w:tcW w:w="1520" w:type="dxa"/>
            <w:vAlign w:val="bottom"/>
            <w:shd w:val="clear" w:color="auto" w:fill="112B4A"/>
          </w:tcPr>
          <w:p>
            <w:pPr>
              <w:jc w:val="right"/>
              <w:ind w:right="42"/>
              <w:spacing w:after="0" w:line="149" w:lineRule="exact"/>
              <w:rPr>
                <w:sz w:val="20"/>
                <w:szCs w:val="20"/>
                <w:color w:val="auto"/>
              </w:rPr>
            </w:pPr>
            <w:r>
              <w:rPr>
                <w:rFonts w:ascii="Arial" w:cs="Arial" w:eastAsia="Arial" w:hAnsi="Arial"/>
                <w:sz w:val="14"/>
                <w:szCs w:val="14"/>
                <w:b w:val="1"/>
                <w:bCs w:val="1"/>
                <w:color w:val="FFFFFF"/>
              </w:rPr>
              <w:t>or Other Earnings</w:t>
            </w:r>
          </w:p>
        </w:tc>
        <w:tc>
          <w:tcPr>
            <w:tcW w:w="1560" w:type="dxa"/>
            <w:vAlign w:val="bottom"/>
            <w:shd w:val="clear" w:color="auto" w:fill="112B4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During Year That</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Prior Year to</w:t>
            </w:r>
          </w:p>
        </w:tc>
        <w:tc>
          <w:tcPr>
            <w:tcW w:w="14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Vesting-Date Fair</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from Last Day of</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at Last Day of Prior</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Paid on Stock</w:t>
            </w:r>
          </w:p>
        </w:tc>
        <w:tc>
          <w:tcPr>
            <w:tcW w:w="1560" w:type="dxa"/>
            <w:vAlign w:val="bottom"/>
            <w:shd w:val="clear" w:color="auto" w:fill="112B4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112B4A"/>
          </w:tcPr>
          <w:p>
            <w:pPr>
              <w:spacing w:after="0"/>
              <w:rPr>
                <w:sz w:val="12"/>
                <w:szCs w:val="12"/>
                <w:color w:val="auto"/>
              </w:rPr>
            </w:pPr>
          </w:p>
        </w:tc>
        <w:tc>
          <w:tcPr>
            <w:tcW w:w="1340" w:type="dxa"/>
            <w:vAlign w:val="bottom"/>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Remained</w:t>
            </w:r>
          </w:p>
        </w:tc>
        <w:tc>
          <w:tcPr>
            <w:tcW w:w="1560" w:type="dxa"/>
            <w:vAlign w:val="bottom"/>
            <w:shd w:val="clear" w:color="auto" w:fill="112B4A"/>
          </w:tcPr>
          <w:p>
            <w:pPr>
              <w:jc w:val="right"/>
              <w:ind w:right="42"/>
              <w:spacing w:after="0" w:line="149" w:lineRule="exact"/>
              <w:rPr>
                <w:sz w:val="20"/>
                <w:szCs w:val="20"/>
                <w:color w:val="auto"/>
              </w:rPr>
            </w:pPr>
            <w:r>
              <w:rPr>
                <w:rFonts w:ascii="Arial" w:cs="Arial" w:eastAsia="Arial" w:hAnsi="Arial"/>
                <w:sz w:val="14"/>
                <w:szCs w:val="14"/>
                <w:b w:val="1"/>
                <w:bCs w:val="1"/>
                <w:color w:val="FFFFFF"/>
              </w:rPr>
              <w:t>Last Day of Year of</w:t>
            </w:r>
          </w:p>
        </w:tc>
        <w:tc>
          <w:tcPr>
            <w:tcW w:w="2940" w:type="dxa"/>
            <w:vAlign w:val="bottom"/>
            <w:gridSpan w:val="2"/>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Value of Equity Prior Year to Vesting</w:t>
            </w:r>
          </w:p>
        </w:tc>
        <w:tc>
          <w:tcPr>
            <w:tcW w:w="1420" w:type="dxa"/>
            <w:vAlign w:val="bottom"/>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Year of Equity</w:t>
            </w:r>
          </w:p>
        </w:tc>
        <w:tc>
          <w:tcPr>
            <w:tcW w:w="1520" w:type="dxa"/>
            <w:vAlign w:val="bottom"/>
            <w:shd w:val="clear" w:color="auto" w:fill="112B4A"/>
          </w:tcPr>
          <w:p>
            <w:pPr>
              <w:jc w:val="right"/>
              <w:ind w:right="42"/>
              <w:spacing w:after="0" w:line="149" w:lineRule="exact"/>
              <w:rPr>
                <w:sz w:val="20"/>
                <w:szCs w:val="20"/>
                <w:color w:val="auto"/>
              </w:rPr>
            </w:pPr>
            <w:r>
              <w:rPr>
                <w:rFonts w:ascii="Arial" w:cs="Arial" w:eastAsia="Arial" w:hAnsi="Arial"/>
                <w:sz w:val="14"/>
                <w:szCs w:val="14"/>
                <w:b w:val="1"/>
                <w:bCs w:val="1"/>
                <w:color w:val="FFFFFF"/>
              </w:rPr>
              <w:t>or Option</w:t>
            </w:r>
          </w:p>
        </w:tc>
        <w:tc>
          <w:tcPr>
            <w:tcW w:w="1560" w:type="dxa"/>
            <w:vAlign w:val="bottom"/>
            <w:shd w:val="clear" w:color="auto" w:fill="112B4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Unvested as of</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Unvested Equity</w:t>
            </w:r>
          </w:p>
        </w:tc>
        <w:tc>
          <w:tcPr>
            <w:tcW w:w="14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Awards Granted</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Date of Unvested</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Awards Forfeited</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Awards Not</w:t>
            </w:r>
          </w:p>
        </w:tc>
        <w:tc>
          <w:tcPr>
            <w:tcW w:w="1560" w:type="dxa"/>
            <w:vAlign w:val="bottom"/>
            <w:shd w:val="clear" w:color="auto" w:fill="112B4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Last Day of Year</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During Year that</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Equity Awards that</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During Year for</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Otherwise Included</w:t>
            </w:r>
          </w:p>
        </w:tc>
        <w:tc>
          <w:tcPr>
            <w:tcW w:w="156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Total - Inclusion of</w:t>
            </w: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for Terrence A.</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for Terrence</w:t>
            </w:r>
          </w:p>
        </w:tc>
        <w:tc>
          <w:tcPr>
            <w:tcW w:w="14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Vested During Year</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Vested During Year</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Terrence</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for Terrence</w:t>
            </w:r>
          </w:p>
        </w:tc>
        <w:tc>
          <w:tcPr>
            <w:tcW w:w="156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Equity Values for</w:t>
            </w:r>
          </w:p>
        </w:tc>
        <w:tc>
          <w:tcPr>
            <w:tcW w:w="0" w:type="dxa"/>
            <w:vAlign w:val="bottom"/>
          </w:tcPr>
          <w:p>
            <w:pPr>
              <w:spacing w:after="0"/>
              <w:rPr>
                <w:sz w:val="1"/>
                <w:szCs w:val="1"/>
                <w:color w:val="auto"/>
              </w:rPr>
            </w:pPr>
          </w:p>
        </w:tc>
      </w:tr>
      <w:tr>
        <w:trPr>
          <w:trHeight w:val="162"/>
        </w:trPr>
        <w:tc>
          <w:tcPr>
            <w:tcW w:w="700" w:type="dxa"/>
            <w:vAlign w:val="bottom"/>
            <w:shd w:val="clear" w:color="auto" w:fill="112B4A"/>
          </w:tcPr>
          <w:p>
            <w:pPr>
              <w:spacing w:after="0"/>
              <w:rPr>
                <w:sz w:val="14"/>
                <w:szCs w:val="14"/>
                <w:color w:val="auto"/>
              </w:rPr>
            </w:pP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Duffy</w:t>
            </w:r>
          </w:p>
        </w:tc>
        <w:tc>
          <w:tcPr>
            <w:tcW w:w="300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A. Duffy for Terrence A. Duffy</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for Terrence A. Duffy</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 Duffy</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A. Duffy</w:t>
            </w:r>
          </w:p>
        </w:tc>
        <w:tc>
          <w:tcPr>
            <w:tcW w:w="156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Terrence A. Duffy</w:t>
            </w:r>
          </w:p>
        </w:tc>
        <w:tc>
          <w:tcPr>
            <w:tcW w:w="0" w:type="dxa"/>
            <w:vAlign w:val="bottom"/>
          </w:tcPr>
          <w:p>
            <w:pPr>
              <w:spacing w:after="0"/>
              <w:rPr>
                <w:sz w:val="1"/>
                <w:szCs w:val="1"/>
                <w:color w:val="auto"/>
              </w:rPr>
            </w:pPr>
          </w:p>
        </w:tc>
      </w:tr>
      <w:tr>
        <w:trPr>
          <w:trHeight w:val="210"/>
        </w:trPr>
        <w:tc>
          <w:tcPr>
            <w:tcW w:w="700" w:type="dxa"/>
            <w:vAlign w:val="bottom"/>
            <w:shd w:val="clear" w:color="auto" w:fill="112B4A"/>
          </w:tcPr>
          <w:p>
            <w:pPr>
              <w:jc w:val="right"/>
              <w:ind w:right="113"/>
              <w:spacing w:after="0"/>
              <w:rPr>
                <w:sz w:val="20"/>
                <w:szCs w:val="20"/>
                <w:color w:val="auto"/>
              </w:rPr>
            </w:pPr>
            <w:r>
              <w:rPr>
                <w:rFonts w:ascii="Arial" w:cs="Arial" w:eastAsia="Arial" w:hAnsi="Arial"/>
                <w:sz w:val="14"/>
                <w:szCs w:val="14"/>
                <w:b w:val="1"/>
                <w:bCs w:val="1"/>
                <w:color w:val="FFFFFF"/>
              </w:rPr>
              <w:t>Year</w:t>
            </w:r>
          </w:p>
        </w:tc>
        <w:tc>
          <w:tcPr>
            <w:tcW w:w="13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112B4A"/>
          </w:tcPr>
          <w:p>
            <w:pPr>
              <w:jc w:val="right"/>
              <w:ind w:right="42"/>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112B4A"/>
          </w:tcPr>
          <w:p>
            <w:pPr>
              <w:jc w:val="right"/>
              <w:ind w:right="9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4"/>
        </w:trPr>
        <w:tc>
          <w:tcPr>
            <w:tcW w:w="700" w:type="dxa"/>
            <w:vAlign w:val="bottom"/>
            <w:shd w:val="clear" w:color="auto" w:fill="112B4A"/>
          </w:tcPr>
          <w:p>
            <w:pPr>
              <w:spacing w:after="0"/>
              <w:rPr>
                <w:sz w:val="10"/>
                <w:szCs w:val="10"/>
                <w:color w:val="auto"/>
              </w:rPr>
            </w:pPr>
          </w:p>
        </w:tc>
        <w:tc>
          <w:tcPr>
            <w:tcW w:w="1340" w:type="dxa"/>
            <w:vAlign w:val="bottom"/>
            <w:shd w:val="clear" w:color="auto" w:fill="112B4A"/>
          </w:tcPr>
          <w:p>
            <w:pPr>
              <w:spacing w:after="0"/>
              <w:rPr>
                <w:sz w:val="10"/>
                <w:szCs w:val="10"/>
                <w:color w:val="auto"/>
              </w:rPr>
            </w:pPr>
          </w:p>
        </w:tc>
        <w:tc>
          <w:tcPr>
            <w:tcW w:w="1560" w:type="dxa"/>
            <w:vAlign w:val="bottom"/>
            <w:shd w:val="clear" w:color="auto" w:fill="112B4A"/>
          </w:tcPr>
          <w:p>
            <w:pPr>
              <w:spacing w:after="0"/>
              <w:rPr>
                <w:sz w:val="10"/>
                <w:szCs w:val="10"/>
                <w:color w:val="auto"/>
              </w:rPr>
            </w:pPr>
          </w:p>
        </w:tc>
        <w:tc>
          <w:tcPr>
            <w:tcW w:w="1440" w:type="dxa"/>
            <w:vAlign w:val="bottom"/>
            <w:shd w:val="clear" w:color="auto" w:fill="112B4A"/>
          </w:tcPr>
          <w:p>
            <w:pPr>
              <w:spacing w:after="0"/>
              <w:rPr>
                <w:sz w:val="10"/>
                <w:szCs w:val="10"/>
                <w:color w:val="auto"/>
              </w:rPr>
            </w:pPr>
          </w:p>
        </w:tc>
        <w:tc>
          <w:tcPr>
            <w:tcW w:w="1500" w:type="dxa"/>
            <w:vAlign w:val="bottom"/>
            <w:shd w:val="clear" w:color="auto" w:fill="112B4A"/>
          </w:tcPr>
          <w:p>
            <w:pPr>
              <w:spacing w:after="0"/>
              <w:rPr>
                <w:sz w:val="10"/>
                <w:szCs w:val="10"/>
                <w:color w:val="auto"/>
              </w:rPr>
            </w:pPr>
          </w:p>
        </w:tc>
        <w:tc>
          <w:tcPr>
            <w:tcW w:w="1420" w:type="dxa"/>
            <w:vAlign w:val="bottom"/>
            <w:shd w:val="clear" w:color="auto" w:fill="112B4A"/>
          </w:tcPr>
          <w:p>
            <w:pPr>
              <w:spacing w:after="0"/>
              <w:rPr>
                <w:sz w:val="10"/>
                <w:szCs w:val="10"/>
                <w:color w:val="auto"/>
              </w:rPr>
            </w:pPr>
          </w:p>
        </w:tc>
        <w:tc>
          <w:tcPr>
            <w:tcW w:w="1520" w:type="dxa"/>
            <w:vAlign w:val="bottom"/>
            <w:shd w:val="clear" w:color="auto" w:fill="112B4A"/>
          </w:tcPr>
          <w:p>
            <w:pPr>
              <w:spacing w:after="0"/>
              <w:rPr>
                <w:sz w:val="10"/>
                <w:szCs w:val="10"/>
                <w:color w:val="auto"/>
              </w:rPr>
            </w:pPr>
          </w:p>
        </w:tc>
        <w:tc>
          <w:tcPr>
            <w:tcW w:w="1560" w:type="dxa"/>
            <w:vAlign w:val="bottom"/>
            <w:shd w:val="clear" w:color="auto" w:fill="112B4A"/>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7,395,740</w:t>
            </w:r>
          </w:p>
        </w:tc>
        <w:tc>
          <w:tcPr>
            <w:tcW w:w="156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2,137,573</w:t>
            </w:r>
          </w:p>
        </w:tc>
        <w:tc>
          <w:tcPr>
            <w:tcW w:w="14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6,566,926</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312,978</w:t>
            </w:r>
          </w:p>
        </w:tc>
        <w:tc>
          <w:tcPr>
            <w:tcW w:w="14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16,413,217</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6,481,849</w:t>
            </w:r>
          </w:p>
        </w:tc>
        <w:tc>
          <w:tcPr>
            <w:tcW w:w="156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10,556,378</w:t>
            </w:r>
          </w:p>
        </w:tc>
        <w:tc>
          <w:tcPr>
            <w:tcW w:w="14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6,294,153</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23,332,380</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6,530,171</w:t>
            </w:r>
          </w:p>
        </w:tc>
        <w:tc>
          <w:tcPr>
            <w:tcW w:w="156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(9,033,730)</w:t>
            </w:r>
          </w:p>
        </w:tc>
        <w:tc>
          <w:tcPr>
            <w:tcW w:w="14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5,461,954</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(888,195)</w:t>
            </w:r>
          </w:p>
        </w:tc>
        <w:tc>
          <w:tcPr>
            <w:tcW w:w="14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2,070,200</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3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12,602,892</w:t>
            </w:r>
          </w:p>
        </w:tc>
        <w:tc>
          <w:tcPr>
            <w:tcW w:w="156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2,049,192</w:t>
            </w:r>
          </w:p>
        </w:tc>
        <w:tc>
          <w:tcPr>
            <w:tcW w:w="144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889,511</w:t>
            </w:r>
          </w:p>
        </w:tc>
        <w:tc>
          <w:tcPr>
            <w:tcW w:w="142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25A9E0"/>
            </w:tcBorders>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25A9E0"/>
            </w:tcBorders>
          </w:tcPr>
          <w:p>
            <w:pPr>
              <w:jc w:val="right"/>
              <w:ind w:right="98"/>
              <w:spacing w:after="0"/>
              <w:rPr>
                <w:sz w:val="20"/>
                <w:szCs w:val="20"/>
                <w:color w:val="auto"/>
              </w:rPr>
            </w:pPr>
            <w:r>
              <w:rPr>
                <w:rFonts w:ascii="Times New Roman" w:cs="Times New Roman" w:eastAsia="Times New Roman" w:hAnsi="Times New Roman"/>
                <w:sz w:val="18"/>
                <w:szCs w:val="18"/>
                <w:color w:val="auto"/>
              </w:rPr>
              <w:t>15,541,596</w:t>
            </w:r>
          </w:p>
        </w:tc>
        <w:tc>
          <w:tcPr>
            <w:tcW w:w="0" w:type="dxa"/>
            <w:vAlign w:val="bottom"/>
          </w:tcPr>
          <w:p>
            <w:pPr>
              <w:spacing w:after="0"/>
              <w:rPr>
                <w:sz w:val="1"/>
                <w:szCs w:val="1"/>
                <w:color w:val="auto"/>
              </w:rPr>
            </w:pPr>
          </w:p>
        </w:tc>
      </w:tr>
      <w:tr>
        <w:trPr>
          <w:trHeight w:val="223"/>
        </w:trPr>
        <w:tc>
          <w:tcPr>
            <w:tcW w:w="70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3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6,433,902</w:t>
            </w:r>
          </w:p>
        </w:tc>
        <w:tc>
          <w:tcPr>
            <w:tcW w:w="1560" w:type="dxa"/>
            <w:vAlign w:val="bottom"/>
            <w:tcBorders>
              <w:bottom w:val="single" w:sz="8" w:color="112B4A"/>
            </w:tcBorders>
          </w:tcPr>
          <w:p>
            <w:pPr>
              <w:jc w:val="right"/>
              <w:ind w:right="42"/>
              <w:spacing w:after="0"/>
              <w:rPr>
                <w:sz w:val="20"/>
                <w:szCs w:val="20"/>
                <w:color w:val="auto"/>
              </w:rPr>
            </w:pPr>
            <w:r>
              <w:rPr>
                <w:rFonts w:ascii="Times New Roman" w:cs="Times New Roman" w:eastAsia="Times New Roman" w:hAnsi="Times New Roman"/>
                <w:sz w:val="18"/>
                <w:szCs w:val="18"/>
                <w:color w:val="auto"/>
              </w:rPr>
              <w:t>(2,767,707)</w:t>
            </w:r>
          </w:p>
        </w:tc>
        <w:tc>
          <w:tcPr>
            <w:tcW w:w="144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4,962,787</w:t>
            </w:r>
          </w:p>
        </w:tc>
        <w:tc>
          <w:tcPr>
            <w:tcW w:w="150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(1,676,822)</w:t>
            </w:r>
          </w:p>
        </w:tc>
        <w:tc>
          <w:tcPr>
            <w:tcW w:w="142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112B4A"/>
            </w:tcBorders>
          </w:tcPr>
          <w:p>
            <w:pPr>
              <w:jc w:val="right"/>
              <w:ind w:right="42"/>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112B4A"/>
            </w:tcBorders>
          </w:tcPr>
          <w:p>
            <w:pPr>
              <w:jc w:val="right"/>
              <w:ind w:right="98"/>
              <w:spacing w:after="0"/>
              <w:rPr>
                <w:sz w:val="20"/>
                <w:szCs w:val="20"/>
                <w:color w:val="auto"/>
              </w:rPr>
            </w:pPr>
            <w:r>
              <w:rPr>
                <w:rFonts w:ascii="Times New Roman" w:cs="Times New Roman" w:eastAsia="Times New Roman" w:hAnsi="Times New Roman"/>
                <w:sz w:val="18"/>
                <w:szCs w:val="18"/>
                <w:color w:val="auto"/>
              </w:rPr>
              <w:t>6,952,159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4" w:right="5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2240" w:type="dxa"/>
            <w:vAlign w:val="bottom"/>
            <w:gridSpan w:val="3"/>
          </w:tcPr>
          <w:p>
            <w:pPr>
              <w:jc w:val="center"/>
              <w:ind w:right="1148"/>
              <w:spacing w:after="0"/>
              <w:rPr>
                <w:sz w:val="20"/>
                <w:szCs w:val="20"/>
                <w:color w:val="auto"/>
              </w:rPr>
            </w:pPr>
            <w:r>
              <w:rPr>
                <w:rFonts w:ascii="Times New Roman" w:cs="Times New Roman" w:eastAsia="Times New Roman" w:hAnsi="Times New Roman"/>
                <w:sz w:val="14"/>
                <w:szCs w:val="14"/>
                <w:color w:val="0000FF"/>
              </w:rPr>
              <w:t>Table of Contents</w:t>
            </w:r>
          </w:p>
        </w:tc>
        <w:tc>
          <w:tcPr>
            <w:tcW w:w="1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7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20" w:type="dxa"/>
            <w:vAlign w:val="bottom"/>
            <w:shd w:val="clear" w:color="auto" w:fill="112B4A"/>
          </w:tcPr>
          <w:p>
            <w:pPr>
              <w:spacing w:after="0"/>
              <w:rPr>
                <w:sz w:val="23"/>
                <w:szCs w:val="23"/>
                <w:color w:val="auto"/>
              </w:rPr>
            </w:pPr>
          </w:p>
        </w:tc>
        <w:tc>
          <w:tcPr>
            <w:tcW w:w="152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Year-End</w:t>
            </w:r>
          </w:p>
        </w:tc>
        <w:tc>
          <w:tcPr>
            <w:tcW w:w="1480" w:type="dxa"/>
            <w:vAlign w:val="bottom"/>
            <w:vMerge w:val="restart"/>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Average Change in</w:t>
            </w:r>
          </w:p>
        </w:tc>
        <w:tc>
          <w:tcPr>
            <w:tcW w:w="1360" w:type="dxa"/>
            <w:vAlign w:val="bottom"/>
            <w:vMerge w:val="restart"/>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Vesting-</w:t>
            </w:r>
          </w:p>
        </w:tc>
        <w:tc>
          <w:tcPr>
            <w:tcW w:w="1640" w:type="dxa"/>
            <w:vAlign w:val="bottom"/>
            <w:vMerge w:val="restart"/>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Average Change in</w:t>
            </w:r>
          </w:p>
        </w:tc>
        <w:tc>
          <w:tcPr>
            <w:tcW w:w="1440" w:type="dxa"/>
            <w:vAlign w:val="bottom"/>
            <w:shd w:val="clear" w:color="auto" w:fill="112B4A"/>
          </w:tcPr>
          <w:p>
            <w:pPr>
              <w:spacing w:after="0"/>
              <w:rPr>
                <w:sz w:val="23"/>
                <w:szCs w:val="23"/>
                <w:color w:val="auto"/>
              </w:rPr>
            </w:pP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Average Value of</w:t>
            </w:r>
          </w:p>
        </w:tc>
        <w:tc>
          <w:tcPr>
            <w:tcW w:w="1400" w:type="dxa"/>
            <w:vAlign w:val="bottom"/>
            <w:shd w:val="clear" w:color="auto" w:fill="112B4A"/>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112B4A"/>
          </w:tcPr>
          <w:p>
            <w:pPr>
              <w:spacing w:after="0"/>
              <w:rPr>
                <w:sz w:val="12"/>
                <w:szCs w:val="12"/>
                <w:color w:val="auto"/>
              </w:rPr>
            </w:pPr>
          </w:p>
        </w:tc>
        <w:tc>
          <w:tcPr>
            <w:tcW w:w="1520" w:type="dxa"/>
            <w:vAlign w:val="bottom"/>
            <w:gridSpan w:val="2"/>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Fair Value of Equity</w:t>
            </w:r>
          </w:p>
        </w:tc>
        <w:tc>
          <w:tcPr>
            <w:tcW w:w="1480" w:type="dxa"/>
            <w:vAlign w:val="bottom"/>
            <w:vMerge w:val="continue"/>
            <w:shd w:val="clear" w:color="auto" w:fill="112B4A"/>
          </w:tcPr>
          <w:p>
            <w:pPr>
              <w:spacing w:after="0"/>
              <w:rPr>
                <w:sz w:val="12"/>
                <w:szCs w:val="12"/>
                <w:color w:val="auto"/>
              </w:rPr>
            </w:pPr>
          </w:p>
        </w:tc>
        <w:tc>
          <w:tcPr>
            <w:tcW w:w="1360" w:type="dxa"/>
            <w:vAlign w:val="bottom"/>
            <w:vMerge w:val="continue"/>
            <w:shd w:val="clear" w:color="auto" w:fill="112B4A"/>
          </w:tcPr>
          <w:p>
            <w:pPr>
              <w:spacing w:after="0"/>
              <w:rPr>
                <w:sz w:val="12"/>
                <w:szCs w:val="12"/>
                <w:color w:val="auto"/>
              </w:rPr>
            </w:pPr>
          </w:p>
        </w:tc>
        <w:tc>
          <w:tcPr>
            <w:tcW w:w="1640" w:type="dxa"/>
            <w:vAlign w:val="bottom"/>
            <w:vMerge w:val="continue"/>
            <w:shd w:val="clear" w:color="auto" w:fill="112B4A"/>
          </w:tcPr>
          <w:p>
            <w:pPr>
              <w:spacing w:after="0"/>
              <w:rPr>
                <w:sz w:val="12"/>
                <w:szCs w:val="12"/>
                <w:color w:val="auto"/>
              </w:rPr>
            </w:pPr>
          </w:p>
        </w:tc>
        <w:tc>
          <w:tcPr>
            <w:tcW w:w="1440" w:type="dxa"/>
            <w:vAlign w:val="bottom"/>
            <w:shd w:val="clear" w:color="auto" w:fill="112B4A"/>
          </w:tcPr>
          <w:p>
            <w:pPr>
              <w:spacing w:after="0"/>
              <w:rPr>
                <w:sz w:val="12"/>
                <w:szCs w:val="12"/>
                <w:color w:val="auto"/>
              </w:rPr>
            </w:pPr>
          </w:p>
        </w:tc>
        <w:tc>
          <w:tcPr>
            <w:tcW w:w="1480" w:type="dxa"/>
            <w:vAlign w:val="bottom"/>
            <w:shd w:val="clear" w:color="auto" w:fill="112B4A"/>
          </w:tcPr>
          <w:p>
            <w:pPr>
              <w:jc w:val="right"/>
              <w:spacing w:after="0" w:line="149" w:lineRule="exact"/>
              <w:rPr>
                <w:sz w:val="20"/>
                <w:szCs w:val="20"/>
                <w:color w:val="auto"/>
              </w:rPr>
            </w:pPr>
            <w:r>
              <w:rPr>
                <w:rFonts w:ascii="Arial" w:cs="Arial" w:eastAsia="Arial" w:hAnsi="Arial"/>
                <w:sz w:val="14"/>
                <w:szCs w:val="14"/>
                <w:b w:val="1"/>
                <w:bCs w:val="1"/>
                <w:color w:val="FFFFFF"/>
              </w:rPr>
              <w:t>Dividends or Other</w:t>
            </w:r>
          </w:p>
        </w:tc>
        <w:tc>
          <w:tcPr>
            <w:tcW w:w="1400" w:type="dxa"/>
            <w:vAlign w:val="bottom"/>
            <w:shd w:val="clear" w:color="auto" w:fill="112B4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300" w:type="dxa"/>
            <w:vAlign w:val="bottom"/>
            <w:shd w:val="clear" w:color="auto" w:fill="112B4A"/>
          </w:tcPr>
          <w:p>
            <w:pPr>
              <w:spacing w:after="0"/>
              <w:rPr>
                <w:sz w:val="14"/>
                <w:szCs w:val="14"/>
                <w:color w:val="auto"/>
              </w:rPr>
            </w:pPr>
          </w:p>
        </w:tc>
        <w:tc>
          <w:tcPr>
            <w:tcW w:w="12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Awards Granted</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Fair Value from</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Date Fair Value of</w:t>
            </w:r>
          </w:p>
        </w:tc>
        <w:tc>
          <w:tcPr>
            <w:tcW w:w="3080" w:type="dxa"/>
            <w:vAlign w:val="bottom"/>
            <w:gridSpan w:val="2"/>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Fair Value from Last Average Fair Value at</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Earnings Paid on</w:t>
            </w:r>
          </w:p>
        </w:tc>
        <w:tc>
          <w:tcPr>
            <w:tcW w:w="1400" w:type="dxa"/>
            <w:vAlign w:val="bottom"/>
            <w:shd w:val="clear" w:color="auto" w:fill="112B4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300" w:type="dxa"/>
            <w:vAlign w:val="bottom"/>
            <w:shd w:val="clear" w:color="auto" w:fill="112B4A"/>
          </w:tcPr>
          <w:p>
            <w:pPr>
              <w:spacing w:after="0"/>
              <w:rPr>
                <w:sz w:val="14"/>
                <w:szCs w:val="14"/>
                <w:color w:val="auto"/>
              </w:rPr>
            </w:pPr>
          </w:p>
        </w:tc>
        <w:tc>
          <w:tcPr>
            <w:tcW w:w="12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During Year That</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Last Day of Prior</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Equity Awards</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Day of Prior Year to</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Last Day of Prior</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Stock or Option</w:t>
            </w:r>
          </w:p>
        </w:tc>
        <w:tc>
          <w:tcPr>
            <w:tcW w:w="1400" w:type="dxa"/>
            <w:vAlign w:val="bottom"/>
            <w:shd w:val="clear" w:color="auto" w:fill="112B4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152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Remained Unvested</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Year to Last Day of</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Granted During</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Vesting Date of</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Year of Equity</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Awards Not</w:t>
            </w:r>
          </w:p>
        </w:tc>
        <w:tc>
          <w:tcPr>
            <w:tcW w:w="1400" w:type="dxa"/>
            <w:vAlign w:val="bottom"/>
            <w:shd w:val="clear" w:color="auto" w:fill="112B4A"/>
          </w:tcPr>
          <w:p>
            <w:pPr>
              <w:jc w:val="right"/>
              <w:ind w:right="99"/>
              <w:spacing w:after="0"/>
              <w:rPr>
                <w:sz w:val="20"/>
                <w:szCs w:val="20"/>
                <w:color w:val="auto"/>
              </w:rPr>
            </w:pPr>
            <w:r>
              <w:rPr>
                <w:rFonts w:ascii="Arial" w:cs="Arial" w:eastAsia="Arial" w:hAnsi="Arial"/>
                <w:sz w:val="14"/>
                <w:szCs w:val="14"/>
                <w:b w:val="1"/>
                <w:bCs w:val="1"/>
                <w:color w:val="FFFFFF"/>
              </w:rPr>
              <w:t>Total - Average</w:t>
            </w: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300" w:type="dxa"/>
            <w:vAlign w:val="bottom"/>
            <w:shd w:val="clear" w:color="auto" w:fill="112B4A"/>
          </w:tcPr>
          <w:p>
            <w:pPr>
              <w:spacing w:after="0"/>
              <w:rPr>
                <w:sz w:val="14"/>
                <w:szCs w:val="14"/>
                <w:color w:val="auto"/>
              </w:rPr>
            </w:pPr>
          </w:p>
        </w:tc>
        <w:tc>
          <w:tcPr>
            <w:tcW w:w="12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as of Last Day of</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Year of Unvested</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Year that Vested</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Unvested Equity</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Awards Forfeited</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Otherwise Included</w:t>
            </w:r>
          </w:p>
        </w:tc>
        <w:tc>
          <w:tcPr>
            <w:tcW w:w="1400" w:type="dxa"/>
            <w:vAlign w:val="bottom"/>
            <w:shd w:val="clear" w:color="auto" w:fill="112B4A"/>
          </w:tcPr>
          <w:p>
            <w:pPr>
              <w:jc w:val="right"/>
              <w:ind w:right="99"/>
              <w:spacing w:after="0"/>
              <w:rPr>
                <w:sz w:val="20"/>
                <w:szCs w:val="20"/>
                <w:color w:val="auto"/>
              </w:rPr>
            </w:pPr>
            <w:r>
              <w:rPr>
                <w:rFonts w:ascii="Arial" w:cs="Arial" w:eastAsia="Arial" w:hAnsi="Arial"/>
                <w:sz w:val="14"/>
                <w:szCs w:val="14"/>
                <w:b w:val="1"/>
                <w:bCs w:val="1"/>
                <w:color w:val="FFFFFF"/>
              </w:rPr>
              <w:t>Inclusion of</w:t>
            </w: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152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Year for Non-PEO</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Equity Awards for</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During Year for</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Awards that Vested</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During Year for</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for</w:t>
            </w:r>
          </w:p>
        </w:tc>
        <w:tc>
          <w:tcPr>
            <w:tcW w:w="1400" w:type="dxa"/>
            <w:vAlign w:val="bottom"/>
            <w:shd w:val="clear" w:color="auto" w:fill="112B4A"/>
          </w:tcPr>
          <w:p>
            <w:pPr>
              <w:jc w:val="right"/>
              <w:ind w:right="99"/>
              <w:spacing w:after="0"/>
              <w:rPr>
                <w:sz w:val="20"/>
                <w:szCs w:val="20"/>
                <w:color w:val="auto"/>
              </w:rPr>
            </w:pPr>
            <w:r>
              <w:rPr>
                <w:rFonts w:ascii="Arial" w:cs="Arial" w:eastAsia="Arial" w:hAnsi="Arial"/>
                <w:sz w:val="14"/>
                <w:szCs w:val="14"/>
                <w:b w:val="1"/>
                <w:bCs w:val="1"/>
                <w:color w:val="FFFFFF"/>
              </w:rPr>
              <w:t>Equity Values for</w:t>
            </w:r>
          </w:p>
        </w:tc>
        <w:tc>
          <w:tcPr>
            <w:tcW w:w="0" w:type="dxa"/>
            <w:vAlign w:val="bottom"/>
          </w:tcPr>
          <w:p>
            <w:pPr>
              <w:spacing w:after="0"/>
              <w:rPr>
                <w:sz w:val="1"/>
                <w:szCs w:val="1"/>
                <w:color w:val="auto"/>
              </w:rPr>
            </w:pPr>
          </w:p>
        </w:tc>
      </w:tr>
      <w:tr>
        <w:trPr>
          <w:trHeight w:val="162"/>
        </w:trPr>
        <w:tc>
          <w:tcPr>
            <w:tcW w:w="720" w:type="dxa"/>
            <w:vAlign w:val="bottom"/>
            <w:shd w:val="clear" w:color="auto" w:fill="112B4A"/>
          </w:tcPr>
          <w:p>
            <w:pPr>
              <w:spacing w:after="0"/>
              <w:rPr>
                <w:sz w:val="14"/>
                <w:szCs w:val="14"/>
                <w:color w:val="auto"/>
              </w:rPr>
            </w:pPr>
          </w:p>
        </w:tc>
        <w:tc>
          <w:tcPr>
            <w:tcW w:w="300" w:type="dxa"/>
            <w:vAlign w:val="bottom"/>
            <w:shd w:val="clear" w:color="auto" w:fill="112B4A"/>
          </w:tcPr>
          <w:p>
            <w:pPr>
              <w:spacing w:after="0"/>
              <w:rPr>
                <w:sz w:val="14"/>
                <w:szCs w:val="14"/>
                <w:color w:val="auto"/>
              </w:rPr>
            </w:pPr>
          </w:p>
        </w:tc>
        <w:tc>
          <w:tcPr>
            <w:tcW w:w="122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NEOs</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Non-PEO NEOs</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Non-PEO NEOs</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During Year for Non-</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Non-PEO NEOs</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Non-PEO NEOs</w:t>
            </w:r>
          </w:p>
        </w:tc>
        <w:tc>
          <w:tcPr>
            <w:tcW w:w="1400" w:type="dxa"/>
            <w:vAlign w:val="bottom"/>
            <w:shd w:val="clear" w:color="auto" w:fill="112B4A"/>
          </w:tcPr>
          <w:p>
            <w:pPr>
              <w:jc w:val="right"/>
              <w:ind w:right="99"/>
              <w:spacing w:after="0"/>
              <w:rPr>
                <w:sz w:val="20"/>
                <w:szCs w:val="20"/>
                <w:color w:val="auto"/>
              </w:rPr>
            </w:pPr>
            <w:r>
              <w:rPr>
                <w:rFonts w:ascii="Arial" w:cs="Arial" w:eastAsia="Arial" w:hAnsi="Arial"/>
                <w:sz w:val="14"/>
                <w:szCs w:val="14"/>
                <w:b w:val="1"/>
                <w:bCs w:val="1"/>
                <w:color w:val="FFFFFF"/>
              </w:rPr>
              <w:t>Non-PEO NEOs</w:t>
            </w:r>
          </w:p>
        </w:tc>
        <w:tc>
          <w:tcPr>
            <w:tcW w:w="0" w:type="dxa"/>
            <w:vAlign w:val="bottom"/>
          </w:tcPr>
          <w:p>
            <w:pPr>
              <w:spacing w:after="0"/>
              <w:rPr>
                <w:sz w:val="1"/>
                <w:szCs w:val="1"/>
                <w:color w:val="auto"/>
              </w:rPr>
            </w:pPr>
          </w:p>
        </w:tc>
      </w:tr>
      <w:tr>
        <w:trPr>
          <w:trHeight w:val="210"/>
        </w:trPr>
        <w:tc>
          <w:tcPr>
            <w:tcW w:w="720" w:type="dxa"/>
            <w:vAlign w:val="bottom"/>
            <w:shd w:val="clear" w:color="auto" w:fill="112B4A"/>
          </w:tcPr>
          <w:p>
            <w:pPr>
              <w:ind w:left="220"/>
              <w:spacing w:after="0"/>
              <w:rPr>
                <w:sz w:val="20"/>
                <w:szCs w:val="20"/>
                <w:color w:val="auto"/>
              </w:rPr>
            </w:pPr>
            <w:r>
              <w:rPr>
                <w:rFonts w:ascii="Arial" w:cs="Arial" w:eastAsia="Arial" w:hAnsi="Arial"/>
                <w:sz w:val="14"/>
                <w:szCs w:val="14"/>
                <w:b w:val="1"/>
                <w:bCs w:val="1"/>
                <w:color w:val="FFFFFF"/>
              </w:rPr>
              <w:t>Year</w:t>
            </w:r>
          </w:p>
        </w:tc>
        <w:tc>
          <w:tcPr>
            <w:tcW w:w="1520" w:type="dxa"/>
            <w:vAlign w:val="bottom"/>
            <w:gridSpan w:val="2"/>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112B4A"/>
          </w:tcPr>
          <w:p>
            <w:pPr>
              <w:jc w:val="right"/>
              <w:ind w:right="21"/>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112B4A"/>
          </w:tcPr>
          <w:p>
            <w:pPr>
              <w:jc w:val="right"/>
              <w:ind w:right="101"/>
              <w:spacing w:after="0"/>
              <w:rPr>
                <w:sz w:val="20"/>
                <w:szCs w:val="20"/>
                <w:color w:val="auto"/>
              </w:rPr>
            </w:pPr>
            <w:r>
              <w:rPr>
                <w:rFonts w:ascii="Arial" w:cs="Arial" w:eastAsia="Arial" w:hAnsi="Arial"/>
                <w:sz w:val="14"/>
                <w:szCs w:val="14"/>
                <w:b w:val="1"/>
                <w:bCs w:val="1"/>
                <w:color w:val="FFFFFF"/>
              </w:rPr>
              <w:t>PEO NEOs ($)</w:t>
            </w:r>
          </w:p>
        </w:tc>
        <w:tc>
          <w:tcPr>
            <w:tcW w:w="1440" w:type="dxa"/>
            <w:vAlign w:val="bottom"/>
            <w:shd w:val="clear" w:color="auto" w:fill="112B4A"/>
          </w:tcPr>
          <w:p>
            <w:pPr>
              <w:jc w:val="right"/>
              <w:ind w:right="20"/>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112B4A"/>
          </w:tcPr>
          <w:p>
            <w:pPr>
              <w:jc w:val="right"/>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112B4A"/>
          </w:tcPr>
          <w:p>
            <w:pPr>
              <w:jc w:val="right"/>
              <w:ind w:right="9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720" w:type="dxa"/>
            <w:vAlign w:val="bottom"/>
            <w:shd w:val="clear" w:color="auto" w:fill="112B4A"/>
          </w:tcPr>
          <w:p>
            <w:pPr>
              <w:spacing w:after="0"/>
              <w:rPr>
                <w:sz w:val="9"/>
                <w:szCs w:val="9"/>
                <w:color w:val="auto"/>
              </w:rPr>
            </w:pPr>
          </w:p>
        </w:tc>
        <w:tc>
          <w:tcPr>
            <w:tcW w:w="1520" w:type="dxa"/>
            <w:vAlign w:val="bottom"/>
            <w:gridSpan w:val="2"/>
            <w:shd w:val="clear" w:color="auto" w:fill="112B4A"/>
          </w:tcPr>
          <w:p>
            <w:pPr>
              <w:spacing w:after="0"/>
              <w:rPr>
                <w:sz w:val="9"/>
                <w:szCs w:val="9"/>
                <w:color w:val="auto"/>
              </w:rPr>
            </w:pPr>
          </w:p>
        </w:tc>
        <w:tc>
          <w:tcPr>
            <w:tcW w:w="1480" w:type="dxa"/>
            <w:vAlign w:val="bottom"/>
            <w:shd w:val="clear" w:color="auto" w:fill="112B4A"/>
          </w:tcPr>
          <w:p>
            <w:pPr>
              <w:spacing w:after="0"/>
              <w:rPr>
                <w:sz w:val="9"/>
                <w:szCs w:val="9"/>
                <w:color w:val="auto"/>
              </w:rPr>
            </w:pPr>
          </w:p>
        </w:tc>
        <w:tc>
          <w:tcPr>
            <w:tcW w:w="1360" w:type="dxa"/>
            <w:vAlign w:val="bottom"/>
            <w:shd w:val="clear" w:color="auto" w:fill="112B4A"/>
          </w:tcPr>
          <w:p>
            <w:pPr>
              <w:spacing w:after="0"/>
              <w:rPr>
                <w:sz w:val="9"/>
                <w:szCs w:val="9"/>
                <w:color w:val="auto"/>
              </w:rPr>
            </w:pPr>
          </w:p>
        </w:tc>
        <w:tc>
          <w:tcPr>
            <w:tcW w:w="1640" w:type="dxa"/>
            <w:vAlign w:val="bottom"/>
            <w:shd w:val="clear" w:color="auto" w:fill="112B4A"/>
          </w:tcPr>
          <w:p>
            <w:pPr>
              <w:spacing w:after="0"/>
              <w:rPr>
                <w:sz w:val="9"/>
                <w:szCs w:val="9"/>
                <w:color w:val="auto"/>
              </w:rPr>
            </w:pPr>
          </w:p>
        </w:tc>
        <w:tc>
          <w:tcPr>
            <w:tcW w:w="1440" w:type="dxa"/>
            <w:vAlign w:val="bottom"/>
            <w:shd w:val="clear" w:color="auto" w:fill="112B4A"/>
          </w:tcPr>
          <w:p>
            <w:pPr>
              <w:spacing w:after="0"/>
              <w:rPr>
                <w:sz w:val="9"/>
                <w:szCs w:val="9"/>
                <w:color w:val="auto"/>
              </w:rPr>
            </w:pPr>
          </w:p>
        </w:tc>
        <w:tc>
          <w:tcPr>
            <w:tcW w:w="1480" w:type="dxa"/>
            <w:vAlign w:val="bottom"/>
            <w:shd w:val="clear" w:color="auto" w:fill="112B4A"/>
          </w:tcPr>
          <w:p>
            <w:pPr>
              <w:spacing w:after="0"/>
              <w:rPr>
                <w:sz w:val="9"/>
                <w:szCs w:val="9"/>
                <w:color w:val="auto"/>
              </w:rPr>
            </w:pPr>
          </w:p>
        </w:tc>
        <w:tc>
          <w:tcPr>
            <w:tcW w:w="1400" w:type="dxa"/>
            <w:vAlign w:val="bottom"/>
            <w:shd w:val="clear" w:color="auto" w:fill="112B4A"/>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20" w:type="dxa"/>
            <w:vAlign w:val="bottom"/>
            <w:tcBorders>
              <w:bottom w:val="single" w:sz="8" w:color="25A9E0"/>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1,832,803</w:t>
            </w:r>
          </w:p>
        </w:tc>
        <w:tc>
          <w:tcPr>
            <w:tcW w:w="1480" w:type="dxa"/>
            <w:vAlign w:val="bottom"/>
            <w:tcBorders>
              <w:bottom w:val="single" w:sz="8" w:color="25A9E0"/>
            </w:tcBorders>
          </w:tcPr>
          <w:p>
            <w:pPr>
              <w:jc w:val="right"/>
              <w:ind w:right="21"/>
              <w:spacing w:after="0"/>
              <w:rPr>
                <w:sz w:val="20"/>
                <w:szCs w:val="20"/>
                <w:color w:val="auto"/>
              </w:rPr>
            </w:pPr>
            <w:r>
              <w:rPr>
                <w:rFonts w:ascii="Times New Roman" w:cs="Times New Roman" w:eastAsia="Times New Roman" w:hAnsi="Times New Roman"/>
                <w:sz w:val="18"/>
                <w:szCs w:val="18"/>
                <w:color w:val="auto"/>
              </w:rPr>
              <w:t>428,204</w:t>
            </w:r>
          </w:p>
        </w:tc>
        <w:tc>
          <w:tcPr>
            <w:tcW w:w="13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25A9E0"/>
            </w:tcBorders>
          </w:tcPr>
          <w:p>
            <w:pPr>
              <w:jc w:val="right"/>
              <w:ind w:right="101"/>
              <w:spacing w:after="0"/>
              <w:rPr>
                <w:sz w:val="20"/>
                <w:szCs w:val="20"/>
                <w:color w:val="auto"/>
              </w:rPr>
            </w:pPr>
            <w:r>
              <w:rPr>
                <w:rFonts w:ascii="Times New Roman" w:cs="Times New Roman" w:eastAsia="Times New Roman" w:hAnsi="Times New Roman"/>
                <w:sz w:val="18"/>
                <w:szCs w:val="18"/>
                <w:color w:val="auto"/>
              </w:rPr>
              <w:t>69,992</w:t>
            </w:r>
          </w:p>
        </w:tc>
        <w:tc>
          <w:tcPr>
            <w:tcW w:w="1440" w:type="dxa"/>
            <w:vAlign w:val="bottom"/>
            <w:tcBorders>
              <w:bottom w:val="single" w:sz="8" w:color="25A9E0"/>
            </w:tcBorders>
          </w:tcPr>
          <w:p>
            <w:pPr>
              <w:jc w:val="right"/>
              <w:ind w:right="20"/>
              <w:spacing w:after="0"/>
              <w:rPr>
                <w:sz w:val="20"/>
                <w:szCs w:val="20"/>
                <w:color w:val="auto"/>
              </w:rPr>
            </w:pPr>
            <w:r>
              <w:rPr>
                <w:rFonts w:ascii="Times New Roman" w:cs="Times New Roman" w:eastAsia="Times New Roman" w:hAnsi="Times New Roman"/>
                <w:sz w:val="18"/>
                <w:szCs w:val="18"/>
                <w:color w:val="auto"/>
              </w:rPr>
              <w:t>(261,945)</w:t>
            </w:r>
          </w:p>
        </w:tc>
        <w:tc>
          <w:tcPr>
            <w:tcW w:w="14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Borders>
              <w:bottom w:val="single" w:sz="8" w:color="25A9E0"/>
            </w:tcBorders>
          </w:tcPr>
          <w:p>
            <w:pPr>
              <w:jc w:val="right"/>
              <w:ind w:right="99"/>
              <w:spacing w:after="0"/>
              <w:rPr>
                <w:sz w:val="20"/>
                <w:szCs w:val="20"/>
                <w:color w:val="auto"/>
              </w:rPr>
            </w:pPr>
            <w:r>
              <w:rPr>
                <w:rFonts w:ascii="Times New Roman" w:cs="Times New Roman" w:eastAsia="Times New Roman" w:hAnsi="Times New Roman"/>
                <w:sz w:val="18"/>
                <w:szCs w:val="18"/>
                <w:color w:val="auto"/>
              </w:rPr>
              <w:t>2,330,999</w:t>
            </w:r>
          </w:p>
        </w:tc>
        <w:tc>
          <w:tcPr>
            <w:tcW w:w="0" w:type="dxa"/>
            <w:vAlign w:val="bottom"/>
          </w:tcPr>
          <w:p>
            <w:pPr>
              <w:spacing w:after="0"/>
              <w:rPr>
                <w:sz w:val="1"/>
                <w:szCs w:val="1"/>
                <w:color w:val="auto"/>
              </w:rPr>
            </w:pPr>
          </w:p>
        </w:tc>
      </w:tr>
      <w:tr>
        <w:trPr>
          <w:trHeight w:val="223"/>
        </w:trPr>
        <w:tc>
          <w:tcPr>
            <w:tcW w:w="720" w:type="dxa"/>
            <w:vAlign w:val="bottom"/>
            <w:tcBorders>
              <w:bottom w:val="single" w:sz="8" w:color="25A9E0"/>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1,547,777</w:t>
            </w:r>
          </w:p>
        </w:tc>
        <w:tc>
          <w:tcPr>
            <w:tcW w:w="1480" w:type="dxa"/>
            <w:vAlign w:val="bottom"/>
            <w:tcBorders>
              <w:bottom w:val="single" w:sz="8" w:color="25A9E0"/>
            </w:tcBorders>
          </w:tcPr>
          <w:p>
            <w:pPr>
              <w:jc w:val="right"/>
              <w:ind w:right="21"/>
              <w:spacing w:after="0"/>
              <w:rPr>
                <w:sz w:val="20"/>
                <w:szCs w:val="20"/>
                <w:color w:val="auto"/>
              </w:rPr>
            </w:pPr>
            <w:r>
              <w:rPr>
                <w:rFonts w:ascii="Times New Roman" w:cs="Times New Roman" w:eastAsia="Times New Roman" w:hAnsi="Times New Roman"/>
                <w:sz w:val="18"/>
                <w:szCs w:val="18"/>
                <w:color w:val="auto"/>
              </w:rPr>
              <w:t>1,525,158</w:t>
            </w:r>
          </w:p>
        </w:tc>
        <w:tc>
          <w:tcPr>
            <w:tcW w:w="13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25A9E0"/>
            </w:tcBorders>
          </w:tcPr>
          <w:p>
            <w:pPr>
              <w:jc w:val="right"/>
              <w:ind w:right="101"/>
              <w:spacing w:after="0"/>
              <w:rPr>
                <w:sz w:val="20"/>
                <w:szCs w:val="20"/>
                <w:color w:val="auto"/>
              </w:rPr>
            </w:pPr>
            <w:r>
              <w:rPr>
                <w:rFonts w:ascii="Times New Roman" w:cs="Times New Roman" w:eastAsia="Times New Roman" w:hAnsi="Times New Roman"/>
                <w:sz w:val="18"/>
                <w:szCs w:val="18"/>
                <w:color w:val="auto"/>
              </w:rPr>
              <w:t>148,101</w:t>
            </w:r>
          </w:p>
        </w:tc>
        <w:tc>
          <w:tcPr>
            <w:tcW w:w="1440" w:type="dxa"/>
            <w:vAlign w:val="bottom"/>
            <w:tcBorders>
              <w:bottom w:val="single" w:sz="8" w:color="25A9E0"/>
            </w:tcBorders>
          </w:tcPr>
          <w:p>
            <w:pPr>
              <w:jc w:val="right"/>
              <w:ind w:right="20"/>
              <w:spacing w:after="0"/>
              <w:rPr>
                <w:sz w:val="20"/>
                <w:szCs w:val="20"/>
                <w:color w:val="auto"/>
              </w:rPr>
            </w:pPr>
            <w:r>
              <w:rPr>
                <w:rFonts w:ascii="Times New Roman" w:cs="Times New Roman" w:eastAsia="Times New Roman" w:hAnsi="Times New Roman"/>
                <w:sz w:val="18"/>
                <w:szCs w:val="18"/>
                <w:color w:val="auto"/>
              </w:rPr>
              <w:t>(261,945)</w:t>
            </w:r>
          </w:p>
        </w:tc>
        <w:tc>
          <w:tcPr>
            <w:tcW w:w="14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Borders>
              <w:bottom w:val="single" w:sz="8" w:color="25A9E0"/>
            </w:tcBorders>
          </w:tcPr>
          <w:p>
            <w:pPr>
              <w:jc w:val="right"/>
              <w:ind w:right="99"/>
              <w:spacing w:after="0"/>
              <w:rPr>
                <w:sz w:val="20"/>
                <w:szCs w:val="20"/>
                <w:color w:val="auto"/>
              </w:rPr>
            </w:pPr>
            <w:r>
              <w:rPr>
                <w:rFonts w:ascii="Times New Roman" w:cs="Times New Roman" w:eastAsia="Times New Roman" w:hAnsi="Times New Roman"/>
                <w:sz w:val="18"/>
                <w:szCs w:val="18"/>
                <w:color w:val="auto"/>
              </w:rPr>
              <w:t>2,959,091</w:t>
            </w:r>
          </w:p>
        </w:tc>
        <w:tc>
          <w:tcPr>
            <w:tcW w:w="0" w:type="dxa"/>
            <w:vAlign w:val="bottom"/>
          </w:tcPr>
          <w:p>
            <w:pPr>
              <w:spacing w:after="0"/>
              <w:rPr>
                <w:sz w:val="1"/>
                <w:szCs w:val="1"/>
                <w:color w:val="auto"/>
              </w:rPr>
            </w:pPr>
          </w:p>
        </w:tc>
      </w:tr>
      <w:tr>
        <w:trPr>
          <w:trHeight w:val="223"/>
        </w:trPr>
        <w:tc>
          <w:tcPr>
            <w:tcW w:w="720" w:type="dxa"/>
            <w:vAlign w:val="bottom"/>
            <w:tcBorders>
              <w:bottom w:val="single" w:sz="8" w:color="25A9E0"/>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1,630,119</w:t>
            </w:r>
          </w:p>
        </w:tc>
        <w:tc>
          <w:tcPr>
            <w:tcW w:w="1480" w:type="dxa"/>
            <w:vAlign w:val="bottom"/>
            <w:tcBorders>
              <w:bottom w:val="single" w:sz="8" w:color="25A9E0"/>
            </w:tcBorders>
          </w:tcPr>
          <w:p>
            <w:pPr>
              <w:jc w:val="right"/>
              <w:ind w:right="21"/>
              <w:spacing w:after="0"/>
              <w:rPr>
                <w:sz w:val="20"/>
                <w:szCs w:val="20"/>
                <w:color w:val="auto"/>
              </w:rPr>
            </w:pPr>
            <w:r>
              <w:rPr>
                <w:rFonts w:ascii="Times New Roman" w:cs="Times New Roman" w:eastAsia="Times New Roman" w:hAnsi="Times New Roman"/>
                <w:sz w:val="18"/>
                <w:szCs w:val="18"/>
                <w:color w:val="auto"/>
              </w:rPr>
              <w:t>(2,021,505)</w:t>
            </w:r>
          </w:p>
        </w:tc>
        <w:tc>
          <w:tcPr>
            <w:tcW w:w="13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25A9E0"/>
            </w:tcBorders>
          </w:tcPr>
          <w:p>
            <w:pPr>
              <w:jc w:val="right"/>
              <w:ind w:right="101"/>
              <w:spacing w:after="0"/>
              <w:rPr>
                <w:sz w:val="20"/>
                <w:szCs w:val="20"/>
                <w:color w:val="auto"/>
              </w:rPr>
            </w:pPr>
            <w:r>
              <w:rPr>
                <w:rFonts w:ascii="Times New Roman" w:cs="Times New Roman" w:eastAsia="Times New Roman" w:hAnsi="Times New Roman"/>
                <w:sz w:val="18"/>
                <w:szCs w:val="18"/>
                <w:color w:val="auto"/>
              </w:rPr>
              <w:t>(127,224)</w:t>
            </w:r>
          </w:p>
        </w:tc>
        <w:tc>
          <w:tcPr>
            <w:tcW w:w="1440" w:type="dxa"/>
            <w:vAlign w:val="bottom"/>
            <w:tcBorders>
              <w:bottom w:val="single" w:sz="8" w:color="25A9E0"/>
            </w:tcBorders>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Borders>
              <w:bottom w:val="single" w:sz="8" w:color="25A9E0"/>
            </w:tcBorders>
          </w:tcPr>
          <w:p>
            <w:pPr>
              <w:jc w:val="right"/>
              <w:ind w:right="99"/>
              <w:spacing w:after="0"/>
              <w:rPr>
                <w:sz w:val="20"/>
                <w:szCs w:val="20"/>
                <w:color w:val="auto"/>
              </w:rPr>
            </w:pPr>
            <w:r>
              <w:rPr>
                <w:rFonts w:ascii="Times New Roman" w:cs="Times New Roman" w:eastAsia="Times New Roman" w:hAnsi="Times New Roman"/>
                <w:sz w:val="18"/>
                <w:szCs w:val="18"/>
                <w:color w:val="auto"/>
              </w:rPr>
              <w:t>(518,610)</w:t>
            </w:r>
          </w:p>
        </w:tc>
        <w:tc>
          <w:tcPr>
            <w:tcW w:w="0" w:type="dxa"/>
            <w:vAlign w:val="bottom"/>
          </w:tcPr>
          <w:p>
            <w:pPr>
              <w:spacing w:after="0"/>
              <w:rPr>
                <w:sz w:val="1"/>
                <w:szCs w:val="1"/>
                <w:color w:val="auto"/>
              </w:rPr>
            </w:pPr>
          </w:p>
        </w:tc>
      </w:tr>
      <w:tr>
        <w:trPr>
          <w:trHeight w:val="223"/>
        </w:trPr>
        <w:tc>
          <w:tcPr>
            <w:tcW w:w="720" w:type="dxa"/>
            <w:vAlign w:val="bottom"/>
            <w:tcBorders>
              <w:bottom w:val="single" w:sz="8" w:color="25A9E0"/>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tcBorders>
              <w:bottom w:val="single" w:sz="8" w:color="25A9E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2,126,740</w:t>
            </w:r>
          </w:p>
        </w:tc>
        <w:tc>
          <w:tcPr>
            <w:tcW w:w="1480" w:type="dxa"/>
            <w:vAlign w:val="bottom"/>
            <w:tcBorders>
              <w:bottom w:val="single" w:sz="8" w:color="25A9E0"/>
            </w:tcBorders>
          </w:tcPr>
          <w:p>
            <w:pPr>
              <w:jc w:val="right"/>
              <w:ind w:right="21"/>
              <w:spacing w:after="0"/>
              <w:rPr>
                <w:sz w:val="20"/>
                <w:szCs w:val="20"/>
                <w:color w:val="auto"/>
              </w:rPr>
            </w:pPr>
            <w:r>
              <w:rPr>
                <w:rFonts w:ascii="Times New Roman" w:cs="Times New Roman" w:eastAsia="Times New Roman" w:hAnsi="Times New Roman"/>
                <w:sz w:val="18"/>
                <w:szCs w:val="18"/>
                <w:color w:val="auto"/>
              </w:rPr>
              <w:t>744,382</w:t>
            </w:r>
          </w:p>
        </w:tc>
        <w:tc>
          <w:tcPr>
            <w:tcW w:w="136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25A9E0"/>
            </w:tcBorders>
          </w:tcPr>
          <w:p>
            <w:pPr>
              <w:jc w:val="right"/>
              <w:ind w:right="101"/>
              <w:spacing w:after="0"/>
              <w:rPr>
                <w:sz w:val="20"/>
                <w:szCs w:val="20"/>
                <w:color w:val="auto"/>
              </w:rPr>
            </w:pPr>
            <w:r>
              <w:rPr>
                <w:rFonts w:ascii="Times New Roman" w:cs="Times New Roman" w:eastAsia="Times New Roman" w:hAnsi="Times New Roman"/>
                <w:sz w:val="18"/>
                <w:szCs w:val="18"/>
                <w:color w:val="auto"/>
              </w:rPr>
              <w:t>268,733</w:t>
            </w:r>
          </w:p>
        </w:tc>
        <w:tc>
          <w:tcPr>
            <w:tcW w:w="1440" w:type="dxa"/>
            <w:vAlign w:val="bottom"/>
            <w:tcBorders>
              <w:bottom w:val="single" w:sz="8" w:color="25A9E0"/>
            </w:tcBorders>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bottom w:val="single" w:sz="8" w:color="25A9E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Borders>
              <w:bottom w:val="single" w:sz="8" w:color="25A9E0"/>
            </w:tcBorders>
          </w:tcPr>
          <w:p>
            <w:pPr>
              <w:jc w:val="right"/>
              <w:ind w:right="99"/>
              <w:spacing w:after="0"/>
              <w:rPr>
                <w:sz w:val="20"/>
                <w:szCs w:val="20"/>
                <w:color w:val="auto"/>
              </w:rPr>
            </w:pPr>
            <w:r>
              <w:rPr>
                <w:rFonts w:ascii="Times New Roman" w:cs="Times New Roman" w:eastAsia="Times New Roman" w:hAnsi="Times New Roman"/>
                <w:sz w:val="18"/>
                <w:szCs w:val="18"/>
                <w:color w:val="auto"/>
              </w:rPr>
              <w:t>3,139,856</w:t>
            </w:r>
          </w:p>
        </w:tc>
        <w:tc>
          <w:tcPr>
            <w:tcW w:w="0" w:type="dxa"/>
            <w:vAlign w:val="bottom"/>
          </w:tcPr>
          <w:p>
            <w:pPr>
              <w:spacing w:after="0"/>
              <w:rPr>
                <w:sz w:val="1"/>
                <w:szCs w:val="1"/>
                <w:color w:val="auto"/>
              </w:rPr>
            </w:pPr>
          </w:p>
        </w:tc>
      </w:tr>
      <w:tr>
        <w:trPr>
          <w:trHeight w:val="223"/>
        </w:trPr>
        <w:tc>
          <w:tcPr>
            <w:tcW w:w="720" w:type="dxa"/>
            <w:vAlign w:val="bottom"/>
            <w:tcBorders>
              <w:bottom w:val="single" w:sz="8" w:color="112B4A"/>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2020</w:t>
            </w:r>
          </w:p>
        </w:tc>
        <w:tc>
          <w:tcPr>
            <w:tcW w:w="1520" w:type="dxa"/>
            <w:vAlign w:val="bottom"/>
            <w:tcBorders>
              <w:bottom w:val="single" w:sz="8" w:color="112B4A"/>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1,923,248</w:t>
            </w:r>
          </w:p>
        </w:tc>
        <w:tc>
          <w:tcPr>
            <w:tcW w:w="1480" w:type="dxa"/>
            <w:vAlign w:val="bottom"/>
            <w:tcBorders>
              <w:bottom w:val="single" w:sz="8" w:color="112B4A"/>
            </w:tcBorders>
          </w:tcPr>
          <w:p>
            <w:pPr>
              <w:jc w:val="right"/>
              <w:ind w:right="21"/>
              <w:spacing w:after="0"/>
              <w:rPr>
                <w:sz w:val="20"/>
                <w:szCs w:val="20"/>
                <w:color w:val="auto"/>
              </w:rPr>
            </w:pPr>
            <w:r>
              <w:rPr>
                <w:rFonts w:ascii="Times New Roman" w:cs="Times New Roman" w:eastAsia="Times New Roman" w:hAnsi="Times New Roman"/>
                <w:sz w:val="18"/>
                <w:szCs w:val="18"/>
                <w:color w:val="auto"/>
              </w:rPr>
              <w:t>(835,552)</w:t>
            </w:r>
          </w:p>
        </w:tc>
        <w:tc>
          <w:tcPr>
            <w:tcW w:w="136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bottom w:val="single" w:sz="8" w:color="112B4A"/>
            </w:tcBorders>
          </w:tcPr>
          <w:p>
            <w:pPr>
              <w:jc w:val="right"/>
              <w:ind w:right="101"/>
              <w:spacing w:after="0"/>
              <w:rPr>
                <w:sz w:val="20"/>
                <w:szCs w:val="20"/>
                <w:color w:val="auto"/>
              </w:rPr>
            </w:pPr>
            <w:r>
              <w:rPr>
                <w:rFonts w:ascii="Times New Roman" w:cs="Times New Roman" w:eastAsia="Times New Roman" w:hAnsi="Times New Roman"/>
                <w:sz w:val="18"/>
                <w:szCs w:val="18"/>
                <w:color w:val="auto"/>
              </w:rPr>
              <w:t>(357,189)</w:t>
            </w:r>
          </w:p>
        </w:tc>
        <w:tc>
          <w:tcPr>
            <w:tcW w:w="1440" w:type="dxa"/>
            <w:vAlign w:val="bottom"/>
            <w:tcBorders>
              <w:bottom w:val="single" w:sz="8" w:color="112B4A"/>
            </w:tcBorders>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bottom w:val="single" w:sz="8" w:color="112B4A"/>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Borders>
              <w:bottom w:val="single" w:sz="8" w:color="112B4A"/>
            </w:tcBorders>
          </w:tcPr>
          <w:p>
            <w:pPr>
              <w:jc w:val="right"/>
              <w:ind w:right="99"/>
              <w:spacing w:after="0"/>
              <w:rPr>
                <w:sz w:val="20"/>
                <w:szCs w:val="20"/>
                <w:color w:val="auto"/>
              </w:rPr>
            </w:pPr>
            <w:r>
              <w:rPr>
                <w:rFonts w:ascii="Times New Roman" w:cs="Times New Roman" w:eastAsia="Times New Roman" w:hAnsi="Times New Roman"/>
                <w:sz w:val="18"/>
                <w:szCs w:val="18"/>
                <w:color w:val="auto"/>
              </w:rPr>
              <w:t>730,507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hanging="332"/>
        <w:spacing w:after="0" w:line="272" w:lineRule="auto"/>
        <w:tabs>
          <w:tab w:leader="none" w:pos="33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"Peer Group TSR" set forth in this table utilizes a custom group of peer companies,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custom group of peer companies used in our</w:t>
      </w:r>
    </w:p>
    <w:p>
      <w:pPr>
        <w:spacing w:after="0" w:line="2" w:lineRule="exact"/>
        <w:rPr>
          <w:sz w:val="20"/>
          <w:szCs w:val="20"/>
          <w:color w:val="auto"/>
        </w:rPr>
      </w:pPr>
    </w:p>
    <w:p>
      <w:pPr>
        <w:ind w:left="340" w:right="140"/>
        <w:spacing w:after="0" w:line="250" w:lineRule="auto"/>
        <w:rPr>
          <w:sz w:val="20"/>
          <w:szCs w:val="20"/>
          <w:color w:val="auto"/>
        </w:rPr>
      </w:pPr>
      <w:r>
        <w:rPr>
          <w:rFonts w:ascii="Times New Roman" w:cs="Times New Roman" w:eastAsia="Times New Roman" w:hAnsi="Times New Roman"/>
          <w:sz w:val="18"/>
          <w:szCs w:val="18"/>
          <w:color w:val="auto"/>
        </w:rPr>
        <w:t>performance graph, respectively. The custom peer group consists of: Cboe Global Markets Inc, Deutsche Boerse Ag, Intercontinental Exchange Inc, London Stock Exchange Group Plc and Nasdaq Inc. Historical stock performance is not necessarily indicative of future stock performance.</w:t>
      </w:r>
    </w:p>
    <w:p>
      <w:pPr>
        <w:spacing w:after="0" w:line="1" w:lineRule="exact"/>
        <w:rPr>
          <w:sz w:val="20"/>
          <w:szCs w:val="20"/>
          <w:color w:val="auto"/>
        </w:rPr>
      </w:pPr>
    </w:p>
    <w:p>
      <w:pPr>
        <w:ind w:left="340" w:hanging="332"/>
        <w:spacing w:after="0" w:line="255" w:lineRule="auto"/>
        <w:tabs>
          <w:tab w:leader="none" w:pos="3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determined cash earnings to be the most important financial performance measure used to link company performance to "Compensation Actually Paid" to our PEO and Non-PEO NEOs in 2024. More information about cash earnings can be found in the annual bonus section of the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Discussion and Analysis </w:t>
      </w:r>
      <w:r>
        <w:rPr>
          <w:rFonts w:ascii="Times New Roman" w:cs="Times New Roman" w:eastAsia="Times New Roman" w:hAnsi="Times New Roman"/>
          <w:sz w:val="18"/>
          <w:szCs w:val="18"/>
          <w:color w:val="auto"/>
        </w:rPr>
        <w:t>beginning on</w:t>
      </w:r>
      <w:r>
        <w:rPr>
          <w:rFonts w:ascii="Times New Roman" w:cs="Times New Roman" w:eastAsia="Times New Roman" w:hAnsi="Times New Roman"/>
          <w:sz w:val="18"/>
          <w:szCs w:val="18"/>
          <w:b w:val="1"/>
          <w:bCs w:val="1"/>
          <w:color w:val="auto"/>
        </w:rPr>
        <w:t xml:space="preserve"> page 60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RELATIONSHIP BETWEEN PEO AND OTHER NEOS COMPENSATION ACTUALLY PAID AND COMPANY AND PEER GROUP TOTAL SHAREHOLDER RETURN</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the Company's and Peer Group's cumulative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28803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BETWEEN PEO AND OTHER NEO COMPENSATION ACTUALLY PAID AND NET INCOME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-10160</wp:posOffset>
            </wp:positionV>
            <wp:extent cx="5760720" cy="267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BETWEEN PEO AND OTHER NEOS COMPENSATION ACTUALLY PAID AND CASH EARNINGS</w:t>
      </w:r>
    </w:p>
    <w:p>
      <w:pPr>
        <w:spacing w:after="0" w:line="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Cash Earnings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267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LIST OF MOST IMPORTANT FINANCIAL PERFORMANCE MEASURES</w:t>
      </w:r>
    </w:p>
    <w:p>
      <w:pPr>
        <w:spacing w:after="0" w:line="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for 2024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617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17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585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25850" cy="16319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 Margin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equity grant practices and the role of the committee in approving awards:</w:t>
      </w:r>
    </w:p>
    <w:p>
      <w:pPr>
        <w:spacing w:after="0" w:line="27" w:lineRule="exact"/>
        <w:rPr>
          <w:sz w:val="20"/>
          <w:szCs w:val="20"/>
          <w:color w:val="auto"/>
        </w:rPr>
      </w:pPr>
    </w:p>
    <w:p>
      <w:pPr>
        <w:ind w:left="460" w:right="180" w:hanging="331"/>
        <w:spacing w:after="0" w:line="260" w:lineRule="auto"/>
        <w:tabs>
          <w:tab w:leader="none" w:pos="4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equity awards are granted on September 15th, or in the event the 15th is not a business day, the closest business day thereto. We do not time the grant of equity compensation in relation to the disclosure of material nonpublic information.</w:t>
      </w:r>
    </w:p>
    <w:p>
      <w:pPr>
        <w:spacing w:after="0" w:line="59" w:lineRule="exact"/>
        <w:rPr>
          <w:rFonts w:ascii="Times New Roman" w:cs="Times New Roman" w:eastAsia="Times New Roman" w:hAnsi="Times New Roman"/>
          <w:sz w:val="18"/>
          <w:szCs w:val="18"/>
          <w:color w:val="auto"/>
        </w:rPr>
      </w:pPr>
    </w:p>
    <w:p>
      <w:pPr>
        <w:ind w:left="460" w:hanging="331"/>
        <w:spacing w:after="0" w:line="261" w:lineRule="auto"/>
        <w:tabs>
          <w:tab w:leader="none" w:pos="4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prior to the annual grant date, the committee approves the awards for the senior management group based upon the target equity opportunities and recommendations from the Chairman and Chief Executive Officer (for executives other than himself) using a pre-set calculation of a percentage of base salary to determine the award value. Actual awards are granted based on the previously approved award value and the closing price on the actual grant date. The committee receives a report of the actual awards at a subsequent meeting.</w:t>
      </w:r>
    </w:p>
    <w:p>
      <w:pPr>
        <w:spacing w:after="0" w:line="44" w:lineRule="exact"/>
        <w:rPr>
          <w:rFonts w:ascii="Times New Roman" w:cs="Times New Roman" w:eastAsia="Times New Roman" w:hAnsi="Times New Roman"/>
          <w:sz w:val="18"/>
          <w:szCs w:val="18"/>
          <w:color w:val="auto"/>
        </w:rPr>
      </w:pPr>
    </w:p>
    <w:p>
      <w:pPr>
        <w:ind w:left="460" w:right="220" w:hanging="331"/>
        <w:spacing w:after="0" w:line="266" w:lineRule="auto"/>
        <w:tabs>
          <w:tab w:leader="none" w:pos="4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delegated authority to the individual in the role of Chief Executive Officer to approve annual, sign-on, retention and initiative-based equity awards to employees below our senior management group other than our chief accounting officer, within parameters set by the committee. The committee is provided with an annual report on awards granted under such delegated authority.</w:t>
      </w:r>
    </w:p>
    <w:p>
      <w:pPr>
        <w:spacing w:after="0" w:line="54"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Omnibus Stock Plan and our Director Stock Plan prohibit the granting of options or stock appreciation rights below the market value on the date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grant, the repricing of existing awards, and payment of dividends on performance-based shares prior to the achievement of performance goals.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Dividends relating to outstanding shares of unvested time-based restricted stock are accrued and paid out at vesting.</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equity targets for our named executive officers were established based upon a review of the nature of the responsibility of the position of the executive within CME Group, the competitive market data derived through our benchmarking practices and</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the ability of the employee to impact the overall growth and performance of CME Group based upon his or her role within the company. As discussed in more detail on page 63, we generally target total compensation in the 50th percentile of our peer group. Through competitive compensation analysis, we compare equity compensation on a standalone basis as well as part of an executive's overall total compensation.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committee has the discretion to adjust the annual equity awards to distinguish for individual performance. The annual equity awards for the named executive officers were made at the target levels for 2024 and were comprised of 50% performance shares and 50% time-vested restricted stock. The performance shares, if earned, vest in full following the three-year performance period and the restricted shares vest ratably over a four-year period unless otherwise provided.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Forms 10-Q</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18, 2025, Jonathan Marcus, Senior Managing Director and General Counsel adopted a trading plan intended to satisfy the affirmative defense of Rule 10b5-1(c). The plan provides for the potential sale of up to 6,568 shares of the company's Class A common stock. The actual number of shares sold under Mr. Marcus’ plan will depend on the number of shares delivered at the time that certain of his equity awards vest during the term of the plan following the fulfillment of tax withholding obligations and subject to other conditions as set forth in the plan.</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plan expires on March 31, 2026 or upon the earlier completion of all authorized transactions under the plan. In determining the number of shares that may be sold under the plan it is assumed that the performance shares vesting during the plan vest at target.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of the Company adopted or terminated a “Rule 10b5-1 trading arrangement” or “non-Rule 10b-5 trading arrangement” as such terms are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of the company adopted or terminated a “Rule 10b5-1 trading arrangement” or “non-Rule 10b-5 trading arrangement” as such terms are defined in Item 408(a) of Regulation S-K.</w:t>
      </w:r>
    </w:p>
    <w:p>
      <w:pPr>
        <w:spacing w:after="0" w:line="333" w:lineRule="exact"/>
        <w:rPr>
          <w:sz w:val="20"/>
          <w:szCs w:val="20"/>
          <w:color w:val="auto"/>
        </w:rPr>
      </w:pPr>
    </w:p>
    <w:p>
      <w:pPr>
        <w:ind w:right="2960"/>
        <w:spacing w:after="0" w:line="367"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r>
        <w:rPr>
          <w:rFonts w:ascii="Arial" w:cs="Arial" w:eastAsia="Arial" w:hAnsi="Arial"/>
          <w:sz w:val="18"/>
          <w:szCs w:val="18"/>
          <w:b w:val="1"/>
          <w:bCs w:val="1"/>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Times New Roman" w:cs="Times New Roman" w:eastAsia="Times New Roman" w:hAnsi="Times New Roman"/>
          <w:sz w:val="17"/>
          <w:szCs w:val="17"/>
          <w:i w:val="1"/>
          <w:iCs w:val="1"/>
          <w:color w:val="auto"/>
        </w:rPr>
        <w:t>www.cmegroup.com</w:t>
      </w:r>
      <w:r>
        <w:rPr>
          <w:rFonts w:ascii="Times New Roman" w:cs="Times New Roman" w:eastAsia="Times New Roman" w:hAnsi="Times New Roman"/>
          <w:sz w:val="17"/>
          <w:szCs w:val="17"/>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 Business - Available Information."</w:t>
      </w:r>
    </w:p>
    <w:p>
      <w:pPr>
        <w:spacing w:after="0" w:line="6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the Company's securities by the Company's directors, officers and employees, as well as by the Company itself. We believe our insider trading policy is reasonably designed to promote compliance with insider trading laws, rules and regulations, and listing standards applicable to the Company. Our insider trading policy is filed as Exhibit 19.1 to this Form 10-K.</w:t>
      </w:r>
    </w:p>
    <w:p>
      <w:pPr>
        <w:spacing w:after="0" w:line="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Information required by this Item 10 is included under the caption "Information about our Executive Officers" contained in Item 1, Business of this report and under the headings </w:t>
      </w:r>
      <w:r>
        <w:rPr>
          <w:rFonts w:ascii="Times New Roman" w:cs="Times New Roman" w:eastAsia="Times New Roman" w:hAnsi="Times New Roman"/>
          <w:sz w:val="18"/>
          <w:szCs w:val="18"/>
          <w:i w:val="1"/>
          <w:iCs w:val="1"/>
          <w:color w:val="auto"/>
        </w:rPr>
        <w:t>Election of Equity Directors—Equity Directors up for Election at the 2026 Annual Meeting; Election of Class B-1, Class-2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Class B-3 Directors; Other Business—Delinquent Section 16(a) Reports; Corporate Governance—Board Committees; Audit—Audit Committee Financial Experts;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Corporate Governance—Corporate Governance and Compliance Materials </w:t>
      </w:r>
      <w:r>
        <w:rPr>
          <w:rFonts w:ascii="Times New Roman" w:cs="Times New Roman" w:eastAsia="Times New Roman" w:hAnsi="Times New Roman"/>
          <w:sz w:val="18"/>
          <w:szCs w:val="18"/>
          <w:color w:val="auto"/>
        </w:rPr>
        <w:t>in our definitive proxy statement for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 be held on May 14, 2026, to be filed by CME Group with the SEC pursuant to Regulation 14A within 120 days after December 31, 2025 (2026 Proxy Statement). This information is incorporated by reference into this Annual Report on Form 10-K.</w:t>
      </w:r>
    </w:p>
    <w:p>
      <w:pPr>
        <w:spacing w:after="0" w:line="5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Information required by this Item 11 is included under the headings </w:t>
      </w:r>
      <w:r>
        <w:rPr>
          <w:rFonts w:ascii="Times New Roman" w:cs="Times New Roman" w:eastAsia="Times New Roman" w:hAnsi="Times New Roman"/>
          <w:sz w:val="18"/>
          <w:szCs w:val="18"/>
          <w:i w:val="1"/>
          <w:iCs w:val="1"/>
          <w:color w:val="auto"/>
        </w:rPr>
        <w:t>Compensation—Compensation Discussion and Analysis; Compensation—Executive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Compensation—Chief Executive Officer Pay Ratio; Compensation—Director Compensation; Compensation—Compensation Committee Matters;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Compensation—Compensation Committee Report </w:t>
      </w:r>
      <w:r>
        <w:rPr>
          <w:rFonts w:ascii="Times New Roman" w:cs="Times New Roman" w:eastAsia="Times New Roman" w:hAnsi="Times New Roman"/>
          <w:sz w:val="18"/>
          <w:szCs w:val="18"/>
          <w:color w:val="auto"/>
        </w:rPr>
        <w:t>in our 2026 Proxy Statement. This information is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70"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15 of the notes to consolidated financial statements. The numbers in the following table are as of December 31, 2025.</w:t>
      </w: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0" w:type="dxa"/>
            <w:vAlign w:val="bottom"/>
          </w:tcPr>
          <w:p>
            <w:pPr>
              <w:jc w:val="center"/>
              <w:ind w:left="219"/>
              <w:spacing w:after="0" w:line="17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40" w:type="dxa"/>
            <w:vAlign w:val="bottom"/>
            <w:gridSpan w:val="3"/>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2180" w:type="dxa"/>
            <w:vAlign w:val="bottom"/>
          </w:tcPr>
          <w:p>
            <w:pPr>
              <w:spacing w:after="0"/>
              <w:rPr>
                <w:sz w:val="14"/>
                <w:szCs w:val="14"/>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 Future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80" w:type="dxa"/>
            <w:vAlign w:val="bottom"/>
          </w:tcPr>
          <w:p>
            <w:pPr>
              <w:spacing w:after="0"/>
              <w:rPr>
                <w:sz w:val="14"/>
                <w:szCs w:val="14"/>
                <w:color w:val="auto"/>
              </w:rPr>
            </w:pPr>
          </w:p>
        </w:tc>
        <w:tc>
          <w:tcPr>
            <w:tcW w:w="2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Exercise Price</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tcPr>
          <w:p>
            <w:pPr>
              <w:jc w:val="center"/>
              <w:ind w:left="2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3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Options (a)</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of Outstanding Options</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13,030,044</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tcPr>
          <w:p>
            <w:pPr>
              <w:spacing w:after="0"/>
              <w:rPr>
                <w:sz w:val="21"/>
                <w:szCs w:val="2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13,030,044</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required by this Item 12 related to the security ownership is included under the heading </w:t>
      </w:r>
      <w:r>
        <w:rPr>
          <w:rFonts w:ascii="Times New Roman" w:cs="Times New Roman" w:eastAsia="Times New Roman" w:hAnsi="Times New Roman"/>
          <w:sz w:val="18"/>
          <w:szCs w:val="18"/>
          <w:i w:val="1"/>
          <w:iCs w:val="1"/>
          <w:color w:val="auto"/>
        </w:rPr>
        <w:t>Ownership of CME Group Common Stock</w:t>
      </w:r>
      <w:r>
        <w:rPr>
          <w:rFonts w:ascii="Times New Roman" w:cs="Times New Roman" w:eastAsia="Times New Roman" w:hAnsi="Times New Roman"/>
          <w:sz w:val="18"/>
          <w:szCs w:val="18"/>
          <w:color w:val="auto"/>
        </w:rPr>
        <w:t xml:space="preserve"> in our 2026 Proxy Statement. This information is incorporated by reference into this Annual Report on Form 10-K.</w:t>
      </w:r>
    </w:p>
    <w:p>
      <w:pPr>
        <w:spacing w:after="0" w:line="3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119" w:lineRule="exact"/>
        <w:rPr>
          <w:sz w:val="20"/>
          <w:szCs w:val="20"/>
          <w:color w:val="auto"/>
        </w:rPr>
      </w:pPr>
    </w:p>
    <w:p>
      <w:pPr>
        <w:jc w:val="both"/>
        <w:ind w:right="200"/>
        <w:spacing w:after="0" w:line="315" w:lineRule="auto"/>
        <w:rPr>
          <w:sz w:val="20"/>
          <w:szCs w:val="20"/>
          <w:color w:val="auto"/>
        </w:rPr>
      </w:pPr>
      <w:r>
        <w:rPr>
          <w:rFonts w:ascii="Times New Roman" w:cs="Times New Roman" w:eastAsia="Times New Roman" w:hAnsi="Times New Roman"/>
          <w:sz w:val="17"/>
          <w:szCs w:val="17"/>
          <w:color w:val="auto"/>
        </w:rPr>
        <w:t xml:space="preserve">Information required by this Item 13 is included under the heading </w:t>
      </w:r>
      <w:r>
        <w:rPr>
          <w:rFonts w:ascii="Times New Roman" w:cs="Times New Roman" w:eastAsia="Times New Roman" w:hAnsi="Times New Roman"/>
          <w:sz w:val="17"/>
          <w:szCs w:val="17"/>
          <w:i w:val="1"/>
          <w:iCs w:val="1"/>
          <w:color w:val="auto"/>
        </w:rPr>
        <w:t>Other Business—Certain Business Relationships with Related Persons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Governance—Director Independence </w:t>
      </w:r>
      <w:r>
        <w:rPr>
          <w:rFonts w:ascii="Times New Roman" w:cs="Times New Roman" w:eastAsia="Times New Roman" w:hAnsi="Times New Roman"/>
          <w:sz w:val="17"/>
          <w:szCs w:val="17"/>
          <w:color w:val="auto"/>
        </w:rPr>
        <w:t>of our 2026 Proxy Statement. This information is incorporated by reference into this Annual Report on Form 10-K.</w:t>
      </w:r>
    </w:p>
    <w:p>
      <w:pPr>
        <w:spacing w:after="0" w:line="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Information required by this Item 14 is included under the headings </w:t>
      </w:r>
      <w:r>
        <w:rPr>
          <w:rFonts w:ascii="Times New Roman" w:cs="Times New Roman" w:eastAsia="Times New Roman" w:hAnsi="Times New Roman"/>
          <w:sz w:val="18"/>
          <w:szCs w:val="18"/>
          <w:i w:val="1"/>
          <w:iCs w:val="1"/>
          <w:color w:val="auto"/>
        </w:rPr>
        <w:t>Audit—The Audit Committee has Pre-Approval Processes for Non-Audit Services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Audit—Principal Accountant Fees and Services </w:t>
      </w:r>
      <w:r>
        <w:rPr>
          <w:rFonts w:ascii="Times New Roman" w:cs="Times New Roman" w:eastAsia="Times New Roman" w:hAnsi="Times New Roman"/>
          <w:sz w:val="18"/>
          <w:szCs w:val="18"/>
          <w:color w:val="auto"/>
        </w:rPr>
        <w:t>in our 2026 Proxy Statement. This information is incorporated by reference into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at December 31, 2025 and 2024</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2025, 2024 and 2023</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write-offs of doubtful accounts, foreign currency and write-offs of fully reserved deferred tax assets.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08"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52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14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07" w:lineRule="exact"/>
        <w:rPr>
          <w:sz w:val="20"/>
          <w:szCs w:val="20"/>
          <w:color w:val="auto"/>
        </w:rPr>
      </w:pPr>
    </w:p>
    <w:p>
      <w:pPr>
        <w:ind w:left="1260" w:hanging="1234"/>
        <w:spacing w:after="0"/>
        <w:tabs>
          <w:tab w:leader="none" w:pos="12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3.1</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Fourth Amended and Restated Certificate of Incorporation of CME Group Inc., as amended (incorporated by</w:t>
              </w:r>
            </w:hyperlink>
          </w:p>
        </w:tc>
      </w:tr>
      <w:tr>
        <w:trPr>
          <w:trHeight w:val="155"/>
        </w:trPr>
        <w:tc>
          <w:tcPr>
            <w:tcW w:w="12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reference to Exhibit 3.2 to CME Group Inc.'s Current Report on Form 8-K, filed with the SEC on November</w:t>
              </w:r>
            </w:hyperlink>
          </w:p>
        </w:tc>
        <w:tc>
          <w:tcPr>
            <w:tcW w:w="660" w:type="dxa"/>
            <w:vAlign w:val="bottom"/>
            <w:tcBorders>
              <w:bottom w:val="single" w:sz="8" w:color="0000FF"/>
            </w:tcBorders>
            <w:gridSpan w:val="3"/>
          </w:tcPr>
          <w:p>
            <w:pPr>
              <w:jc w:val="right"/>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4, 2021).</w:t>
              </w:r>
            </w:hyperlink>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3.2</w:t>
            </w:r>
          </w:p>
        </w:tc>
        <w:tc>
          <w:tcPr>
            <w:tcW w:w="8500" w:type="dxa"/>
            <w:vAlign w:val="bottom"/>
            <w:gridSpan w:val="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Seventeenth Amended and Restated Bylaws of CME Group Inc. (incorporated by reference to Exhibit 3.1 to CME</w:t>
              </w:r>
            </w:hyperlink>
          </w:p>
        </w:tc>
      </w:tr>
      <w:tr>
        <w:trPr>
          <w:trHeight w:val="155"/>
        </w:trPr>
        <w:tc>
          <w:tcPr>
            <w:tcW w:w="1240" w:type="dxa"/>
            <w:vAlign w:val="bottom"/>
          </w:tcPr>
          <w:p>
            <w:pPr>
              <w:spacing w:after="0"/>
              <w:rPr>
                <w:sz w:val="13"/>
                <w:szCs w:val="13"/>
                <w:color w:val="auto"/>
              </w:rPr>
            </w:pPr>
          </w:p>
        </w:tc>
        <w:tc>
          <w:tcPr>
            <w:tcW w:w="61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Group Inc.’s Current Report on Form 8-K, filed with the SEC on December 9, 2022).</w:t>
              </w:r>
            </w:hyperlink>
          </w:p>
        </w:tc>
        <w:tc>
          <w:tcPr>
            <w:tcW w:w="208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3.3</w:t>
            </w:r>
          </w:p>
        </w:tc>
        <w:tc>
          <w:tcPr>
            <w:tcW w:w="8500" w:type="dxa"/>
            <w:vAlign w:val="bottom"/>
            <w:gridSpan w:val="6"/>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Certificate of Designations of Series G Non-Voting Convertible Preferred Stock (incorporated by reference to Exhibit</w:t>
              </w:r>
            </w:hyperlink>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CME Group Inc.'s Current Report on Form 8-K, filed with the SEC on November 4, 2021).</w:t>
              </w:r>
            </w:hyperlink>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6" w:lineRule="exact"/>
        <w:rPr>
          <w:sz w:val="20"/>
          <w:szCs w:val="20"/>
          <w:color w:val="auto"/>
        </w:rPr>
      </w:pPr>
    </w:p>
    <w:p>
      <w:pPr>
        <w:ind w:left="1260" w:hanging="1234"/>
        <w:spacing w:after="0"/>
        <w:tabs>
          <w:tab w:leader="none" w:pos="126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Instruments Defining the Rights of Security Holders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4.1</w:t>
            </w:r>
          </w:p>
        </w:tc>
        <w:tc>
          <w:tcPr>
            <w:tcW w:w="8360" w:type="dxa"/>
            <w:vAlign w:val="bottom"/>
            <w:gridSpan w:val="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August 12, 2008, between CME Group Inc. and U.S. Bank National Association (incorporated by</w:t>
              </w:r>
            </w:hyperlink>
          </w:p>
        </w:tc>
      </w:tr>
      <w:tr>
        <w:trPr>
          <w:trHeight w:val="156"/>
        </w:trPr>
        <w:tc>
          <w:tcPr>
            <w:tcW w:w="1240" w:type="dxa"/>
            <w:vAlign w:val="bottom"/>
          </w:tcPr>
          <w:p>
            <w:pPr>
              <w:spacing w:after="0"/>
              <w:rPr>
                <w:sz w:val="13"/>
                <w:szCs w:val="13"/>
                <w:color w:val="auto"/>
              </w:rPr>
            </w:pPr>
          </w:p>
        </w:tc>
        <w:tc>
          <w:tcPr>
            <w:tcW w:w="82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reference to Exhibit 4.1 to CME Group Inc.’s Current Report on Form 8-K, filed with the SEC on August 13, 2008)</w:t>
              </w:r>
            </w:hyperlink>
          </w:p>
        </w:tc>
        <w:tc>
          <w:tcPr>
            <w:tcW w:w="12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w:t>
              </w:r>
            </w:hyperlink>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4.2</w:t>
            </w:r>
          </w:p>
        </w:tc>
        <w:tc>
          <w:tcPr>
            <w:tcW w:w="8480" w:type="dxa"/>
            <w:vAlign w:val="bottom"/>
            <w:gridSpan w:val="4"/>
            <w:vMerge w:val="restart"/>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Sixth Supplemental Indenture (including the form of 5.300% note due 2043), dated as of September 9, 2013, between</w:t>
              </w:r>
            </w:hyperlink>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8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84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CME Group Inc. and U.S. Bank National Association (incorporated by reference to Exhibit 4.2 to CME Group Inc.'s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2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Current Report on Form 8-K, filed with the SEC on September 9, 2013).</w:t>
              </w:r>
            </w:hyperlink>
          </w:p>
        </w:tc>
        <w:tc>
          <w:tcPr>
            <w:tcW w:w="3180" w:type="dxa"/>
            <w:vAlign w:val="bottom"/>
            <w:tcBorders>
              <w:top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4.3</w:t>
            </w:r>
          </w:p>
        </w:tc>
        <w:tc>
          <w:tcPr>
            <w:tcW w:w="82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Eighth Supplemental Indenture (including the form of 3.750% note due 2028), dated as of June 21, 2018, between</w:t>
              </w:r>
            </w:hyperlink>
          </w:p>
        </w:tc>
        <w:tc>
          <w:tcPr>
            <w:tcW w:w="220" w:type="dxa"/>
            <w:vAlign w:val="bottom"/>
            <w:gridSpan w:val="5"/>
          </w:tcPr>
          <w:p>
            <w:pPr>
              <w:spacing w:after="0"/>
              <w:rPr>
                <w:sz w:val="17"/>
                <w:szCs w:val="17"/>
                <w:color w:val="auto"/>
              </w:rPr>
            </w:pPr>
          </w:p>
        </w:tc>
      </w:tr>
      <w:tr>
        <w:trPr>
          <w:trHeight w:val="156"/>
        </w:trPr>
        <w:tc>
          <w:tcPr>
            <w:tcW w:w="1240" w:type="dxa"/>
            <w:vAlign w:val="bottom"/>
          </w:tcPr>
          <w:p>
            <w:pPr>
              <w:spacing w:after="0"/>
              <w:rPr>
                <w:sz w:val="13"/>
                <w:szCs w:val="13"/>
                <w:color w:val="auto"/>
              </w:rPr>
            </w:pPr>
          </w:p>
        </w:tc>
        <w:tc>
          <w:tcPr>
            <w:tcW w:w="8440" w:type="dxa"/>
            <w:vAlign w:val="bottom"/>
            <w:gridSpan w:val="12"/>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CME Group Inc. and U.S. Bank National Association (incorporated by reference to Exhibit 4.2 to CME Group Inc.'s</w:t>
              </w:r>
            </w:hyperlink>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Current Report on Form 8-K, filed with the SEC on June 21,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4.4</w:t>
            </w:r>
          </w:p>
        </w:tc>
        <w:tc>
          <w:tcPr>
            <w:tcW w:w="8440" w:type="dxa"/>
            <w:vAlign w:val="bottom"/>
            <w:gridSpan w:val="1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Ninth Supplemental Indenture (including the form of 4.150% note due 2048), dated as of June 21, 2018, between</w:t>
              </w:r>
            </w:hyperlink>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8440" w:type="dxa"/>
            <w:vAlign w:val="bottom"/>
            <w:gridSpan w:val="12"/>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CME Group Inc. and U.S. Bank National Association (incorporated by reference to Exhibit 4.3 to CME Group Inc.'s</w:t>
              </w:r>
            </w:hyperlink>
          </w:p>
        </w:tc>
      </w:tr>
      <w:tr>
        <w:trPr>
          <w:trHeight w:val="156"/>
        </w:trPr>
        <w:tc>
          <w:tcPr>
            <w:tcW w:w="1240" w:type="dxa"/>
            <w:vAlign w:val="bottom"/>
          </w:tcPr>
          <w:p>
            <w:pPr>
              <w:spacing w:after="0"/>
              <w:rPr>
                <w:sz w:val="13"/>
                <w:szCs w:val="13"/>
                <w:color w:val="auto"/>
              </w:rPr>
            </w:pPr>
          </w:p>
        </w:tc>
        <w:tc>
          <w:tcPr>
            <w:tcW w:w="84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Current Report on Form 8-K, filed with the SEC on June 21,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4.5</w:t>
            </w:r>
          </w:p>
        </w:tc>
        <w:tc>
          <w:tcPr>
            <w:tcW w:w="8440" w:type="dxa"/>
            <w:vAlign w:val="bottom"/>
            <w:gridSpan w:val="1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Tenth Supplemental Indenture (including the form of 2.650% Notes due 2032), dated as of March 8, 2022, between</w:t>
              </w:r>
            </w:hyperlink>
          </w:p>
        </w:tc>
      </w:tr>
      <w:tr>
        <w:trPr>
          <w:trHeight w:val="155"/>
        </w:trPr>
        <w:tc>
          <w:tcPr>
            <w:tcW w:w="1240" w:type="dxa"/>
            <w:vAlign w:val="bottom"/>
          </w:tcPr>
          <w:p>
            <w:pPr>
              <w:spacing w:after="0"/>
              <w:rPr>
                <w:sz w:val="13"/>
                <w:szCs w:val="13"/>
                <w:color w:val="auto"/>
              </w:rPr>
            </w:pPr>
          </w:p>
        </w:tc>
        <w:tc>
          <w:tcPr>
            <w:tcW w:w="83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CME Group Inc. and U.S. Bank Trust Company, National Association (incorporated by reference to Exhibit 4.2 to</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CME Group Inc.’s Current Report on Form 8-K filed with the SEC on March 8, 2022).</w:t>
              </w:r>
            </w:hyperlink>
          </w:p>
        </w:tc>
        <w:tc>
          <w:tcPr>
            <w:tcW w:w="1980" w:type="dxa"/>
            <w:vAlign w:val="bottom"/>
            <w:tcBorders>
              <w:top w:val="single" w:sz="8" w:color="0000FF"/>
            </w:tcBorders>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4.6</w:t>
            </w:r>
          </w:p>
        </w:tc>
        <w:tc>
          <w:tcPr>
            <w:tcW w:w="8440" w:type="dxa"/>
            <w:vAlign w:val="bottom"/>
            <w:gridSpan w:val="1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Eleventh Supplemental Indenture (including the form of 4.400% Notes due 2030), dated as of March 10, 2025,</w:t>
              </w:r>
            </w:hyperlink>
          </w:p>
        </w:tc>
      </w:tr>
      <w:tr>
        <w:trPr>
          <w:trHeight w:val="155"/>
        </w:trPr>
        <w:tc>
          <w:tcPr>
            <w:tcW w:w="1240" w:type="dxa"/>
            <w:vAlign w:val="bottom"/>
          </w:tcPr>
          <w:p>
            <w:pPr>
              <w:spacing w:after="0"/>
              <w:rPr>
                <w:sz w:val="13"/>
                <w:szCs w:val="13"/>
                <w:color w:val="auto"/>
              </w:rPr>
            </w:pPr>
          </w:p>
        </w:tc>
        <w:tc>
          <w:tcPr>
            <w:tcW w:w="79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between CME Group Inc. and U.S. Bank Trust Company, National Association (incorporated by reference to</w:t>
              </w:r>
            </w:hyperlink>
          </w:p>
        </w:tc>
        <w:tc>
          <w:tcPr>
            <w:tcW w:w="460" w:type="dxa"/>
            <w:vAlign w:val="bottom"/>
            <w:gridSpan w:val="7"/>
          </w:tcPr>
          <w:p>
            <w:pPr>
              <w:spacing w:after="0" w:line="156" w:lineRule="exact"/>
              <w:rPr>
                <w:rFonts w:ascii="Times New Roman" w:cs="Times New Roman" w:eastAsia="Times New Roman" w:hAnsi="Times New Roman"/>
                <w:sz w:val="18"/>
                <w:szCs w:val="18"/>
                <w:color w:val="0000FF"/>
                <w:w w:val="82"/>
              </w:rPr>
            </w:pPr>
            <w:hyperlink r:id="rId146">
              <w:r>
                <w:rPr>
                  <w:rFonts w:ascii="Times New Roman" w:cs="Times New Roman" w:eastAsia="Times New Roman" w:hAnsi="Times New Roman"/>
                  <w:sz w:val="18"/>
                  <w:szCs w:val="18"/>
                  <w:color w:val="0000FF"/>
                  <w:w w:val="82"/>
                </w:rPr>
                <w:t>Exhibit</w:t>
              </w:r>
            </w:hyperlink>
          </w:p>
        </w:tc>
      </w:tr>
      <w:tr>
        <w:trPr>
          <w:trHeight w:val="156"/>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CME Group Inc's Current Report on Form 8-K filed with the SEC on March 10, 2025).</w:t>
              </w:r>
            </w:hyperlink>
          </w:p>
        </w:tc>
        <w:tc>
          <w:tcPr>
            <w:tcW w:w="16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7"/>
              </w:rPr>
              <w:t>4.7</w:t>
            </w:r>
          </w:p>
        </w:tc>
        <w:tc>
          <w:tcPr>
            <w:tcW w:w="8440" w:type="dxa"/>
            <w:vAlign w:val="bottom"/>
            <w:gridSpan w:val="1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Description of securities (incorporated by reference to Exhibit 4.11 to CME Group Inc's Form 10-K, filed with the</w:t>
              </w:r>
            </w:hyperlink>
          </w:p>
        </w:tc>
      </w:tr>
      <w:tr>
        <w:trPr>
          <w:trHeight w:val="156"/>
        </w:trPr>
        <w:tc>
          <w:tcPr>
            <w:tcW w:w="124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SEC on February 2, 2022).</w:t>
              </w:r>
            </w:hyperlink>
          </w:p>
        </w:tc>
        <w:tc>
          <w:tcPr>
            <w:tcW w:w="6280" w:type="dxa"/>
            <w:vAlign w:val="bottom"/>
            <w:tcBorders>
              <w:top w:val="single" w:sz="8" w:color="0000FF"/>
            </w:tcBorders>
            <w:gridSpan w:val="6"/>
          </w:tcPr>
          <w:p>
            <w:pPr>
              <w:spacing w:after="0"/>
              <w:rPr>
                <w:sz w:val="13"/>
                <w:szCs w:val="13"/>
                <w:color w:val="auto"/>
              </w:rPr>
            </w:pPr>
          </w:p>
        </w:tc>
        <w:tc>
          <w:tcPr>
            <w:tcW w:w="220" w:type="dxa"/>
            <w:vAlign w:val="bottom"/>
            <w:gridSpan w:val="5"/>
          </w:tcPr>
          <w:p>
            <w:pPr>
              <w:spacing w:after="0"/>
              <w:rPr>
                <w:sz w:val="13"/>
                <w:szCs w:val="13"/>
                <w:color w:val="auto"/>
              </w:rPr>
            </w:pPr>
          </w:p>
        </w:tc>
      </w:tr>
    </w:tbl>
    <w:p>
      <w:pPr>
        <w:spacing w:after="0" w:line="86" w:lineRule="exact"/>
        <w:rPr>
          <w:sz w:val="20"/>
          <w:szCs w:val="20"/>
          <w:color w:val="auto"/>
        </w:rPr>
      </w:pPr>
    </w:p>
    <w:p>
      <w:pPr>
        <w:ind w:left="1260" w:hanging="1234"/>
        <w:spacing w:after="0"/>
        <w:tabs>
          <w:tab w:leader="none" w:pos="126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10.1(1)</w:t>
            </w:r>
          </w:p>
        </w:tc>
        <w:tc>
          <w:tcPr>
            <w:tcW w:w="8520" w:type="dxa"/>
            <w:vAlign w:val="bottom"/>
            <w:gridSpan w:val="1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CME Group Inc. Fourth Amended and Restated Omnibus Stock Plan, amended and restated as of March 1, 2024</w:t>
              </w:r>
            </w:hyperlink>
          </w:p>
        </w:tc>
      </w:tr>
      <w:tr>
        <w:trPr>
          <w:trHeight w:val="155"/>
        </w:trPr>
        <w:tc>
          <w:tcPr>
            <w:tcW w:w="124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(incorporated by reference to Exhibit 10.1 to CME Group Inc.’s Form 8-K, filed with the SEC on March 7, 2024)</w:t>
              </w:r>
            </w:hyperlink>
          </w:p>
        </w:tc>
        <w:tc>
          <w:tcPr>
            <w:tcW w:w="10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10.2(1)</w:t>
            </w:r>
          </w:p>
        </w:tc>
        <w:tc>
          <w:tcPr>
            <w:tcW w:w="8520" w:type="dxa"/>
            <w:vAlign w:val="bottom"/>
            <w:gridSpan w:val="1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CME Group Inc. Director Stock Plan, amended and restated as of May 4, 2022 (incorporated by reference to Exhibit</w:t>
              </w:r>
            </w:hyperlink>
          </w:p>
        </w:tc>
      </w:tr>
      <w:tr>
        <w:trPr>
          <w:trHeight w:val="155"/>
        </w:trPr>
        <w:tc>
          <w:tcPr>
            <w:tcW w:w="124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CME Group Inc.’s Form S-8, filed with the SEC on June 9, 2022).</w:t>
              </w:r>
            </w:hyperlink>
          </w:p>
        </w:tc>
        <w:tc>
          <w:tcPr>
            <w:tcW w:w="30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10.3(1)</w:t>
            </w:r>
          </w:p>
        </w:tc>
        <w:tc>
          <w:tcPr>
            <w:tcW w:w="8520" w:type="dxa"/>
            <w:vAlign w:val="bottom"/>
            <w:gridSpan w:val="1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Equity Stipend Grant Letter for Non-Executive Directors (incorporated by reference to Exhibit 10.5 to CME</w:t>
              </w:r>
            </w:hyperlink>
          </w:p>
        </w:tc>
      </w:tr>
      <w:tr>
        <w:trPr>
          <w:trHeight w:val="155"/>
        </w:trPr>
        <w:tc>
          <w:tcPr>
            <w:tcW w:w="1240" w:type="dxa"/>
            <w:vAlign w:val="bottom"/>
          </w:tcPr>
          <w:p>
            <w:pPr>
              <w:spacing w:after="0"/>
              <w:rPr>
                <w:sz w:val="13"/>
                <w:szCs w:val="13"/>
                <w:color w:val="auto"/>
              </w:rPr>
            </w:pPr>
          </w:p>
        </w:tc>
        <w:tc>
          <w:tcPr>
            <w:tcW w:w="4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Group Inc.'s Form 10-K, filed with the SEC on March 1, 2018).</w:t>
              </w:r>
            </w:hyperlink>
          </w:p>
        </w:tc>
        <w:tc>
          <w:tcPr>
            <w:tcW w:w="3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10.4(1)</w:t>
            </w:r>
          </w:p>
        </w:tc>
        <w:tc>
          <w:tcPr>
            <w:tcW w:w="8520" w:type="dxa"/>
            <w:vAlign w:val="bottom"/>
            <w:gridSpan w:val="1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CME Group Inc. Employee Stock Purchase Plan, amended and restated as of May 4, 2022 (incorporated by reference</w:t>
              </w:r>
            </w:hyperlink>
          </w:p>
        </w:tc>
      </w:tr>
      <w:tr>
        <w:trPr>
          <w:trHeight w:val="156"/>
        </w:trPr>
        <w:tc>
          <w:tcPr>
            <w:tcW w:w="124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to Exhibit 99.2 to CME Group Inc.’s Form S-8, filed with the SEC on June 9, 2022).</w:t>
              </w:r>
            </w:hyperlink>
          </w:p>
        </w:tc>
        <w:tc>
          <w:tcPr>
            <w:tcW w:w="236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10.5(1)</w:t>
            </w:r>
          </w:p>
        </w:tc>
        <w:tc>
          <w:tcPr>
            <w:tcW w:w="8520" w:type="dxa"/>
            <w:vAlign w:val="bottom"/>
            <w:gridSpan w:val="12"/>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Third Amendment to Chicago Mercantile Exchange Inc. Senior Management Supplemental Deferred Savings Plan, as</w:t>
              </w:r>
            </w:hyperlink>
          </w:p>
        </w:tc>
      </w:tr>
      <w:tr>
        <w:trPr>
          <w:trHeight w:val="155"/>
        </w:trPr>
        <w:tc>
          <w:tcPr>
            <w:tcW w:w="1240" w:type="dxa"/>
            <w:vAlign w:val="bottom"/>
          </w:tcPr>
          <w:p>
            <w:pPr>
              <w:spacing w:after="0"/>
              <w:rPr>
                <w:sz w:val="13"/>
                <w:szCs w:val="13"/>
                <w:color w:val="auto"/>
              </w:rPr>
            </w:pPr>
          </w:p>
        </w:tc>
        <w:tc>
          <w:tcPr>
            <w:tcW w:w="85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of December 6, 2023; Second Amendment to Chicago Mercantile Exchange Inc. Senior Management Supplemental</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Deferred Savings Plan, as of June 1, 2023; and First Amendment to Chicago Mercantile Exchange Inc. Senior</w:t>
              </w:r>
            </w:hyperlink>
          </w:p>
        </w:tc>
        <w:tc>
          <w:tcPr>
            <w:tcW w:w="420" w:type="dxa"/>
            <w:vAlign w:val="bottom"/>
            <w:tcBorders>
              <w:top w:val="single" w:sz="8" w:color="0000FF"/>
            </w:tcBorders>
            <w:gridSpan w:val="3"/>
          </w:tcPr>
          <w:p>
            <w:pPr>
              <w:spacing w:after="0"/>
              <w:rPr>
                <w:sz w:val="13"/>
                <w:szCs w:val="13"/>
                <w:color w:val="auto"/>
              </w:rPr>
            </w:pPr>
          </w:p>
        </w:tc>
        <w:tc>
          <w:tcPr>
            <w:tcW w:w="180" w:type="dxa"/>
            <w:vAlign w:val="bottom"/>
            <w:gridSpan w:val="5"/>
          </w:tcPr>
          <w:p>
            <w:pPr>
              <w:spacing w:after="0"/>
              <w:rPr>
                <w:sz w:val="13"/>
                <w:szCs w:val="13"/>
                <w:color w:val="auto"/>
              </w:rPr>
            </w:pPr>
          </w:p>
        </w:tc>
      </w:tr>
    </w:tbl>
    <w:p>
      <w:pPr>
        <w:ind w:left="1260" w:right="359"/>
        <w:spacing w:after="0" w:line="209"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Management Supplemental Deferred Savings Plan, as of January 1, 2020 (incorporated by reference to Exhibit 10.5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CME Group's Form 10-K, filed with the SEC on February 27, 2025). Chicago Mercantile Exchange Inc. Senior</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Management Supplemental Deferred Savings Plan (SMSDSP), Amended and Restated as of January 1, 2017</w:t>
        </w:r>
      </w:hyperlink>
    </w:p>
    <w:p>
      <w:pPr>
        <w:spacing w:after="0" w:line="1" w:lineRule="exact"/>
        <w:rPr>
          <w:rFonts w:ascii="Times New Roman" w:cs="Times New Roman" w:eastAsia="Times New Roman" w:hAnsi="Times New Roman"/>
          <w:sz w:val="18"/>
          <w:szCs w:val="18"/>
          <w:u w:val="single" w:color="auto"/>
          <w:color w:val="0000FF"/>
        </w:rPr>
      </w:pPr>
    </w:p>
    <w:p>
      <w:pPr>
        <w:ind w:left="126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(incorporated by reference to Exhibit 10.1 to CME Group Inc.'s Form 10-Q, filed with the SEC on August 2, 2017).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05"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6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gridSpan w:val="40"/>
          </w:tcPr>
          <w:p>
            <w:pPr>
              <w:spacing w:after="0" w:line="188"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Chicago Mercantile Exchange Inc. Directors' Deferred Compensation Plan, amended and restated as of January 1,</w:t>
              </w:r>
            </w:hyperlink>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2009).</w:t>
              </w:r>
            </w:hyperlink>
          </w:p>
        </w:tc>
        <w:tc>
          <w:tcPr>
            <w:tcW w:w="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(incorporated by reference to Exhibit 10.11 to NYMEX Holdings, Inc.'s Form 10-K, filed with the SEC on</w:t>
              </w:r>
            </w:hyperlink>
          </w:p>
        </w:tc>
        <w:tc>
          <w:tcPr>
            <w:tcW w:w="60" w:type="dxa"/>
            <w:vAlign w:val="bottom"/>
          </w:tcPr>
          <w:p>
            <w:pPr>
              <w:spacing w:after="0"/>
              <w:rPr>
                <w:sz w:val="13"/>
                <w:szCs w:val="13"/>
                <w:color w:val="auto"/>
              </w:rPr>
            </w:pPr>
          </w:p>
        </w:tc>
        <w:tc>
          <w:tcPr>
            <w:tcW w:w="2280" w:type="dxa"/>
            <w:vAlign w:val="bottom"/>
            <w:gridSpan w:val="21"/>
          </w:tcPr>
          <w:p>
            <w:pPr>
              <w:jc w:val="right"/>
              <w:ind w:right="1520"/>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March 29,</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2001). Amendment to the Recognition and Retention Plan for Members of the COMEX Division of the New York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1"/>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Mercantile Exchange, dated October 22, 2015 (incorporated by reference to Exhibit 10.1 to CME Group Inc.'s Form</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10-Q, filed with the SEC on November 6, 2015).</w:t>
              </w:r>
            </w:hyperlink>
          </w:p>
        </w:tc>
        <w:tc>
          <w:tcPr>
            <w:tcW w:w="48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as Issuer, and Barclays Capital Inc., as Dealer (incorporated by reference to Exhibit 4.1 to CME Group Inc.'s Form</w:t>
              </w:r>
            </w:hyperlink>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10-K, filed with the SEC on February 26, 2015).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 as Issuer, and Merrill Lynch, Pierce, Fenner &amp; Smith Incorporated, as Dealer (incorporated by reference to</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Exhibit 4.3 to CME Group Inc.'s Form 10-K, filed with the SEC on February 26, 2015).</w:t>
              </w:r>
            </w:hyperlink>
          </w:p>
        </w:tc>
        <w:tc>
          <w:tcPr>
            <w:tcW w:w="17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Amended and Restated Commercial Paper Dealer Agreement, dated as of October 20, 2014, between CME Group</w:t>
              </w:r>
            </w:hyperlink>
          </w:p>
        </w:tc>
        <w:tc>
          <w:tcPr>
            <w:tcW w:w="1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41"/>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 as Issuer, and Goldman, Sachs &amp; Co., as Dealer (incorporated by reference to Exhibit 4.4 to CME Group Inc.'s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2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10-K, filed with the SEC on February 26, 2015).</w:t>
              </w:r>
            </w:hyperlink>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10 to Credit Agreement, dated as of April 23, 2025, among Chicago Mercantile Exchange Inc.,</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certain lenders, Bank of America, N.A., as Administrative Agent, and Citibank, N.A., as Collateral Agent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Collateral Monitoring Agent (incorporated by reference to Exhibit 10.2 to CME Group Inc.'s Form 8-K, filed</w:t>
              </w:r>
            </w:hyperlink>
          </w:p>
        </w:tc>
        <w:tc>
          <w:tcPr>
            <w:tcW w:w="60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with the</w:t>
              </w:r>
            </w:hyperlink>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SEC on April 25, 2025 (includes full text of the Chicago Mercantile Exchange Inc. 364-day Credit Facility).</w:t>
              </w:r>
            </w:hyperlink>
          </w:p>
        </w:tc>
        <w:tc>
          <w:tcPr>
            <w:tcW w:w="21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Equity Grant Letter for Restricted Shares (incorporated by reference to Exhibit 10.1 to CME Group Inc.'s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10-Q, filed with the SEC on November 3, 2021).</w:t>
              </w:r>
            </w:hyperlink>
          </w:p>
        </w:tc>
        <w:tc>
          <w:tcPr>
            <w:tcW w:w="20" w:type="dxa"/>
            <w:vAlign w:val="bottom"/>
          </w:tcPr>
          <w:p>
            <w:pPr>
              <w:spacing w:after="0"/>
              <w:rPr>
                <w:sz w:val="13"/>
                <w:szCs w:val="13"/>
                <w:color w:val="auto"/>
              </w:rPr>
            </w:pPr>
          </w:p>
        </w:tc>
        <w:tc>
          <w:tcPr>
            <w:tcW w:w="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Equity Grant Letter for Annual Grant of Performance Shares (incorporated by reference to Exhibit 10.1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CME Group Inc.’s Form 10-Q, filed with the SEC on November 1, 2023)</w:t>
              </w:r>
            </w:hyperlink>
          </w:p>
        </w:tc>
        <w:tc>
          <w:tcPr>
            <w:tcW w:w="298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Credit Agreement, dated as of April 23, 2025, among CME Group Inc., certain lenders, agents, arrangers,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bookrunners, and Bank of America, N.A., as Administrative Agent (incorporated by reference to Exhibit</w:t>
              </w:r>
            </w:hyperlink>
          </w:p>
        </w:tc>
        <w:tc>
          <w:tcPr>
            <w:tcW w:w="2380" w:type="dxa"/>
            <w:vAlign w:val="bottom"/>
            <w:gridSpan w:val="23"/>
          </w:tcPr>
          <w:p>
            <w:pPr>
              <w:jc w:val="center"/>
              <w:ind w:right="1480"/>
              <w:spacing w:after="0" w:line="156" w:lineRule="exact"/>
              <w:rPr>
                <w:rFonts w:ascii="Times New Roman" w:cs="Times New Roman" w:eastAsia="Times New Roman" w:hAnsi="Times New Roman"/>
                <w:sz w:val="18"/>
                <w:szCs w:val="18"/>
                <w:color w:val="0000FF"/>
                <w:w w:val="96"/>
              </w:rPr>
            </w:pPr>
            <w:hyperlink r:id="rId164">
              <w:r>
                <w:rPr>
                  <w:rFonts w:ascii="Times New Roman" w:cs="Times New Roman" w:eastAsia="Times New Roman" w:hAnsi="Times New Roman"/>
                  <w:sz w:val="18"/>
                  <w:szCs w:val="18"/>
                  <w:color w:val="0000FF"/>
                  <w:w w:val="96"/>
                </w:rPr>
                <w:t>10.1 to CME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Group Inc.'s Form 8-K, filed with the SEC on April 25, 2025).</w:t>
              </w:r>
            </w:hyperlink>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License Agreement, dated June 29, 2012, between Standard &amp; Poor’s Financial Services LLC and Chicago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Mercantile Exchange Inc. (incorporated by reference to Exhibit 10.5 to CME Group Inc.'s Form 10-Q, filed</w:t>
              </w:r>
            </w:hyperlink>
          </w:p>
        </w:tc>
        <w:tc>
          <w:tcPr>
            <w:tcW w:w="2280" w:type="dxa"/>
            <w:vAlign w:val="bottom"/>
            <w:gridSpan w:val="21"/>
          </w:tcPr>
          <w:p>
            <w:pPr>
              <w:jc w:val="center"/>
              <w:ind w:right="1540"/>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8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 on August 3, 2022).</w:t>
              </w:r>
            </w:hyperlink>
          </w:p>
        </w:tc>
        <w:tc>
          <w:tcPr>
            <w:tcW w:w="80" w:type="dxa"/>
            <w:vAlign w:val="bottom"/>
          </w:tcPr>
          <w:p>
            <w:pPr>
              <w:spacing w:after="0"/>
              <w:rPr>
                <w:sz w:val="14"/>
                <w:szCs w:val="14"/>
                <w:color w:val="auto"/>
              </w:rPr>
            </w:pPr>
          </w:p>
        </w:tc>
        <w:tc>
          <w:tcPr>
            <w:tcW w:w="15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CME Group Inc. Severance Plan, as amended and restated, effective March 7, 2023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Exhibit 10.1 to CME Group Inc.’s Form 8-K, filed with the SEC on March 10, 2023).</w:t>
              </w:r>
            </w:hyperlink>
          </w:p>
        </w:tc>
        <w:tc>
          <w:tcPr>
            <w:tcW w:w="200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CME Group Inc. Annual Incentive Plan, as amended and restated effective as of October 2, 2023 (incorporated by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reference to Exhibit 10.2 to CME Group Inc.’s Form 8-K, filed with the SEC on November 13, 2023).</w:t>
              </w:r>
            </w:hyperlink>
          </w:p>
        </w:tc>
        <w:tc>
          <w:tcPr>
            <w:tcW w:w="8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Agreement, effective as of November 6, 2024, between CME Group Inc. and Terrence A.</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Duffy (incorporated by reference to Exhibit 10.1 to CME Group Inc.’s Form 8-K, filed with the SEC on November</w:t>
              </w:r>
            </w:hyperlink>
          </w:p>
        </w:tc>
        <w:tc>
          <w:tcPr>
            <w:tcW w:w="1840" w:type="dxa"/>
            <w:vAlign w:val="bottom"/>
            <w:gridSpan w:val="16"/>
          </w:tcPr>
          <w:p>
            <w:pPr>
              <w:jc w:val="right"/>
              <w:ind w:right="1520"/>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7,</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4"/>
              </w:rPr>
            </w:pPr>
            <w:hyperlink r:id="rId168">
              <w:r>
                <w:rPr>
                  <w:rFonts w:ascii="Times New Roman" w:cs="Times New Roman" w:eastAsia="Times New Roman" w:hAnsi="Times New Roman"/>
                  <w:sz w:val="18"/>
                  <w:szCs w:val="18"/>
                  <w:color w:val="0000FF"/>
                  <w:w w:val="94"/>
                </w:rPr>
                <w:t>2024).</w:t>
              </w:r>
            </w:hyperlink>
          </w:p>
        </w:tc>
        <w:tc>
          <w:tcPr>
            <w:tcW w:w="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CME Group Inc. Personal Trading Policy.</w:t>
            </w:r>
          </w:p>
        </w:tc>
        <w:tc>
          <w:tcPr>
            <w:tcW w:w="6960" w:type="dxa"/>
            <w:vAlign w:val="bottom"/>
            <w:gridSpan w:val="3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List of Subsidiaries of CME Group Inc.</w:t>
            </w: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540" w:type="dxa"/>
            <w:vAlign w:val="bottom"/>
            <w:tcBorders>
              <w:top w:val="single" w:sz="8" w:color="0000FF"/>
            </w:tcBorders>
          </w:tcPr>
          <w:p>
            <w:pPr>
              <w:spacing w:after="0"/>
              <w:rPr>
                <w:sz w:val="24"/>
                <w:szCs w:val="24"/>
                <w:color w:val="auto"/>
              </w:rPr>
            </w:pPr>
          </w:p>
        </w:tc>
        <w:tc>
          <w:tcPr>
            <w:tcW w:w="7140" w:type="dxa"/>
            <w:vAlign w:val="bottom"/>
            <w:gridSpan w:val="3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Section 302—Certification of Terrence A. Duffy.</w:t>
            </w: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Section 302—Certification of Lynne Fitzpatrick.</w:t>
            </w:r>
          </w:p>
        </w:tc>
        <w:tc>
          <w:tcPr>
            <w:tcW w:w="20" w:type="dxa"/>
            <w:vAlign w:val="bottom"/>
            <w:tcBorders>
              <w:top w:val="single" w:sz="8" w:color="0000FF"/>
            </w:tcBorders>
          </w:tcPr>
          <w:p>
            <w:pPr>
              <w:spacing w:after="0"/>
              <w:rPr>
                <w:sz w:val="22"/>
                <w:szCs w:val="22"/>
                <w:color w:val="auto"/>
              </w:rPr>
            </w:pPr>
          </w:p>
        </w:tc>
        <w:tc>
          <w:tcPr>
            <w:tcW w:w="6460" w:type="dxa"/>
            <w:vAlign w:val="bottom"/>
            <w:gridSpan w:val="3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15"/>
          </w:tcPr>
          <w:p>
            <w:pPr>
              <w:jc w:val="right"/>
              <w:ind w:right="78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3"/>
            <w:vMerge w:val="restart"/>
          </w:tcPr>
          <w:p>
            <w:pPr>
              <w:ind w:left="3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gridSpan w:val="3"/>
          </w:tcPr>
          <w:p>
            <w:pPr>
              <w:spacing w:after="0" w:line="188"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CME Group Inc. Compensation Recoupment Policy for Executive Officers effective as of October 2, 2023</w:t>
              </w:r>
            </w:hyperlink>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color w:val="auto"/>
              </w:rPr>
              <w:t>97.1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(incorporate by reference to Exhibit 97.1 to CME Group Inc.'s Form 10-K, filed with the SEC on February</w:t>
              </w:r>
            </w:hyperlink>
          </w:p>
        </w:tc>
        <w:tc>
          <w:tcPr>
            <w:tcW w:w="780" w:type="dxa"/>
            <w:vAlign w:val="bottom"/>
            <w:tcBorders>
              <w:bottom w:val="single" w:sz="8" w:color="0000FF"/>
            </w:tcBorders>
          </w:tcPr>
          <w:p>
            <w:pPr>
              <w:jc w:val="right"/>
              <w:spacing w:after="0" w:line="136" w:lineRule="exact"/>
              <w:rPr>
                <w:rFonts w:ascii="Times New Roman" w:cs="Times New Roman" w:eastAsia="Times New Roman" w:hAnsi="Times New Roman"/>
                <w:sz w:val="15"/>
                <w:szCs w:val="15"/>
                <w:color w:val="0000FF"/>
              </w:rPr>
            </w:pPr>
            <w:hyperlink r:id="rId171">
              <w:r>
                <w:rPr>
                  <w:rFonts w:ascii="Times New Roman" w:cs="Times New Roman" w:eastAsia="Times New Roman" w:hAnsi="Times New Roman"/>
                  <w:sz w:val="15"/>
                  <w:szCs w:val="15"/>
                  <w:color w:val="0000FF"/>
                </w:rPr>
                <w:t>28, 2024).</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right="399" w:hanging="1234"/>
        <w:spacing w:after="0" w:line="220" w:lineRule="auto"/>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Annual Report on Form 10-K for the year ended December 31, 2025,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64" w:lineRule="exact"/>
        <w:rPr>
          <w:sz w:val="20"/>
          <w:szCs w:val="20"/>
          <w:color w:val="auto"/>
        </w:rPr>
      </w:pPr>
    </w:p>
    <w:p>
      <w:pPr>
        <w:ind w:left="1260" w:right="979" w:hanging="1234"/>
        <w:spacing w:after="0" w:line="237" w:lineRule="auto"/>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CME Group Inc.'s Annual Report on Form 10-K for the year ended December 31, 2025, formatted in Inline XBRL.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00" w:lineRule="exact"/>
        <w:rPr>
          <w:sz w:val="20"/>
          <w:szCs w:val="20"/>
          <w:color w:val="auto"/>
        </w:rPr>
      </w:pPr>
    </w:p>
    <w:p>
      <w:pPr>
        <w:spacing w:after="0" w:line="3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26th day of February, 2026.</w:t>
      </w:r>
    </w:p>
    <w:p>
      <w:pPr>
        <w:spacing w:after="0" w:line="1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297" w:lineRule="exact"/>
        <w:rPr>
          <w:sz w:val="20"/>
          <w:szCs w:val="20"/>
          <w:color w:val="auto"/>
        </w:rPr>
      </w:pPr>
    </w:p>
    <w:p>
      <w:pPr>
        <w:ind w:left="552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8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Senior Managing Director, President and Chief Financial Officer</w:t>
      </w:r>
    </w:p>
    <w:p>
      <w:pPr>
        <w:spacing w:after="0" w:line="304"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in the City of Chicago and State of Illinois on the 26th day of February, 2026.</w:t>
      </w: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480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Terrence A. Duffy</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Lynne Fitzpatrick</w:t>
      </w:r>
    </w:p>
    <w:p>
      <w:pPr>
        <w:spacing w:after="0" w:line="102" w:lineRule="exact"/>
        <w:rPr>
          <w:sz w:val="20"/>
          <w:szCs w:val="20"/>
          <w:color w:val="auto"/>
        </w:rPr>
      </w:pPr>
    </w:p>
    <w:p>
      <w:pPr>
        <w:jc w:val="center"/>
        <w:ind w:left="50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JACK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Jack Tobin</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KATHRYN BENESH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Kathryn Benesh</w:t>
      </w:r>
    </w:p>
    <w:p>
      <w:pPr>
        <w:spacing w:after="0" w:line="142" w:lineRule="exact"/>
        <w:rPr>
          <w:sz w:val="20"/>
          <w:szCs w:val="20"/>
          <w:color w:val="auto"/>
        </w:rPr>
      </w:pPr>
    </w:p>
    <w:p>
      <w:pPr>
        <w:ind w:left="1360"/>
        <w:spacing w:after="0"/>
        <w:tabs>
          <w:tab w:leader="none" w:pos="17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TIMOTHY S. BITSBERGER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Timothy S. Bitsberger</w:t>
      </w:r>
    </w:p>
    <w:p>
      <w:pPr>
        <w:spacing w:after="0" w:line="102" w:lineRule="exact"/>
        <w:rPr>
          <w:sz w:val="20"/>
          <w:szCs w:val="20"/>
          <w:color w:val="auto"/>
        </w:rPr>
      </w:pPr>
    </w:p>
    <w:p>
      <w:pPr>
        <w:ind w:left="1640"/>
        <w:spacing w:after="0"/>
        <w:tabs>
          <w:tab w:leader="none" w:pos="19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CHARLES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Charles P. Carey</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ELIZABETH A.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Elizabeth A. Cook</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BRYAN T.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Bryan T. Durkin</w:t>
      </w:r>
    </w:p>
    <w:p>
      <w:pPr>
        <w:spacing w:after="0" w:line="10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HAROLD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Harold Ford Jr.</w:t>
      </w:r>
    </w:p>
    <w:p>
      <w:pPr>
        <w:spacing w:after="0" w:line="102" w:lineRule="exact"/>
        <w:rPr>
          <w:sz w:val="20"/>
          <w:szCs w:val="20"/>
          <w:color w:val="auto"/>
        </w:rPr>
      </w:pPr>
    </w:p>
    <w:p>
      <w:pPr>
        <w:jc w:val="center"/>
        <w:ind w:left="52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MARTIN J. GEPSMAN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Martin J. Gepsman</w:t>
      </w:r>
    </w:p>
    <w:p>
      <w:pPr>
        <w:spacing w:after="0" w:line="10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WILLIAM W. HOBERT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William W. Hobert</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DANIEL G.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Daniel G. Kaye</w:t>
      </w:r>
    </w:p>
    <w:p>
      <w:pPr>
        <w:spacing w:after="0" w:line="15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PHYLLIS M.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Phyllis M. Lockett</w:t>
      </w:r>
    </w:p>
    <w:p>
      <w:pPr>
        <w:spacing w:after="0" w:line="14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DEBORAH J.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0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Deborah J.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3531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Director and Chief Executive Officer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Managing Director, President and Chief Financial Officer</w:t>
      </w:r>
    </w:p>
    <w:p>
      <w:pPr>
        <w:spacing w:after="0" w:line="31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Managing Director and Chief Accounting Officer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90" w:lineRule="exact"/>
        <w:rPr>
          <w:sz w:val="20"/>
          <w:szCs w:val="20"/>
          <w:color w:val="auto"/>
        </w:rPr>
      </w:pPr>
    </w:p>
    <w:p>
      <w:pPr>
        <w:sectPr>
          <w:pgSz w:w="11900" w:h="16838" w:orient="portrait"/>
          <w:cols w:equalWidth="0" w:num="2">
            <w:col w:w="4980" w:space="720"/>
            <w:col w:w="5420"/>
          </w:cols>
          <w:pgMar w:left="320" w:top="11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PATRICK W. MALONEY</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Patrick W. Maloney</w:t>
            </w:r>
          </w:p>
        </w:tc>
        <w:tc>
          <w:tcPr>
            <w:tcW w:w="820" w:type="dxa"/>
            <w:vAlign w:val="bottom"/>
          </w:tcPr>
          <w:p>
            <w:pPr>
              <w:spacing w:after="0"/>
              <w:rPr>
                <w:sz w:val="15"/>
                <w:szCs w:val="15"/>
                <w:color w:val="auto"/>
              </w:rPr>
            </w:pPr>
          </w:p>
        </w:tc>
      </w:tr>
      <w:tr>
        <w:trPr>
          <w:trHeight w:val="336"/>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PATRICK J. MULCHRONE</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Patrick J. Mulchrone</w:t>
            </w:r>
          </w:p>
        </w:tc>
        <w:tc>
          <w:tcPr>
            <w:tcW w:w="8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RAHAEL SEIFU</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Rahael Seifu</w:t>
            </w:r>
          </w:p>
        </w:tc>
        <w:tc>
          <w:tcPr>
            <w:tcW w:w="820" w:type="dxa"/>
            <w:vAlign w:val="bottom"/>
          </w:tcPr>
          <w:p>
            <w:pPr>
              <w:spacing w:after="0"/>
              <w:rPr>
                <w:sz w:val="15"/>
                <w:szCs w:val="15"/>
                <w:color w:val="auto"/>
              </w:rPr>
            </w:pPr>
          </w:p>
        </w:tc>
      </w:tr>
      <w:tr>
        <w:trPr>
          <w:trHeight w:val="350"/>
        </w:trPr>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3"/>
              <w:spacing w:after="0"/>
              <w:rPr>
                <w:sz w:val="20"/>
                <w:szCs w:val="20"/>
                <w:color w:val="auto"/>
              </w:rPr>
            </w:pPr>
            <w:r>
              <w:rPr>
                <w:rFonts w:ascii="Times New Roman" w:cs="Times New Roman" w:eastAsia="Times New Roman" w:hAnsi="Times New Roman"/>
                <w:sz w:val="18"/>
                <w:szCs w:val="18"/>
                <w:color w:val="auto"/>
                <w:w w:val="99"/>
              </w:rPr>
              <w:t>WILLIAM R. SHEPARD</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William R. Shepard</w:t>
            </w:r>
          </w:p>
        </w:tc>
        <w:tc>
          <w:tcPr>
            <w:tcW w:w="8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HOWARD J. SIEGEL</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Howard J. Siegel</w:t>
            </w:r>
          </w:p>
        </w:tc>
        <w:tc>
          <w:tcPr>
            <w:tcW w:w="820" w:type="dxa"/>
            <w:vAlign w:val="bottom"/>
          </w:tcPr>
          <w:p>
            <w:pPr>
              <w:spacing w:after="0"/>
              <w:rPr>
                <w:sz w:val="15"/>
                <w:szCs w:val="15"/>
                <w:color w:val="auto"/>
              </w:rPr>
            </w:pPr>
          </w:p>
        </w:tc>
      </w:tr>
      <w:tr>
        <w:trPr>
          <w:trHeight w:val="309"/>
        </w:trPr>
        <w:tc>
          <w:tcPr>
            <w:tcW w:w="19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Borders>
              <w:bottom w:val="single" w:sz="8" w:color="auto"/>
            </w:tcBorders>
          </w:tcPr>
          <w:p>
            <w:pPr>
              <w:jc w:val="center"/>
              <w:ind w:right="1483"/>
              <w:spacing w:after="0"/>
              <w:rPr>
                <w:sz w:val="20"/>
                <w:szCs w:val="20"/>
                <w:color w:val="auto"/>
              </w:rPr>
            </w:pPr>
            <w:r>
              <w:rPr>
                <w:rFonts w:ascii="Times New Roman" w:cs="Times New Roman" w:eastAsia="Times New Roman" w:hAnsi="Times New Roman"/>
                <w:sz w:val="18"/>
                <w:szCs w:val="18"/>
                <w:color w:val="auto"/>
                <w:w w:val="99"/>
              </w:rPr>
              <w:t>DENNIS A. SUSKIND</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43"/>
              <w:spacing w:after="0"/>
              <w:rPr>
                <w:sz w:val="20"/>
                <w:szCs w:val="20"/>
                <w:color w:val="auto"/>
              </w:rPr>
            </w:pPr>
            <w:r>
              <w:rPr>
                <w:rFonts w:ascii="Times New Roman" w:cs="Times New Roman" w:eastAsia="Times New Roman" w:hAnsi="Times New Roman"/>
                <w:sz w:val="14"/>
                <w:szCs w:val="14"/>
                <w:b w:val="1"/>
                <w:bCs w:val="1"/>
                <w:color w:val="auto"/>
              </w:rPr>
              <w:t>Dennis A. Suskind</w:t>
            </w:r>
          </w:p>
        </w:tc>
        <w:tc>
          <w:tcPr>
            <w:tcW w:w="820" w:type="dxa"/>
            <w:vAlign w:val="bottom"/>
          </w:tcPr>
          <w:p>
            <w:pPr>
              <w:spacing w:after="0"/>
              <w:rPr>
                <w:sz w:val="15"/>
                <w:szCs w:val="15"/>
                <w:color w:val="auto"/>
              </w:rPr>
            </w:pPr>
          </w:p>
        </w:tc>
      </w:tr>
      <w:tr>
        <w:trPr>
          <w:trHeight w:val="309"/>
        </w:trPr>
        <w:tc>
          <w:tcPr>
            <w:tcW w:w="5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ROBERT J. TIERNEY JR.</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184"/>
        </w:trPr>
        <w:tc>
          <w:tcPr>
            <w:tcW w:w="1940" w:type="dxa"/>
            <w:vAlign w:val="bottom"/>
          </w:tcPr>
          <w:p>
            <w:pPr>
              <w:spacing w:after="0"/>
              <w:rPr>
                <w:sz w:val="15"/>
                <w:szCs w:val="15"/>
                <w:color w:val="auto"/>
              </w:rPr>
            </w:pPr>
          </w:p>
        </w:tc>
        <w:tc>
          <w:tcPr>
            <w:tcW w:w="354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Robert J. Tierney Jr.</w:t>
            </w: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139"/>
          </w:cols>
          <w:pgMar w:left="320" w:top="118" w:right="1440" w:bottom="1440" w:gutter="0" w:footer="0" w:header="0"/>
        </w:sectPr>
      </w:pPr>
    </w:p>
    <w:bookmarkStart w:id="104" w:name="page105"/>
    <w:bookmarkEnd w:id="104"/>
    <w:p>
      <w:pPr>
        <w:spacing w:after="0" w:line="161" w:lineRule="exact"/>
        <w:rPr>
          <w:sz w:val="20"/>
          <w:szCs w:val="20"/>
          <w:color w:val="auto"/>
        </w:rPr>
      </w:pPr>
    </w:p>
    <w:p>
      <w:pPr>
        <w:ind w:left="9020"/>
        <w:spacing w:after="0"/>
        <w:rPr>
          <w:sz w:val="20"/>
          <w:szCs w:val="20"/>
          <w:color w:val="auto"/>
        </w:rPr>
      </w:pPr>
      <w:r>
        <w:rPr>
          <w:rFonts w:ascii="Arial" w:cs="Arial" w:eastAsia="Arial" w:hAnsi="Arial"/>
          <w:sz w:val="19"/>
          <w:szCs w:val="19"/>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1762125</wp:posOffset>
            </wp:positionV>
            <wp:extent cx="2880360" cy="1062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28803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20"/>
        <w:spacing w:after="0"/>
        <w:rPr>
          <w:sz w:val="20"/>
          <w:szCs w:val="20"/>
          <w:color w:val="auto"/>
        </w:rPr>
      </w:pPr>
      <w:r>
        <w:rPr>
          <w:rFonts w:ascii="Arial" w:cs="Arial" w:eastAsia="Arial" w:hAnsi="Arial"/>
          <w:sz w:val="46"/>
          <w:szCs w:val="46"/>
          <w:b w:val="1"/>
          <w:bCs w:val="1"/>
          <w:color w:val="0071BA"/>
        </w:rPr>
        <w:t>Personal Trading Policy</w:t>
      </w:r>
    </w:p>
    <w:p>
      <w:pPr>
        <w:spacing w:after="0" w:line="200" w:lineRule="exact"/>
        <w:rPr>
          <w:sz w:val="20"/>
          <w:szCs w:val="20"/>
          <w:color w:val="auto"/>
        </w:rPr>
      </w:pPr>
    </w:p>
    <w:p>
      <w:pPr>
        <w:spacing w:after="0" w:line="272" w:lineRule="exact"/>
        <w:rPr>
          <w:sz w:val="20"/>
          <w:szCs w:val="20"/>
          <w:color w:val="auto"/>
        </w:rPr>
      </w:pPr>
    </w:p>
    <w:p>
      <w:pPr>
        <w:ind w:left="6580"/>
        <w:spacing w:after="0"/>
        <w:rPr>
          <w:sz w:val="20"/>
          <w:szCs w:val="20"/>
          <w:color w:val="auto"/>
        </w:rPr>
      </w:pPr>
      <w:r>
        <w:rPr>
          <w:rFonts w:ascii="Arial" w:cs="Arial" w:eastAsia="Arial" w:hAnsi="Arial"/>
          <w:sz w:val="35"/>
          <w:szCs w:val="35"/>
          <w:b w:val="1"/>
          <w:bCs w:val="1"/>
          <w:color w:val="auto"/>
        </w:rPr>
        <w:t>Policy Number: 0004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Portions of the CME Group Personal Trading Policy</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that are not required to be filed as part of</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19.1 have been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120"/>
          </w:cols>
          <w:pgMar w:left="1440" w:top="1440" w:right="339" w:bottom="1440" w:gutter="0" w:footer="0" w:header="0"/>
        </w:sectPr>
      </w:pPr>
    </w:p>
    <w:bookmarkStart w:id="105" w:name="page106"/>
    <w:bookmarkEnd w:id="105"/>
    <w:p>
      <w:pPr>
        <w:spacing w:after="0" w:line="200" w:lineRule="exact"/>
        <w:rPr>
          <w:sz w:val="20"/>
          <w:szCs w:val="20"/>
          <w:color w:val="auto"/>
        </w:rPr>
      </w:pPr>
    </w:p>
    <w:p>
      <w:pPr>
        <w:spacing w:after="0" w:line="393" w:lineRule="exact"/>
        <w:rPr>
          <w:sz w:val="20"/>
          <w:szCs w:val="20"/>
          <w:color w:val="auto"/>
        </w:rPr>
      </w:pPr>
    </w:p>
    <w:p>
      <w:pPr>
        <w:spacing w:after="0"/>
        <w:tabs>
          <w:tab w:leader="none" w:pos="2660" w:val="left"/>
        </w:tabs>
        <w:rPr>
          <w:sz w:val="20"/>
          <w:szCs w:val="20"/>
          <w:color w:val="auto"/>
        </w:rPr>
      </w:pPr>
      <w:r>
        <w:rPr>
          <w:rFonts w:ascii="Arial" w:cs="Arial" w:eastAsia="Arial" w:hAnsi="Arial"/>
          <w:sz w:val="20"/>
          <w:szCs w:val="20"/>
          <w:b w:val="1"/>
          <w:bCs w:val="1"/>
          <w:color w:val="auto"/>
        </w:rPr>
        <w:t>FINAL</w:t>
      </w:r>
      <w:r>
        <w:rPr>
          <w:sz w:val="20"/>
          <w:szCs w:val="20"/>
          <w:color w:val="auto"/>
        </w:rPr>
        <w:tab/>
      </w:r>
      <w:r>
        <w:rPr>
          <w:rFonts w:ascii="Arial" w:cs="Arial" w:eastAsia="Arial" w:hAnsi="Arial"/>
          <w:sz w:val="20"/>
          <w:szCs w:val="20"/>
          <w:b w:val="1"/>
          <w:bCs w:val="1"/>
          <w:color w:val="auto"/>
        </w:rPr>
        <w:t>CME Group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40575" cy="13201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40575" cy="1320165"/>
                    </a:xfrm>
                    <a:prstGeom prst="rect">
                      <a:avLst/>
                    </a:prstGeom>
                    <a:noFill/>
                  </pic:spPr>
                </pic:pic>
              </a:graphicData>
            </a:graphic>
          </wp:anchor>
        </w:drawing>
      </w:r>
    </w:p>
    <w:p>
      <w:pPr>
        <w:spacing w:after="0" w:line="314" w:lineRule="exact"/>
        <w:rPr>
          <w:sz w:val="20"/>
          <w:szCs w:val="20"/>
          <w:color w:val="auto"/>
        </w:rPr>
      </w:pPr>
    </w:p>
    <w:p>
      <w:pPr>
        <w:ind w:left="4060"/>
        <w:spacing w:after="0"/>
        <w:rPr>
          <w:sz w:val="20"/>
          <w:szCs w:val="20"/>
          <w:color w:val="auto"/>
        </w:rPr>
      </w:pPr>
      <w:r>
        <w:rPr>
          <w:rFonts w:ascii="Arial" w:cs="Arial" w:eastAsia="Arial" w:hAnsi="Arial"/>
          <w:sz w:val="22"/>
          <w:szCs w:val="22"/>
          <w:b w:val="1"/>
          <w:bCs w:val="1"/>
          <w:i w:val="1"/>
          <w:iCs w:val="1"/>
          <w:color w:val="0071BA"/>
        </w:rPr>
        <w:t>LEADING WITH CONVICTION AND INTEGRITY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Borders>
              <w:top w:val="single" w:sz="8" w:color="auto"/>
              <w:right w:val="single" w:sz="8" w:color="auto"/>
            </w:tcBorders>
          </w:tcPr>
          <w:p>
            <w:pPr>
              <w:ind w:left="100"/>
              <w:spacing w:after="0" w:line="197" w:lineRule="exact"/>
              <w:rPr>
                <w:sz w:val="20"/>
                <w:szCs w:val="20"/>
                <w:color w:val="auto"/>
              </w:rPr>
            </w:pPr>
            <w:r>
              <w:rPr>
                <w:rFonts w:ascii="Arial" w:cs="Arial" w:eastAsia="Arial" w:hAnsi="Arial"/>
                <w:sz w:val="22"/>
                <w:szCs w:val="22"/>
                <w:b w:val="1"/>
                <w:bCs w:val="1"/>
                <w:i w:val="1"/>
                <w:iCs w:val="1"/>
                <w:color w:val="auto"/>
              </w:rPr>
              <w:t>PERSONAL TRADING POLICY</w:t>
            </w:r>
          </w:p>
        </w:tc>
        <w:tc>
          <w:tcPr>
            <w:tcW w:w="38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CME Group Policy Document No. and Version No:</w:t>
            </w: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0004</w:t>
            </w:r>
          </w:p>
        </w:tc>
      </w:tr>
      <w:tr>
        <w:trPr>
          <w:trHeight w:val="199"/>
        </w:trPr>
        <w:tc>
          <w:tcPr>
            <w:tcW w:w="3860" w:type="dxa"/>
            <w:vAlign w:val="bottom"/>
            <w:tcBorders>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Version 13.0</w:t>
            </w:r>
          </w:p>
        </w:tc>
      </w:tr>
      <w:tr>
        <w:trPr>
          <w:trHeight w:val="197"/>
        </w:trPr>
        <w:tc>
          <w:tcPr>
            <w:tcW w:w="386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Policy Document Issued By:</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Global Corporate Compliance &amp; Ethics Team</w:t>
            </w:r>
          </w:p>
        </w:tc>
      </w:tr>
      <w:tr>
        <w:trPr>
          <w:trHeight w:val="151"/>
        </w:trPr>
        <w:tc>
          <w:tcPr>
            <w:tcW w:w="3860" w:type="dxa"/>
            <w:vAlign w:val="bottom"/>
            <w:tcBorders>
              <w:right w:val="single" w:sz="8" w:color="auto"/>
            </w:tcBorders>
          </w:tcPr>
          <w:p>
            <w:pPr>
              <w:spacing w:after="0"/>
              <w:rPr>
                <w:sz w:val="13"/>
                <w:szCs w:val="13"/>
                <w:color w:val="auto"/>
              </w:rPr>
            </w:pPr>
          </w:p>
        </w:tc>
        <w:tc>
          <w:tcPr>
            <w:tcW w:w="38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r>
      <w:tr>
        <w:trPr>
          <w:trHeight w:val="217"/>
        </w:trPr>
        <w:tc>
          <w:tcPr>
            <w:tcW w:w="386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Policy Document Owner Information:</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Corporate Compliance</w:t>
            </w:r>
          </w:p>
        </w:tc>
      </w:tr>
      <w:tr>
        <w:trPr>
          <w:trHeight w:val="201"/>
        </w:trPr>
        <w:tc>
          <w:tcPr>
            <w:tcW w:w="3860" w:type="dxa"/>
            <w:vAlign w:val="bottom"/>
            <w:tcBorders>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Date Policy Document Originally Issued:</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2002</w:t>
            </w:r>
          </w:p>
        </w:tc>
      </w:tr>
      <w:tr>
        <w:trPr>
          <w:trHeight w:val="195"/>
        </w:trPr>
        <w:tc>
          <w:tcPr>
            <w:tcW w:w="386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Date Policy Document Last Revised:</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June 2025</w:t>
            </w:r>
          </w:p>
        </w:tc>
      </w:tr>
      <w:tr>
        <w:trPr>
          <w:trHeight w:val="42"/>
        </w:trPr>
        <w:tc>
          <w:tcPr>
            <w:tcW w:w="386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880360" cy="1062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8803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PURPOSE &amp; STATEMENT OF POLICY</w:t>
      </w:r>
    </w:p>
    <w:p>
      <w:pPr>
        <w:spacing w:after="0" w:line="200" w:lineRule="exact"/>
        <w:rPr>
          <w:sz w:val="20"/>
          <w:szCs w:val="20"/>
          <w:color w:val="auto"/>
        </w:rPr>
      </w:pPr>
    </w:p>
    <w:p>
      <w:pPr>
        <w:spacing w:after="0" w:line="244" w:lineRule="exact"/>
        <w:rPr>
          <w:sz w:val="20"/>
          <w:szCs w:val="20"/>
          <w:color w:val="auto"/>
        </w:rPr>
      </w:pPr>
    </w:p>
    <w:p>
      <w:pPr>
        <w:ind w:right="400"/>
        <w:spacing w:after="0" w:line="271" w:lineRule="auto"/>
        <w:rPr>
          <w:sz w:val="20"/>
          <w:szCs w:val="20"/>
          <w:color w:val="auto"/>
        </w:rPr>
      </w:pPr>
      <w:r>
        <w:rPr>
          <w:rFonts w:ascii="Arial" w:cs="Arial" w:eastAsia="Arial" w:hAnsi="Arial"/>
          <w:sz w:val="20"/>
          <w:szCs w:val="20"/>
          <w:color w:val="auto"/>
        </w:rPr>
        <w:t>CME Group has adopted this policy to comply with all applicable laws and regulations relating to trading activity that apply to CME Group as a publicly traded company and the operator of highly-regulated global businesses.</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APPLICABILITY AND SCOPE</w:t>
      </w:r>
    </w:p>
    <w:p>
      <w:pPr>
        <w:spacing w:after="0" w:line="200" w:lineRule="exact"/>
        <w:rPr>
          <w:sz w:val="20"/>
          <w:szCs w:val="20"/>
          <w:color w:val="auto"/>
        </w:rPr>
      </w:pPr>
    </w:p>
    <w:p>
      <w:pPr>
        <w:spacing w:after="0" w:line="244"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 xml:space="preserve">All employees, internal consultants, members of the CME Group Board and members of committees of a CME Group exchange (collectively referred to as </w:t>
      </w:r>
      <w:r>
        <w:rPr>
          <w:rFonts w:ascii="Arial" w:cs="Arial" w:eastAsia="Arial" w:hAnsi="Arial"/>
          <w:sz w:val="20"/>
          <w:szCs w:val="20"/>
          <w:b w:val="1"/>
          <w:bCs w:val="1"/>
          <w:i w:val="1"/>
          <w:iCs w:val="1"/>
          <w:color w:val="auto"/>
        </w:rPr>
        <w:t>“colleagues”</w:t>
      </w:r>
      <w:r>
        <w:rPr>
          <w:rFonts w:ascii="Arial" w:cs="Arial" w:eastAsia="Arial" w:hAnsi="Arial"/>
          <w:sz w:val="20"/>
          <w:szCs w:val="20"/>
          <w:color w:val="auto"/>
        </w:rPr>
        <w:t xml:space="preserve">) are required to follow the terms and conditions for trading activity detailed in this policy. All colleagues are expected to exercise their best judgment and comply with the law — avoiding the appearance of any misconduct in their personal trading activities. When we refer to “you,” in addition to you, we also mean your </w:t>
      </w:r>
      <w:r>
        <w:rPr>
          <w:rFonts w:ascii="Arial" w:cs="Arial" w:eastAsia="Arial" w:hAnsi="Arial"/>
          <w:sz w:val="20"/>
          <w:szCs w:val="20"/>
          <w:b w:val="1"/>
          <w:bCs w:val="1"/>
          <w:i w:val="1"/>
          <w:iCs w:val="1"/>
          <w:color w:val="auto"/>
        </w:rPr>
        <w:t>connected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persons </w:t>
      </w:r>
      <w:r>
        <w:rPr>
          <w:rFonts w:ascii="Arial" w:cs="Arial" w:eastAsia="Arial" w:hAnsi="Arial"/>
          <w:sz w:val="20"/>
          <w:szCs w:val="20"/>
          <w:color w:val="auto"/>
        </w:rPr>
        <w:t>(as defined in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Appendix A</w:t>
      </w:r>
      <w:r>
        <w:rPr>
          <w:rFonts w:ascii="Arial" w:cs="Arial" w:eastAsia="Arial" w:hAnsi="Arial"/>
          <w:sz w:val="20"/>
          <w:szCs w:val="20"/>
          <w:color w:val="auto"/>
        </w:rPr>
        <w:t>).</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 xml:space="preserve">This policy is not meant to address every situation or issue that can arise with respect to trading activity. Trading strategies or issues not specifically addressed in this policy should be evaluated against the objectives in this document and the </w:t>
      </w:r>
      <w:r>
        <w:rPr>
          <w:rFonts w:ascii="Arial" w:cs="Arial" w:eastAsia="Arial" w:hAnsi="Arial"/>
          <w:sz w:val="20"/>
          <w:szCs w:val="20"/>
          <w:b w:val="1"/>
          <w:bCs w:val="1"/>
          <w:color w:val="1155CC"/>
        </w:rPr>
        <w:t>CME Group</w:t>
      </w:r>
      <w:r>
        <w:rPr>
          <w:rFonts w:ascii="Arial" w:cs="Arial" w:eastAsia="Arial" w:hAnsi="Arial"/>
          <w:sz w:val="20"/>
          <w:szCs w:val="20"/>
          <w:color w:val="auto"/>
        </w:rPr>
        <w:t xml:space="preserve"> </w:t>
      </w:r>
      <w:r>
        <w:rPr>
          <w:rFonts w:ascii="Arial" w:cs="Arial" w:eastAsia="Arial" w:hAnsi="Arial"/>
          <w:sz w:val="20"/>
          <w:szCs w:val="20"/>
          <w:b w:val="1"/>
          <w:bCs w:val="1"/>
          <w:color w:val="1155CC"/>
        </w:rPr>
        <w:t>Code of Conduct</w:t>
      </w:r>
      <w:r>
        <w:rPr>
          <w:rFonts w:ascii="Arial" w:cs="Arial" w:eastAsia="Arial" w:hAnsi="Arial"/>
          <w:sz w:val="20"/>
          <w:szCs w:val="20"/>
          <w:color w:val="000000"/>
        </w:rPr>
        <w:t>, the</w:t>
      </w:r>
      <w:r>
        <w:rPr>
          <w:rFonts w:ascii="Arial" w:cs="Arial" w:eastAsia="Arial" w:hAnsi="Arial"/>
          <w:sz w:val="20"/>
          <w:szCs w:val="20"/>
          <w:b w:val="1"/>
          <w:bCs w:val="1"/>
          <w:color w:val="1155CC"/>
        </w:rPr>
        <w:t xml:space="preserve"> Board of Directors Code of Ethics </w:t>
      </w:r>
      <w:r>
        <w:rPr>
          <w:rFonts w:ascii="Arial" w:cs="Arial" w:eastAsia="Arial" w:hAnsi="Arial"/>
          <w:sz w:val="20"/>
          <w:szCs w:val="20"/>
          <w:color w:val="000000"/>
        </w:rPr>
        <w:t>and the</w:t>
      </w:r>
      <w:r>
        <w:rPr>
          <w:rFonts w:ascii="Arial" w:cs="Arial" w:eastAsia="Arial" w:hAnsi="Arial"/>
          <w:sz w:val="20"/>
          <w:szCs w:val="20"/>
          <w:b w:val="1"/>
          <w:bCs w:val="1"/>
          <w:color w:val="1155CC"/>
        </w:rPr>
        <w:t xml:space="preserve"> Rulebooks </w:t>
      </w:r>
      <w:r>
        <w:rPr>
          <w:rFonts w:ascii="Arial" w:cs="Arial" w:eastAsia="Arial" w:hAnsi="Arial"/>
          <w:sz w:val="20"/>
          <w:szCs w:val="20"/>
          <w:color w:val="000000"/>
        </w:rPr>
        <w:t>of CME, CBOT, NYMEX and COMEX, as</w:t>
      </w:r>
      <w:r>
        <w:rPr>
          <w:rFonts w:ascii="Arial" w:cs="Arial" w:eastAsia="Arial" w:hAnsi="Arial"/>
          <w:sz w:val="20"/>
          <w:szCs w:val="20"/>
          <w:b w:val="1"/>
          <w:bCs w:val="1"/>
          <w:color w:val="1155CC"/>
        </w:rPr>
        <w:t xml:space="preserve"> </w:t>
      </w:r>
      <w:r>
        <w:rPr>
          <w:rFonts w:ascii="Arial" w:cs="Arial" w:eastAsia="Arial" w:hAnsi="Arial"/>
          <w:sz w:val="20"/>
          <w:szCs w:val="20"/>
          <w:color w:val="000000"/>
        </w:rPr>
        <w:t>applicable.</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20"/>
          <w:szCs w:val="20"/>
          <w:b w:val="1"/>
          <w:bCs w:val="1"/>
          <w:i w:val="1"/>
          <w:iCs w:val="1"/>
          <w:color w:val="auto"/>
        </w:rPr>
        <w:t xml:space="preserve">If you have questions or are unsure about the application or interpretation of this policy as it relates to your own particular circumstance or personal trading activity, contact </w:t>
      </w:r>
      <w:r>
        <w:rPr>
          <w:rFonts w:ascii="Arial" w:cs="Arial" w:eastAsia="Arial" w:hAnsi="Arial"/>
          <w:sz w:val="20"/>
          <w:szCs w:val="20"/>
          <w:b w:val="1"/>
          <w:bCs w:val="1"/>
          <w:color w:val="1155CC"/>
        </w:rPr>
        <w:t>Corporate Compliance</w:t>
      </w:r>
      <w:r>
        <w:rPr>
          <w:rFonts w:ascii="Arial" w:cs="Arial" w:eastAsia="Arial" w:hAnsi="Arial"/>
          <w:sz w:val="20"/>
          <w:szCs w:val="20"/>
          <w:b w:val="1"/>
          <w:bCs w:val="1"/>
          <w:i w:val="1"/>
          <w:iCs w:val="1"/>
          <w:color w:val="auto"/>
        </w:rPr>
        <w:t xml:space="preserve"> and refer to the </w:t>
      </w:r>
      <w:r>
        <w:rPr>
          <w:rFonts w:ascii="Arial" w:cs="Arial" w:eastAsia="Arial" w:hAnsi="Arial"/>
          <w:sz w:val="20"/>
          <w:szCs w:val="20"/>
          <w:b w:val="1"/>
          <w:bCs w:val="1"/>
          <w:color w:val="1155CC"/>
        </w:rPr>
        <w:t>Frequently Asked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1155CC"/>
        </w:rPr>
        <w:t>Questions</w:t>
      </w:r>
      <w:r>
        <w:rPr>
          <w:rFonts w:ascii="Arial" w:cs="Arial" w:eastAsia="Arial" w:hAnsi="Arial"/>
          <w:sz w:val="20"/>
          <w:szCs w:val="20"/>
          <w:b w:val="1"/>
          <w:bCs w:val="1"/>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440" w:right="319" w:bottom="1440" w:gutter="0" w:footer="0" w:header="0"/>
        </w:sectPr>
      </w:pPr>
    </w:p>
    <w:bookmarkStart w:id="106" w:name="page107"/>
    <w:bookmarkEnd w:id="106"/>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Suspected violations of this policy should be reported through one of the reporting channels made available in the </w:t>
      </w:r>
      <w:r>
        <w:rPr>
          <w:rFonts w:ascii="Arial" w:cs="Arial" w:eastAsia="Arial" w:hAnsi="Arial"/>
          <w:sz w:val="20"/>
          <w:szCs w:val="20"/>
          <w:b w:val="1"/>
          <w:bCs w:val="1"/>
          <w:color w:val="1155CC"/>
        </w:rPr>
        <w:t>Speak Up</w:t>
      </w:r>
      <w:r>
        <w:rPr>
          <w:rFonts w:ascii="Arial" w:cs="Arial" w:eastAsia="Arial" w:hAnsi="Arial"/>
          <w:sz w:val="20"/>
          <w:szCs w:val="20"/>
          <w:color w:val="auto"/>
        </w:rPr>
        <w:t xml:space="preserve"> </w:t>
      </w:r>
      <w:r>
        <w:rPr>
          <w:rFonts w:ascii="Arial" w:cs="Arial" w:eastAsia="Arial" w:hAnsi="Arial"/>
          <w:sz w:val="20"/>
          <w:szCs w:val="20"/>
          <w:b w:val="1"/>
          <w:bCs w:val="1"/>
          <w:color w:val="1155CC"/>
        </w:rPr>
        <w:t>and Escalation Policy</w:t>
      </w:r>
      <w:r>
        <w:rPr>
          <w:rFonts w:ascii="Arial" w:cs="Arial" w:eastAsia="Arial" w:hAnsi="Arial"/>
          <w:sz w:val="20"/>
          <w:szCs w:val="20"/>
          <w:color w:val="000000"/>
        </w:rPr>
        <w:t>, including the CME Group Compliance &amp; Ethics Helpline (www.ethicspoint.com) and the compliance</w:t>
      </w:r>
      <w:r>
        <w:rPr>
          <w:rFonts w:ascii="Arial" w:cs="Arial" w:eastAsia="Arial" w:hAnsi="Arial"/>
          <w:sz w:val="20"/>
          <w:szCs w:val="20"/>
          <w:b w:val="1"/>
          <w:bCs w:val="1"/>
          <w:color w:val="1155CC"/>
        </w:rPr>
        <w:t xml:space="preserve"> </w:t>
      </w:r>
      <w:r>
        <w:rPr>
          <w:rFonts w:ascii="Arial" w:cs="Arial" w:eastAsia="Arial" w:hAnsi="Arial"/>
          <w:sz w:val="20"/>
          <w:szCs w:val="20"/>
          <w:color w:val="000000"/>
        </w:rPr>
        <w:t>officer for your business,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0"/>
          </w:cols>
          <w:pgMar w:left="320" w:top="1440" w:right="679" w:bottom="1440" w:gutter="0" w:footer="0" w:header="0"/>
        </w:sectPr>
      </w:pPr>
    </w:p>
    <w:bookmarkStart w:id="107" w:name="page108"/>
    <w:bookmarkEnd w:id="107"/>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CME GROUP TRADING REQUIREMENTS AND RESTRICTIONS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As a general rule, trading activity in financial markets should be kept to a reasonable level, oriented toward investment rather than speculation, and should not distract from your responsibilities. Significant trading activity during work hours may rise to the level of a conflict of interest for employees and internal consultants under the </w:t>
      </w:r>
      <w:r>
        <w:rPr>
          <w:rFonts w:ascii="Arial" w:cs="Arial" w:eastAsia="Arial" w:hAnsi="Arial"/>
          <w:sz w:val="20"/>
          <w:szCs w:val="20"/>
          <w:b w:val="1"/>
          <w:bCs w:val="1"/>
          <w:color w:val="auto"/>
        </w:rPr>
        <w:t>Code of Conduct</w:t>
      </w:r>
      <w:r>
        <w:rPr>
          <w:rFonts w:ascii="Arial" w:cs="Arial" w:eastAsia="Arial" w:hAnsi="Arial"/>
          <w:sz w:val="20"/>
          <w:szCs w:val="20"/>
          <w:color w:val="auto"/>
        </w:rPr>
        <w:t xml:space="preserve">. Certain trading activity, although permitted under applicable laws, may be prohibited under the </w:t>
      </w:r>
      <w:r>
        <w:rPr>
          <w:rFonts w:ascii="Arial" w:cs="Arial" w:eastAsia="Arial" w:hAnsi="Arial"/>
          <w:sz w:val="20"/>
          <w:szCs w:val="20"/>
          <w:b w:val="1"/>
          <w:bCs w:val="1"/>
          <w:color w:val="auto"/>
        </w:rPr>
        <w:t>Conflicts of Interest Policy</w:t>
      </w:r>
      <w:r>
        <w:rPr>
          <w:rFonts w:ascii="Arial" w:cs="Arial" w:eastAsia="Arial" w:hAnsi="Arial"/>
          <w:sz w:val="20"/>
          <w:szCs w:val="20"/>
          <w:color w:val="auto"/>
        </w:rPr>
        <w:t xml:space="preserve"> based on actual or perceived conflicts of interest due to your role at CME Group or the relationship between CME Group and the company whose stock you may be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20"/>
          </w:cols>
          <w:pgMar w:left="320" w:top="1440" w:right="459" w:bottom="1440" w:gutter="0" w:footer="0" w:header="0"/>
        </w:sectPr>
      </w:pPr>
    </w:p>
    <w:bookmarkStart w:id="108" w:name="page109"/>
    <w:bookmarkEnd w:id="108"/>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Description of Personal Trading Activity</w:t>
            </w:r>
          </w:p>
        </w:tc>
        <w:tc>
          <w:tcPr>
            <w:tcW w:w="1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Appendix</w:t>
            </w:r>
          </w:p>
        </w:tc>
      </w:tr>
      <w:tr>
        <w:trPr>
          <w:trHeight w:val="240"/>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Transactions in the securities of CME Group Inc., the securities of companies with which CME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A</w:t>
            </w:r>
          </w:p>
        </w:tc>
      </w:tr>
      <w:tr>
        <w:trPr>
          <w:trHeight w:val="273"/>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Group does business and in other financial instruments.</w:t>
            </w:r>
          </w:p>
        </w:tc>
        <w:tc>
          <w:tcPr>
            <w:tcW w:w="1620" w:type="dxa"/>
            <w:vAlign w:val="bottom"/>
            <w:tcBorders>
              <w:right w:val="single" w:sz="8" w:color="auto"/>
            </w:tcBorders>
          </w:tcPr>
          <w:p>
            <w:pPr>
              <w:spacing w:after="0"/>
              <w:rPr>
                <w:sz w:val="23"/>
                <w:szCs w:val="23"/>
                <w:color w:val="auto"/>
              </w:rPr>
            </w:pPr>
          </w:p>
        </w:tc>
      </w:tr>
      <w:tr>
        <w:trPr>
          <w:trHeight w:val="444"/>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CME Group Board members, employees and internal consultants of CME Group. It also</w:t>
            </w:r>
          </w:p>
        </w:tc>
        <w:tc>
          <w:tcPr>
            <w:tcW w:w="1620" w:type="dxa"/>
            <w:vAlign w:val="bottom"/>
            <w:tcBorders>
              <w:right w:val="single" w:sz="8" w:color="auto"/>
            </w:tcBorders>
          </w:tcPr>
          <w:p>
            <w:pPr>
              <w:spacing w:after="0"/>
              <w:rPr>
                <w:sz w:val="24"/>
                <w:szCs w:val="24"/>
                <w:color w:val="auto"/>
              </w:rPr>
            </w:pPr>
          </w:p>
        </w:tc>
      </w:tr>
      <w:tr>
        <w:trPr>
          <w:trHeight w:val="272"/>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trading activity on the company’s behalf.</w:t>
            </w:r>
          </w:p>
        </w:tc>
        <w:tc>
          <w:tcPr>
            <w:tcW w:w="1620" w:type="dxa"/>
            <w:vAlign w:val="bottom"/>
            <w:tcBorders>
              <w:bottom w:val="single" w:sz="8" w:color="auto"/>
              <w:right w:val="single" w:sz="8" w:color="auto"/>
            </w:tcBorders>
          </w:tcPr>
          <w:p>
            <w:pPr>
              <w:spacing w:after="0"/>
              <w:rPr>
                <w:sz w:val="23"/>
                <w:szCs w:val="23"/>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Requirements relating to individuals subject to Section 16 of the Exchange Act.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B</w:t>
            </w:r>
          </w:p>
        </w:tc>
      </w:tr>
      <w:tr>
        <w:trPr>
          <w:trHeight w:val="458"/>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9"/>
              </w:rPr>
              <w:t>Applies to all CME Group Board members, members of the Management Team and the Chief Accounting</w:t>
            </w:r>
          </w:p>
        </w:tc>
        <w:tc>
          <w:tcPr>
            <w:tcW w:w="1620" w:type="dxa"/>
            <w:vAlign w:val="bottom"/>
            <w:tcBorders>
              <w:right w:val="single" w:sz="8" w:color="auto"/>
            </w:tcBorders>
          </w:tcPr>
          <w:p>
            <w:pPr>
              <w:spacing w:after="0"/>
              <w:rPr>
                <w:sz w:val="24"/>
                <w:szCs w:val="24"/>
                <w:color w:val="auto"/>
              </w:rPr>
            </w:pPr>
          </w:p>
        </w:tc>
      </w:tr>
      <w:tr>
        <w:trPr>
          <w:trHeight w:val="272"/>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Officer of CME Group.</w:t>
            </w:r>
          </w:p>
        </w:tc>
        <w:tc>
          <w:tcPr>
            <w:tcW w:w="1620" w:type="dxa"/>
            <w:vAlign w:val="bottom"/>
            <w:tcBorders>
              <w:bottom w:val="single" w:sz="8" w:color="auto"/>
              <w:right w:val="single" w:sz="8" w:color="auto"/>
            </w:tcBorders>
          </w:tcPr>
          <w:p>
            <w:pPr>
              <w:spacing w:after="0"/>
              <w:rPr>
                <w:sz w:val="23"/>
                <w:szCs w:val="23"/>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Transactions in derivatives and cash markets products.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C</w:t>
            </w:r>
          </w:p>
        </w:tc>
      </w:tr>
      <w:tr>
        <w:trPr>
          <w:trHeight w:val="487"/>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CME Group Board members, employees and internal consultants of CME Group.</w:t>
            </w:r>
          </w:p>
        </w:tc>
        <w:tc>
          <w:tcPr>
            <w:tcW w:w="1620" w:type="dxa"/>
            <w:vAlign w:val="bottom"/>
            <w:tcBorders>
              <w:bottom w:val="single" w:sz="8" w:color="auto"/>
              <w:right w:val="single" w:sz="8" w:color="auto"/>
            </w:tcBorders>
          </w:tcPr>
          <w:p>
            <w:pPr>
              <w:spacing w:after="0"/>
              <w:rPr>
                <w:sz w:val="24"/>
                <w:szCs w:val="24"/>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Transactions in the public securities of Clearing Members.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D</w:t>
            </w:r>
          </w:p>
        </w:tc>
      </w:tr>
      <w:tr>
        <w:trPr>
          <w:trHeight w:val="458"/>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in the Market Regulation Department and in the</w:t>
            </w:r>
          </w:p>
        </w:tc>
        <w:tc>
          <w:tcPr>
            <w:tcW w:w="1620" w:type="dxa"/>
            <w:vAlign w:val="bottom"/>
            <w:tcBorders>
              <w:right w:val="single" w:sz="8" w:color="auto"/>
            </w:tcBorders>
          </w:tcPr>
          <w:p>
            <w:pPr>
              <w:spacing w:after="0"/>
              <w:rPr>
                <w:sz w:val="24"/>
                <w:szCs w:val="24"/>
                <w:color w:val="auto"/>
              </w:rPr>
            </w:pPr>
          </w:p>
        </w:tc>
      </w:tr>
      <w:tr>
        <w:trPr>
          <w:trHeight w:val="272"/>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Clearing and Post Trade Division.</w:t>
            </w:r>
          </w:p>
        </w:tc>
        <w:tc>
          <w:tcPr>
            <w:tcW w:w="1620" w:type="dxa"/>
            <w:vAlign w:val="bottom"/>
            <w:tcBorders>
              <w:bottom w:val="single" w:sz="8" w:color="auto"/>
              <w:right w:val="single" w:sz="8" w:color="auto"/>
            </w:tcBorders>
          </w:tcPr>
          <w:p>
            <w:pPr>
              <w:spacing w:after="0"/>
              <w:rPr>
                <w:sz w:val="23"/>
                <w:szCs w:val="23"/>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Requirements relating to certain of our regulated businesses.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w:t>
            </w:r>
          </w:p>
        </w:tc>
      </w:tr>
      <w:tr>
        <w:trPr>
          <w:trHeight w:val="486"/>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of CME Group classified as Covered Persons.</w:t>
            </w:r>
          </w:p>
        </w:tc>
        <w:tc>
          <w:tcPr>
            <w:tcW w:w="1620" w:type="dxa"/>
            <w:vAlign w:val="bottom"/>
            <w:tcBorders>
              <w:bottom w:val="single" w:sz="8" w:color="auto"/>
              <w:right w:val="single" w:sz="8" w:color="auto"/>
            </w:tcBorders>
          </w:tcPr>
          <w:p>
            <w:pPr>
              <w:spacing w:after="0"/>
              <w:rPr>
                <w:sz w:val="24"/>
                <w:szCs w:val="24"/>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Requirements relating to BrokerTec Americas LLC.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F</w:t>
            </w:r>
          </w:p>
        </w:tc>
      </w:tr>
      <w:tr>
        <w:trPr>
          <w:trHeight w:val="458"/>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classified as BrokerTec Americas Registered</w:t>
            </w:r>
          </w:p>
        </w:tc>
        <w:tc>
          <w:tcPr>
            <w:tcW w:w="1620" w:type="dxa"/>
            <w:vAlign w:val="bottom"/>
            <w:tcBorders>
              <w:right w:val="single" w:sz="8" w:color="auto"/>
            </w:tcBorders>
          </w:tcPr>
          <w:p>
            <w:pPr>
              <w:spacing w:after="0"/>
              <w:rPr>
                <w:sz w:val="24"/>
                <w:szCs w:val="24"/>
                <w:color w:val="auto"/>
              </w:rPr>
            </w:pPr>
          </w:p>
        </w:tc>
      </w:tr>
      <w:tr>
        <w:trPr>
          <w:trHeight w:val="272"/>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Representatives and Associated Persons.</w:t>
            </w:r>
          </w:p>
        </w:tc>
        <w:tc>
          <w:tcPr>
            <w:tcW w:w="1620" w:type="dxa"/>
            <w:vAlign w:val="bottom"/>
            <w:tcBorders>
              <w:bottom w:val="single" w:sz="8" w:color="auto"/>
              <w:right w:val="single" w:sz="8" w:color="auto"/>
            </w:tcBorders>
          </w:tcPr>
          <w:p>
            <w:pPr>
              <w:spacing w:after="0"/>
              <w:rPr>
                <w:sz w:val="23"/>
                <w:szCs w:val="23"/>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Requirements relating to F&amp;O Financial LLC.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G</w:t>
            </w:r>
          </w:p>
        </w:tc>
      </w:tr>
      <w:tr>
        <w:trPr>
          <w:trHeight w:val="486"/>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of F&amp;O Financial LLC.</w:t>
            </w:r>
          </w:p>
        </w:tc>
        <w:tc>
          <w:tcPr>
            <w:tcW w:w="1620" w:type="dxa"/>
            <w:vAlign w:val="bottom"/>
            <w:tcBorders>
              <w:bottom w:val="single" w:sz="8" w:color="auto"/>
              <w:right w:val="single" w:sz="8" w:color="auto"/>
            </w:tcBorders>
          </w:tcPr>
          <w:p>
            <w:pPr>
              <w:spacing w:after="0"/>
              <w:rPr>
                <w:sz w:val="24"/>
                <w:szCs w:val="24"/>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Ability to own a membership on a CME Group exchange.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H</w:t>
            </w:r>
          </w:p>
        </w:tc>
      </w:tr>
      <w:tr>
        <w:trPr>
          <w:trHeight w:val="459"/>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employees and internal consultants of CME Group.</w:t>
            </w:r>
          </w:p>
        </w:tc>
        <w:tc>
          <w:tcPr>
            <w:tcW w:w="1620" w:type="dxa"/>
            <w:vAlign w:val="bottom"/>
            <w:tcBorders>
              <w:bottom w:val="single" w:sz="8" w:color="auto"/>
              <w:right w:val="single" w:sz="8" w:color="auto"/>
            </w:tcBorders>
          </w:tcPr>
          <w:p>
            <w:pPr>
              <w:spacing w:after="0"/>
              <w:rPr>
                <w:sz w:val="24"/>
                <w:szCs w:val="24"/>
                <w:color w:val="auto"/>
              </w:rPr>
            </w:pPr>
          </w:p>
        </w:tc>
      </w:tr>
      <w:tr>
        <w:trPr>
          <w:trHeight w:val="277"/>
        </w:trPr>
        <w:tc>
          <w:tcPr>
            <w:tcW w:w="94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Requirements relating to CFTC Regulation 1.59(a).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71"/>
              </w:rPr>
              <w:t>I</w:t>
            </w:r>
          </w:p>
        </w:tc>
      </w:tr>
      <w:tr>
        <w:trPr>
          <w:trHeight w:val="487"/>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Applies to all members of a committee of a CME Group exchange.</w:t>
            </w:r>
          </w:p>
        </w:tc>
        <w:tc>
          <w:tcPr>
            <w:tcW w:w="1620" w:type="dxa"/>
            <w:vAlign w:val="bottom"/>
            <w:tcBorders>
              <w:bottom w:val="single" w:sz="8" w:color="auto"/>
              <w:right w:val="single" w:sz="8" w:color="auto"/>
            </w:tcBorders>
          </w:tcPr>
          <w:p>
            <w:pPr>
              <w:spacing w:after="0"/>
              <w:rPr>
                <w:sz w:val="24"/>
                <w:szCs w:val="24"/>
                <w:color w:val="auto"/>
              </w:rPr>
            </w:pPr>
          </w:p>
        </w:tc>
      </w:tr>
      <w:tr>
        <w:trPr>
          <w:trHeight w:val="256"/>
        </w:trPr>
        <w:tc>
          <w:tcPr>
            <w:tcW w:w="9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4472C4"/>
              </w:rPr>
              <w:t>Summary of key requirements in the Personal Trading Policy.</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J</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OVERSIGHT AND REVIEW OF POLICY</w:t>
      </w:r>
    </w:p>
    <w:p>
      <w:pPr>
        <w:spacing w:after="0" w:line="255"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This policy is subject to the oversight of the Global Corporate Compliance &amp; Ethics Team. CME Group will periodically review and monitor compliance with this policy as necessary and appropriate. Colleagues are required to execute periodic certifications of compliance with this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1440" w:right="379" w:bottom="1440" w:gutter="0" w:footer="0" w:header="0"/>
          <w:type w:val="continuous"/>
        </w:sectPr>
      </w:pPr>
    </w:p>
    <w:bookmarkStart w:id="109" w:name="page110"/>
    <w:bookmarkEnd w:id="109"/>
    <w:p>
      <w:pPr>
        <w:spacing w:after="0" w:line="150" w:lineRule="exact"/>
        <w:rPr>
          <w:sz w:val="20"/>
          <w:szCs w:val="20"/>
          <w:color w:val="auto"/>
        </w:rPr>
      </w:pPr>
    </w:p>
    <w:p>
      <w:pPr>
        <w:ind w:right="360"/>
        <w:spacing w:after="0" w:line="286" w:lineRule="auto"/>
        <w:rPr>
          <w:sz w:val="20"/>
          <w:szCs w:val="20"/>
          <w:color w:val="auto"/>
        </w:rPr>
      </w:pPr>
      <w:r>
        <w:rPr>
          <w:rFonts w:ascii="Arial" w:cs="Arial" w:eastAsia="Arial" w:hAnsi="Arial"/>
          <w:sz w:val="20"/>
          <w:szCs w:val="20"/>
          <w:color w:val="auto"/>
        </w:rPr>
        <w:t>policy, as well as attend any required educational programs associated with this policy. This policy is subject to review on an annual basis.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EXCEPTIONS TO THIS POLICY</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Exceptions to this policy, if any, can only be granted by Corporate Compliance or the Managing Director, Chief Enterprise Risk Management &amp; Compliance Officer, and are only valid if evidenced in writing; provided, however, such exceptions must be in accordance with preventing any actual or perceived insider trading or market abuse. Click </w:t>
      </w:r>
      <w:r>
        <w:rPr>
          <w:rFonts w:ascii="Arial" w:cs="Arial" w:eastAsia="Arial" w:hAnsi="Arial"/>
          <w:sz w:val="19"/>
          <w:szCs w:val="19"/>
          <w:color w:val="1155CC"/>
        </w:rPr>
        <w:t>here</w:t>
      </w:r>
      <w:r>
        <w:rPr>
          <w:rFonts w:ascii="Arial" w:cs="Arial" w:eastAsia="Arial" w:hAnsi="Arial"/>
          <w:sz w:val="19"/>
          <w:szCs w:val="19"/>
          <w:color w:val="auto"/>
        </w:rPr>
        <w:t xml:space="preserve"> to submit an Exception Request.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PENALTIES AND CONSEQUENCES</w:t>
      </w:r>
    </w:p>
    <w:p>
      <w:pPr>
        <w:spacing w:after="0" w:line="200" w:lineRule="exact"/>
        <w:rPr>
          <w:sz w:val="20"/>
          <w:szCs w:val="20"/>
          <w:color w:val="auto"/>
        </w:rPr>
      </w:pPr>
    </w:p>
    <w:p>
      <w:pPr>
        <w:spacing w:after="0" w:line="231"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Breaches of CME Group’s commitments as set forth in this policy can have serious repercussions on many levels, including legal and regulatory consequences and damaging the company’s reputation. Potential violations of this policy will be subject to investigation by CME Group, and any failure to comply with this policy may result in discipline, up to and including termination or failure to be nominated for a future term on the Board of Directors, referral to regulatory authorities and potential civil and criminal exposure.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147" w:lineRule="exact"/>
        <w:rPr>
          <w:sz w:val="20"/>
          <w:szCs w:val="20"/>
          <w:color w:val="auto"/>
        </w:rPr>
      </w:pPr>
    </w:p>
    <w:p>
      <w:pPr>
        <w:ind w:right="200"/>
        <w:spacing w:after="0" w:line="309" w:lineRule="auto"/>
        <w:rPr>
          <w:sz w:val="20"/>
          <w:szCs w:val="20"/>
          <w:color w:val="auto"/>
        </w:rPr>
      </w:pPr>
      <w:r>
        <w:rPr>
          <w:rFonts w:ascii="Arial" w:cs="Arial" w:eastAsia="Arial" w:hAnsi="Arial"/>
          <w:sz w:val="25"/>
          <w:szCs w:val="25"/>
          <w:b w:val="1"/>
          <w:bCs w:val="1"/>
          <w:color w:val="4472C4"/>
        </w:rPr>
        <w:t>APPENDIX A: Transactions in the securities of CME Group Inc., the securities of companies with which CME Group does business and in other financial instruments</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This Appendix applies to all CME Group Board members and employees and internal consultants of CME Group. It also applies to trading activity on the company’s behalf.</w:t>
      </w:r>
    </w:p>
    <w:p>
      <w:pPr>
        <w:spacing w:after="0"/>
        <w:rPr>
          <w:sz w:val="20"/>
          <w:szCs w:val="20"/>
          <w:color w:val="auto"/>
        </w:rPr>
      </w:pPr>
      <w:r>
        <w:rPr>
          <w:rFonts w:ascii="Arial" w:cs="Arial" w:eastAsia="Arial" w:hAnsi="Arial"/>
          <w:sz w:val="25"/>
          <w:szCs w:val="25"/>
          <w:b w:val="1"/>
          <w:bCs w:val="1"/>
          <w:color w:val="4472C4"/>
        </w:rPr>
        <w:t>YOU MAY NOT ENGAGE IN INSIDER TRADING OR MARKET ABUSE</w:t>
      </w:r>
    </w:p>
    <w:p>
      <w:pPr>
        <w:spacing w:after="0" w:line="234"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Most jurisdictions where CME Group conducts its business legally prohibit insider trading and other forms of market abuse and have sophisticated surveillance activities to identify and prosecute violations of the laws.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If you are aware of or have access to </w:t>
      </w:r>
      <w:r>
        <w:rPr>
          <w:rFonts w:ascii="Arial" w:cs="Arial" w:eastAsia="Arial" w:hAnsi="Arial"/>
          <w:sz w:val="20"/>
          <w:szCs w:val="20"/>
          <w:b w:val="1"/>
          <w:bCs w:val="1"/>
          <w:i w:val="1"/>
          <w:iCs w:val="1"/>
          <w:color w:val="auto"/>
        </w:rPr>
        <w:t>inside information</w:t>
      </w:r>
      <w:r>
        <w:rPr>
          <w:rFonts w:ascii="Arial" w:cs="Arial" w:eastAsia="Arial" w:hAnsi="Arial"/>
          <w:sz w:val="20"/>
          <w:szCs w:val="20"/>
          <w:color w:val="auto"/>
        </w:rPr>
        <w:t xml:space="preserve"> (sometimes also referred to as </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relating to CME Group </w:t>
      </w:r>
      <w:r>
        <w:rPr>
          <w:rFonts w:ascii="Arial" w:cs="Arial" w:eastAsia="Arial" w:hAnsi="Arial"/>
          <w:sz w:val="20"/>
          <w:szCs w:val="20"/>
          <w:b w:val="1"/>
          <w:bCs w:val="1"/>
          <w:color w:val="auto"/>
        </w:rPr>
        <w:t>or to any other company</w:t>
      </w:r>
      <w:r>
        <w:rPr>
          <w:rFonts w:ascii="Arial" w:cs="Arial" w:eastAsia="Arial" w:hAnsi="Arial"/>
          <w:sz w:val="20"/>
          <w:szCs w:val="20"/>
          <w:color w:val="auto"/>
        </w:rPr>
        <w:t xml:space="preserve">, you </w:t>
      </w:r>
      <w:r>
        <w:rPr>
          <w:rFonts w:ascii="Arial" w:cs="Arial" w:eastAsia="Arial" w:hAnsi="Arial"/>
          <w:sz w:val="20"/>
          <w:szCs w:val="20"/>
          <w:b w:val="1"/>
          <w:bCs w:val="1"/>
          <w:u w:val="single" w:color="auto"/>
          <w:color w:val="auto"/>
        </w:rPr>
        <w:t>may not</w:t>
      </w:r>
      <w:r>
        <w:rPr>
          <w:rFonts w:ascii="Arial" w:cs="Arial" w:eastAsia="Arial" w:hAnsi="Arial"/>
          <w:sz w:val="20"/>
          <w:szCs w:val="20"/>
          <w:color w:val="auto"/>
        </w:rPr>
        <w:t>:</w:t>
      </w:r>
    </w:p>
    <w:p>
      <w:pPr>
        <w:spacing w:after="0" w:line="225" w:lineRule="exact"/>
        <w:rPr>
          <w:sz w:val="20"/>
          <w:szCs w:val="20"/>
          <w:color w:val="auto"/>
        </w:rPr>
      </w:pPr>
    </w:p>
    <w:p>
      <w:pPr>
        <w:ind w:left="700" w:hanging="316"/>
        <w:spacing w:after="0" w:line="262" w:lineRule="auto"/>
        <w:tabs>
          <w:tab w:leader="none" w:pos="698"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Buy or sell the financial instrument at issue (e.g., CME Group shares or the shares of another company you have inside information about). </w:t>
      </w:r>
      <w:r>
        <w:rPr>
          <w:rFonts w:ascii="Arial" w:cs="Arial" w:eastAsia="Arial" w:hAnsi="Arial"/>
          <w:sz w:val="20"/>
          <w:szCs w:val="20"/>
          <w:b w:val="1"/>
          <w:bCs w:val="1"/>
          <w:i w:val="1"/>
          <w:iCs w:val="1"/>
          <w:color w:val="auto"/>
        </w:rPr>
        <w:t>This prohibition applies to any account in which you have a financial interest, including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accounts of your connected persons (defined below). It is your obligation to make your connected persons aware of, and understand and comply with, the provisions and obligations of this Policy.</w:t>
      </w:r>
    </w:p>
    <w:p>
      <w:pPr>
        <w:spacing w:after="0" w:line="128" w:lineRule="exact"/>
        <w:rPr>
          <w:rFonts w:ascii="Times New Roman" w:cs="Times New Roman" w:eastAsia="Times New Roman" w:hAnsi="Times New Roman"/>
          <w:sz w:val="20"/>
          <w:szCs w:val="20"/>
          <w:color w:val="auto"/>
        </w:rPr>
      </w:pPr>
    </w:p>
    <w:p>
      <w:pPr>
        <w:ind w:left="700" w:hanging="316"/>
        <w:spacing w:after="0"/>
        <w:tabs>
          <w:tab w:leader="none" w:pos="700" w:val="left"/>
        </w:tabs>
        <w:numPr>
          <w:ilvl w:val="0"/>
          <w:numId w:val="64"/>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Give, communicate or in any way convey inside information to anyone else (referred to as </w:t>
      </w:r>
      <w:r>
        <w:rPr>
          <w:rFonts w:ascii="Arial" w:cs="Arial" w:eastAsia="Arial" w:hAnsi="Arial"/>
          <w:sz w:val="20"/>
          <w:szCs w:val="20"/>
          <w:b w:val="1"/>
          <w:bCs w:val="1"/>
          <w:i w:val="1"/>
          <w:iCs w:val="1"/>
          <w:color w:val="auto"/>
        </w:rPr>
        <w:t>“tipping”</w:t>
      </w:r>
      <w:r>
        <w:rPr>
          <w:rFonts w:ascii="Arial" w:cs="Arial" w:eastAsia="Arial" w:hAnsi="Arial"/>
          <w:sz w:val="20"/>
          <w:szCs w:val="20"/>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When trading securities, the term </w:t>
      </w:r>
      <w:r>
        <w:rPr>
          <w:rFonts w:ascii="Arial" w:cs="Arial" w:eastAsia="Arial" w:hAnsi="Arial"/>
          <w:sz w:val="20"/>
          <w:szCs w:val="20"/>
          <w:b w:val="1"/>
          <w:bCs w:val="1"/>
          <w:i w:val="1"/>
          <w:iCs w:val="1"/>
          <w:color w:val="auto"/>
        </w:rPr>
        <w:t>inside information</w:t>
      </w:r>
      <w:r>
        <w:rPr>
          <w:rFonts w:ascii="Arial" w:cs="Arial" w:eastAsia="Arial" w:hAnsi="Arial"/>
          <w:sz w:val="20"/>
          <w:szCs w:val="20"/>
          <w:color w:val="auto"/>
        </w:rPr>
        <w:t xml:space="preserve"> includes any information positive or negative that if publicly disclosed:</w:t>
      </w:r>
    </w:p>
    <w:p>
      <w:pPr>
        <w:spacing w:after="0" w:line="243"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might have an effect on the market for the securities of the issuer;</w:t>
      </w:r>
    </w:p>
    <w:p>
      <w:pPr>
        <w:spacing w:after="0" w:line="67" w:lineRule="exact"/>
        <w:rPr>
          <w:rFonts w:ascii="Arial" w:cs="Arial" w:eastAsia="Arial" w:hAnsi="Arial"/>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might affect an individual investment decision of a reasonable investor; or</w:t>
      </w:r>
    </w:p>
    <w:p>
      <w:pPr>
        <w:spacing w:after="0" w:line="67" w:lineRule="exact"/>
        <w:rPr>
          <w:rFonts w:ascii="Arial" w:cs="Arial" w:eastAsia="Arial" w:hAnsi="Arial"/>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might cause an insider to change his/her trading patterns.</w:t>
      </w:r>
    </w:p>
    <w:p>
      <w:pPr>
        <w:spacing w:after="0" w:line="2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Information that has not been widely disseminated to the public is generally considered to be non-public information. In general, material information is considered public once it has been broadly distributed through a press release or filed with the Securities and Exchange Commission and the market has had time to absorb the information, typically 24 hours.</w:t>
      </w:r>
    </w:p>
    <w:p>
      <w:pPr>
        <w:spacing w:after="0" w:line="205" w:lineRule="exact"/>
        <w:rPr>
          <w:sz w:val="20"/>
          <w:szCs w:val="20"/>
          <w:color w:val="auto"/>
        </w:rPr>
      </w:pPr>
    </w:p>
    <w:p>
      <w:pPr>
        <w:ind w:right="20"/>
        <w:spacing w:after="0" w:line="313" w:lineRule="auto"/>
        <w:rPr>
          <w:sz w:val="20"/>
          <w:szCs w:val="20"/>
          <w:color w:val="auto"/>
        </w:rPr>
      </w:pPr>
      <w:r>
        <w:rPr>
          <w:rFonts w:ascii="Arial" w:cs="Arial" w:eastAsia="Arial" w:hAnsi="Arial"/>
          <w:sz w:val="19"/>
          <w:szCs w:val="19"/>
          <w:color w:val="auto"/>
        </w:rPr>
        <w:t xml:space="preserve">Even after termination of your employment or service with or to the company, if you continue to possess </w:t>
      </w:r>
      <w:r>
        <w:rPr>
          <w:rFonts w:ascii="Arial" w:cs="Arial" w:eastAsia="Arial" w:hAnsi="Arial"/>
          <w:sz w:val="19"/>
          <w:szCs w:val="19"/>
          <w:b w:val="1"/>
          <w:bCs w:val="1"/>
          <w:i w:val="1"/>
          <w:iCs w:val="1"/>
          <w:color w:val="auto"/>
        </w:rPr>
        <w:t>inside information</w:t>
      </w:r>
      <w:r>
        <w:rPr>
          <w:rFonts w:ascii="Arial" w:cs="Arial" w:eastAsia="Arial" w:hAnsi="Arial"/>
          <w:sz w:val="19"/>
          <w:szCs w:val="19"/>
          <w:color w:val="auto"/>
        </w:rPr>
        <w:t>, this policy continues to apply to your personal trading activities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60"/>
          </w:cols>
          <w:pgMar w:left="320" w:top="1440" w:right="419" w:bottom="1440" w:gutter="0" w:footer="0" w:header="0"/>
        </w:sectPr>
      </w:pPr>
    </w:p>
    <w:bookmarkStart w:id="111" w:name="page112"/>
    <w:bookmarkEnd w:id="111"/>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Connected persons </w:t>
      </w:r>
      <w:r>
        <w:rPr>
          <w:rFonts w:ascii="Arial" w:cs="Arial" w:eastAsia="Arial" w:hAnsi="Arial"/>
          <w:sz w:val="20"/>
          <w:szCs w:val="20"/>
          <w:color w:val="auto"/>
        </w:rPr>
        <w:t>are:</w:t>
      </w:r>
    </w:p>
    <w:p>
      <w:pPr>
        <w:spacing w:after="0" w:line="256" w:lineRule="exact"/>
        <w:rPr>
          <w:sz w:val="20"/>
          <w:szCs w:val="20"/>
          <w:color w:val="auto"/>
        </w:rPr>
      </w:pPr>
    </w:p>
    <w:p>
      <w:pPr>
        <w:ind w:left="960" w:hanging="304"/>
        <w:spacing w:after="0"/>
        <w:tabs>
          <w:tab w:leader="none" w:pos="9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following members of your family:</w:t>
      </w:r>
    </w:p>
    <w:p>
      <w:pPr>
        <w:spacing w:after="0" w:line="67" w:lineRule="exact"/>
        <w:rPr>
          <w:rFonts w:ascii="Arial" w:cs="Arial" w:eastAsia="Arial" w:hAnsi="Arial"/>
          <w:sz w:val="20"/>
          <w:szCs w:val="20"/>
          <w:color w:val="auto"/>
        </w:rPr>
      </w:pPr>
    </w:p>
    <w:p>
      <w:pPr>
        <w:ind w:left="1540" w:hanging="236"/>
        <w:spacing w:after="0"/>
        <w:tabs>
          <w:tab w:leader="none" w:pos="15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your spouse or civil partner;</w:t>
      </w:r>
    </w:p>
    <w:p>
      <w:pPr>
        <w:spacing w:after="0" w:line="53" w:lineRule="exact"/>
        <w:rPr>
          <w:rFonts w:ascii="Arial" w:cs="Arial" w:eastAsia="Arial" w:hAnsi="Arial"/>
          <w:sz w:val="20"/>
          <w:szCs w:val="20"/>
          <w:color w:val="auto"/>
        </w:rPr>
      </w:pPr>
    </w:p>
    <w:p>
      <w:pPr>
        <w:ind w:left="1300" w:right="180" w:firstLine="4"/>
        <w:spacing w:after="0" w:line="274" w:lineRule="auto"/>
        <w:tabs>
          <w:tab w:leader="none" w:pos="1575"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other person (whether of a different sex or the same sex) with whom you live as partner in an enduring family relationship;</w:t>
      </w:r>
    </w:p>
    <w:p>
      <w:pPr>
        <w:spacing w:after="0" w:line="1" w:lineRule="exact"/>
        <w:rPr>
          <w:rFonts w:ascii="Arial" w:cs="Arial" w:eastAsia="Arial" w:hAnsi="Arial"/>
          <w:sz w:val="20"/>
          <w:szCs w:val="20"/>
          <w:color w:val="auto"/>
        </w:rPr>
      </w:pPr>
    </w:p>
    <w:p>
      <w:pPr>
        <w:ind w:left="1300" w:firstLine="4"/>
        <w:spacing w:after="0" w:line="262" w:lineRule="auto"/>
        <w:tabs>
          <w:tab w:leader="none" w:pos="1619" w:val="left"/>
        </w:tabs>
        <w:numPr>
          <w:ilvl w:val="1"/>
          <w:numId w:val="66"/>
        </w:numPr>
        <w:rPr>
          <w:rFonts w:ascii="Arial" w:cs="Arial" w:eastAsia="Arial" w:hAnsi="Arial"/>
          <w:sz w:val="20"/>
          <w:szCs w:val="20"/>
          <w:color w:val="auto"/>
        </w:rPr>
      </w:pPr>
      <w:r>
        <w:rPr>
          <w:rFonts w:ascii="Arial" w:cs="Arial" w:eastAsia="Arial" w:hAnsi="Arial"/>
          <w:sz w:val="20"/>
          <w:szCs w:val="20"/>
          <w:color w:val="auto"/>
        </w:rPr>
        <w:t>your children, including any adopted children, step-children and the children of a person within paragraph (ii) until they are considered an adult, no longer financially supported by you and no longer sharing the same household; and</w:t>
      </w:r>
    </w:p>
    <w:p>
      <w:pPr>
        <w:spacing w:after="0" w:line="16" w:lineRule="exact"/>
        <w:rPr>
          <w:rFonts w:ascii="Arial" w:cs="Arial" w:eastAsia="Arial" w:hAnsi="Arial"/>
          <w:sz w:val="20"/>
          <w:szCs w:val="20"/>
          <w:color w:val="auto"/>
        </w:rPr>
      </w:pPr>
    </w:p>
    <w:p>
      <w:pPr>
        <w:ind w:left="1640" w:hanging="336"/>
        <w:spacing w:after="0"/>
        <w:tabs>
          <w:tab w:leader="none" w:pos="16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other relative of yours who has shared the same household as you for at least one year</w:t>
      </w:r>
    </w:p>
    <w:p>
      <w:pPr>
        <w:spacing w:after="0" w:line="67" w:lineRule="exact"/>
        <w:rPr>
          <w:rFonts w:ascii="Arial" w:cs="Arial" w:eastAsia="Arial" w:hAnsi="Arial"/>
          <w:sz w:val="20"/>
          <w:szCs w:val="20"/>
          <w:color w:val="auto"/>
        </w:rPr>
      </w:pPr>
    </w:p>
    <w:p>
      <w:pPr>
        <w:ind w:left="660" w:right="180" w:hanging="4"/>
        <w:spacing w:after="0" w:line="271" w:lineRule="auto"/>
        <w:tabs>
          <w:tab w:leader="none" w:pos="957"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company in whose equity securities (e.g., stock) you and/or any member or members (taken together) of your family are directly or indirectly interested (actually or contingently) so that they are (or would be) able to:</w:t>
      </w:r>
    </w:p>
    <w:p>
      <w:pPr>
        <w:spacing w:after="0" w:line="7" w:lineRule="exact"/>
        <w:rPr>
          <w:rFonts w:ascii="Arial" w:cs="Arial" w:eastAsia="Arial" w:hAnsi="Arial"/>
          <w:sz w:val="20"/>
          <w:szCs w:val="20"/>
          <w:color w:val="auto"/>
        </w:rPr>
      </w:pPr>
    </w:p>
    <w:p>
      <w:pPr>
        <w:ind w:left="1300" w:right="380" w:firstLine="4"/>
        <w:spacing w:after="0" w:line="271" w:lineRule="auto"/>
        <w:tabs>
          <w:tab w:leader="none" w:pos="1531" w:val="left"/>
        </w:tabs>
        <w:numPr>
          <w:ilvl w:val="1"/>
          <w:numId w:val="66"/>
        </w:numPr>
        <w:rPr>
          <w:rFonts w:ascii="Arial" w:cs="Arial" w:eastAsia="Arial" w:hAnsi="Arial"/>
          <w:sz w:val="20"/>
          <w:szCs w:val="20"/>
          <w:color w:val="auto"/>
        </w:rPr>
      </w:pPr>
      <w:r>
        <w:rPr>
          <w:rFonts w:ascii="Arial" w:cs="Arial" w:eastAsia="Arial" w:hAnsi="Arial"/>
          <w:sz w:val="20"/>
          <w:szCs w:val="20"/>
          <w:color w:val="auto"/>
        </w:rPr>
        <w:t>exercise or control the exercise of 20% or more of the votes able to be cast at general meetings on all, or substantially all, matters; or</w:t>
      </w:r>
    </w:p>
    <w:p>
      <w:pPr>
        <w:spacing w:after="0" w:line="7" w:lineRule="exact"/>
        <w:rPr>
          <w:rFonts w:ascii="Arial" w:cs="Arial" w:eastAsia="Arial" w:hAnsi="Arial"/>
          <w:sz w:val="20"/>
          <w:szCs w:val="20"/>
          <w:color w:val="auto"/>
        </w:rPr>
      </w:pPr>
    </w:p>
    <w:p>
      <w:pPr>
        <w:ind w:left="1300" w:right="240" w:firstLine="4"/>
        <w:spacing w:after="0" w:line="274" w:lineRule="auto"/>
        <w:tabs>
          <w:tab w:leader="none" w:pos="1575" w:val="left"/>
        </w:tabs>
        <w:numPr>
          <w:ilvl w:val="1"/>
          <w:numId w:val="66"/>
        </w:numPr>
        <w:rPr>
          <w:rFonts w:ascii="Arial" w:cs="Arial" w:eastAsia="Arial" w:hAnsi="Arial"/>
          <w:sz w:val="20"/>
          <w:szCs w:val="20"/>
          <w:color w:val="auto"/>
        </w:rPr>
      </w:pPr>
      <w:r>
        <w:rPr>
          <w:rFonts w:ascii="Arial" w:cs="Arial" w:eastAsia="Arial" w:hAnsi="Arial"/>
          <w:sz w:val="20"/>
          <w:szCs w:val="20"/>
          <w:color w:val="auto"/>
        </w:rPr>
        <w:t>appoint or remove directors holding a majority of voting rights at board meetings on all, or substantially all, matters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person acting in their capacity as trustee of a trust:</w:t>
      </w:r>
    </w:p>
    <w:p>
      <w:pPr>
        <w:spacing w:after="0" w:line="67" w:lineRule="exact"/>
        <w:rPr>
          <w:rFonts w:ascii="Arial" w:cs="Arial" w:eastAsia="Arial" w:hAnsi="Arial"/>
          <w:sz w:val="20"/>
          <w:szCs w:val="20"/>
          <w:color w:val="auto"/>
        </w:rPr>
      </w:pPr>
    </w:p>
    <w:p>
      <w:pPr>
        <w:ind w:left="1540" w:hanging="236"/>
        <w:spacing w:after="0"/>
        <w:tabs>
          <w:tab w:leader="none" w:pos="15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beneficiaries of which include you or a person who is connected with you; or</w:t>
      </w:r>
    </w:p>
    <w:p>
      <w:pPr>
        <w:spacing w:after="0" w:line="53" w:lineRule="exact"/>
        <w:rPr>
          <w:rFonts w:ascii="Arial" w:cs="Arial" w:eastAsia="Arial" w:hAnsi="Arial"/>
          <w:sz w:val="20"/>
          <w:szCs w:val="20"/>
          <w:color w:val="auto"/>
        </w:rPr>
      </w:pPr>
    </w:p>
    <w:p>
      <w:pPr>
        <w:jc w:val="both"/>
        <w:ind w:left="1300" w:firstLine="4"/>
        <w:spacing w:after="0" w:line="267" w:lineRule="auto"/>
        <w:tabs>
          <w:tab w:leader="none" w:pos="1575"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terms of which confer a power on the trustees that may be exercised for your benefit or the benefit of any such person, other than a trust for the purposes of an employer sponsored share scheme or a pension scheme; and</w:t>
      </w:r>
    </w:p>
    <w:p>
      <w:pPr>
        <w:spacing w:after="0" w:line="1" w:lineRule="exact"/>
        <w:rPr>
          <w:rFonts w:ascii="Arial" w:cs="Arial" w:eastAsia="Arial" w:hAnsi="Arial"/>
          <w:sz w:val="20"/>
          <w:szCs w:val="20"/>
          <w:color w:val="auto"/>
        </w:rPr>
      </w:pPr>
    </w:p>
    <w:p>
      <w:pPr>
        <w:ind w:left="660" w:right="260" w:hanging="4"/>
        <w:spacing w:after="0" w:line="286" w:lineRule="auto"/>
        <w:tabs>
          <w:tab w:leader="none" w:pos="957"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person in respect of which you have a direct or indirect material interest in the outcome of a trade, other than obtaining a fee or commission for execution.</w:t>
      </w:r>
    </w:p>
    <w:p>
      <w:pPr>
        <w:spacing w:after="0" w:line="221"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color w:val="auto"/>
        </w:rPr>
        <w:t xml:space="preserve">The definition of insider trading in the European Union is broader to include when an individual who holds inside information deals, tries to deal or takes any other form of trading decision (including cancelling an order) on the basis of inside information. Please refer to the Market Abuse chapter of the </w:t>
      </w:r>
      <w:r>
        <w:rPr>
          <w:rFonts w:ascii="Arial" w:cs="Arial" w:eastAsia="Arial" w:hAnsi="Arial"/>
          <w:sz w:val="19"/>
          <w:szCs w:val="19"/>
          <w:b w:val="1"/>
          <w:bCs w:val="1"/>
          <w:color w:val="1155CC"/>
        </w:rPr>
        <w:t>CME Group EMEA and APAC Compliance Manual</w:t>
      </w:r>
      <w:r>
        <w:rPr>
          <w:rFonts w:ascii="Arial" w:cs="Arial" w:eastAsia="Arial" w:hAnsi="Arial"/>
          <w:sz w:val="19"/>
          <w:szCs w:val="19"/>
          <w:color w:val="auto"/>
        </w:rPr>
        <w:t xml:space="preserve"> for further information.</w:t>
      </w:r>
    </w:p>
    <w:p>
      <w:pPr>
        <w:spacing w:after="0" w:line="153" w:lineRule="exact"/>
        <w:rPr>
          <w:sz w:val="20"/>
          <w:szCs w:val="20"/>
          <w:color w:val="auto"/>
        </w:rPr>
      </w:pPr>
    </w:p>
    <w:p>
      <w:pPr>
        <w:ind w:right="80"/>
        <w:spacing w:after="0" w:line="324" w:lineRule="auto"/>
        <w:rPr>
          <w:sz w:val="20"/>
          <w:szCs w:val="20"/>
          <w:color w:val="auto"/>
        </w:rPr>
      </w:pPr>
      <w:r>
        <w:rPr>
          <w:rFonts w:ascii="Arial" w:cs="Arial" w:eastAsia="Arial" w:hAnsi="Arial"/>
          <w:sz w:val="19"/>
          <w:szCs w:val="19"/>
          <w:b w:val="1"/>
          <w:bCs w:val="1"/>
          <w:i w:val="1"/>
          <w:iCs w:val="1"/>
          <w:color w:val="auto"/>
        </w:rPr>
        <w:t>Any information that could be expected to affect the price of a financial instrument, whether it is positive or negative, or might affect an individual investment decision of a reasonable investor, should be considered inside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4472C4"/>
        </w:rPr>
        <w:t>The below list contains examples of information that is likely considered inside information:</w:t>
      </w:r>
    </w:p>
    <w:p>
      <w:pPr>
        <w:spacing w:after="0" w:line="231"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Projections of our future earnings or losses or actual changes in our earnings inconsistent with expectations.</w:t>
      </w:r>
    </w:p>
    <w:p>
      <w:pPr>
        <w:spacing w:after="0" w:line="66" w:lineRule="exact"/>
        <w:rPr>
          <w:rFonts w:ascii="Times New Roman" w:cs="Times New Roman" w:eastAsia="Times New Roman" w:hAnsi="Times New Roman"/>
          <w:sz w:val="20"/>
          <w:szCs w:val="20"/>
          <w:color w:val="auto"/>
        </w:rPr>
      </w:pPr>
    </w:p>
    <w:p>
      <w:pPr>
        <w:ind w:left="660" w:right="300" w:hanging="328"/>
        <w:spacing w:after="0" w:line="271" w:lineRule="auto"/>
        <w:tabs>
          <w:tab w:leader="none" w:pos="658"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on our average rate per contract or contemplated significant pricing changes that could impact our stock price.</w:t>
      </w:r>
    </w:p>
    <w:p>
      <w:pPr>
        <w:spacing w:after="0" w:line="6" w:lineRule="exact"/>
        <w:rPr>
          <w:rFonts w:ascii="Times New Roman" w:cs="Times New Roman" w:eastAsia="Times New Roman" w:hAnsi="Times New Roman"/>
          <w:sz w:val="20"/>
          <w:szCs w:val="20"/>
          <w:color w:val="auto"/>
        </w:rPr>
      </w:pPr>
    </w:p>
    <w:p>
      <w:pPr>
        <w:ind w:left="660" w:right="380" w:hanging="328"/>
        <w:spacing w:after="0" w:line="298" w:lineRule="auto"/>
        <w:tabs>
          <w:tab w:leader="none" w:pos="658" w:val="left"/>
        </w:tabs>
        <w:numPr>
          <w:ilvl w:val="0"/>
          <w:numId w:val="67"/>
        </w:numPr>
        <w:rPr>
          <w:rFonts w:ascii="Times New Roman" w:cs="Times New Roman" w:eastAsia="Times New Roman" w:hAnsi="Times New Roman"/>
          <w:sz w:val="19"/>
          <w:szCs w:val="19"/>
          <w:color w:val="auto"/>
        </w:rPr>
      </w:pPr>
      <w:r>
        <w:rPr>
          <w:rFonts w:ascii="Arial" w:cs="Arial" w:eastAsia="Arial" w:hAnsi="Arial"/>
          <w:sz w:val="19"/>
          <w:szCs w:val="19"/>
          <w:color w:val="auto"/>
        </w:rPr>
        <w:t>A pending or proposed merger, acquisition or other corporate development, or that discussions or negotiations with respect to such activity are in progress as it relates to both CME Group stock and the stock of the other party.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80"/>
          </w:cols>
          <w:pgMar w:left="320" w:top="1440" w:right="499" w:bottom="1440" w:gutter="0" w:footer="0" w:header="0"/>
        </w:sectPr>
      </w:pPr>
    </w:p>
    <w:bookmarkStart w:id="112" w:name="page113"/>
    <w:bookmarkEnd w:id="112"/>
    <w:p>
      <w:pPr>
        <w:spacing w:after="0" w:line="150" w:lineRule="exact"/>
        <w:rPr>
          <w:sz w:val="20"/>
          <w:szCs w:val="20"/>
          <w:color w:val="auto"/>
        </w:rPr>
      </w:pPr>
    </w:p>
    <w:p>
      <w:pPr>
        <w:ind w:left="660" w:right="260" w:hanging="328"/>
        <w:spacing w:after="0" w:line="280" w:lineRule="auto"/>
        <w:tabs>
          <w:tab w:leader="none" w:pos="65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dividend increases or decreases, including information relating to our Q1 dividend and our annual variable dividend.</w:t>
      </w:r>
    </w:p>
    <w:p>
      <w:pPr>
        <w:spacing w:after="0" w:line="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investment in technology that is not accounted for in our published expense guidance.</w:t>
      </w:r>
    </w:p>
    <w:p>
      <w:pPr>
        <w:spacing w:after="0" w:line="5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new product, service or technology offering that is expected to generate a significant amount of new revenue.</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major change in senior management, material change in staffing levels or a material personnel restructuring.</w:t>
      </w:r>
    </w:p>
    <w:p>
      <w:pPr>
        <w:spacing w:after="0" w:line="52" w:lineRule="exact"/>
        <w:rPr>
          <w:rFonts w:ascii="Times New Roman" w:cs="Times New Roman" w:eastAsia="Times New Roman" w:hAnsi="Times New Roman"/>
          <w:sz w:val="20"/>
          <w:szCs w:val="20"/>
          <w:color w:val="auto"/>
        </w:rPr>
      </w:pPr>
    </w:p>
    <w:p>
      <w:pPr>
        <w:ind w:left="660" w:right="80" w:hanging="328"/>
        <w:spacing w:after="0" w:line="273" w:lineRule="auto"/>
        <w:tabs>
          <w:tab w:leader="none" w:pos="65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Material pending or threatened litigation, regulatory or governmental actions, as well as any significant developments in connection with such matters (such as their termination or resolution).</w:t>
      </w:r>
    </w:p>
    <w:p>
      <w:pPr>
        <w:spacing w:after="0" w:line="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The gain or loss of a significant client or vendor.</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The imminent change in a credit rating by a rating agency.</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Knowledge of the occurrence, or suspected occurrence, of a potentially significant cyber incident or privacy breach.</w:t>
      </w:r>
    </w:p>
    <w:p>
      <w:pPr>
        <w:spacing w:after="0" w:line="52"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5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technology or operational issue resulting in a significant outage in our markets or that could result in significant loss to the company</w:t>
      </w:r>
    </w:p>
    <w:p>
      <w:pPr>
        <w:spacing w:after="0" w:line="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distress of one of our Clearing Members or significant clients.</w:t>
      </w:r>
    </w:p>
    <w:p>
      <w:pPr>
        <w:spacing w:after="0" w:line="66" w:lineRule="exact"/>
        <w:rPr>
          <w:rFonts w:ascii="Times New Roman" w:cs="Times New Roman" w:eastAsia="Times New Roman" w:hAnsi="Times New Roman"/>
          <w:sz w:val="20"/>
          <w:szCs w:val="20"/>
          <w:color w:val="auto"/>
        </w:rPr>
      </w:pPr>
    </w:p>
    <w:p>
      <w:pPr>
        <w:jc w:val="both"/>
        <w:ind w:left="660" w:right="200" w:hanging="328"/>
        <w:spacing w:after="0" w:line="262" w:lineRule="auto"/>
        <w:tabs>
          <w:tab w:leader="none" w:pos="658"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An investment decision that could have a significant impact on the price of an instrument (e.g., a decision on behalf of CME, including the Clearing House, to make a significant investment or divestiture in a specific fund that could have a material impact on the price of such fund).</w:t>
      </w:r>
    </w:p>
    <w:p>
      <w:pPr>
        <w:spacing w:after="0" w:line="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Present or anticipated cash positions, commodity interests or trading strategies of a client.</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It is your responsibility to comply with this policy against insider trading and market abuse. </w:t>
      </w:r>
      <w:r>
        <w:rPr>
          <w:rFonts w:ascii="Arial" w:cs="Arial" w:eastAsia="Arial" w:hAnsi="Arial"/>
          <w:sz w:val="19"/>
          <w:szCs w:val="19"/>
          <w:b w:val="1"/>
          <w:bCs w:val="1"/>
          <w:color w:val="auto"/>
        </w:rPr>
        <w:t>This means from time to time, you</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not be able to buy or sell CME Group or another company’s stock or a particular financial instrument, even if you</w:t>
      </w:r>
    </w:p>
    <w:p>
      <w:pPr>
        <w:spacing w:after="0" w:line="2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b w:val="1"/>
          <w:bCs w:val="1"/>
          <w:color w:val="auto"/>
        </w:rPr>
        <w:t xml:space="preserve">planned to make the transaction before gaining access to or learning of the inside information, and even though you believe you may suffer an economic loss or forego anticipated profit by waiting. </w:t>
      </w:r>
      <w:r>
        <w:rPr>
          <w:rFonts w:ascii="Arial" w:cs="Arial" w:eastAsia="Arial" w:hAnsi="Arial"/>
          <w:sz w:val="20"/>
          <w:szCs w:val="20"/>
          <w:color w:val="auto"/>
        </w:rPr>
        <w:t>CME Group believes that such lost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opportunities are a necessary consequence of our commitment to compliance with the securities and market abuse laws and to fair and equitable trading markets. Refer to the </w:t>
      </w:r>
      <w:r>
        <w:rPr>
          <w:rFonts w:ascii="Arial" w:cs="Arial" w:eastAsia="Arial" w:hAnsi="Arial"/>
          <w:sz w:val="20"/>
          <w:szCs w:val="20"/>
          <w:b w:val="1"/>
          <w:bCs w:val="1"/>
          <w:color w:val="1155CC"/>
        </w:rPr>
        <w:t>Frequently Asked Questions</w:t>
      </w:r>
      <w:r>
        <w:rPr>
          <w:rFonts w:ascii="Arial" w:cs="Arial" w:eastAsia="Arial" w:hAnsi="Arial"/>
          <w:sz w:val="20"/>
          <w:szCs w:val="20"/>
          <w:color w:val="auto"/>
        </w:rPr>
        <w:t xml:space="preserve"> for more information on what transactions are allowed during a trading restriction period or when you otherwise have access to inside information.</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auto"/>
        </w:rPr>
        <w:t xml:space="preserve">When in doubt, it is best not to trade: </w:t>
      </w:r>
      <w:r>
        <w:rPr>
          <w:rFonts w:ascii="Arial" w:cs="Arial" w:eastAsia="Arial" w:hAnsi="Arial"/>
          <w:sz w:val="20"/>
          <w:szCs w:val="20"/>
          <w:color w:val="auto"/>
        </w:rPr>
        <w:t>Determining if information is considered inside information is complicated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outcome may differ from the initial assessment with the benefit of hindsight and actual performance of the financial instrument. The responsibility for determining whether you are in possession of inside information rests with you, and any action on the part of any other colleague pursuant to this policy (or otherwise) does not in any way constitute legal advice or insulate you from liability under the applicable securities laws. You could be subject to severe legal penalties and disciplinary action by CME Group for any conduct prohibited by this policy or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40"/>
          </w:cols>
          <w:pgMar w:left="320" w:top="1440" w:right="439" w:bottom="1440" w:gutter="0" w:footer="0" w:header="0"/>
        </w:sectPr>
      </w:pPr>
    </w:p>
    <w:bookmarkStart w:id="113" w:name="page114"/>
    <w:bookmarkEnd w:id="113"/>
    <w:p>
      <w:pPr>
        <w:spacing w:after="0" w:line="390" w:lineRule="exact"/>
        <w:rPr>
          <w:sz w:val="20"/>
          <w:szCs w:val="20"/>
          <w:color w:val="auto"/>
        </w:rPr>
      </w:pPr>
    </w:p>
    <w:p>
      <w:pPr>
        <w:ind w:right="2340"/>
        <w:spacing w:after="0" w:line="463" w:lineRule="auto"/>
        <w:rPr>
          <w:sz w:val="20"/>
          <w:szCs w:val="20"/>
          <w:color w:val="auto"/>
        </w:rPr>
      </w:pPr>
      <w:r>
        <w:rPr>
          <w:rFonts w:ascii="Arial" w:cs="Arial" w:eastAsia="Arial" w:hAnsi="Arial"/>
          <w:sz w:val="25"/>
          <w:szCs w:val="25"/>
          <w:b w:val="1"/>
          <w:bCs w:val="1"/>
          <w:color w:val="4472C4"/>
        </w:rPr>
        <w:t>SPECIFIC REQUIREMENTS RELATING TO CME GROUP STOCK Speculative and hedging transactions in CME Group stock are prohibited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Investing in CME Group stock provides an opportunity to share in the long-term growth of CME Group. Short-term investments based on price fluctuations may put your personal gain in conflict with the best interests of CME Group and its shareholders. Consequently, you are prohibited from “short-selling” CME Group stock, from buying or selling puts, calls, options, spread bets, warrants or similar instruments on CME Group stock or engaging in other transactions with respect to CME Group stock that might be considered speculative.</w:t>
      </w:r>
    </w:p>
    <w:p>
      <w:pPr>
        <w:spacing w:after="0" w:line="214"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color w:val="auto"/>
        </w:rPr>
        <w:t>Hedging or monetization transactions such as zero-cost collars and forward sale contracts that allow a person to lock in a portion of the value of their shares, often in exchange for all or part of the potential for upside appreciation in the shares, also are prohibited. Such transactions permit you to retain ownership of CME Group stock while limiting the risks and rewards of such ownership and, therefore, your interests may no longer be aligned with those of CME Group or its shareholders.</w:t>
      </w:r>
    </w:p>
    <w:p>
      <w:pPr>
        <w:spacing w:after="0" w:line="141" w:lineRule="exact"/>
        <w:rPr>
          <w:sz w:val="20"/>
          <w:szCs w:val="20"/>
          <w:color w:val="auto"/>
        </w:rPr>
      </w:pPr>
    </w:p>
    <w:p>
      <w:pPr>
        <w:ind w:right="660"/>
        <w:spacing w:after="0" w:line="332" w:lineRule="auto"/>
        <w:rPr>
          <w:sz w:val="20"/>
          <w:szCs w:val="20"/>
          <w:color w:val="auto"/>
        </w:rPr>
      </w:pPr>
      <w:r>
        <w:rPr>
          <w:rFonts w:ascii="Arial" w:cs="Arial" w:eastAsia="Arial" w:hAnsi="Arial"/>
          <w:sz w:val="25"/>
          <w:szCs w:val="25"/>
          <w:b w:val="1"/>
          <w:bCs w:val="1"/>
          <w:color w:val="4472C4"/>
        </w:rPr>
        <w:t>Regular quarterly and event trading restriction periods prohibit certain colleagues from trading CME Group stock</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Some colleagues are subject to additional restrictions on trading CME Group stock for a period of time, referred to as “trading restriction periods,” because of their job functions or information regarding our financial results to which they routinely have access or can be presumed to have routine access. During these trading restriction periods, those colleagues are prohibited</w:t>
      </w:r>
    </w:p>
    <w:p>
      <w:pPr>
        <w:spacing w:after="0" w:line="2"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 xml:space="preserve">from directly or indirectly (such as through a connected person) trading in CME Group stock. </w:t>
      </w:r>
      <w:r>
        <w:rPr>
          <w:rFonts w:ascii="Arial" w:cs="Arial" w:eastAsia="Arial" w:hAnsi="Arial"/>
          <w:sz w:val="20"/>
          <w:szCs w:val="20"/>
          <w:b w:val="1"/>
          <w:bCs w:val="1"/>
          <w:i w:val="1"/>
          <w:iCs w:val="1"/>
          <w:color w:val="auto"/>
        </w:rPr>
        <w:t>Our regular quarterly trading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restriction periods surrounding the release of our financial earnings begin on the 15</w:t>
      </w:r>
      <w:r>
        <w:rPr>
          <w:rFonts w:ascii="Arial" w:cs="Arial" w:eastAsia="Arial" w:hAnsi="Arial"/>
          <w:sz w:val="25"/>
          <w:szCs w:val="25"/>
          <w:b w:val="1"/>
          <w:bCs w:val="1"/>
          <w:i w:val="1"/>
          <w:iCs w:val="1"/>
          <w:color w:val="auto"/>
          <w:vertAlign w:val="superscript"/>
        </w:rPr>
        <w:t>th</w:t>
      </w:r>
      <w:r>
        <w:rPr>
          <w:rFonts w:ascii="Arial" w:cs="Arial" w:eastAsia="Arial" w:hAnsi="Arial"/>
          <w:sz w:val="20"/>
          <w:szCs w:val="20"/>
          <w:b w:val="1"/>
          <w:bCs w:val="1"/>
          <w:i w:val="1"/>
          <w:iCs w:val="1"/>
          <w:color w:val="auto"/>
        </w:rPr>
        <w:t xml:space="preserve"> day of the last month of each calendar quarter (March, June, September, December) and end 24 hours after the earnings are publicly released for that quarter.</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We also may impose event-specific trading restriction periods for material events, such as a significant transaction, litigation or investigation. You will receive notice from the Office of the Secretary if you are subject to a regular or event-specific trading restriction period. Other than the regular quarterly trading restriction period, you should not disclose the fact that you are</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prohibited from trading CME Group stock to anyone. </w:t>
      </w:r>
      <w:r>
        <w:rPr>
          <w:rFonts w:ascii="Arial" w:cs="Arial" w:eastAsia="Arial" w:hAnsi="Arial"/>
          <w:sz w:val="19"/>
          <w:szCs w:val="19"/>
          <w:b w:val="1"/>
          <w:bCs w:val="1"/>
          <w:i w:val="1"/>
          <w:iCs w:val="1"/>
          <w:color w:val="auto"/>
        </w:rPr>
        <w:t>Remember that trading restriction periods are not the only time you</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are precluded from trading CME Group stock — you cannot trade CME Group stock any time you are in possession of or have access to inside information, whether or not you’ve been specifically told that you are subject to a trading</w:t>
      </w:r>
    </w:p>
    <w:p>
      <w:pPr>
        <w:spacing w:after="0" w:line="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i w:val="1"/>
          <w:iCs w:val="1"/>
          <w:color w:val="auto"/>
        </w:rPr>
        <w:t xml:space="preserve">restriction period. </w:t>
      </w:r>
      <w:r>
        <w:rPr>
          <w:rFonts w:ascii="Arial" w:cs="Arial" w:eastAsia="Arial" w:hAnsi="Arial"/>
          <w:sz w:val="20"/>
          <w:szCs w:val="20"/>
          <w:color w:val="auto"/>
        </w:rPr>
        <w:t>Refer to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1155CC"/>
        </w:rPr>
        <w:t>Frequently Asked Questions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more information on what transactions are prohibited during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trading restriction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00"/>
          </w:cols>
          <w:pgMar w:left="320" w:top="1440" w:right="479" w:bottom="1440" w:gutter="0" w:footer="0" w:header="0"/>
        </w:sectPr>
      </w:pPr>
    </w:p>
    <w:bookmarkStart w:id="114" w:name="page115"/>
    <w:bookmarkEnd w:id="114"/>
    <w:p>
      <w:pPr>
        <w:spacing w:after="0" w:line="150" w:lineRule="exact"/>
        <w:rPr>
          <w:sz w:val="20"/>
          <w:szCs w:val="20"/>
          <w:color w:val="auto"/>
        </w:rPr>
      </w:pPr>
    </w:p>
    <w:p>
      <w:pPr>
        <w:ind w:right="180"/>
        <w:spacing w:after="0" w:line="269" w:lineRule="auto"/>
        <w:rPr>
          <w:sz w:val="20"/>
          <w:szCs w:val="20"/>
          <w:color w:val="auto"/>
        </w:rPr>
      </w:pPr>
      <w:r>
        <w:rPr>
          <w:rFonts w:ascii="Arial" w:cs="Arial" w:eastAsia="Arial" w:hAnsi="Arial"/>
          <w:sz w:val="20"/>
          <w:szCs w:val="20"/>
          <w:color w:val="auto"/>
        </w:rPr>
        <w:t>In limited circumstances, we may impose an event-specific trading restriction period on another company’s stock when our colleagues may have access to inside information regarding that company. One example is when another company is involved in M&amp;A activity with CME Group.</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4"/>
        </w:rPr>
        <w:t>Pre-arranged trading plans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 xml:space="preserve">Under U.S. securities laws, in certain circumstances, an individual may pre-arrange a plan to trade in CME Group securities or the securities of other companies in the future. A pre-arranged trading plan may provide an individual with an affirmative defense to a charge of violating insider trading laws. This means that you may be able to pre-arrange transactions which may go forward, irrespective of your knowledge of inside information at the time of such transactions. Such arrangements must be entered into in good faith, at a time when you do not possess inside information and must meet the criteria set forth in Rule 10b5-1. Establishing any trading plan involving CME Group securities must be pre-cleared by the Corporate Secretary. Refer to the </w:t>
      </w:r>
      <w:r>
        <w:rPr>
          <w:rFonts w:ascii="Arial" w:cs="Arial" w:eastAsia="Arial" w:hAnsi="Arial"/>
          <w:sz w:val="20"/>
          <w:szCs w:val="20"/>
          <w:b w:val="1"/>
          <w:bCs w:val="1"/>
          <w:color w:val="1155CC"/>
        </w:rPr>
        <w:t xml:space="preserve">Frequently Asked Questions </w:t>
      </w:r>
      <w:r>
        <w:rPr>
          <w:rFonts w:ascii="Arial" w:cs="Arial" w:eastAsia="Arial" w:hAnsi="Arial"/>
          <w:sz w:val="20"/>
          <w:szCs w:val="20"/>
          <w:color w:val="000000"/>
        </w:rPr>
        <w:t>for more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4"/>
        </w:rPr>
        <w:t>Company repurchase of shares</w:t>
      </w:r>
    </w:p>
    <w:p>
      <w:pPr>
        <w:spacing w:after="0" w:line="189"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The Board of Directors of CME Group may from time to time authorize CME Group to repurchase CME Group securities under such terms and conditions that the Board of Directors may determine. It is CME Group's policy to comply with all applicable securities and state laws and this policy when the company is engaging in transactions in CME Group's securities.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472C4"/>
        </w:rPr>
        <w:t>Confidentiality of CME Group information</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 xml:space="preserve">Everyone subject to this Appendix has an ethical and legal obligation to maintain the confidentiality of information about CME Group and the companies with which we do business as described in the </w:t>
      </w:r>
      <w:r>
        <w:rPr>
          <w:rFonts w:ascii="Arial" w:cs="Arial" w:eastAsia="Arial" w:hAnsi="Arial"/>
          <w:sz w:val="20"/>
          <w:szCs w:val="20"/>
          <w:b w:val="1"/>
          <w:bCs w:val="1"/>
          <w:color w:val="1155CC"/>
        </w:rPr>
        <w:t>Code of Conduct</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b w:val="1"/>
          <w:bCs w:val="1"/>
          <w:color w:val="1155CC"/>
        </w:rPr>
        <w:t>Board Code of Ethics</w:t>
      </w:r>
      <w:r>
        <w:rPr>
          <w:rFonts w:ascii="Arial" w:cs="Arial" w:eastAsia="Arial" w:hAnsi="Arial"/>
          <w:sz w:val="20"/>
          <w:szCs w:val="20"/>
          <w:color w:val="auto"/>
        </w:rPr>
        <w:t xml:space="preserve">, the </w:t>
      </w:r>
      <w:r>
        <w:rPr>
          <w:rFonts w:ascii="Arial" w:cs="Arial" w:eastAsia="Arial" w:hAnsi="Arial"/>
          <w:sz w:val="20"/>
          <w:szCs w:val="20"/>
          <w:b w:val="1"/>
          <w:bCs w:val="1"/>
          <w:color w:val="1155CC"/>
        </w:rPr>
        <w:t xml:space="preserve">Confidentiality and Data Protection Policy </w:t>
      </w:r>
      <w:r>
        <w:rPr>
          <w:rFonts w:ascii="Arial" w:cs="Arial" w:eastAsia="Arial" w:hAnsi="Arial"/>
          <w:sz w:val="20"/>
          <w:szCs w:val="20"/>
          <w:color w:val="000000"/>
        </w:rPr>
        <w:t>and in the</w:t>
      </w:r>
      <w:r>
        <w:rPr>
          <w:rFonts w:ascii="Arial" w:cs="Arial" w:eastAsia="Arial" w:hAnsi="Arial"/>
          <w:sz w:val="20"/>
          <w:szCs w:val="20"/>
          <w:b w:val="1"/>
          <w:bCs w:val="1"/>
          <w:color w:val="1155CC"/>
        </w:rPr>
        <w:t xml:space="preserve"> Rulebooks </w:t>
      </w:r>
      <w:r>
        <w:rPr>
          <w:rFonts w:ascii="Arial" w:cs="Arial" w:eastAsia="Arial" w:hAnsi="Arial"/>
          <w:sz w:val="20"/>
          <w:szCs w:val="20"/>
          <w:color w:val="000000"/>
        </w:rPr>
        <w:t>of CME, CBOT, NYMEX and COMEX, as applicable to your</w:t>
      </w:r>
      <w:r>
        <w:rPr>
          <w:rFonts w:ascii="Arial" w:cs="Arial" w:eastAsia="Arial" w:hAnsi="Arial"/>
          <w:sz w:val="20"/>
          <w:szCs w:val="20"/>
          <w:b w:val="1"/>
          <w:bCs w:val="1"/>
          <w:color w:val="1155CC"/>
        </w:rPr>
        <w:t xml:space="preserve"> </w:t>
      </w:r>
      <w:r>
        <w:rPr>
          <w:rFonts w:ascii="Arial" w:cs="Arial" w:eastAsia="Arial" w:hAnsi="Arial"/>
          <w:sz w:val="20"/>
          <w:szCs w:val="20"/>
          <w:color w:val="000000"/>
        </w:rPr>
        <w:t>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APPENDIX B: Requirements relating to individuals subject to Section 16 of the Exchange Act</w:t>
      </w:r>
    </w:p>
    <w:p>
      <w:pPr>
        <w:spacing w:after="0" w:line="242"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 xml:space="preserve">This Appendix applies to all </w:t>
      </w:r>
      <w:r>
        <w:rPr>
          <w:rFonts w:ascii="Arial" w:cs="Arial" w:eastAsia="Arial" w:hAnsi="Arial"/>
          <w:sz w:val="20"/>
          <w:szCs w:val="20"/>
          <w:b w:val="1"/>
          <w:bCs w:val="1"/>
          <w:i w:val="1"/>
          <w:iCs w:val="1"/>
          <w:color w:val="auto"/>
        </w:rPr>
        <w:t>executive officers</w:t>
      </w:r>
      <w:r>
        <w:rPr>
          <w:rFonts w:ascii="Arial" w:cs="Arial" w:eastAsia="Arial" w:hAnsi="Arial"/>
          <w:sz w:val="20"/>
          <w:szCs w:val="20"/>
          <w:color w:val="auto"/>
        </w:rPr>
        <w:t xml:space="preserve"> (the Chairman and Chief Executive Officer, members of the Management Team and the Chief Accounting Officer) and CME Group Board Members.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TRADING RESTRICTIONS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 may purchase or sell CME Group securities </w:t>
      </w:r>
      <w:r>
        <w:rPr>
          <w:rFonts w:ascii="Arial" w:cs="Arial" w:eastAsia="Arial" w:hAnsi="Arial"/>
          <w:sz w:val="20"/>
          <w:szCs w:val="20"/>
          <w:b w:val="1"/>
          <w:bCs w:val="1"/>
          <w:i w:val="1"/>
          <w:iCs w:val="1"/>
          <w:color w:val="auto"/>
        </w:rPr>
        <w:t>only</w:t>
      </w:r>
      <w:r>
        <w:rPr>
          <w:rFonts w:ascii="Arial" w:cs="Arial" w:eastAsia="Arial" w:hAnsi="Arial"/>
          <w:sz w:val="20"/>
          <w:szCs w:val="20"/>
          <w:color w:val="auto"/>
        </w:rPr>
        <w:t xml:space="preserve"> if you can satisfy </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of the following:</w:t>
      </w:r>
    </w:p>
    <w:p>
      <w:pPr>
        <w:spacing w:after="0" w:line="245" w:lineRule="exact"/>
        <w:rPr>
          <w:sz w:val="20"/>
          <w:szCs w:val="20"/>
          <w:color w:val="auto"/>
        </w:rPr>
      </w:pPr>
    </w:p>
    <w:p>
      <w:pPr>
        <w:ind w:left="620" w:hanging="288"/>
        <w:spacing w:after="0"/>
        <w:tabs>
          <w:tab w:leader="none" w:pos="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DO NOT have access to inside information;</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are NOT subject to a trading restriction;</w:t>
      </w:r>
    </w:p>
    <w:p>
      <w:pPr>
        <w:spacing w:after="0" w:line="121" w:lineRule="exact"/>
        <w:rPr>
          <w:rFonts w:ascii="Arial" w:cs="Arial" w:eastAsia="Arial" w:hAnsi="Arial"/>
          <w:sz w:val="20"/>
          <w:szCs w:val="20"/>
          <w:color w:val="auto"/>
        </w:rPr>
      </w:pPr>
    </w:p>
    <w:p>
      <w:pPr>
        <w:ind w:left="620" w:hanging="288"/>
        <w:spacing w:after="0"/>
        <w:tabs>
          <w:tab w:leader="none" w:pos="6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have pre-cleared the transaction with a member of the Office of the Secretary; AND</w:t>
      </w:r>
    </w:p>
    <w:p>
      <w:pPr>
        <w:spacing w:after="0" w:line="107" w:lineRule="exact"/>
        <w:rPr>
          <w:rFonts w:ascii="Arial" w:cs="Arial" w:eastAsia="Arial" w:hAnsi="Arial"/>
          <w:sz w:val="20"/>
          <w:szCs w:val="20"/>
          <w:color w:val="auto"/>
        </w:rPr>
      </w:pPr>
    </w:p>
    <w:p>
      <w:pPr>
        <w:ind w:left="660" w:right="160" w:hanging="328"/>
        <w:spacing w:after="0" w:line="262" w:lineRule="auto"/>
        <w:tabs>
          <w:tab w:leader="none" w:pos="631"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have not engaged in a matchable transaction within the prior six months if the transaction involves CME Group equity (meaning if you want to sell shares in the open market you have not purchased shares in the open market within the last six months and vice versa).</w:t>
      </w:r>
    </w:p>
    <w:p>
      <w:pPr>
        <w:spacing w:after="0" w:line="70"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If you have engaged in a matchable transaction within the last six months, the Nominating and Governance Committee may authorize you to engage in the proposed transaction; provided that such transaction would not result in a recognizable gain for purposes of Section 16(b) of the Exchange Act.</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MANDATORY PRE-CLEARANCE PROCEDURES</w:t>
      </w:r>
    </w:p>
    <w:p>
      <w:pPr>
        <w:spacing w:after="0" w:line="242" w:lineRule="exact"/>
        <w:rPr>
          <w:sz w:val="20"/>
          <w:szCs w:val="20"/>
          <w:color w:val="auto"/>
        </w:rPr>
      </w:pPr>
    </w:p>
    <w:p>
      <w:pPr>
        <w:jc w:val="both"/>
        <w:ind w:right="140"/>
        <w:spacing w:after="0" w:line="269" w:lineRule="auto"/>
        <w:rPr>
          <w:sz w:val="20"/>
          <w:szCs w:val="20"/>
          <w:color w:val="auto"/>
        </w:rPr>
      </w:pPr>
      <w:r>
        <w:rPr>
          <w:rFonts w:ascii="Arial" w:cs="Arial" w:eastAsia="Arial" w:hAnsi="Arial"/>
          <w:sz w:val="20"/>
          <w:szCs w:val="20"/>
          <w:color w:val="auto"/>
        </w:rPr>
        <w:t>All of your transactions involving CME Group securities must be pre-cleared by a member of the Office of the Secretary. These procedures will help ensure you are not engaging in insider trading and you are fulfilling your reporting obligations with respect to such transactions.</w:t>
      </w:r>
    </w:p>
    <w:p>
      <w:pPr>
        <w:spacing w:after="0" w:line="185"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CME Group Board Members, the Chairman and Chief Executive Officer and members of the Management Team also are subject to stock ownership guidelines which should be considered prior to engaging in any transaction involving CME Group equity.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Transactions requiring pre-clearance include:</w:t>
      </w:r>
    </w:p>
    <w:p>
      <w:pPr>
        <w:spacing w:after="0" w:line="256" w:lineRule="exact"/>
        <w:rPr>
          <w:sz w:val="20"/>
          <w:szCs w:val="20"/>
          <w:color w:val="auto"/>
        </w:rPr>
      </w:pPr>
    </w:p>
    <w:p>
      <w:pPr>
        <w:ind w:left="660" w:right="660" w:hanging="328"/>
        <w:spacing w:after="0" w:line="271" w:lineRule="auto"/>
        <w:tabs>
          <w:tab w:leader="none" w:pos="631"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transactions involving your CME Group securities (including the execution of a pre-arranged trading plan, the execution of a limit order, a gift, or a contribution to or transfer from a trust or any other transfer); and</w:t>
      </w:r>
    </w:p>
    <w:p>
      <w:pPr>
        <w:spacing w:after="0" w:line="196" w:lineRule="exact"/>
        <w:rPr>
          <w:rFonts w:ascii="Arial" w:cs="Arial" w:eastAsia="Arial" w:hAnsi="Arial"/>
          <w:sz w:val="20"/>
          <w:szCs w:val="20"/>
          <w:color w:val="auto"/>
        </w:rPr>
      </w:pPr>
    </w:p>
    <w:p>
      <w:pPr>
        <w:ind w:left="660" w:hanging="328"/>
        <w:spacing w:after="0" w:line="282" w:lineRule="auto"/>
        <w:tabs>
          <w:tab w:leader="none" w:pos="631"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Any transactions by your connected persons involving CME Group securities in which you have a direct or indirect financial interest (for example, the ability to profit in some way from transactions in the securities). </w:t>
      </w:r>
      <w:r>
        <w:rPr>
          <w:rFonts w:ascii="Arial" w:cs="Arial" w:eastAsia="Arial" w:hAnsi="Arial"/>
          <w:sz w:val="19"/>
          <w:szCs w:val="19"/>
          <w:i w:val="1"/>
          <w:iCs w:val="1"/>
          <w:color w:val="auto"/>
        </w:rPr>
        <w:t>The SEC will presume</w:t>
      </w:r>
      <w:r>
        <w:rPr>
          <w:rFonts w:ascii="Arial" w:cs="Arial" w:eastAsia="Arial" w:hAnsi="Arial"/>
          <w:sz w:val="19"/>
          <w:szCs w:val="19"/>
          <w:color w:val="auto"/>
        </w:rPr>
        <w:t xml:space="preserve"> </w:t>
      </w:r>
      <w:r>
        <w:rPr>
          <w:rFonts w:ascii="Arial" w:cs="Arial" w:eastAsia="Arial" w:hAnsi="Arial"/>
          <w:sz w:val="19"/>
          <w:szCs w:val="19"/>
          <w:i w:val="1"/>
          <w:iCs w:val="1"/>
          <w:color w:val="auto"/>
        </w:rPr>
        <w:t>you have a financial interest in securities held by your immediate family members sharing the same household.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Pre-clearance of a transaction by a member of the Office of the Secretary does not authorize or condone a transaction that may contravene securities law, such as trading with inside information and does not necessarily protect you from liability under the laws prohibiting insider trading. Each pre-clearance expires on the second business day following the date the pre-clearance was issued, unless otherwise extended by a member of the Office of the Secretary. In addition, the pre-clearance may be revoked at any time before the trade by any member of the Office of the Secretary and by the issuance of a “no trade” directive. You will be notified if a “no-trade” directive is issued or pre-clearance is revoked.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request pre-clearance for a transaction, please contact the </w:t>
      </w:r>
      <w:r>
        <w:rPr>
          <w:rFonts w:ascii="Arial" w:cs="Arial" w:eastAsia="Arial" w:hAnsi="Arial"/>
          <w:sz w:val="20"/>
          <w:szCs w:val="20"/>
          <w:color w:val="1155CC"/>
        </w:rPr>
        <w:t>Corporate Secretary</w:t>
      </w:r>
      <w:r>
        <w:rPr>
          <w:rFonts w:ascii="Arial" w:cs="Arial" w:eastAsia="Arial" w:hAnsi="Arial"/>
          <w:sz w:val="20"/>
          <w:szCs w:val="20"/>
          <w:color w:val="auto"/>
        </w:rPr>
        <w:t xml:space="preserve"> and provide all of the following information:</w:t>
      </w:r>
    </w:p>
    <w:p>
      <w:pPr>
        <w:spacing w:after="0" w:line="243" w:lineRule="exact"/>
        <w:rPr>
          <w:sz w:val="20"/>
          <w:szCs w:val="20"/>
          <w:color w:val="auto"/>
        </w:rPr>
      </w:pPr>
    </w:p>
    <w:p>
      <w:pPr>
        <w:ind w:left="660" w:hanging="328"/>
        <w:spacing w:after="0" w:line="286" w:lineRule="auto"/>
        <w:tabs>
          <w:tab w:leader="none" w:pos="631" w:val="left"/>
        </w:tabs>
        <w:numPr>
          <w:ilvl w:val="0"/>
          <w:numId w:val="71"/>
        </w:numPr>
        <w:rPr>
          <w:rFonts w:ascii="Arial" w:cs="Arial" w:eastAsia="Arial" w:hAnsi="Arial"/>
          <w:sz w:val="20"/>
          <w:szCs w:val="20"/>
          <w:color w:val="auto"/>
        </w:rPr>
      </w:pPr>
      <w:r>
        <w:rPr>
          <w:rFonts w:ascii="Arial" w:cs="Arial" w:eastAsia="Arial" w:hAnsi="Arial"/>
          <w:sz w:val="20"/>
          <w:szCs w:val="20"/>
          <w:color w:val="auto"/>
        </w:rPr>
        <w:t>Description of proposed transaction, such as whether it is an open market sale or purchase of stock or notes, 10b5-1 pre-arranged trading plan, gift, etc.;</w:t>
      </w:r>
    </w:p>
    <w:p>
      <w:pPr>
        <w:spacing w:after="0" w:line="45" w:lineRule="exact"/>
        <w:rPr>
          <w:rFonts w:ascii="Arial" w:cs="Arial" w:eastAsia="Arial" w:hAnsi="Arial"/>
          <w:sz w:val="20"/>
          <w:szCs w:val="20"/>
          <w:color w:val="auto"/>
        </w:rPr>
      </w:pPr>
    </w:p>
    <w:p>
      <w:pPr>
        <w:ind w:left="620" w:hanging="288"/>
        <w:spacing w:after="0"/>
        <w:tabs>
          <w:tab w:leader="none" w:pos="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Anticipated date of the transaction and whether the transaction remains subject to any conditions such as stock price;</w:t>
      </w:r>
    </w:p>
    <w:p>
      <w:pPr>
        <w:spacing w:after="0" w:line="17"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AND</w:t>
      </w:r>
    </w:p>
    <w:p>
      <w:pPr>
        <w:spacing w:after="0" w:line="103" w:lineRule="exact"/>
        <w:rPr>
          <w:rFonts w:ascii="Arial" w:cs="Arial" w:eastAsia="Arial" w:hAnsi="Arial"/>
          <w:sz w:val="20"/>
          <w:szCs w:val="20"/>
          <w:color w:val="auto"/>
        </w:rPr>
      </w:pPr>
    </w:p>
    <w:p>
      <w:pPr>
        <w:ind w:left="620" w:hanging="288"/>
        <w:spacing w:after="0"/>
        <w:tabs>
          <w:tab w:leader="none" w:pos="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Name and contact information of the broker executing the trade.</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In her absence you may also contact the General Counsel or the Assistant Corporate Secretary.</w:t>
      </w:r>
    </w:p>
    <w:p>
      <w:pPr>
        <w:spacing w:after="0" w:line="256" w:lineRule="exact"/>
        <w:rPr>
          <w:sz w:val="20"/>
          <w:szCs w:val="20"/>
          <w:color w:val="auto"/>
        </w:rPr>
      </w:pPr>
    </w:p>
    <w:p>
      <w:pPr>
        <w:ind w:right="760"/>
        <w:spacing w:after="0" w:line="313" w:lineRule="auto"/>
        <w:rPr>
          <w:sz w:val="20"/>
          <w:szCs w:val="20"/>
          <w:color w:val="auto"/>
        </w:rPr>
      </w:pPr>
      <w:r>
        <w:rPr>
          <w:rFonts w:ascii="Arial" w:cs="Arial" w:eastAsia="Arial" w:hAnsi="Arial"/>
          <w:sz w:val="19"/>
          <w:szCs w:val="19"/>
          <w:color w:val="auto"/>
        </w:rPr>
        <w:t>In order for the Office of the Secretary to complete your Section 16 forms, your broker must provide detailed transaction information. You must authorize the broker to provide such information directly to the Office of the Secretary.</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NOTIFICATION OF SALES OF CME GROUP STOCK</w:t>
      </w:r>
    </w:p>
    <w:p>
      <w:pPr>
        <w:spacing w:after="0" w:line="215"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In addition to pre-clearance, CME Group Board Members and members of the Management Team planning to sell shares of CME Group stock also must advise the Chairman and Chief Executive Officer of their intention.</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COMPLIANCE WITH RULE 144</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You must ensure your broker completes all necessary paperwork for any sales made in accordance with Rule 144; provided, however, the company may undertake the filing of the Form 144 with your Section 16 report. Rule 144 applies to all open market sales of shares of CME Group by any “affiliate” of CME Group. In general, CME Group Board Members and executive officers of CME Group can resell shares of CME Group stock owned by them provided they follow the provisions of Rule 144. Unless you comply with the provisions of Rule 144, you may not be able to make open market sales of shares of CME Group without registering the shares under the Securities Act.</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REPORTING OF TRANSACTIONS IN CME GROUP STOCK</w:t>
      </w:r>
    </w:p>
    <w:p>
      <w:pPr>
        <w:spacing w:after="0" w:line="255"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All of your transactions in CME Group Class A and Class B common stock must be reported to the Securities and Exchange Commission in accordance with Section 16(a) of the Exchange Act, typically within two (2) business days following the date of the trade. The company is required to disclose any late filings in its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F81BD"/>
        </w:rPr>
        <w:t>Reports required to be filed under Section 16(a)</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CME Group Board Members and executive officers are individually responsible for timely reporting to the SEC any purchases, sales or other acquisitions or dispositions of equity securities of CME Group “beneficially owned” by such persons. However, the Office of the Secretary will prepare and file your Section 16 forms for you. </w:t>
      </w:r>
      <w:r>
        <w:rPr>
          <w:rFonts w:ascii="Arial" w:cs="Arial" w:eastAsia="Arial" w:hAnsi="Arial"/>
          <w:sz w:val="20"/>
          <w:szCs w:val="20"/>
          <w:b w:val="1"/>
          <w:bCs w:val="1"/>
          <w:i w:val="1"/>
          <w:iCs w:val="1"/>
          <w:color w:val="auto"/>
        </w:rPr>
        <w:t>“Beneficial ownership”</w:t>
      </w:r>
      <w:r>
        <w:rPr>
          <w:rFonts w:ascii="Arial" w:cs="Arial" w:eastAsia="Arial" w:hAnsi="Arial"/>
          <w:sz w:val="20"/>
          <w:szCs w:val="20"/>
          <w:color w:val="auto"/>
        </w:rPr>
        <w:t xml:space="preserve"> includes any security in which a person has any direct or indirect financial interest. Equity securities of CME Group include securities which are exercisable or exchangeable for or convertible into, or which have a value which derives from the value of, an equity security of CME Group. These latter securities, known as “derivative securities,” include: stock options; warrants; convertible securities; stock appreciation rights and similar rights with exercise or conversion privileges at a price related to an equity security; or similar securities with a value derived from the value of an equity security. For purposes of Section 16, derivative securities are deemed to be the same class of equity security as the underlying security.</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SHORT SWING LIABILITY FOR PURCHASES &amp; SALES WITHIN SIX MONTHS</w:t>
      </w:r>
    </w:p>
    <w:p>
      <w:pPr>
        <w:spacing w:after="0" w:line="255"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 xml:space="preserve">To deter insiders from profiting on transactions in the equity securities of CME Group on the basis of undisclosed information, Section 16(b) of the Exchange Act requires you to disgorge your “statutory profit” realized in either a non-exempt purchase and sale or a non-exempt sale and purchase (or any number of these transactions) of equity securities of CME Group (including derivative securities) which takes place within any six-month period. This area of the law is complicated. Additional information on this restriction, including what constitutes an exempt transaction, is included in the </w:t>
      </w:r>
      <w:r>
        <w:rPr>
          <w:rFonts w:ascii="Arial" w:cs="Arial" w:eastAsia="Arial" w:hAnsi="Arial"/>
          <w:sz w:val="20"/>
          <w:szCs w:val="20"/>
          <w:b w:val="1"/>
          <w:bCs w:val="1"/>
          <w:color w:val="1155CC"/>
        </w:rPr>
        <w:t>Frequently Asked Questions</w:t>
      </w:r>
      <w:r>
        <w:rPr>
          <w:rFonts w:ascii="Arial" w:cs="Arial" w:eastAsia="Arial" w:hAnsi="Arial"/>
          <w:sz w:val="20"/>
          <w:szCs w:val="20"/>
          <w:color w:val="auto"/>
        </w:rPr>
        <w:t xml:space="preserve"> which is available on OpenExchange and in the portal for board materials and from the Office of the Secretary.</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PROHIBITION AGAINST SHORT SALES UNDER SECTION 16(C)</w:t>
      </w:r>
    </w:p>
    <w:p>
      <w:pPr>
        <w:spacing w:after="0" w:line="255" w:lineRule="exact"/>
        <w:rPr>
          <w:sz w:val="20"/>
          <w:szCs w:val="20"/>
          <w:color w:val="auto"/>
        </w:rPr>
      </w:pPr>
    </w:p>
    <w:p>
      <w:pPr>
        <w:ind w:right="380"/>
        <w:spacing w:after="0" w:line="259" w:lineRule="auto"/>
        <w:rPr>
          <w:sz w:val="20"/>
          <w:szCs w:val="20"/>
          <w:color w:val="auto"/>
        </w:rPr>
      </w:pPr>
      <w:r>
        <w:rPr>
          <w:rFonts w:ascii="Arial" w:cs="Arial" w:eastAsia="Arial" w:hAnsi="Arial"/>
          <w:sz w:val="20"/>
          <w:szCs w:val="20"/>
          <w:color w:val="auto"/>
        </w:rPr>
        <w:t>Section 16 insiders are specifically prohibited under Section 16(c) of the Exchange Act from making any short sale of CME Group equity securities. A short sale has occurred if the seller (1) does not own the securities sold or (2) owns the securities sold, but does not deliver them against a sale within 20 days thereafter or does not within 5 days after the sale deposit the securities in the mail or other usual channels of transportation.</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RESTRICTIONS ON PLEDGING CLASS A COMMON STOCK</w:t>
      </w:r>
    </w:p>
    <w:p>
      <w:pPr>
        <w:spacing w:after="0" w:line="25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CME Group Board Members and executive officers are also prohibited from entering into pledging arrangements relating to their shares of Class A common stock, including pledging shares for margin or collateral.</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4472C4"/>
        </w:rPr>
        <w:t>CME GROUP CLASS B COMMON STOCK AND TRADING RESTRICTIONS</w:t>
      </w:r>
    </w:p>
    <w:p>
      <w:pPr>
        <w:spacing w:after="0" w:line="21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Board members may purchase or sell the Class B share associated with a membership on the CME exchange during a trading restriction; provided that such Board member does not have access to</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inside information at the time of the transaction. Such transaction must still follow the pre-clearance and reporting requirements described in this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00"/>
          </w:cols>
          <w:pgMar w:left="320" w:top="1440" w:right="4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CME Group Subsidiaries*</w:t>
            </w:r>
          </w:p>
        </w:tc>
      </w:tr>
      <w:tr>
        <w:trPr>
          <w:trHeight w:val="20"/>
        </w:trPr>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4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0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0"/>
        </w:trPr>
        <w:tc>
          <w:tcPr>
            <w:tcW w:w="15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gridSpan w:val="2"/>
            <w:shd w:val="clear" w:color="auto" w:fill="000000"/>
          </w:tcPr>
          <w:p>
            <w:pPr>
              <w:spacing w:after="0" w:line="20" w:lineRule="exact"/>
              <w:rPr>
                <w:sz w:val="1"/>
                <w:szCs w:val="1"/>
                <w:color w:val="auto"/>
              </w:rPr>
            </w:pPr>
          </w:p>
        </w:tc>
      </w:tr>
      <w:tr>
        <w:trPr>
          <w:trHeight w:val="24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Trade of the City of Chicago, Inc.</w:t>
            </w:r>
          </w:p>
        </w:tc>
        <w:tc>
          <w:tcPr>
            <w:tcW w:w="104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Americas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Europe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BrokerTec Holdings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Chicago Mercantile Exchange Korea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Amsterdam B.V.</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Consulting (Beijing) Co. Ltd.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Finance Holdings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Asia Holdings Pte. Ltd.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Australia Pty LTD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Benchmark Administrative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Hong Kong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Index Services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Japan Kabushiki Kaisha</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Marketing Canada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Singapore Operations Pte. Ltd.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Group Strategic Investments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India Holdings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India Technology and Support Services Private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London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Operations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Platforms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Securities Clearing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Shareholder Servicing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Technology and Support Services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 Ventures LLC</w:t>
            </w:r>
          </w:p>
        </w:tc>
        <w:tc>
          <w:tcPr>
            <w:tcW w:w="10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Brazil 1 Participações Ltda.</w:t>
            </w:r>
          </w:p>
        </w:tc>
        <w:tc>
          <w:tcPr>
            <w:tcW w:w="10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Brazil Investments 1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Brazil Investments 2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Finance Holdings LLC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Foundation Services Inc.</w:t>
            </w:r>
          </w:p>
        </w:tc>
        <w:tc>
          <w:tcPr>
            <w:tcW w:w="10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31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México, S. de R.L. de C.V.</w:t>
            </w:r>
          </w:p>
        </w:tc>
        <w:tc>
          <w:tcPr>
            <w:tcW w:w="10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CMEG NYMEX Holdings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Exchange, Inc.</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EBO Investments Limited</w:t>
            </w:r>
          </w:p>
        </w:tc>
        <w:tc>
          <w:tcPr>
            <w:tcW w:w="10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Malta</w:t>
            </w: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International Limited</w:t>
            </w:r>
          </w:p>
        </w:tc>
        <w:tc>
          <w:tcPr>
            <w:tcW w:w="10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20"/>
          </w:cols>
          <w:pgMar w:left="340" w:top="900"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0"/>
        </w:trPr>
        <w:tc>
          <w:tcPr>
            <w:tcW w:w="15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4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Japan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Dealing Resources, Inc.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Group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EBS Service Company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Intercapital Capital Markets LLC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Intercapital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Mercantile Exchange, Inc.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Group Holdings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Group Investments Inc.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Group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International Investments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International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Markets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 Services North America LLC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rPr>
          <w:sz w:val="20"/>
          <w:szCs w:val="20"/>
          <w:color w:val="auto"/>
        </w:rPr>
      </w:pPr>
      <w:r>
        <w:rPr>
          <w:rFonts w:ascii="Times New Roman" w:cs="Times New Roman" w:eastAsia="Times New Roman" w:hAnsi="Times New Roman"/>
          <w:sz w:val="18"/>
          <w:szCs w:val="18"/>
          <w:b w:val="1"/>
          <w:bCs w:val="1"/>
          <w:color w:val="auto"/>
        </w:rPr>
        <w:t>*Excludes entities that are inactive or that are in the process of being wound down.</w:t>
      </w:r>
    </w:p>
    <w:p>
      <w:pPr>
        <w:sectPr>
          <w:pgSz w:w="11900" w:h="16838" w:orient="portrait"/>
          <w:cols w:equalWidth="0" w:num="1">
            <w:col w:w="10119"/>
          </w:cols>
          <w:pgMar w:left="340" w:top="918" w:right="1440" w:bottom="1440" w:gutter="0" w:footer="0" w:header="0"/>
        </w:sectPr>
      </w:pPr>
    </w:p>
    <w:bookmarkStart w:id="121" w:name="page122"/>
    <w:bookmarkEnd w:id="121"/>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112" w:lineRule="exact"/>
        <w:rPr>
          <w:sz w:val="20"/>
          <w:szCs w:val="20"/>
          <w:color w:val="auto"/>
        </w:rPr>
      </w:pPr>
    </w:p>
    <w:p>
      <w:pPr>
        <w:ind w:right="2860" w:firstLine="2858"/>
        <w:spacing w:after="0" w:line="354"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ind w:left="420" w:right="20" w:hanging="7"/>
        <w:spacing w:after="0" w:line="271" w:lineRule="auto"/>
        <w:tabs>
          <w:tab w:leader="none" w:pos="77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333-105236 as filed on May 14, 2003) pertaining to the CME Group Inc. Amended and Restated Omnibus Stock Plan,</w:t>
      </w:r>
    </w:p>
    <w:p>
      <w:pPr>
        <w:spacing w:after="0" w:line="49" w:lineRule="exact"/>
        <w:rPr>
          <w:rFonts w:ascii="Times New Roman" w:cs="Times New Roman" w:eastAsia="Times New Roman" w:hAnsi="Times New Roman"/>
          <w:sz w:val="22"/>
          <w:szCs w:val="22"/>
          <w:color w:val="auto"/>
        </w:rPr>
      </w:pPr>
    </w:p>
    <w:p>
      <w:pPr>
        <w:ind w:left="420" w:right="20" w:hanging="7"/>
        <w:spacing w:after="0" w:line="271" w:lineRule="auto"/>
        <w:tabs>
          <w:tab w:leader="none" w:pos="77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333-159932 as filed on June 12, 2009) pertaining to the CME Group Inc. Amended and Restated Omnibus Stock Plan and the 2005 Director Stock Plan,</w:t>
      </w:r>
    </w:p>
    <w:p>
      <w:pPr>
        <w:spacing w:after="0" w:line="49" w:lineRule="exact"/>
        <w:rPr>
          <w:rFonts w:ascii="Times New Roman" w:cs="Times New Roman" w:eastAsia="Times New Roman" w:hAnsi="Times New Roman"/>
          <w:sz w:val="22"/>
          <w:szCs w:val="22"/>
          <w:color w:val="auto"/>
        </w:rPr>
      </w:pPr>
    </w:p>
    <w:p>
      <w:pPr>
        <w:jc w:val="both"/>
        <w:ind w:left="420" w:hanging="7"/>
        <w:spacing w:after="0" w:line="263" w:lineRule="auto"/>
        <w:tabs>
          <w:tab w:leader="none" w:pos="7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and Post-Effective Amendments No. 1 and No. 2 No. 333-104804 as filed on April 29, 2003, September 9, 2003 and April 12, 2004); Form S-8 No. 333-115656 as filed on May 20, 2004) pertaining to the Agreement between Chicago Mercantile Exchange Holdings Inc. and James J. McNulty,</w:t>
      </w:r>
    </w:p>
    <w:p>
      <w:pPr>
        <w:spacing w:after="0" w:line="59" w:lineRule="exact"/>
        <w:rPr>
          <w:rFonts w:ascii="Times New Roman" w:cs="Times New Roman" w:eastAsia="Times New Roman" w:hAnsi="Times New Roman"/>
          <w:sz w:val="22"/>
          <w:szCs w:val="22"/>
          <w:color w:val="auto"/>
        </w:rPr>
      </w:pPr>
    </w:p>
    <w:p>
      <w:pPr>
        <w:ind w:left="420" w:hanging="7"/>
        <w:spacing w:after="0" w:line="271" w:lineRule="auto"/>
        <w:tabs>
          <w:tab w:leader="none" w:pos="72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333-124497 as filed on April 29, 2005) pertaining to the Employee Stock Purchase Plan and the 2005 Director Stock Plan,</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333-144543 as filed on July 13, 2007) pertaining to CBOT Holdings, Inc.’s 2005 Long-Term Equity Incentive Plan,</w:t>
      </w:r>
    </w:p>
    <w:p>
      <w:pPr>
        <w:spacing w:after="0" w:line="63" w:lineRule="exact"/>
        <w:rPr>
          <w:rFonts w:ascii="Times New Roman" w:cs="Times New Roman" w:eastAsia="Times New Roman" w:hAnsi="Times New Roman"/>
          <w:sz w:val="22"/>
          <w:szCs w:val="22"/>
          <w:color w:val="auto"/>
        </w:rPr>
      </w:pPr>
    </w:p>
    <w:p>
      <w:pPr>
        <w:jc w:val="both"/>
        <w:ind w:left="420" w:hanging="7"/>
        <w:spacing w:after="0" w:line="257" w:lineRule="auto"/>
        <w:tabs>
          <w:tab w:leader="none" w:pos="73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333-153462 as filed on September 12, 2008) and Post-Effective Amendments No. 1 and No. 2 to Registration Statement on Form S-4 (Form S-8 No. 333-151577 as filed on July 18, 2012) pertaining to the NYMEX Holdings, Inc.’s 2006 Omnibus Long-Term Incentive Plan,</w:t>
      </w:r>
    </w:p>
    <w:p>
      <w:pPr>
        <w:spacing w:after="0" w:line="64" w:lineRule="exact"/>
        <w:rPr>
          <w:rFonts w:ascii="Times New Roman" w:cs="Times New Roman" w:eastAsia="Times New Roman" w:hAnsi="Times New Roman"/>
          <w:sz w:val="22"/>
          <w:szCs w:val="22"/>
          <w:color w:val="auto"/>
        </w:rPr>
      </w:pPr>
    </w:p>
    <w:p>
      <w:pPr>
        <w:ind w:left="420" w:right="20" w:hanging="7"/>
        <w:spacing w:after="0" w:line="271" w:lineRule="auto"/>
        <w:tabs>
          <w:tab w:leader="none" w:pos="73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333-265499 as filed on June 9, 2022) pertaining to the Employee Stock Purchase Plan and CME Group Inc. Director Stock Plan as amended and restated effective May 4, 2022,</w:t>
      </w:r>
    </w:p>
    <w:p>
      <w:pPr>
        <w:spacing w:after="0" w:line="63" w:lineRule="exact"/>
        <w:rPr>
          <w:rFonts w:ascii="Times New Roman" w:cs="Times New Roman" w:eastAsia="Times New Roman" w:hAnsi="Times New Roman"/>
          <w:sz w:val="22"/>
          <w:szCs w:val="22"/>
          <w:color w:val="auto"/>
        </w:rPr>
      </w:pPr>
    </w:p>
    <w:p>
      <w:pPr>
        <w:ind w:left="420" w:hanging="7"/>
        <w:spacing w:after="0" w:line="271" w:lineRule="auto"/>
        <w:tabs>
          <w:tab w:leader="none" w:pos="73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333-163473 as filed on December 3, 2009)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7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333-185311 as filed on December 6, 2012)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84" w:lineRule="auto"/>
        <w:tabs>
          <w:tab w:leader="none" w:pos="8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333-208334 as filed on December 4, 2015) Shelf Registration Statement for the offering of debt securities, Class A Common Stock, Preferred Stock and Warrants.</w:t>
      </w:r>
    </w:p>
    <w:p>
      <w:pPr>
        <w:spacing w:after="0" w:line="35" w:lineRule="exact"/>
        <w:rPr>
          <w:rFonts w:ascii="Times New Roman" w:cs="Times New Roman" w:eastAsia="Times New Roman" w:hAnsi="Times New Roman"/>
          <w:sz w:val="22"/>
          <w:szCs w:val="22"/>
          <w:color w:val="auto"/>
        </w:rPr>
      </w:pPr>
    </w:p>
    <w:p>
      <w:pPr>
        <w:ind w:left="420" w:hanging="7"/>
        <w:spacing w:after="0" w:line="271" w:lineRule="auto"/>
        <w:tabs>
          <w:tab w:leader="none" w:pos="8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333-232982 as filed on August 2, 2019)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20" w:hanging="7"/>
        <w:spacing w:after="0" w:line="271" w:lineRule="auto"/>
        <w:tabs>
          <w:tab w:leader="none" w:pos="8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333-263130 as filed on March 1, 2022) Shelf Registration Statement for the offering of debt securities, Class A Common Stock, Preferred Stock and Warrants.</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0" w:lineRule="exact"/>
        <w:rPr>
          <w:sz w:val="20"/>
          <w:szCs w:val="20"/>
          <w:color w:val="auto"/>
        </w:rPr>
      </w:pPr>
    </w:p>
    <w:p>
      <w:pPr>
        <w:ind w:left="420" w:hanging="7"/>
        <w:spacing w:after="0" w:line="271" w:lineRule="auto"/>
        <w:tabs>
          <w:tab w:leader="none" w:pos="8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333-285481 as filed on March 3, 2025) Shelf Registration Statement for the offering of debt securities, Class A Common Stock, Preferred Stock and Warrants.</w:t>
      </w:r>
    </w:p>
    <w:p>
      <w:pPr>
        <w:spacing w:after="0" w:line="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our reports dated February 26, 2026, with respect to the consolidated financial statements and schedule of CME Group Inc. and subsidiaries, and the effectiveness of internal control over financial reporting of CME Group Inc. and subsidiaries, included in this Annual Report (Form 10-K) of CME Group Inc. for the year ended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26, 2026</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Name:</w:t>
        <w:tab/>
        <w:t>Terrence A. Duffy</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71" w:lineRule="exact"/>
        <w:rPr>
          <w:sz w:val="20"/>
          <w:szCs w:val="20"/>
          <w:color w:val="auto"/>
        </w:rPr>
      </w:pPr>
    </w:p>
    <w:p>
      <w:pPr>
        <w:ind w:left="640" w:hanging="187"/>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0" w:firstLine="453"/>
        <w:spacing w:after="0" w:line="266" w:lineRule="auto"/>
        <w:tabs>
          <w:tab w:leader="none" w:pos="6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40" w:firstLine="453"/>
        <w:spacing w:after="0" w:line="266"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900" w:firstLine="453"/>
        <w:spacing w:after="0" w:line="282" w:lineRule="auto"/>
        <w:tabs>
          <w:tab w:leader="none" w:pos="6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66"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0" w:firstLine="453"/>
        <w:spacing w:after="0" w:line="282" w:lineRule="auto"/>
        <w:tabs>
          <w:tab w:leader="none" w:pos="6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300" w:firstLine="453"/>
        <w:spacing w:after="0" w:line="282" w:lineRule="auto"/>
        <w:tabs>
          <w:tab w:leader="none" w:pos="6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40" w:firstLine="453"/>
        <w:spacing w:after="0" w:line="282"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432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Lynne Fitzpatrick</w:t>
      </w:r>
    </w:p>
    <w:p>
      <w:pPr>
        <w:spacing w:after="0" w:line="27" w:lineRule="exact"/>
        <w:rPr>
          <w:sz w:val="20"/>
          <w:szCs w:val="20"/>
          <w:color w:val="auto"/>
        </w:rPr>
      </w:pPr>
    </w:p>
    <w:p>
      <w:pPr>
        <w:ind w:left="596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CME Group Inc. (Company) for the year ended December 31, 2025 as filed with the Securities and Exchange Commission on the date hereof (Report), Terrence A. Duffy, as Chief Executive Officer of the Company, and Lynne Fitzpatrick,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60" w:hanging="261"/>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Terrence A. Duffy</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1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26, 2026</w:t>
            </w:r>
          </w:p>
        </w:tc>
      </w:tr>
      <w:tr>
        <w:trPr>
          <w:trHeight w:val="486"/>
        </w:trPr>
        <w:tc>
          <w:tcPr>
            <w:tcW w:w="1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Lynne Fitzpatrick</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11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3"/>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bullet"/>
      <w:start w:val="1"/>
    </w:lvl>
  </w:abstractNum>
  <w:abstractNum w:abstractNumId="49">
    <w:nsid w:val="1DBABF00"/>
    <w:multiLevelType w:val="hybridMultilevel"/>
    <w:lvl w:ilvl="0">
      <w:lvlJc w:val="left"/>
      <w:lvlText w:val="2"/>
      <w:numFmt w:val="bullet"/>
      <w:start w:val="1"/>
    </w:lvl>
  </w:abstractNum>
  <w:abstractNum w:abstractNumId="50">
    <w:nsid w:val="4AD084E9"/>
    <w:multiLevelType w:val="hybridMultilevel"/>
    <w:lvl w:ilvl="0">
      <w:lvlJc w:val="left"/>
      <w:lvlText w:val="3"/>
      <w:numFmt w:val="bullet"/>
      <w:start w:val="1"/>
    </w:lvl>
  </w:abstractNum>
  <w:abstractNum w:abstractNumId="51">
    <w:nsid w:val="1F48EAA1"/>
    <w:multiLevelType w:val="hybridMultilevel"/>
    <w:lvl w:ilvl="0">
      <w:lvlJc w:val="left"/>
      <w:lvlText w:val="4"/>
      <w:numFmt w:val="bullet"/>
      <w:start w:val="1"/>
    </w:lvl>
  </w:abstractNum>
  <w:abstractNum w:abstractNumId="52">
    <w:nsid w:val="1381823A"/>
    <w:multiLevelType w:val="hybridMultilevel"/>
    <w:lvl w:ilvl="0">
      <w:lvlJc w:val="left"/>
      <w:lvlText w:val="5"/>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3"/>
    </w:lvl>
  </w:abstractNum>
  <w:abstractNum w:abstractNumId="56">
    <w:nsid w:val="15014ACB"/>
    <w:multiLevelType w:val="hybridMultilevel"/>
    <w:lvl w:ilvl="0">
      <w:lvlJc w:val="left"/>
      <w:lvlText w:val="%1."/>
      <w:numFmt w:val="decimal"/>
      <w:start w:val="3"/>
    </w:lvl>
  </w:abstractNum>
  <w:abstractNum w:abstractNumId="57">
    <w:nsid w:val="5F5E7FD0"/>
    <w:multiLevelType w:val="hybridMultilevel"/>
    <w:lvl w:ilvl="0">
      <w:lvlJc w:val="left"/>
      <w:lvlText w:val="%1."/>
      <w:numFmt w:val="decimal"/>
      <w:start w:val="4"/>
    </w:lvl>
  </w:abstractNum>
  <w:abstractNum w:abstractNumId="58">
    <w:nsid w:val="98A3148"/>
    <w:multiLevelType w:val="hybridMultilevel"/>
    <w:lvl w:ilvl="0">
      <w:lvlJc w:val="left"/>
      <w:lvlText w:val="%1."/>
      <w:numFmt w:val="decimal"/>
      <w:start w:val="10"/>
    </w:lvl>
  </w:abstractNum>
  <w:abstractNum w:abstractNumId="59">
    <w:nsid w:val="799D0247"/>
    <w:multiLevelType w:val="hybridMultilevel"/>
    <w:lvl w:ilvl="0">
      <w:lvlJc w:val="left"/>
      <w:lvlText w:val="%1"/>
      <w:numFmt w:val="decimal"/>
      <w:start w:val="101"/>
    </w:lvl>
  </w:abstractNum>
  <w:abstractNum w:abstractNumId="60">
    <w:nsid w:val="6B94764"/>
    <w:multiLevelType w:val="hybridMultilevel"/>
    <w:lvl w:ilvl="0">
      <w:lvlJc w:val="left"/>
      <w:lvlText w:val="%1"/>
      <w:numFmt w:val="decimal"/>
      <w:start w:val="104"/>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lowerRoman"/>
      <w:start w:val="1"/>
    </w:lvl>
  </w:abstractNum>
  <w:abstractNum w:abstractNumId="65">
    <w:nsid w:val="5DC79EA8"/>
    <w:multiLevelType w:val="hybridMultilevel"/>
    <w:lvl w:ilvl="0">
      <w:lvlJc w:val="left"/>
      <w:lvlText w:val="(%1)"/>
      <w:numFmt w:val="lowerLetter"/>
      <w:start w:val="1"/>
    </w:lvl>
    <w:lvl w:ilvl="1">
      <w:lvlJc w:val="left"/>
      <w:lvlText w:val="(%2)"/>
      <w:numFmt w:val="lowerRoman"/>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3"/>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decimal"/>
      <w:start w:val="5"/>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decimal"/>
      <w:start w:val="5"/>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4"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jpeg"/><Relationship Id="rId193" Type="http://schemas.openxmlformats.org/officeDocument/2006/relationships/image" Target="media/image155.png"/><Relationship Id="rId194" Type="http://schemas.openxmlformats.org/officeDocument/2006/relationships/image" Target="media/image156.jpeg"/><Relationship Id="rId195" Type="http://schemas.openxmlformats.org/officeDocument/2006/relationships/image" Target="media/image157.png"/><Relationship Id="rId196" Type="http://schemas.openxmlformats.org/officeDocument/2006/relationships/image" Target="media/image158.png"/><Relationship Id="rId138" Type="http://schemas.openxmlformats.org/officeDocument/2006/relationships/hyperlink" Target="https://www.sec.gov/Archives/edgar/data/1156375/000119312521319504/d204323dex32.htm" TargetMode="External"/><Relationship Id="rId139" Type="http://schemas.openxmlformats.org/officeDocument/2006/relationships/hyperlink" Target="https://www.sec.gov/Archives/edgar/data/1156375/000119312522301477/d412380dex31.htm" TargetMode="External"/><Relationship Id="rId140" Type="http://schemas.openxmlformats.org/officeDocument/2006/relationships/hyperlink" Target="https://www.sec.gov/Archives/edgar/data/1156375/000119312521319504/d204323dex31.htm" TargetMode="External"/><Relationship Id="rId141" Type="http://schemas.openxmlformats.org/officeDocument/2006/relationships/hyperlink" Target="https://www.sec.gov/Archives/edgar/data/1156375/000119312508176550/dex41.htm" TargetMode="External"/><Relationship Id="rId142" Type="http://schemas.openxmlformats.org/officeDocument/2006/relationships/hyperlink" Target="https://www.sec.gov/Archives/edgar/data/1156375/000119312513360978/d594525dex42.htm" TargetMode="External"/><Relationship Id="rId143" Type="http://schemas.openxmlformats.org/officeDocument/2006/relationships/hyperlink" Target="https://www.sec.gov/Archives/edgar/data/1156375/000119312518199544/d771010dex42.htm" TargetMode="External"/><Relationship Id="rId144" Type="http://schemas.openxmlformats.org/officeDocument/2006/relationships/hyperlink" Target="https://www.sec.gov/Archives/edgar/data/1156375/000119312518199544/d771010dex43.htm" TargetMode="External"/><Relationship Id="rId145" Type="http://schemas.openxmlformats.org/officeDocument/2006/relationships/hyperlink" Target="https://www.sec.gov/Archives/edgar/data/1156375/000119312522069252/d301292dex42.htm" TargetMode="External"/><Relationship Id="rId146" Type="http://schemas.openxmlformats.org/officeDocument/2006/relationships/hyperlink" Target="https://www.sec.gov/Archives/edgar/data/1156375/000119312525050881/d921384dex42.htm" TargetMode="External"/><Relationship Id="rId147" Type="http://schemas.openxmlformats.org/officeDocument/2006/relationships/hyperlink" Target="https://www.sec.gov/Archives/edgar/data/1156375/000115637522000076/cme-2021123110kex411.htm" TargetMode="External"/><Relationship Id="rId148" Type="http://schemas.openxmlformats.org/officeDocument/2006/relationships/hyperlink" Target="https://www.sec.gov/Archives/edgar/data/1156375/000119312524062191/d14382dex101.htm" TargetMode="External"/><Relationship Id="rId149" Type="http://schemas.openxmlformats.org/officeDocument/2006/relationships/hyperlink" Target="https://www.sec.gov/Archives/edgar/data/1156375/000119312522171053/d280362dex991.htm" TargetMode="External"/><Relationship Id="rId150" Type="http://schemas.openxmlformats.org/officeDocument/2006/relationships/hyperlink" Target="https://www.sec.gov/Archives/edgar/data/1156375/000115637518000026/cme-2017123110kex105.htm" TargetMode="External"/><Relationship Id="rId151" Type="http://schemas.openxmlformats.org/officeDocument/2006/relationships/hyperlink" Target="https://www.sec.gov/Archives/edgar/data/1156375/000119312522171053/d280362dex992.htm" TargetMode="External"/><Relationship Id="rId152" Type="http://schemas.openxmlformats.org/officeDocument/2006/relationships/hyperlink" Target="https://www.sec.gov/Archives/edgar/data/1156375/000115637524000010/exhibit105cmegroup_amendme.htm" TargetMode="External"/><Relationship Id="rId153" Type="http://schemas.openxmlformats.org/officeDocument/2006/relationships/hyperlink" Target="https://www.sec.gov/Archives/edgar/data/1156375/000115637517000080/cme-201763010qex101.htm" TargetMode="External"/><Relationship Id="rId155" Type="http://schemas.openxmlformats.org/officeDocument/2006/relationships/hyperlink" Target="https://www.sec.gov/Archives/edgar/data/1156375/000119312509042361/dex109.htm" TargetMode="External"/><Relationship Id="rId156" Type="http://schemas.openxmlformats.org/officeDocument/2006/relationships/hyperlink" Target="https://www.sec.gov/Archives/edgar/data/1105018/000095012301002844/y46628ex10-11.txt" TargetMode="External"/><Relationship Id="rId157" Type="http://schemas.openxmlformats.org/officeDocument/2006/relationships/hyperlink" Target="https://www.sec.gov/Archives/edgar/data/1156375/000115637515000108/cme-201593010qex101.htm" TargetMode="External"/><Relationship Id="rId158" Type="http://schemas.openxmlformats.org/officeDocument/2006/relationships/hyperlink" Target="https://www.sec.gov/Archives/edgar/data/1156375/000115637515000014/cme-2014123110kex41.htm" TargetMode="External"/><Relationship Id="rId159" Type="http://schemas.openxmlformats.org/officeDocument/2006/relationships/hyperlink" Target="https://www.sec.gov/Archives/edgar/data/1156375/000115637515000014/cme-2014123110kex43.htm" TargetMode="External"/><Relationship Id="rId160" Type="http://schemas.openxmlformats.org/officeDocument/2006/relationships/hyperlink" Target="https://www.sec.gov/Archives/edgar/data/1156375/000115637515000014/cme-2014123110kex44.htm" TargetMode="External"/><Relationship Id="rId161" Type="http://schemas.openxmlformats.org/officeDocument/2006/relationships/hyperlink" Target="https://www.sec.gov/Archives/edgar/data/1156375/000115637525000098/exhibit102cmeamendedclea.htm" TargetMode="External"/><Relationship Id="rId162" Type="http://schemas.openxmlformats.org/officeDocument/2006/relationships/hyperlink" Target="https://www.sec.gov/Archives/edgar/data/1156375/000115637521000167/equitygrantletterrestricte.htm" TargetMode="External"/><Relationship Id="rId163" Type="http://schemas.openxmlformats.org/officeDocument/2006/relationships/hyperlink" Target="https://www.sec.gov/Archives/edgar/data/1156375/000115637523000190/mtpsagrantlettertemplate20.htm" TargetMode="External"/><Relationship Id="rId164" Type="http://schemas.openxmlformats.org/officeDocument/2006/relationships/hyperlink" Target="https://www.sec.gov/Archives/edgar/data/1156375/000115637525000098/exhibit101cmegroupamende.htm" TargetMode="External"/><Relationship Id="rId165" Type="http://schemas.openxmlformats.org/officeDocument/2006/relationships/hyperlink" Target="https://www.sec.gov/Archives/edgar/data/1156375/000115637522000215/a20120629splicenseagreemen.htm" TargetMode="External"/><Relationship Id="rId166" Type="http://schemas.openxmlformats.org/officeDocument/2006/relationships/hyperlink" Target="https://www.sec.gov/Archives/edgar/data/1156375/000119312523067672/d472500dex101.htm" TargetMode="External"/><Relationship Id="rId167" Type="http://schemas.openxmlformats.org/officeDocument/2006/relationships/hyperlink" Target="https://www.sec.gov/Archives/edgar/data/1156375/000119312523275501/d412098dex102.htm" TargetMode="External"/><Relationship Id="rId168" Type="http://schemas.openxmlformats.org/officeDocument/2006/relationships/hyperlink" Target="https://www.sec.gov/Archives/edgar/data/1156375/000119312524252912/d859792dex101.htm" TargetMode="External"/><Relationship Id="rId171" Type="http://schemas.openxmlformats.org/officeDocument/2006/relationships/hyperlink" Target="https://www.sec.gov/Archives/edgar/data/1156375/000115637524000010/exhibit971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2026-02-26T17:45:47Z</dcterms:created>
  <dcterms:modified xsi:type="dcterms:W3CDTF">2026-02-26T17:45:47Z</dcterms:modified>
</cp:coreProperties>
</file>