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UNITED STATES</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_________________________________________________________</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_________________________________________________________</w:t>
      </w:r>
    </w:p>
    <w:p>
      <w:pPr>
        <w:pStyle w:val="TextBody"/>
        <w:bidi w:val="0"/>
        <w:spacing w:lineRule="auto" w:line="288" w:before="10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001-31553 </w:t>
      </w:r>
    </w:p>
    <w:p>
      <w:pPr>
        <w:pStyle w:val="TextBody"/>
        <w:bidi w:val="0"/>
        <w:spacing w:lineRule="auto" w:line="288" w:before="60" w:after="60"/>
        <w:jc w:val="center"/>
        <w:rPr>
          <w:rFonts w:ascii="Times New Roman;sans-serif" w:hAnsi="Times New Roman;sans-serif"/>
          <w:b/>
          <w:color w:val="000000"/>
          <w:sz w:val="40"/>
        </w:rPr>
      </w:pPr>
      <w:r>
        <w:rPr>
          <w:rFonts w:ascii="Times New Roman;sans-serif" w:hAnsi="Times New Roman;sans-serif"/>
          <w:b/>
          <w:color w:val="000000"/>
          <w:sz w:val="40"/>
        </w:rPr>
        <w:t xml:space="preserve">CME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5698" w:type="dxa"/>
        <w:jc w:val="left"/>
        <w:tblInd w:w="0" w:type="dxa"/>
        <w:tblLayout w:type="fixed"/>
        <w:tblCellMar>
          <w:top w:w="28" w:type="dxa"/>
          <w:left w:w="28" w:type="dxa"/>
          <w:bottom w:w="28" w:type="dxa"/>
          <w:right w:w="28" w:type="dxa"/>
        </w:tblCellMar>
      </w:tblPr>
      <w:tblGrid>
        <w:gridCol w:w="857"/>
        <w:gridCol w:w="751"/>
        <w:gridCol w:w="762"/>
        <w:gridCol w:w="270"/>
        <w:gridCol w:w="270"/>
        <w:gridCol w:w="271"/>
        <w:gridCol w:w="235"/>
        <w:gridCol w:w="235"/>
        <w:gridCol w:w="236"/>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36-4459170</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 South Wacker Drive</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Chicago</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60606</w:t>
            </w:r>
          </w:p>
        </w:tc>
      </w:tr>
      <w:tr>
        <w:trPr/>
        <w:tc>
          <w:tcPr>
            <w:tcW w:w="38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(312) 930-1000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pPr>
      <w:r>
        <w:rPr>
          <w:rFonts w:ascii="Times New Roman;sans-serif" w:hAnsi="Times New Roman;sans-serif"/>
          <w:b/>
          <w:color w:val="000000"/>
          <w:sz w:val="16"/>
        </w:rPr>
        <w:t>(Former name, former address and former fiscal year, if changed since last report)</w:t>
      </w: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    </w:t>
      </w:r>
    </w:p>
    <w:tbl>
      <w:tblPr>
        <w:tblW w:w="7139" w:type="dxa"/>
        <w:jc w:val="left"/>
        <w:tblInd w:w="0" w:type="dxa"/>
        <w:tblLayout w:type="fixed"/>
        <w:tblCellMar>
          <w:top w:w="28" w:type="dxa"/>
          <w:left w:w="28" w:type="dxa"/>
          <w:bottom w:w="28" w:type="dxa"/>
          <w:right w:w="28" w:type="dxa"/>
        </w:tblCellMar>
      </w:tblPr>
      <w:tblGrid>
        <w:gridCol w:w="739"/>
        <w:gridCol w:w="647"/>
        <w:gridCol w:w="654"/>
        <w:gridCol w:w="464"/>
        <w:gridCol w:w="464"/>
        <w:gridCol w:w="466"/>
        <w:gridCol w:w="1085"/>
        <w:gridCol w:w="1085"/>
        <w:gridCol w:w="1535"/>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CME</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bl>
    <w:p>
      <w:pPr>
        <w:pStyle w:val="TextBody"/>
        <w:bidi w:val="0"/>
        <w:spacing w:lineRule="auto" w:line="288" w:before="0" w:after="60"/>
        <w:jc w:val="left"/>
        <w:rPr/>
      </w:pPr>
      <w:r>
        <w:rPr>
          <w:color w:val="000000"/>
        </w:rPr>
        <w:t>    </w:t>
      </w: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60" w:after="60"/>
        <w:jc w:val="left"/>
        <w:rPr/>
      </w:pPr>
      <w:r>
        <w:rPr>
          <w:color w:val="000000"/>
        </w:rPr>
        <w:t>    </w:t>
      </w: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60" w:after="283"/>
        <w:jc w:val="left"/>
        <w:rPr>
          <w:color w:val="000000"/>
        </w:rPr>
      </w:pPr>
      <w:r>
        <w:rPr>
          <w:color w:val="000000"/>
        </w:rPr>
        <w:t>    </w:t>
      </w: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46" w:type="dxa"/>
        <w:jc w:val="left"/>
        <w:tblInd w:w="0" w:type="dxa"/>
        <w:tblLayout w:type="fixed"/>
        <w:tblCellMar>
          <w:top w:w="28" w:type="dxa"/>
          <w:left w:w="28" w:type="dxa"/>
          <w:bottom w:w="28" w:type="dxa"/>
          <w:right w:w="28" w:type="dxa"/>
        </w:tblCellMar>
      </w:tblPr>
      <w:tblGrid>
        <w:gridCol w:w="608"/>
        <w:gridCol w:w="535"/>
        <w:gridCol w:w="537"/>
        <w:gridCol w:w="109"/>
        <w:gridCol w:w="109"/>
        <w:gridCol w:w="109"/>
        <w:gridCol w:w="109"/>
        <w:gridCol w:w="109"/>
        <w:gridCol w:w="109"/>
        <w:gridCol w:w="679"/>
        <w:gridCol w:w="679"/>
        <w:gridCol w:w="682"/>
        <w:gridCol w:w="109"/>
        <w:gridCol w:w="109"/>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18"/>
              </w:rPr>
            </w:pPr>
            <w:r>
              <w:rPr>
                <w:rFonts w:ascii="Times New Roman;sans-serif" w:hAnsi="Times New Roman;sans-serif"/>
                <w:b w:val="false"/>
                <w:color w:val="000000"/>
                <w:sz w:val="18"/>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88" w:before="0" w:after="60"/>
        <w:jc w:val="left"/>
        <w:rPr/>
      </w:pPr>
      <w:r>
        <w:rPr>
          <w:color w:val="000000"/>
        </w:rPr>
        <w:t>    </w:t>
      </w: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60"/>
        <w:jc w:val="left"/>
        <w:rPr/>
      </w:pPr>
      <w:r>
        <w:rPr>
          <w:color w:val="000000"/>
        </w:rPr>
        <w:t>    </w:t>
      </w:r>
      <w:r>
        <w:rPr>
          <w:rFonts w:ascii="Times New Roman;sans-serif" w:hAnsi="Times New Roman;sans-serif"/>
          <w:b w:val="false"/>
          <w:color w:val="000000"/>
          <w:sz w:val="20"/>
        </w:rPr>
        <w:t>Indicate by check mark whether the registrant is a shell company (as defined in Rule 12b-2 of the Exchange Act).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Yes   ☐    No  </w:t>
      </w:r>
      <w:r>
        <w:rPr>
          <w:color w:val="000000"/>
        </w:rPr>
        <w: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shares outstanding of each of the registrant’s classes of common stock as of July 10, 2024 was as follows: 360,093,640 shares of Class A common stock, $0.01 par value; 625 shares of Class B-1 common stock, $0.01 par value; 813 shares of Class B-2 common stock, $0.01 par value; 1,287 shares of Class B-3 common stock, $0.01 par value; and 413 shares of Class B-4 common stock, $0.01 par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pPr>
      <w:r>
        <w:rPr>
          <w:color w:val="000000"/>
        </w:rPr>
        <w:t> </w:t>
      </w:r>
      <w:r>
        <w:rPr>
          <w:rFonts w:ascii="Times New Roman;sans-serif" w:hAnsi="Times New Roman;sans-serif"/>
          <w:b/>
          <w:color w:val="000000"/>
          <w:sz w:val="20"/>
        </w:rPr>
        <w:t>CME GROUP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591"/>
        <w:gridCol w:w="518"/>
        <w:gridCol w:w="518"/>
        <w:gridCol w:w="2689"/>
        <w:gridCol w:w="2666"/>
        <w:gridCol w:w="2709"/>
        <w:gridCol w:w="149"/>
        <w:gridCol w:w="149"/>
        <w:gridCol w:w="216"/>
      </w:tblGrid>
      <w:tr>
        <w:trPr/>
        <w:tc>
          <w:tcPr>
            <w:tcW w:w="59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e4c9c368844cf38676106c06de86ac_10">
              <w:r>
                <w:rPr>
                  <w:rStyle w:val="InternetLink"/>
                  <w:rFonts w:ascii="Times New Roman;sans-serif" w:hAnsi="Times New Roman;sans-serif"/>
                  <w:b/>
                  <w:color w:val="0000FF"/>
                  <w:sz w:val="18"/>
                  <w:u w:val="single"/>
                </w:rPr>
                <w:t>PART I. FINANCIAL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e4c9c368844cf38676106c06de86ac_10">
              <w:r>
                <w:rPr>
                  <w:rStyle w:val="InternetLink"/>
                  <w:rFonts w:ascii="Times New Roman;sans-serif" w:hAnsi="Times New Roman;sans-serif"/>
                  <w:b w:val="false"/>
                  <w:strike w:val="false"/>
                  <w:dstrike w:val="false"/>
                  <w:color w:val="000000"/>
                  <w:sz w:val="20"/>
                  <w:u w:val="none"/>
                  <w:effect w:val="none"/>
                </w:rPr>
                <w:t>3</w:t>
              </w:r>
            </w:hyperlink>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Item 1.</w:t>
            </w:r>
          </w:p>
        </w:tc>
        <w:tc>
          <w:tcPr>
            <w:tcW w:w="8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e4c9c368844cf38676106c06de86ac_13">
              <w:r>
                <w:rPr>
                  <w:rStyle w:val="InternetLink"/>
                  <w:rFonts w:ascii="Times New Roman;sans-serif" w:hAnsi="Times New Roman;sans-serif"/>
                  <w:b/>
                  <w:color w:val="0000FF"/>
                  <w:sz w:val="18"/>
                  <w:u w:val="singl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e4c9c368844cf38676106c06de86ac_13">
              <w:r>
                <w:rPr>
                  <w:rStyle w:val="InternetLink"/>
                  <w:rFonts w:ascii="Times New Roman;sans-serif" w:hAnsi="Times New Roman;sans-serif"/>
                  <w:b w:val="false"/>
                  <w:strike w:val="false"/>
                  <w:dstrike w:val="false"/>
                  <w:color w:val="000000"/>
                  <w:sz w:val="20"/>
                  <w:u w:val="none"/>
                  <w:effect w:val="none"/>
                </w:rPr>
                <w:t>5</w:t>
              </w:r>
            </w:hyperlink>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e4c9c368844cf38676106c06de86ac_16">
              <w:r>
                <w:rPr>
                  <w:rStyle w:val="InternetLink"/>
                  <w:rFonts w:ascii="Times New Roman;sans-serif" w:hAnsi="Times New Roman;sans-serif"/>
                  <w:b w:val="false"/>
                  <w:color w:val="000080"/>
                  <w:sz w:val="18"/>
                  <w:u w:val="single"/>
                </w:rPr>
                <w:t xml:space="preserve">Consolidated Balance Sheets at </w:t>
              </w:r>
            </w:hyperlink>
            <w:hyperlink w:anchor="i18e4c9c368844cf38676106c06de86ac_16">
              <w:r>
                <w:rPr>
                  <w:rStyle w:val="InternetLink"/>
                  <w:rFonts w:ascii="Times New Roman;sans-serif" w:hAnsi="Times New Roman;sans-serif"/>
                  <w:b w:val="false"/>
                  <w:color w:val="000080"/>
                  <w:sz w:val="18"/>
                  <w:u w:val="single"/>
                </w:rPr>
                <w:t>June 30</w:t>
              </w:r>
            </w:hyperlink>
            <w:hyperlink w:anchor="i18e4c9c368844cf38676106c06de86ac_16">
              <w:r>
                <w:rPr>
                  <w:rStyle w:val="InternetLink"/>
                  <w:rFonts w:ascii="Times New Roman;sans-serif" w:hAnsi="Times New Roman;sans-serif"/>
                  <w:b w:val="false"/>
                  <w:color w:val="000080"/>
                  <w:sz w:val="18"/>
                  <w:u w:val="single"/>
                </w:rPr>
                <w:t>, 2024 and December 31, 2023</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e4c9c368844cf38676106c06de86ac_16">
              <w:r>
                <w:rPr>
                  <w:rStyle w:val="InternetLink"/>
                  <w:rFonts w:ascii="Times New Roman;sans-serif" w:hAnsi="Times New Roman;sans-serif"/>
                  <w:b w:val="false"/>
                  <w:strike w:val="false"/>
                  <w:dstrike w:val="false"/>
                  <w:color w:val="000000"/>
                  <w:sz w:val="20"/>
                  <w:u w:val="none"/>
                  <w:effect w:val="none"/>
                </w:rPr>
                <w:t>5</w:t>
              </w:r>
            </w:hyperlink>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e4c9c368844cf38676106c06de86ac_22">
              <w:r>
                <w:rPr>
                  <w:rStyle w:val="InternetLink"/>
                  <w:rFonts w:ascii="Times New Roman;sans-serif" w:hAnsi="Times New Roman;sans-serif"/>
                  <w:b w:val="false"/>
                  <w:color w:val="000080"/>
                  <w:sz w:val="18"/>
                  <w:u w:val="single"/>
                </w:rPr>
                <w:t>Consolidated Statements of Income for the Quarters</w:t>
              </w:r>
            </w:hyperlink>
            <w:hyperlink w:anchor="i18e4c9c368844cf38676106c06de86ac_22">
              <w:r>
                <w:rPr>
                  <w:rStyle w:val="InternetLink"/>
                  <w:rFonts w:ascii="Times New Roman;sans-serif" w:hAnsi="Times New Roman;sans-serif"/>
                  <w:b w:val="false"/>
                  <w:color w:val="000080"/>
                  <w:sz w:val="18"/>
                  <w:u w:val="single"/>
                </w:rPr>
                <w:t xml:space="preserve"> and Six Mon</w:t>
              </w:r>
            </w:hyperlink>
            <w:hyperlink w:anchor="i18e4c9c368844cf38676106c06de86ac_22">
              <w:r>
                <w:rPr>
                  <w:rStyle w:val="InternetLink"/>
                  <w:rFonts w:ascii="Times New Roman;sans-serif" w:hAnsi="Times New Roman;sans-serif"/>
                  <w:b w:val="false"/>
                  <w:color w:val="000080"/>
                  <w:sz w:val="18"/>
                  <w:u w:val="single"/>
                </w:rPr>
                <w:t xml:space="preserve">ths </w:t>
              </w:r>
            </w:hyperlink>
            <w:hyperlink w:anchor="i18e4c9c368844cf38676106c06de86ac_22">
              <w:r>
                <w:rPr>
                  <w:rStyle w:val="InternetLink"/>
                  <w:rFonts w:ascii="Times New Roman;sans-serif" w:hAnsi="Times New Roman;sans-serif"/>
                  <w:b w:val="false"/>
                  <w:color w:val="000080"/>
                  <w:sz w:val="18"/>
                  <w:u w:val="single"/>
                </w:rPr>
                <w:t xml:space="preserve">Ended </w:t>
              </w:r>
            </w:hyperlink>
            <w:hyperlink w:anchor="i18e4c9c368844cf38676106c06de86ac_22">
              <w:r>
                <w:rPr>
                  <w:rStyle w:val="InternetLink"/>
                  <w:rFonts w:ascii="Times New Roman;sans-serif" w:hAnsi="Times New Roman;sans-serif"/>
                  <w:b w:val="false"/>
                  <w:color w:val="000080"/>
                  <w:sz w:val="18"/>
                  <w:u w:val="single"/>
                </w:rPr>
                <w:t>June 30</w:t>
              </w:r>
            </w:hyperlink>
            <w:hyperlink w:anchor="i18e4c9c368844cf38676106c06de86ac_22">
              <w:r>
                <w:rPr>
                  <w:rStyle w:val="InternetLink"/>
                  <w:rFonts w:ascii="Times New Roman;sans-serif" w:hAnsi="Times New Roman;sans-serif"/>
                  <w:b w:val="false"/>
                  <w:color w:val="000080"/>
                  <w:sz w:val="18"/>
                  <w:u w:val="single"/>
                </w:rPr>
                <w:t>, 2024 and 2023</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e4c9c368844cf38676106c06de86ac_22">
              <w:r>
                <w:rPr>
                  <w:rStyle w:val="InternetLink"/>
                  <w:rFonts w:ascii="Times New Roman;sans-serif" w:hAnsi="Times New Roman;sans-serif"/>
                  <w:b w:val="false"/>
                  <w:strike w:val="false"/>
                  <w:dstrike w:val="false"/>
                  <w:color w:val="000000"/>
                  <w:sz w:val="20"/>
                  <w:u w:val="none"/>
                  <w:effect w:val="none"/>
                </w:rPr>
                <w:t>6</w:t>
              </w:r>
            </w:hyperlink>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e4c9c368844cf38676106c06de86ac_25">
              <w:r>
                <w:rPr>
                  <w:rStyle w:val="InternetLink"/>
                  <w:rFonts w:ascii="Times New Roman;sans-serif" w:hAnsi="Times New Roman;sans-serif"/>
                  <w:b w:val="false"/>
                  <w:color w:val="000080"/>
                  <w:sz w:val="18"/>
                  <w:u w:val="single"/>
                </w:rPr>
                <w:t>Consolidated Statements of Comprehensive Income for the Quarters</w:t>
              </w:r>
            </w:hyperlink>
            <w:hyperlink w:anchor="i18e4c9c368844cf38676106c06de86ac_25">
              <w:r>
                <w:rPr>
                  <w:rStyle w:val="InternetLink"/>
                  <w:rFonts w:ascii="Times New Roman;sans-serif" w:hAnsi="Times New Roman;sans-serif"/>
                  <w:b w:val="false"/>
                  <w:color w:val="000080"/>
                  <w:sz w:val="18"/>
                  <w:u w:val="single"/>
                </w:rPr>
                <w:t xml:space="preserve"> and Six Months</w:t>
              </w:r>
            </w:hyperlink>
            <w:hyperlink w:anchor="i18e4c9c368844cf38676106c06de86ac_25">
              <w:r>
                <w:rPr>
                  <w:rStyle w:val="InternetLink"/>
                  <w:rFonts w:ascii="Times New Roman;sans-serif" w:hAnsi="Times New Roman;sans-serif"/>
                  <w:b w:val="false"/>
                  <w:color w:val="000080"/>
                  <w:sz w:val="18"/>
                  <w:u w:val="single"/>
                </w:rPr>
                <w:t xml:space="preserve"> Ended </w:t>
              </w:r>
            </w:hyperlink>
            <w:hyperlink w:anchor="i18e4c9c368844cf38676106c06de86ac_25">
              <w:r>
                <w:rPr>
                  <w:rStyle w:val="InternetLink"/>
                  <w:rFonts w:ascii="Times New Roman;sans-serif" w:hAnsi="Times New Roman;sans-serif"/>
                  <w:b w:val="false"/>
                  <w:color w:val="000080"/>
                  <w:sz w:val="18"/>
                  <w:u w:val="single"/>
                </w:rPr>
                <w:t>June 30</w:t>
              </w:r>
            </w:hyperlink>
            <w:hyperlink w:anchor="i18e4c9c368844cf38676106c06de86ac_25">
              <w:r>
                <w:rPr>
                  <w:rStyle w:val="InternetLink"/>
                  <w:rFonts w:ascii="Times New Roman;sans-serif" w:hAnsi="Times New Roman;sans-serif"/>
                  <w:b w:val="false"/>
                  <w:color w:val="000080"/>
                  <w:sz w:val="18"/>
                  <w:u w:val="single"/>
                </w:rPr>
                <w:t>, 2024 and 2023</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e4c9c368844cf38676106c06de86ac_25">
              <w:r>
                <w:rPr>
                  <w:rStyle w:val="InternetLink"/>
                  <w:rFonts w:ascii="Times New Roman;sans-serif" w:hAnsi="Times New Roman;sans-serif"/>
                  <w:b w:val="false"/>
                  <w:strike w:val="false"/>
                  <w:dstrike w:val="false"/>
                  <w:color w:val="000000"/>
                  <w:sz w:val="20"/>
                  <w:u w:val="none"/>
                  <w:effect w:val="none"/>
                </w:rPr>
                <w:t>7</w:t>
              </w:r>
            </w:hyperlink>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e4c9c368844cf38676106c06de86ac_28">
              <w:r>
                <w:rPr>
                  <w:rStyle w:val="InternetLink"/>
                  <w:rFonts w:ascii="Times New Roman;sans-serif" w:hAnsi="Times New Roman;sans-serif"/>
                  <w:b w:val="false"/>
                  <w:color w:val="000080"/>
                  <w:sz w:val="18"/>
                  <w:u w:val="single"/>
                </w:rPr>
                <w:t xml:space="preserve">Consolidated Statements of Equity for the Quarters </w:t>
              </w:r>
            </w:hyperlink>
            <w:hyperlink w:anchor="i18e4c9c368844cf38676106c06de86ac_28">
              <w:r>
                <w:rPr>
                  <w:rStyle w:val="InternetLink"/>
                  <w:rFonts w:ascii="Times New Roman;sans-serif" w:hAnsi="Times New Roman;sans-serif"/>
                  <w:b w:val="false"/>
                  <w:color w:val="000080"/>
                  <w:sz w:val="18"/>
                  <w:u w:val="single"/>
                </w:rPr>
                <w:t xml:space="preserve">and Six Months </w:t>
              </w:r>
            </w:hyperlink>
            <w:hyperlink w:anchor="i18e4c9c368844cf38676106c06de86ac_28">
              <w:r>
                <w:rPr>
                  <w:rStyle w:val="InternetLink"/>
                  <w:rFonts w:ascii="Times New Roman;sans-serif" w:hAnsi="Times New Roman;sans-serif"/>
                  <w:b w:val="false"/>
                  <w:color w:val="000080"/>
                  <w:sz w:val="18"/>
                  <w:u w:val="single"/>
                </w:rPr>
                <w:t xml:space="preserve">Ended </w:t>
              </w:r>
            </w:hyperlink>
            <w:hyperlink w:anchor="i18e4c9c368844cf38676106c06de86ac_28">
              <w:r>
                <w:rPr>
                  <w:rStyle w:val="InternetLink"/>
                  <w:rFonts w:ascii="Times New Roman;sans-serif" w:hAnsi="Times New Roman;sans-serif"/>
                  <w:b w:val="false"/>
                  <w:color w:val="000080"/>
                  <w:sz w:val="18"/>
                  <w:u w:val="single"/>
                </w:rPr>
                <w:t>June 30</w:t>
              </w:r>
            </w:hyperlink>
            <w:hyperlink w:anchor="i18e4c9c368844cf38676106c06de86ac_28">
              <w:r>
                <w:rPr>
                  <w:rStyle w:val="InternetLink"/>
                  <w:rFonts w:ascii="Times New Roman;sans-serif" w:hAnsi="Times New Roman;sans-serif"/>
                  <w:b w:val="false"/>
                  <w:color w:val="000080"/>
                  <w:sz w:val="18"/>
                  <w:u w:val="single"/>
                </w:rPr>
                <w:t>, 2024 and 2023</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e4c9c368844cf38676106c06de86ac_28">
              <w:r>
                <w:rPr>
                  <w:rStyle w:val="InternetLink"/>
                  <w:rFonts w:ascii="Times New Roman;sans-serif" w:hAnsi="Times New Roman;sans-serif"/>
                  <w:b w:val="false"/>
                  <w:strike w:val="false"/>
                  <w:dstrike w:val="false"/>
                  <w:color w:val="000000"/>
                  <w:sz w:val="20"/>
                  <w:u w:val="none"/>
                  <w:effect w:val="none"/>
                </w:rPr>
                <w:t>8</w:t>
              </w:r>
            </w:hyperlink>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e4c9c368844cf38676106c06de86ac_34">
              <w:r>
                <w:rPr>
                  <w:rStyle w:val="InternetLink"/>
                  <w:rFonts w:ascii="Times New Roman;sans-serif" w:hAnsi="Times New Roman;sans-serif"/>
                  <w:b w:val="false"/>
                  <w:color w:val="000080"/>
                  <w:sz w:val="18"/>
                  <w:u w:val="single"/>
                </w:rPr>
                <w:t xml:space="preserve">Consolidated Statements of Cash Flows for the </w:t>
              </w:r>
            </w:hyperlink>
            <w:hyperlink w:anchor="i18e4c9c368844cf38676106c06de86ac_34">
              <w:r>
                <w:rPr>
                  <w:rStyle w:val="InternetLink"/>
                  <w:rFonts w:ascii="Times New Roman;sans-serif" w:hAnsi="Times New Roman;sans-serif"/>
                  <w:b w:val="false"/>
                  <w:color w:val="000080"/>
                  <w:sz w:val="18"/>
                  <w:u w:val="single"/>
                </w:rPr>
                <w:t xml:space="preserve">Six Months </w:t>
              </w:r>
            </w:hyperlink>
            <w:hyperlink w:anchor="i18e4c9c368844cf38676106c06de86ac_34">
              <w:r>
                <w:rPr>
                  <w:rStyle w:val="InternetLink"/>
                  <w:rFonts w:ascii="Times New Roman;sans-serif" w:hAnsi="Times New Roman;sans-serif"/>
                  <w:b w:val="false"/>
                  <w:color w:val="000080"/>
                  <w:sz w:val="18"/>
                  <w:u w:val="single"/>
                </w:rPr>
                <w:t xml:space="preserve">Ended </w:t>
              </w:r>
            </w:hyperlink>
            <w:hyperlink w:anchor="i18e4c9c368844cf38676106c06de86ac_34">
              <w:r>
                <w:rPr>
                  <w:rStyle w:val="InternetLink"/>
                  <w:rFonts w:ascii="Times New Roman;sans-serif" w:hAnsi="Times New Roman;sans-serif"/>
                  <w:b w:val="false"/>
                  <w:color w:val="000080"/>
                  <w:sz w:val="18"/>
                  <w:u w:val="single"/>
                </w:rPr>
                <w:t>June 30</w:t>
              </w:r>
            </w:hyperlink>
            <w:hyperlink w:anchor="i18e4c9c368844cf38676106c06de86ac_34">
              <w:r>
                <w:rPr>
                  <w:rStyle w:val="InternetLink"/>
                  <w:rFonts w:ascii="Times New Roman;sans-serif" w:hAnsi="Times New Roman;sans-serif"/>
                  <w:b w:val="false"/>
                  <w:color w:val="000080"/>
                  <w:sz w:val="18"/>
                  <w:u w:val="single"/>
                </w:rPr>
                <w:t>, 2024 and 2023</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e4c9c368844cf38676106c06de86ac_34">
              <w:r>
                <w:rPr>
                  <w:rStyle w:val="InternetLink"/>
                  <w:rFonts w:ascii="Times New Roman;sans-serif" w:hAnsi="Times New Roman;sans-serif"/>
                  <w:b w:val="false"/>
                  <w:strike w:val="false"/>
                  <w:dstrike w:val="false"/>
                  <w:color w:val="000000"/>
                  <w:sz w:val="20"/>
                  <w:u w:val="none"/>
                  <w:effect w:val="none"/>
                </w:rPr>
                <w:t>10</w:t>
              </w:r>
            </w:hyperlink>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e4c9c368844cf38676106c06de86ac_37">
              <w:r>
                <w:rPr>
                  <w:rStyle w:val="InternetLink"/>
                  <w:rFonts w:ascii="Times New Roman;sans-serif" w:hAnsi="Times New Roman;sans-serif"/>
                  <w:b w:val="false"/>
                  <w:color w:val="0000FF"/>
                  <w:sz w:val="18"/>
                  <w:u w:val="single"/>
                </w:rPr>
                <w:t>Notes to Unaudited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e4c9c368844cf38676106c06de86ac_37">
              <w:r>
                <w:rPr>
                  <w:rStyle w:val="InternetLink"/>
                  <w:rFonts w:ascii="Times New Roman;sans-serif" w:hAnsi="Times New Roman;sans-serif"/>
                  <w:b w:val="false"/>
                  <w:strike w:val="false"/>
                  <w:dstrike w:val="false"/>
                  <w:color w:val="000000"/>
                  <w:sz w:val="20"/>
                  <w:u w:val="none"/>
                  <w:effect w:val="none"/>
                </w:rPr>
                <w:t>12</w:t>
              </w:r>
            </w:hyperlink>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Item 2.</w:t>
            </w:r>
          </w:p>
        </w:tc>
        <w:tc>
          <w:tcPr>
            <w:tcW w:w="8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e4c9c368844cf38676106c06de86ac_85">
              <w:r>
                <w:rPr>
                  <w:rStyle w:val="InternetLink"/>
                  <w:rFonts w:ascii="Times New Roman;sans-serif" w:hAnsi="Times New Roman;sans-serif"/>
                  <w:b/>
                  <w:color w:val="0000FF"/>
                  <w:sz w:val="18"/>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e4c9c368844cf38676106c06de86ac_85">
              <w:r>
                <w:rPr>
                  <w:rStyle w:val="InternetLink"/>
                  <w:rFonts w:ascii="Times New Roman;sans-serif" w:hAnsi="Times New Roman;sans-serif"/>
                  <w:b w:val="false"/>
                  <w:strike w:val="false"/>
                  <w:dstrike w:val="false"/>
                  <w:color w:val="000000"/>
                  <w:sz w:val="20"/>
                  <w:u w:val="none"/>
                  <w:effect w:val="none"/>
                </w:rPr>
                <w:t>23</w:t>
              </w:r>
            </w:hyperlink>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Item 3.</w:t>
            </w:r>
          </w:p>
        </w:tc>
        <w:tc>
          <w:tcPr>
            <w:tcW w:w="8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e4c9c368844cf38676106c06de86ac_106">
              <w:r>
                <w:rPr>
                  <w:rStyle w:val="InternetLink"/>
                  <w:rFonts w:ascii="Times New Roman;sans-serif" w:hAnsi="Times New Roman;sans-serif"/>
                  <w:b/>
                  <w:color w:val="0000FF"/>
                  <w:sz w:val="18"/>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e4c9c368844cf38676106c06de86ac_106">
              <w:r>
                <w:rPr>
                  <w:rStyle w:val="InternetLink"/>
                  <w:rFonts w:ascii="Times New Roman;sans-serif" w:hAnsi="Times New Roman;sans-serif"/>
                  <w:b w:val="false"/>
                  <w:strike w:val="false"/>
                  <w:dstrike w:val="false"/>
                  <w:color w:val="000000"/>
                  <w:sz w:val="20"/>
                  <w:u w:val="none"/>
                  <w:effect w:val="none"/>
                </w:rPr>
                <w:t>31</w:t>
              </w:r>
            </w:hyperlink>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Item 4.</w:t>
            </w:r>
          </w:p>
        </w:tc>
        <w:tc>
          <w:tcPr>
            <w:tcW w:w="8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e4c9c368844cf38676106c06de86ac_109">
              <w:r>
                <w:rPr>
                  <w:rStyle w:val="InternetLink"/>
                  <w:rFonts w:ascii="Times New Roman;sans-serif" w:hAnsi="Times New Roman;sans-serif"/>
                  <w:b/>
                  <w:color w:val="0000FF"/>
                  <w:sz w:val="18"/>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e4c9c368844cf38676106c06de86ac_109">
              <w:r>
                <w:rPr>
                  <w:rStyle w:val="InternetLink"/>
                  <w:rFonts w:ascii="Times New Roman;sans-serif" w:hAnsi="Times New Roman;sans-serif"/>
                  <w:b w:val="false"/>
                  <w:strike w:val="false"/>
                  <w:dstrike w:val="false"/>
                  <w:color w:val="000000"/>
                  <w:sz w:val="20"/>
                  <w:u w:val="none"/>
                  <w:effect w:val="none"/>
                </w:rPr>
                <w:t>31</w:t>
              </w:r>
            </w:hyperlink>
          </w:p>
        </w:tc>
      </w:tr>
      <w:tr>
        <w:trP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e4c9c368844cf38676106c06de86ac_112">
              <w:r>
                <w:rPr>
                  <w:rStyle w:val="InternetLink"/>
                  <w:rFonts w:ascii="Times New Roman;sans-serif" w:hAnsi="Times New Roman;sans-serif"/>
                  <w:b/>
                  <w:color w:val="0000FF"/>
                  <w:sz w:val="18"/>
                  <w:u w:val="single"/>
                </w:rPr>
                <w:t>PART II. 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e4c9c368844cf38676106c06de86ac_112">
              <w:r>
                <w:rPr>
                  <w:rStyle w:val="InternetLink"/>
                  <w:rFonts w:ascii="Times New Roman;sans-serif" w:hAnsi="Times New Roman;sans-serif"/>
                  <w:b w:val="false"/>
                  <w:strike w:val="false"/>
                  <w:dstrike w:val="false"/>
                  <w:color w:val="000000"/>
                  <w:sz w:val="20"/>
                  <w:u w:val="none"/>
                  <w:effect w:val="none"/>
                </w:rPr>
                <w:t>32</w:t>
              </w:r>
            </w:hyperlink>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Item 1.</w:t>
            </w:r>
          </w:p>
        </w:tc>
        <w:tc>
          <w:tcPr>
            <w:tcW w:w="8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e4c9c368844cf38676106c06de86ac_115">
              <w:r>
                <w:rPr>
                  <w:rStyle w:val="InternetLink"/>
                  <w:rFonts w:ascii="Times New Roman;sans-serif" w:hAnsi="Times New Roman;sans-serif"/>
                  <w:b/>
                  <w:color w:val="0000FF"/>
                  <w:sz w:val="18"/>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e4c9c368844cf38676106c06de86ac_115">
              <w:r>
                <w:rPr>
                  <w:rStyle w:val="InternetLink"/>
                  <w:rFonts w:ascii="Times New Roman;sans-serif" w:hAnsi="Times New Roman;sans-serif"/>
                  <w:b w:val="false"/>
                  <w:strike w:val="false"/>
                  <w:dstrike w:val="false"/>
                  <w:color w:val="000000"/>
                  <w:sz w:val="20"/>
                  <w:u w:val="none"/>
                  <w:effect w:val="none"/>
                </w:rPr>
                <w:t>32</w:t>
              </w:r>
            </w:hyperlink>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Item 1A.</w:t>
            </w:r>
          </w:p>
        </w:tc>
        <w:tc>
          <w:tcPr>
            <w:tcW w:w="8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e4c9c368844cf38676106c06de86ac_118">
              <w:r>
                <w:rPr>
                  <w:rStyle w:val="InternetLink"/>
                  <w:rFonts w:ascii="Times New Roman;sans-serif" w:hAnsi="Times New Roman;sans-serif"/>
                  <w:b/>
                  <w:color w:val="0000FF"/>
                  <w:sz w:val="18"/>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e4c9c368844cf38676106c06de86ac_118">
              <w:r>
                <w:rPr>
                  <w:rStyle w:val="InternetLink"/>
                  <w:rFonts w:ascii="Times New Roman;sans-serif" w:hAnsi="Times New Roman;sans-serif"/>
                  <w:b w:val="false"/>
                  <w:strike w:val="false"/>
                  <w:dstrike w:val="false"/>
                  <w:color w:val="000000"/>
                  <w:sz w:val="20"/>
                  <w:u w:val="none"/>
                  <w:effect w:val="none"/>
                </w:rPr>
                <w:t>32</w:t>
              </w:r>
            </w:hyperlink>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Item 2.</w:t>
            </w:r>
          </w:p>
        </w:tc>
        <w:tc>
          <w:tcPr>
            <w:tcW w:w="8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e4c9c368844cf38676106c06de86ac_121">
              <w:r>
                <w:rPr>
                  <w:rStyle w:val="InternetLink"/>
                  <w:rFonts w:ascii="Times New Roman;sans-serif" w:hAnsi="Times New Roman;sans-serif"/>
                  <w:b/>
                  <w:color w:val="0000FF"/>
                  <w:sz w:val="18"/>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e4c9c368844cf38676106c06de86ac_121">
              <w:r>
                <w:rPr>
                  <w:rStyle w:val="InternetLink"/>
                  <w:rFonts w:ascii="Times New Roman;sans-serif" w:hAnsi="Times New Roman;sans-serif"/>
                  <w:b w:val="false"/>
                  <w:strike w:val="false"/>
                  <w:dstrike w:val="false"/>
                  <w:color w:val="000000"/>
                  <w:sz w:val="20"/>
                  <w:u w:val="none"/>
                  <w:effect w:val="none"/>
                </w:rPr>
                <w:t>32</w:t>
              </w:r>
            </w:hyperlink>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Item 6.</w:t>
            </w:r>
          </w:p>
        </w:tc>
        <w:tc>
          <w:tcPr>
            <w:tcW w:w="8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e4c9c368844cf38676106c06de86ac_124">
              <w:r>
                <w:rPr>
                  <w:rStyle w:val="InternetLink"/>
                  <w:rFonts w:ascii="Times New Roman;sans-serif" w:hAnsi="Times New Roman;sans-serif"/>
                  <w:b/>
                  <w:color w:val="0000FF"/>
                  <w:sz w:val="18"/>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e4c9c368844cf38676106c06de86ac_124">
              <w:r>
                <w:rPr>
                  <w:rStyle w:val="InternetLink"/>
                  <w:rFonts w:ascii="Times New Roman;sans-serif" w:hAnsi="Times New Roman;sans-serif"/>
                  <w:b w:val="false"/>
                  <w:strike w:val="false"/>
                  <w:dstrike w:val="false"/>
                  <w:color w:val="000000"/>
                  <w:sz w:val="20"/>
                  <w:u w:val="none"/>
                  <w:effect w:val="none"/>
                </w:rPr>
                <w:t>33</w:t>
              </w:r>
            </w:hyperlink>
          </w:p>
        </w:tc>
      </w:tr>
      <w:tr>
        <w:trP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e4c9c368844cf38676106c06de86ac_127">
              <w:r>
                <w:rPr>
                  <w:rStyle w:val="InternetLink"/>
                  <w:rFonts w:ascii="Times New Roman;sans-serif" w:hAnsi="Times New Roman;sans-serif"/>
                  <w:b/>
                  <w:color w:val="0000FF"/>
                  <w:sz w:val="18"/>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e4c9c368844cf38676106c06de86ac_127">
              <w:r>
                <w:rPr>
                  <w:rStyle w:val="InternetLink"/>
                  <w:rFonts w:ascii="Times New Roman;sans-serif" w:hAnsi="Times New Roman;sans-serif"/>
                  <w:b w:val="false"/>
                  <w:strike w:val="false"/>
                  <w:dstrike w:val="false"/>
                  <w:color w:val="000000"/>
                  <w:sz w:val="20"/>
                  <w:u w:val="none"/>
                  <w:effect w:val="none"/>
                </w:rPr>
                <w:t>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Certain Terms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references to “options” or “options contracts” in the text of this document refer to options on futures contracts.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information about CME Group and its products can be found at http://www.cmegroup.com. Information made available on our website does not constitute a part of this Quarterly Report on Form 10-Q. </w:t>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 xml:space="preserve">Information about Contract Volume and Average Rate per Contract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amounts regarding contract volume and average rate per contract are for CME Group’s listed futures and options on futures contracts unless otherwise noted. </w:t>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 xml:space="preserve">Trademark Information </w:t>
      </w:r>
    </w:p>
    <w:p>
      <w:pPr>
        <w:pStyle w:val="TextBody"/>
        <w:bidi w:val="0"/>
        <w:spacing w:lineRule="auto" w:line="268" w:before="0" w:after="0"/>
        <w:jc w:val="left"/>
        <w:rPr/>
      </w:pPr>
      <w:r>
        <w:rPr>
          <w:rFonts w:ascii="Times New Roman;sans-serif" w:hAnsi="Times New Roman;sans-serif"/>
          <w:b w:val="false"/>
          <w:color w:val="000000"/>
          <w:sz w:val="20"/>
        </w:rPr>
        <w:t>CME Group, the Globe logo, CME, Chicago Mercantile Exchange, Globex, and E-mini are trademarks of Chicago Mercantile Exchange Inc.</w:t>
      </w:r>
      <w:r>
        <w:rPr>
          <w:color w:val="000000"/>
        </w:rPr>
        <w:t xml:space="preserve"> </w:t>
      </w:r>
      <w:r>
        <w:rPr>
          <w:rFonts w:ascii="Times New Roman;sans-serif" w:hAnsi="Times New Roman;sans-serif"/>
          <w:b w:val="false"/>
          <w:color w:val="000000"/>
          <w:sz w:val="20"/>
        </w:rPr>
        <w:t>CBOT and Chicago Board of Trade are trademarks of Board of Trade of the City of Chicago, Inc.</w:t>
      </w:r>
      <w:r>
        <w:rPr>
          <w:color w:val="000000"/>
        </w:rPr>
        <w:t xml:space="preserve"> </w:t>
      </w:r>
      <w:r>
        <w:rPr>
          <w:rFonts w:ascii="Times New Roman;sans-serif" w:hAnsi="Times New Roman;sans-serif"/>
          <w:b w:val="false"/>
          <w:color w:val="000000"/>
          <w:sz w:val="20"/>
        </w:rPr>
        <w:t>NYMEX, New York Mercantile Exchange and ClearPort are trademarks of New York Mercantile Exchange, Inc.</w:t>
      </w:r>
      <w:r>
        <w:rPr>
          <w:color w:val="000000"/>
        </w:rPr>
        <w:t xml:space="preserve"> </w:t>
      </w:r>
      <w:r>
        <w:rPr>
          <w:rFonts w:ascii="Times New Roman;sans-serif" w:hAnsi="Times New Roman;sans-serif"/>
          <w:b w:val="false"/>
          <w:color w:val="000000"/>
          <w:sz w:val="20"/>
        </w:rPr>
        <w:t xml:space="preserve">COMEX is a trademark of Commodity Exchange, Inc. BrokerTec is a trademark of BrokerTec Americas LLC and EBS is a trademark of EBS Group Limited. OSTTRA is a trademark of MarkitSERV Limited. Dow Jones, Dow Jones Industrial Average, S&amp;P 500 and S&amp;P are service and/or trademarks of Dow Jones Trademark Holdings LLC, Standard &amp; Poor's Financial Services LLC and S&amp;P Dow Jones Indices LLC, as the case may be, and have been licensed for use by Chicago Mercantile Exchange Inc. (CME). All other trademarks are the property of their respective owners. </w:t>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 xml:space="preserve">Forward-Looking Statements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 </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increasing competition by foreign and domestic entities, including increased competition from new entrants into our markets and consolidation of existing entities;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our ability to continue introducing competitive new products and services on a timely, cost-effective basis, including through our electronic trading capabilities, and our ability to maintain the competitiveness of our existing products and services;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our ability to adjust our fixed costs and expenses if our revenues decline;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our ability to maintain existing customers at substantially similar trading levels, develop strategic relationships and attract new customers;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our ability to expand and globally offer our products and services;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changes in regulations, including the impact of any changes in laws or government policies with respect to our products or services or our industry, such as any changes to regulations and policies that require increased financial and operational resources from us or our customers;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the costs associated with protecting our intellectual property rights and our ability to operate our business without violating the intellectual property rights of others;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decreases in revenue from our market data as a result of decreased demand or changes to regulations in various jurisdictions;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the ability of our credit and liquidity risk management practices to adequately protect us from the credit risks of clearing members and other counterparties, and to satisfy the margin and liquidity requirements associated with the BrokerTec matched principal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the ability of our compliance and risk management programs to effectively monitor and manage our risks, including our ability to prevent errors and misconduct and protect our infrastructure against security breaches and misappropriation of our intellectual property assets;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our dependence on third-party providers and exposure to risk through third parties, including risks related to the performance, reliability and security of technology used by our third-party providers and third-party providers that our clients rely on;</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volatility in commodity, equity and fixed income prices, and price volatility of financial benchmarks and instruments such as interest rates, equity indices, fixed income instruments and foreign exchange rates;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economic, social, political and market conditions, including the volatility of the capital and credit markets and the impact of economic conditions on the trading activity of our current and potential customers;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our ability to accommodate increases in contract volume and order transaction traffic and to implement enhancements without failure or degradation of the performance of our trading and clearing systems;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our ability to execute our growth strategy and maintain our growth effectively;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our ability to manage the risks, control the costs and achieve the synergies associated with our strategy for acquisitions, investments and alliances, including those associated with the performance of our joint ventures with S&amp;P Dow Jones (S&amp;P Dow Jones Indices LLC) in index services and in trade processing/post trade services (OSTTRA), our primary business and distribution partners’ actions and our partnership with Google Cloud;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variances in earnings on cash accounts and collateral that our clearing house holds for its clients;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impact of CME Group pricing and incentive changes;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impact of aggregation services and internalization on trade flow and volumes;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any negative financial impacts from changes to the terms of intellectual property and index rights;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our ability to continue to generate funds and/or manage our indebtedness to allow us to continue to invest in our business;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industry, channel partner and customer consolidation and/or concentration;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decreases in trading and clearing activity;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the imposition of a transaction tax or user fee on futures and options transactions and/or repeal of the 60/40 tax treatment of such transactions;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increases in effective tax rates, borrowing costs or changes in tax policy;</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our ability to maintain our brand and reputation; and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the unfavorable resolution of material legal proceedings.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 detailed discussion of these and other factors that might affect our performance, see Item 1A. of our Annual Report on Form 10-K for the year ended December 31, 2023, filed with the Securities and Exchange Commission on February 28, 2024 and Item 1A. in Part II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tbl>
      <w:tblPr>
        <w:tblW w:w="3450" w:type="dxa"/>
        <w:jc w:val="left"/>
        <w:tblInd w:w="0" w:type="dxa"/>
        <w:tblLayout w:type="fixed"/>
        <w:tblCellMar>
          <w:top w:w="28" w:type="dxa"/>
          <w:left w:w="28" w:type="dxa"/>
          <w:bottom w:w="28" w:type="dxa"/>
          <w:right w:w="28" w:type="dxa"/>
        </w:tblCellMar>
      </w:tblPr>
      <w:tblGrid>
        <w:gridCol w:w="304"/>
        <w:gridCol w:w="267"/>
        <w:gridCol w:w="269"/>
        <w:gridCol w:w="764"/>
        <w:gridCol w:w="764"/>
        <w:gridCol w:w="1082"/>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CME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millions, except par value data; shares in thousands)</w:t>
      </w:r>
    </w:p>
    <w:tbl>
      <w:tblPr>
        <w:tblW w:w="10205" w:type="dxa"/>
        <w:jc w:val="center"/>
        <w:tblInd w:w="0" w:type="dxa"/>
        <w:tblLayout w:type="fixed"/>
        <w:tblCellMar>
          <w:top w:w="28" w:type="dxa"/>
          <w:left w:w="28" w:type="dxa"/>
          <w:bottom w:w="28" w:type="dxa"/>
          <w:right w:w="28" w:type="dxa"/>
        </w:tblCellMar>
      </w:tblPr>
      <w:tblGrid>
        <w:gridCol w:w="2655"/>
        <w:gridCol w:w="2118"/>
        <w:gridCol w:w="2072"/>
        <w:gridCol w:w="109"/>
        <w:gridCol w:w="109"/>
        <w:gridCol w:w="109"/>
        <w:gridCol w:w="211"/>
        <w:gridCol w:w="976"/>
        <w:gridCol w:w="109"/>
        <w:gridCol w:w="109"/>
        <w:gridCol w:w="109"/>
        <w:gridCol w:w="109"/>
        <w:gridCol w:w="221"/>
        <w:gridCol w:w="1025"/>
        <w:gridCol w:w="164"/>
      </w:tblGrid>
      <w:tr>
        <w:trPr/>
        <w:tc>
          <w:tcPr>
            <w:tcW w:w="2655"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of $8.7 and $7.1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(includes $5.2 in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bonds and guaranty fund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90,192.5 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94,890.2 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net of accumulated depreciation and amortization of $984.7 and $931.1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assets—trading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17,175.3 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129,706.1 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bonds and guaranty fund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90,192.5 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93,416.9 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102,968.2 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6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6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10,000 shares authorized as of June 30, 2024 and December 31, 2023; 4,584 issued and outstanding as of June 30, 2024 and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$0.01 par value, 1,000,000 shares authorized at June 30, 2024 and December 31, 2023; 359,361 and 359,231 shares issued and outstanding as of June 30,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$0.01 par value, 3 shares authorized, issued and outstanding as of June 30, 2024 and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CME Group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26,737.9 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6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6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123,379.3 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129,706.1 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8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CME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millions, except per share data; shares 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24"/>
        <w:gridCol w:w="1385"/>
        <w:gridCol w:w="1397"/>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6"/>
      </w:tblGrid>
      <w:tr>
        <w:trPr/>
        <w:tc>
          <w:tcPr>
            <w:tcW w:w="172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5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45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Clearing and transaction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data and information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 and outside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and other fee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Non-Operating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borrowing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earnings of unconsolidated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Non-Operating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Shareholders of CME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Attributable to Common Shareholders of CME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CME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68"/>
        <w:gridCol w:w="1510"/>
        <w:gridCol w:w="1529"/>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5"/>
      </w:tblGrid>
      <w:tr>
        <w:trPr/>
        <w:tc>
          <w:tcPr>
            <w:tcW w:w="1768"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4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holding gains (losses) arising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defined benefit plans arising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plans,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net unrealized (gains) losses to interest expense and other non-operating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CME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millions, except per share data; shares in thousands)</w:t>
      </w:r>
    </w:p>
    <w:p>
      <w:pPr>
        <w:pStyle w:val="TextBody"/>
        <w:bidi w:val="0"/>
        <w:spacing w:lineRule="auto" w:line="288" w:before="0" w:after="0"/>
        <w:jc w:val="center"/>
        <w:rPr/>
      </w:pPr>
      <w:r>
        <w:rPr>
          <w:rFonts w:ascii="Times New Roman;sans-serif" w:hAnsi="Times New Roman;sans-serif"/>
          <w:b w:val="false"/>
          <w:color w:val="000000"/>
          <w:sz w:val="20"/>
        </w:rPr>
        <w:t>(unaudited)</w:t>
      </w:r>
      <w:r>
        <w:rPr>
          <w:color w:val="000000"/>
        </w:rPr>
        <w:t> </w:t>
      </w:r>
    </w:p>
    <w:p>
      <w:pPr>
        <w:pStyle w:val="TextBody"/>
        <w:bidi w:val="0"/>
        <w:spacing w:before="0" w:after="0"/>
        <w:jc w:val="center"/>
        <w:rPr/>
      </w:pPr>
      <w:r>
        <w:rPr/>
      </w:r>
    </w:p>
    <w:tbl>
      <w:tblPr>
        <w:tblW w:w="11213" w:type="dxa"/>
        <w:jc w:val="center"/>
        <w:tblInd w:w="0" w:type="dxa"/>
        <w:tblLayout w:type="fixed"/>
        <w:tblCellMar>
          <w:top w:w="28" w:type="dxa"/>
          <w:left w:w="28" w:type="dxa"/>
          <w:bottom w:w="28" w:type="dxa"/>
          <w:right w:w="28" w:type="dxa"/>
        </w:tblCellMar>
      </w:tblPr>
      <w:tblGrid>
        <w:gridCol w:w="566"/>
        <w:gridCol w:w="392"/>
        <w:gridCol w:w="393"/>
        <w:gridCol w:w="346"/>
        <w:gridCol w:w="270"/>
        <w:gridCol w:w="271"/>
        <w:gridCol w:w="109"/>
        <w:gridCol w:w="109"/>
        <w:gridCol w:w="109"/>
        <w:gridCol w:w="413"/>
        <w:gridCol w:w="413"/>
        <w:gridCol w:w="256"/>
        <w:gridCol w:w="109"/>
        <w:gridCol w:w="109"/>
        <w:gridCol w:w="109"/>
        <w:gridCol w:w="255"/>
        <w:gridCol w:w="255"/>
        <w:gridCol w:w="256"/>
        <w:gridCol w:w="109"/>
        <w:gridCol w:w="109"/>
        <w:gridCol w:w="109"/>
        <w:gridCol w:w="211"/>
        <w:gridCol w:w="871"/>
        <w:gridCol w:w="109"/>
        <w:gridCol w:w="109"/>
        <w:gridCol w:w="109"/>
        <w:gridCol w:w="109"/>
        <w:gridCol w:w="211"/>
        <w:gridCol w:w="766"/>
        <w:gridCol w:w="109"/>
        <w:gridCol w:w="109"/>
        <w:gridCol w:w="109"/>
        <w:gridCol w:w="109"/>
        <w:gridCol w:w="303"/>
        <w:gridCol w:w="756"/>
        <w:gridCol w:w="157"/>
        <w:gridCol w:w="109"/>
        <w:gridCol w:w="109"/>
        <w:gridCol w:w="109"/>
        <w:gridCol w:w="211"/>
        <w:gridCol w:w="871"/>
        <w:gridCol w:w="109"/>
        <w:gridCol w:w="109"/>
        <w:gridCol w:w="109"/>
        <w:gridCol w:w="109"/>
        <w:gridCol w:w="154"/>
      </w:tblGrid>
      <w:tr>
        <w:trPr/>
        <w:tc>
          <w:tcPr>
            <w:tcW w:w="56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1"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481" w:type="dxa"/>
            <w:gridSpan w:val="4"/>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w:t>
              <w:br/>
              <w:t>Stock</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w:t>
              <w:br/>
              <w:t>Stock</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 Common</w:t>
              <w:br/>
              <w:t>Stock and</w:t>
              <w:b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CME Group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and preferred stock of $2.30 per share</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issued restricted Class A common stock</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to Board of Directors</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Employee Stock Purchase Plan</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2024</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359,361 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1213" w:type="dxa"/>
        <w:jc w:val="center"/>
        <w:tblInd w:w="0" w:type="dxa"/>
        <w:tblLayout w:type="fixed"/>
        <w:tblCellMar>
          <w:top w:w="28" w:type="dxa"/>
          <w:left w:w="28" w:type="dxa"/>
          <w:bottom w:w="28" w:type="dxa"/>
          <w:right w:w="28" w:type="dxa"/>
        </w:tblCellMar>
      </w:tblPr>
      <w:tblGrid>
        <w:gridCol w:w="837"/>
        <w:gridCol w:w="264"/>
        <w:gridCol w:w="250"/>
        <w:gridCol w:w="346"/>
        <w:gridCol w:w="270"/>
        <w:gridCol w:w="271"/>
        <w:gridCol w:w="109"/>
        <w:gridCol w:w="109"/>
        <w:gridCol w:w="109"/>
        <w:gridCol w:w="413"/>
        <w:gridCol w:w="413"/>
        <w:gridCol w:w="256"/>
        <w:gridCol w:w="109"/>
        <w:gridCol w:w="109"/>
        <w:gridCol w:w="109"/>
        <w:gridCol w:w="255"/>
        <w:gridCol w:w="255"/>
        <w:gridCol w:w="256"/>
        <w:gridCol w:w="109"/>
        <w:gridCol w:w="109"/>
        <w:gridCol w:w="109"/>
        <w:gridCol w:w="211"/>
        <w:gridCol w:w="871"/>
        <w:gridCol w:w="109"/>
        <w:gridCol w:w="109"/>
        <w:gridCol w:w="109"/>
        <w:gridCol w:w="109"/>
        <w:gridCol w:w="211"/>
        <w:gridCol w:w="766"/>
        <w:gridCol w:w="109"/>
        <w:gridCol w:w="109"/>
        <w:gridCol w:w="109"/>
        <w:gridCol w:w="109"/>
        <w:gridCol w:w="303"/>
        <w:gridCol w:w="756"/>
        <w:gridCol w:w="157"/>
        <w:gridCol w:w="109"/>
        <w:gridCol w:w="109"/>
        <w:gridCol w:w="109"/>
        <w:gridCol w:w="211"/>
        <w:gridCol w:w="871"/>
        <w:gridCol w:w="109"/>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1"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 2024</w:t>
            </w:r>
          </w:p>
        </w:tc>
        <w:tc>
          <w:tcPr>
            <w:tcW w:w="481" w:type="dxa"/>
            <w:gridSpan w:val="4"/>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w:t>
              <w:br/>
              <w:t>Stock</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w:t>
              <w:br/>
              <w:t>Stock</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 Common</w:t>
              <w:br/>
              <w:t>Stock and</w:t>
              <w:b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CME Group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359,322 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and preferred stock of $1.15 per share</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to Board of Directors</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Employee Stock Purchase Plan</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2024</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359,361 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80" w:after="283"/>
        <w:jc w:val="center"/>
        <w:rPr/>
      </w:pPr>
      <w:r>
        <w:rPr/>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CME GROUP INC. AND SUBSIDIARIES</w:t>
      </w:r>
    </w:p>
    <w:p>
      <w:pPr>
        <w:pStyle w:val="TextBody"/>
        <w:bidi w:val="0"/>
        <w:spacing w:lineRule="auto" w:line="288" w:before="0" w:after="0"/>
        <w:jc w:val="center"/>
        <w:rPr/>
      </w:pPr>
      <w:r>
        <w:rPr>
          <w:rFonts w:ascii="Times New Roman;sans-serif" w:hAnsi="Times New Roman;sans-serif"/>
          <w:b/>
          <w:color w:val="000000"/>
          <w:sz w:val="20"/>
        </w:rPr>
        <w:t xml:space="preserve">CONSOLIDATED STATEMENTS OF EQUITY </w:t>
      </w:r>
      <w:r>
        <w:rPr>
          <w:rFonts w:ascii="Times New Roman;sans-serif" w:hAnsi="Times New Roman;sans-serif"/>
          <w:b w:val="false"/>
          <w:color w:val="000000"/>
          <w:sz w:val="20"/>
        </w:rPr>
        <w:t>(continued)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millions, except per share data; shares in thousands)</w:t>
      </w:r>
    </w:p>
    <w:p>
      <w:pPr>
        <w:pStyle w:val="TextBody"/>
        <w:bidi w:val="0"/>
        <w:spacing w:lineRule="auto" w:line="288" w:before="0" w:after="0"/>
        <w:jc w:val="center"/>
        <w:rPr/>
      </w:pPr>
      <w:r>
        <w:rPr>
          <w:rFonts w:ascii="Times New Roman;sans-serif" w:hAnsi="Times New Roman;sans-serif"/>
          <w:b w:val="false"/>
          <w:color w:val="000000"/>
          <w:sz w:val="20"/>
        </w:rPr>
        <w:t>(unaudited)</w:t>
      </w:r>
      <w:r>
        <w:rPr>
          <w:color w:val="000000"/>
        </w:rPr>
        <w:t> </w:t>
      </w:r>
    </w:p>
    <w:p>
      <w:pPr>
        <w:pStyle w:val="TextBody"/>
        <w:bidi w:val="0"/>
        <w:spacing w:before="0" w:after="0"/>
        <w:jc w:val="center"/>
        <w:rPr/>
      </w:pPr>
      <w:r>
        <w:rPr/>
      </w:r>
    </w:p>
    <w:tbl>
      <w:tblPr>
        <w:tblW w:w="11213" w:type="dxa"/>
        <w:jc w:val="center"/>
        <w:tblInd w:w="0" w:type="dxa"/>
        <w:tblLayout w:type="fixed"/>
        <w:tblCellMar>
          <w:top w:w="28" w:type="dxa"/>
          <w:left w:w="28" w:type="dxa"/>
          <w:bottom w:w="28" w:type="dxa"/>
          <w:right w:w="28" w:type="dxa"/>
        </w:tblCellMar>
      </w:tblPr>
      <w:tblGrid>
        <w:gridCol w:w="757"/>
        <w:gridCol w:w="296"/>
        <w:gridCol w:w="298"/>
        <w:gridCol w:w="346"/>
        <w:gridCol w:w="270"/>
        <w:gridCol w:w="271"/>
        <w:gridCol w:w="109"/>
        <w:gridCol w:w="109"/>
        <w:gridCol w:w="109"/>
        <w:gridCol w:w="413"/>
        <w:gridCol w:w="413"/>
        <w:gridCol w:w="256"/>
        <w:gridCol w:w="109"/>
        <w:gridCol w:w="109"/>
        <w:gridCol w:w="109"/>
        <w:gridCol w:w="255"/>
        <w:gridCol w:w="255"/>
        <w:gridCol w:w="256"/>
        <w:gridCol w:w="109"/>
        <w:gridCol w:w="109"/>
        <w:gridCol w:w="109"/>
        <w:gridCol w:w="211"/>
        <w:gridCol w:w="871"/>
        <w:gridCol w:w="109"/>
        <w:gridCol w:w="109"/>
        <w:gridCol w:w="109"/>
        <w:gridCol w:w="109"/>
        <w:gridCol w:w="211"/>
        <w:gridCol w:w="766"/>
        <w:gridCol w:w="109"/>
        <w:gridCol w:w="109"/>
        <w:gridCol w:w="109"/>
        <w:gridCol w:w="109"/>
        <w:gridCol w:w="269"/>
        <w:gridCol w:w="806"/>
        <w:gridCol w:w="141"/>
        <w:gridCol w:w="109"/>
        <w:gridCol w:w="109"/>
        <w:gridCol w:w="109"/>
        <w:gridCol w:w="211"/>
        <w:gridCol w:w="871"/>
        <w:gridCol w:w="109"/>
        <w:gridCol w:w="109"/>
        <w:gridCol w:w="109"/>
        <w:gridCol w:w="109"/>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1"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481" w:type="dxa"/>
            <w:gridSpan w:val="4"/>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w:t>
              <w:br/>
              <w:t>Stock</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w:t>
              <w:br/>
              <w:t>Stock</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 and</w:t>
              <w:b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CME Group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358,929 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stock of $2.20 per share</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issued restricted Class A common stock</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to Board of Directors</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Employee Stock Purchase Plan</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358,978 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40"/>
        <w:jc w:val="center"/>
        <w:rPr/>
      </w:pPr>
      <w:r>
        <w:rPr/>
      </w:r>
    </w:p>
    <w:tbl>
      <w:tblPr>
        <w:tblW w:w="11213" w:type="dxa"/>
        <w:jc w:val="center"/>
        <w:tblInd w:w="0" w:type="dxa"/>
        <w:tblLayout w:type="fixed"/>
        <w:tblCellMar>
          <w:top w:w="28" w:type="dxa"/>
          <w:left w:w="28" w:type="dxa"/>
          <w:bottom w:w="28" w:type="dxa"/>
          <w:right w:w="28" w:type="dxa"/>
        </w:tblCellMar>
      </w:tblPr>
      <w:tblGrid>
        <w:gridCol w:w="837"/>
        <w:gridCol w:w="264"/>
        <w:gridCol w:w="250"/>
        <w:gridCol w:w="346"/>
        <w:gridCol w:w="270"/>
        <w:gridCol w:w="271"/>
        <w:gridCol w:w="109"/>
        <w:gridCol w:w="109"/>
        <w:gridCol w:w="109"/>
        <w:gridCol w:w="413"/>
        <w:gridCol w:w="413"/>
        <w:gridCol w:w="256"/>
        <w:gridCol w:w="109"/>
        <w:gridCol w:w="109"/>
        <w:gridCol w:w="109"/>
        <w:gridCol w:w="255"/>
        <w:gridCol w:w="255"/>
        <w:gridCol w:w="256"/>
        <w:gridCol w:w="109"/>
        <w:gridCol w:w="109"/>
        <w:gridCol w:w="109"/>
        <w:gridCol w:w="211"/>
        <w:gridCol w:w="871"/>
        <w:gridCol w:w="109"/>
        <w:gridCol w:w="109"/>
        <w:gridCol w:w="109"/>
        <w:gridCol w:w="109"/>
        <w:gridCol w:w="211"/>
        <w:gridCol w:w="766"/>
        <w:gridCol w:w="109"/>
        <w:gridCol w:w="109"/>
        <w:gridCol w:w="109"/>
        <w:gridCol w:w="109"/>
        <w:gridCol w:w="269"/>
        <w:gridCol w:w="806"/>
        <w:gridCol w:w="141"/>
        <w:gridCol w:w="109"/>
        <w:gridCol w:w="109"/>
        <w:gridCol w:w="109"/>
        <w:gridCol w:w="211"/>
        <w:gridCol w:w="871"/>
        <w:gridCol w:w="109"/>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1"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 2023</w:t>
            </w:r>
          </w:p>
        </w:tc>
        <w:tc>
          <w:tcPr>
            <w:tcW w:w="481" w:type="dxa"/>
            <w:gridSpan w:val="4"/>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w:t>
              <w:br/>
              <w:t>Stock</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w:t>
              <w:br/>
              <w:t>Stock</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 Common</w:t>
              <w:br/>
              <w:t>Stock and</w:t>
              <w:b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CME Group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and preferred stock of $1.10 per share</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issued restricted Class A common stock</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to Board of Directors</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Employee Stock Purchase Plan</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358,978 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4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pStyle w:val="TextBody"/>
        <w:bidi w:val="0"/>
        <w:spacing w:before="80" w:after="140"/>
        <w:jc w:val="center"/>
        <w:rPr/>
      </w:pPr>
      <w:r>
        <w:rPr/>
      </w:r>
    </w:p>
    <w:p>
      <w:pPr>
        <w:pStyle w:val="TextBody"/>
        <w:bidi w:val="0"/>
        <w:spacing w:before="80" w:after="140"/>
        <w:jc w:val="center"/>
        <w:rPr/>
      </w:pPr>
      <w:r>
        <w:rPr/>
      </w:r>
    </w:p>
    <w:p>
      <w:pPr>
        <w:pStyle w:val="TextBody"/>
        <w:bidi w:val="0"/>
        <w:spacing w:before="80" w:after="140"/>
        <w:jc w:val="center"/>
        <w:rPr/>
      </w:pPr>
      <w:r>
        <w:rPr/>
      </w:r>
    </w:p>
    <w:p>
      <w:pPr>
        <w:pStyle w:val="TextBody"/>
        <w:bidi w:val="0"/>
        <w:spacing w:before="80" w:after="140"/>
        <w:jc w:val="center"/>
        <w:rPr/>
      </w:pPr>
      <w:r>
        <w:rPr/>
      </w:r>
    </w:p>
    <w:p>
      <w:pPr>
        <w:pStyle w:val="TextBody"/>
        <w:bidi w:val="0"/>
        <w:spacing w:before="80" w:after="140"/>
        <w:jc w:val="center"/>
        <w:rPr/>
      </w:pPr>
      <w:r>
        <w:rPr/>
      </w:r>
    </w:p>
    <w:p>
      <w:pPr>
        <w:pStyle w:val="TextBody"/>
        <w:bidi w:val="0"/>
        <w:spacing w:before="80" w:after="140"/>
        <w:jc w:val="center"/>
        <w:rPr/>
      </w:pPr>
      <w:r>
        <w:rPr/>
      </w:r>
    </w:p>
    <w:p>
      <w:pPr>
        <w:pStyle w:val="TextBody"/>
        <w:bidi w:val="0"/>
        <w:spacing w:before="80" w:after="1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CME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pPr>
      <w:r>
        <w:rPr>
          <w:rFonts w:ascii="Times New Roman;sans-serif" w:hAnsi="Times New Roman;sans-serif"/>
          <w:b w:val="false"/>
          <w:color w:val="000000"/>
          <w:sz w:val="20"/>
        </w:rPr>
        <w:t>(unaudited)</w:t>
      </w:r>
      <w:r>
        <w:rPr>
          <w:color w:val="000000"/>
        </w:rPr>
        <w:t> </w:t>
      </w:r>
    </w:p>
    <w:tbl>
      <w:tblPr>
        <w:tblW w:w="9591" w:type="dxa"/>
        <w:jc w:val="center"/>
        <w:tblInd w:w="0" w:type="dxa"/>
        <w:tblLayout w:type="fixed"/>
        <w:tblCellMar>
          <w:top w:w="28" w:type="dxa"/>
          <w:left w:w="28" w:type="dxa"/>
          <w:bottom w:w="28" w:type="dxa"/>
          <w:right w:w="28" w:type="dxa"/>
        </w:tblCellMar>
      </w:tblPr>
      <w:tblGrid>
        <w:gridCol w:w="2434"/>
        <w:gridCol w:w="2137"/>
        <w:gridCol w:w="2149"/>
        <w:gridCol w:w="109"/>
        <w:gridCol w:w="109"/>
        <w:gridCol w:w="109"/>
        <w:gridCol w:w="211"/>
        <w:gridCol w:w="766"/>
        <w:gridCol w:w="109"/>
        <w:gridCol w:w="109"/>
        <w:gridCol w:w="109"/>
        <w:gridCol w:w="109"/>
        <w:gridCol w:w="211"/>
        <w:gridCol w:w="766"/>
        <w:gridCol w:w="154"/>
      </w:tblGrid>
      <w:tr>
        <w:trPr/>
        <w:tc>
          <w:tcPr>
            <w:tcW w:w="243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 xml:space="preserve">June 30, </w:t>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losses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available-for-sale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available-for-sale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privately-held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 including call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performance bond and guaranty fund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taxes paid on restricted stock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(7,286.4)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(24,461.0)</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CME GROUP INC. AND SUBSIDIARIES</w:t>
      </w:r>
    </w:p>
    <w:p>
      <w:pPr>
        <w:pStyle w:val="TextBody"/>
        <w:bidi w:val="0"/>
        <w:spacing w:lineRule="auto" w:line="288" w:before="0" w:after="0"/>
        <w:jc w:val="center"/>
        <w:rPr/>
      </w:pPr>
      <w:r>
        <w:rPr>
          <w:rFonts w:ascii="Times New Roman;sans-serif" w:hAnsi="Times New Roman;sans-serif"/>
          <w:b/>
          <w:color w:val="000000"/>
          <w:sz w:val="20"/>
        </w:rPr>
        <w:t>CONSOLIDATED STATEMENTS OF CASH FLOWS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pPr>
      <w:r>
        <w:rPr>
          <w:rFonts w:ascii="Times New Roman;sans-serif" w:hAnsi="Times New Roman;sans-serif"/>
          <w:b w:val="false"/>
          <w:color w:val="000000"/>
          <w:sz w:val="20"/>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2567"/>
        <w:gridCol w:w="2221"/>
        <w:gridCol w:w="2229"/>
        <w:gridCol w:w="109"/>
        <w:gridCol w:w="109"/>
        <w:gridCol w:w="109"/>
        <w:gridCol w:w="211"/>
        <w:gridCol w:w="871"/>
        <w:gridCol w:w="109"/>
        <w:gridCol w:w="109"/>
        <w:gridCol w:w="109"/>
        <w:gridCol w:w="109"/>
        <w:gridCol w:w="211"/>
        <w:gridCol w:w="976"/>
        <w:gridCol w:w="156"/>
      </w:tblGrid>
      <w:tr>
        <w:trPr/>
        <w:tc>
          <w:tcPr>
            <w:tcW w:w="2567"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 xml:space="preserve">June 30, </w:t>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cash equivalents, restricted cash and restricted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(22,847.4)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restricted cash and restricted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137,974.3 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Restricted Cash and Restricted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115,126.9 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cash equivalents, restricted cash and restricted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restricted cash equivalents (performance bonds and guaranty fund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113,241.6 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115,126.9 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and NEX Group Limited (NEX). The clearing house is operated by CME.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adjustments (consisting only of normal recurring adjustments) considered necessary to present fairly the financial position of the company at June 30, 2024 and December 31, 2023 and the results of operations and cash flows for the periods indicated. Quarterly results are not necessarily indicative of results for any subsequent period.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should be read in conjunction with the consolidated financial statements and notes thereto in CME Group’s Annual Report on Form 10-K for the year ended December 31, 2023, filed with the Securities and Exchange Commission (SEC) on February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2. Revenue Recognition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generates revenue from customers from the following sources:</w:t>
      </w:r>
    </w:p>
    <w:p>
      <w:pPr>
        <w:pStyle w:val="TextBody"/>
        <w:bidi w:val="0"/>
        <w:spacing w:lineRule="auto" w:line="288" w:before="100" w:after="100"/>
        <w:jc w:val="left"/>
        <w:rPr/>
      </w:pPr>
      <w:r>
        <w:rPr>
          <w:rFonts w:ascii="Times New Roman;sans-serif" w:hAnsi="Times New Roman;sans-serif"/>
          <w:b w:val="false"/>
          <w:i/>
          <w:color w:val="000000"/>
          <w:sz w:val="20"/>
        </w:rPr>
        <w:t>Clearing and transaction fees.</w:t>
      </w:r>
      <w:r>
        <w:rPr>
          <w:color w:val="000000"/>
        </w:rPr>
        <w:t xml:space="preserve"> </w:t>
      </w:r>
      <w:r>
        <w:rPr>
          <w:rFonts w:ascii="Times New Roman;sans-serif" w:hAnsi="Times New Roman;sans-serif"/>
          <w:b w:val="false"/>
          <w:color w:val="000000"/>
          <w:sz w:val="20"/>
        </w:rPr>
        <w:t xml:space="preserve">Clearing and transaction fees include electronic trading fees and brokerage commissions, surcharges for privately-negotiated transactions, risk mitigation and other volume-related charges for trade contracts. Clearing and transaction fees are assessed upfront at the time of trade execution. As such, the company recognizes the majority of the fee revenue upon successful execution of the trade. The minimal remaining portion of the fee revenue related to settlement activities performed after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For cleared trades, these assumptions include the average number of days that a contract remains in open interest, contract turnover, average revenue per day, and revenue remaining in open interest at the end of each period.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nature of contracts gives rise to several types of variable consideration, including volume-based pricing tiers, customer incentives associated with market maker programs and other fee discounts. The company includes fee discounts and incentives in the estimated transaction price when there is a basis to reasonably estimate the amount of the fee reduction. These estimates are based on historical experience, anticipated performance, and best judgment at the time. Because of the company’s certainty in estimating these amounts, they are included in the transaction price of contracts. </w:t>
      </w:r>
    </w:p>
    <w:p>
      <w:pPr>
        <w:pStyle w:val="TextBody"/>
        <w:bidi w:val="0"/>
        <w:spacing w:lineRule="auto" w:line="288" w:before="100" w:after="100"/>
        <w:jc w:val="left"/>
        <w:rPr/>
      </w:pPr>
      <w:r>
        <w:rPr>
          <w:rFonts w:ascii="Times New Roman;sans-serif" w:hAnsi="Times New Roman;sans-serif"/>
          <w:b w:val="false"/>
          <w:i/>
          <w:color w:val="000000"/>
          <w:sz w:val="20"/>
        </w:rPr>
        <w:t>Market data and information services.</w:t>
      </w:r>
      <w:r>
        <w:rPr>
          <w:color w:val="000000"/>
        </w:rPr>
        <w:t xml:space="preserve"> </w:t>
      </w:r>
      <w:r>
        <w:rPr>
          <w:rFonts w:ascii="Times New Roman;sans-serif" w:hAnsi="Times New Roman;sans-serif"/>
          <w:b w:val="false"/>
          <w:color w:val="000000"/>
          <w:sz w:val="20"/>
        </w:rPr>
        <w:t xml:space="preserve">Market data and information services represent revenue from the dissemination of market data to subscribers, 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 </w:t>
      </w:r>
    </w:p>
    <w:p>
      <w:pPr>
        <w:pStyle w:val="TextBody"/>
        <w:bidi w:val="0"/>
        <w:spacing w:lineRule="auto" w:line="288" w:before="100" w:after="100"/>
        <w:jc w:val="left"/>
        <w:rPr/>
      </w:pPr>
      <w:r>
        <w:rPr>
          <w:rFonts w:ascii="Times New Roman;sans-serif" w:hAnsi="Times New Roman;sans-serif"/>
          <w:b w:val="false"/>
          <w:i/>
          <w:color w:val="000000"/>
          <w:sz w:val="20"/>
        </w:rPr>
        <w:t xml:space="preserve">Other. </w:t>
      </w:r>
      <w:r>
        <w:rPr>
          <w:rFonts w:ascii="Times New Roman;sans-serif" w:hAnsi="Times New Roman;sans-serif"/>
          <w:b w:val="false"/>
          <w:color w:val="000000"/>
          <w:sz w:val="20"/>
        </w:rPr>
        <w:t xml:space="preserve">Other revenues include certain access and communication fees, fees for non-cash collateral management, equity membership subscription fees, and fees for trade order routing through agreements from various strategic relationships. Access and communication fees are charged to customers that utilize various telecommunications networks and communications services. Fees for these services are generally billed monthly and the associated fee revenue is recognized as billed. Collateral management fees are charged to clearing firms that have non-cash collateral on deposit with the clearing house to meet their minimum performance bond and guaranty fund obligations on the exchange. These fees are calculated based on daily non-cash collateral balances and are billed monthly. This fee revenue is recognized monthly as billed as the customers receive and consume the benefits of the services. The company also has an equity membership program which provides equity members the option to substitute a monthly subscription fee for their existing requirement to hold CME Group Class A common stock. Choosing to pay this fee in lieu of holding Class A shares is entirely voluntary and the client’s choice. Fee revenue under this program is earned monthly as billed over the contractual term. Pricing for strategic relationships may be driven by customer levels and activity. There are fee arrangements which provide for monthly as well as quarterly payments in arrears. Revenue is recognized monthly for strategic relationship arrangements as the customers receive and consume the benefits of the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righ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 disaggregation of revenue from contracts with customers by product line for the quarters ended June 30, 2024 and 2023:</w:t>
      </w:r>
    </w:p>
    <w:tbl>
      <w:tblPr>
        <w:tblW w:w="9536" w:type="dxa"/>
        <w:jc w:val="center"/>
        <w:tblInd w:w="0" w:type="dxa"/>
        <w:tblLayout w:type="fixed"/>
        <w:tblCellMar>
          <w:top w:w="28" w:type="dxa"/>
          <w:left w:w="28" w:type="dxa"/>
          <w:bottom w:w="28" w:type="dxa"/>
          <w:right w:w="28" w:type="dxa"/>
        </w:tblCellMar>
      </w:tblPr>
      <w:tblGrid>
        <w:gridCol w:w="1390"/>
        <w:gridCol w:w="1223"/>
        <w:gridCol w:w="1226"/>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39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Quarter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 xml:space="preserve">June 30, </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indexes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Agricultural commodities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BrokerTec fixed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EBS foreign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clearing and transaction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data and information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Timing of Revenue Recognition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transferred at a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transferred 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One-time charges and miscellaneous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pPr>
      <w:r>
        <w:rPr>
          <w:rFonts w:ascii="Times New Roman;sans-serif" w:hAnsi="Times New Roman;sans-serif"/>
          <w:b w:val="false"/>
          <w:color w:val="000000"/>
          <w:sz w:val="20"/>
        </w:rPr>
        <w:t xml:space="preserve">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recognized on the consolidated balance sheets on a contract-by-contract basis upon commencement of services under the customer contract. These upfront customer payments are recognized as revenue over time as the obligations under the contracts are satisfied. Changes in the contract liability balances during the second quarter of June 30, 2024 were not materially impacted by any other factors. The balance of contract liabilities was </w:t>
      </w:r>
      <w:r>
        <w:rPr>
          <w:rFonts w:ascii="Times New Roman;sans-serif" w:hAnsi="Times New Roman;sans-serif"/>
          <w:b w:val="false"/>
          <w:color w:val="000000"/>
          <w:sz w:val="20"/>
          <w:shd w:fill="FFFFFF" w:val="clear"/>
        </w:rPr>
        <w:t>$43.2 million</w:t>
      </w:r>
      <w:r>
        <w:rPr>
          <w:color w:val="000000"/>
        </w:rPr>
        <w:t xml:space="preserve"> </w:t>
      </w:r>
      <w:r>
        <w:rPr>
          <w:rFonts w:ascii="Times New Roman;sans-serif" w:hAnsi="Times New Roman;sans-serif"/>
          <w:b w:val="false"/>
          <w:color w:val="000000"/>
          <w:sz w:val="20"/>
        </w:rPr>
        <w:t>and</w:t>
      </w:r>
      <w:r>
        <w:rPr>
          <w:color w:val="000000"/>
          <w:shd w:fill="FFFFFF" w:val="clear"/>
        </w:rPr>
        <w:t xml:space="preserve"> </w:t>
      </w:r>
      <w:r>
        <w:rPr>
          <w:rFonts w:ascii="Times New Roman;sans-serif" w:hAnsi="Times New Roman;sans-serif"/>
          <w:b w:val="false"/>
          <w:color w:val="000000"/>
          <w:sz w:val="20"/>
          <w:shd w:fill="FFFFFF" w:val="clear"/>
        </w:rPr>
        <w:t>$13.2 million</w:t>
      </w:r>
      <w:r>
        <w:rPr>
          <w:color w:val="000000"/>
        </w:rPr>
        <w:t xml:space="preserve"> </w:t>
      </w:r>
      <w:r>
        <w:rPr>
          <w:rFonts w:ascii="Times New Roman;sans-serif" w:hAnsi="Times New Roman;sans-serif"/>
          <w:b w:val="false"/>
          <w:color w:val="000000"/>
          <w:sz w:val="20"/>
        </w:rPr>
        <w:t>as of June 30,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3. Performance Bonds and Guaranty Fund Contributions</w:t>
      </w:r>
    </w:p>
    <w:p>
      <w:pPr>
        <w:pStyle w:val="TextBody"/>
        <w:bidi w:val="0"/>
        <w:spacing w:lineRule="auto" w:line="288" w:before="120" w:after="120"/>
        <w:jc w:val="left"/>
        <w:rPr/>
      </w:pPr>
      <w:r>
        <w:rPr>
          <w:rFonts w:ascii="Times New Roman;sans-serif" w:hAnsi="Times New Roman;sans-serif"/>
          <w:b w:val="false"/>
          <w:i/>
          <w:color w:val="000000"/>
          <w:sz w:val="20"/>
        </w:rPr>
        <w:t xml:space="preserve">Performance Bonds and Guaranty Fund Contribution Reinvestment. </w:t>
      </w:r>
      <w:r>
        <w:rPr>
          <w:rFonts w:ascii="Times New Roman;sans-serif" w:hAnsi="Times New Roman;sans-serif"/>
          <w:b w:val="false"/>
          <w:color w:val="000000"/>
          <w:sz w:val="20"/>
        </w:rPr>
        <w:t xml:space="preserve">CME reinvests cash performance bonds and guaranty fund contributions and distributes a portion of the interest earned back to the clearing firms. The reinvestment of cash can include certain commercial and central bank deposits, government securities, reverse repurchase agreements, and money market funds. CME has been designated as a systemically important financial market utility by the Financial Stability Oversight Council and is authorized to maintain cash accounts at the Federal Reserve Bank of Chicago. At June 30, 2024, CME maintained $76.3 billion within the cash account at the Federal Reserve Bank of Chicago. The cash deposit at the Federal Reserve Bank of Chicago is included within performance bonds and guaranty fund contributions on the consolidated balance sheets. Cash performance bonds and guaranty fund contributions are included as restricted cash and cash equivalents on the consolidated statements of cash flows.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second quarter and first six months of 2024, earnings from cash performance bond and guaranty fund contributions were $1,007.6 million and $2,044.3 million, compared with $1,540.1 million and $2,796.4 million in the second quarter and first six months of 2023, respectively. In the second quarter and first six months of 2024, expenses related to the distribution of interest earned on collateral reinvestments were $939.4 million and $1,906.9 million, compared with $1,432.8 million and $2,596.3 million in the second quarter and first six months of 2023, respectively. The earnings from cash performance bonds and guaranty fund contributions are included in investment income and the expense related to the distribution of interest earned is included in other non-operating income (expense) on the consolidated statements of income. </w:t>
      </w:r>
    </w:p>
    <w:p>
      <w:pPr>
        <w:pStyle w:val="TextBody"/>
        <w:bidi w:val="0"/>
        <w:spacing w:lineRule="auto" w:line="288" w:before="120" w:after="120"/>
        <w:jc w:val="left"/>
        <w:rPr/>
      </w:pPr>
      <w:r>
        <w:rPr>
          <w:rFonts w:ascii="Times New Roman;sans-serif" w:hAnsi="Times New Roman;sans-serif"/>
          <w:b w:val="false"/>
          <w:i/>
          <w:color w:val="000000"/>
          <w:sz w:val="20"/>
          <w:shd w:fill="FFFFFF" w:val="clear"/>
        </w:rPr>
        <w:t xml:space="preserve">Clearing House </w:t>
      </w:r>
      <w:r>
        <w:rPr>
          <w:rFonts w:ascii="Times New Roman;sans-serif" w:hAnsi="Times New Roman;sans-serif"/>
          <w:b w:val="false"/>
          <w:i/>
          <w:color w:val="000000"/>
          <w:sz w:val="20"/>
        </w:rPr>
        <w:t>Contract</w:t>
      </w:r>
      <w:r>
        <w:rPr>
          <w:color w:val="000000"/>
          <w:shd w:fill="FFFFFF" w:val="clear"/>
        </w:rPr>
        <w:t xml:space="preserve"> </w:t>
      </w:r>
      <w:r>
        <w:rPr>
          <w:rFonts w:ascii="Times New Roman;sans-serif" w:hAnsi="Times New Roman;sans-serif"/>
          <w:b w:val="false"/>
          <w:i/>
          <w:color w:val="000000"/>
          <w:sz w:val="20"/>
          <w:shd w:fill="FFFFFF" w:val="clear"/>
        </w:rPr>
        <w:t>Settlement.</w:t>
      </w:r>
      <w:r>
        <w:rPr>
          <w:color w:val="000000"/>
          <w:shd w:fill="FFFFFF" w:val="clear"/>
        </w:rPr>
        <w:t xml:space="preserve"> </w:t>
      </w:r>
      <w:r>
        <w:rPr>
          <w:rFonts w:ascii="Times New Roman;sans-serif" w:hAnsi="Times New Roman;sans-serif"/>
          <w:b w:val="false"/>
          <w:color w:val="000000"/>
          <w:sz w:val="20"/>
          <w:shd w:fill="FFFFFF" w:val="clear"/>
        </w:rPr>
        <w:t>The clearing house marks-to-market open positions at least onc</w:t>
      </w:r>
      <w:r>
        <w:rPr>
          <w:rFonts w:ascii="Times New Roman;sans-serif" w:hAnsi="Times New Roman;sans-serif"/>
          <w:b w:val="false"/>
          <w:color w:val="000000"/>
          <w:sz w:val="20"/>
        </w:rPr>
        <w:t xml:space="preserve">e a day (twice a day for all futures and options contracts). Based on values derived from the mark-to-market process, the clearing house requires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righ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clearing firms whose positions have lost value and makes payments to clearing firms whose positions have gained value. Under the extremely unlikely scenario of simultaneous default by every clearing firm who has open positions with unrealized losses, the maximum exposure related to positions other than cleared-only interest rate swap contracts would be one half day of changes in fair value of all open positions, before considering the clearing house’s ability to access defaulting clearing firms' collateral deposits.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For cleared interest rate swap contracts, the maximum exposure at the time of default related to the clearing house’s guarantee would be one full day of changes in fair value of all open positions, before considering the clearing house’s ability to access defaulting clearing firms' collateral.</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six months of 2024, the clearing house transferred an average of approximately $5.4 billion a day through its clearing systems for settlement from clearing firms whose positions had lost value to clearing firms whose positions had gained value. The clearing house reduces its guarantee exposure through initial and maintenance performance bond requirements and mandatory guaranty fund contributions. Management has assessed the fair value of the company’s settlement guarantee liability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June 30, 2024 and December 31, 2023. The company does not have a history of significant losses recognized on performance bond collateral as posted by our clearing members, and management currently does not anticipate any future credit losses on its performance bond assets. Accordingly, the company has not provided an allowance for credit losses on these performance bond deposits, nor has it recorded any liabilities to reflect an allowance for credit losses related to our off-balance sheet credit exposures and guarantees.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4. Intangible Assets and Goodwill</w:t>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at June 30, 2024 and December 31, 2023:</w:t>
      </w:r>
    </w:p>
    <w:p>
      <w:pPr>
        <w:pStyle w:val="TextBody"/>
        <w:bidi w:val="0"/>
        <w:spacing w:lineRule="auto" w:line="288" w:before="60" w:after="60"/>
        <w:jc w:val="left"/>
        <w:rPr>
          <w:color w:val="000000"/>
        </w:rPr>
      </w:pPr>
      <w:r>
        <w:rPr>
          <w:color w:val="000000"/>
        </w:rPr>
        <w:t> </w:t>
      </w:r>
    </w:p>
    <w:tbl>
      <w:tblPr>
        <w:tblW w:w="10685" w:type="dxa"/>
        <w:jc w:val="left"/>
        <w:tblInd w:w="0" w:type="dxa"/>
        <w:tblLayout w:type="fixed"/>
        <w:tblCellMar>
          <w:top w:w="28" w:type="dxa"/>
          <w:left w:w="28" w:type="dxa"/>
          <w:bottom w:w="28" w:type="dxa"/>
          <w:right w:w="28" w:type="dxa"/>
        </w:tblCellMar>
      </w:tblPr>
      <w:tblGrid>
        <w:gridCol w:w="854"/>
        <w:gridCol w:w="314"/>
        <w:gridCol w:w="318"/>
        <w:gridCol w:w="109"/>
        <w:gridCol w:w="109"/>
        <w:gridCol w:w="109"/>
        <w:gridCol w:w="211"/>
        <w:gridCol w:w="766"/>
        <w:gridCol w:w="109"/>
        <w:gridCol w:w="109"/>
        <w:gridCol w:w="109"/>
        <w:gridCol w:w="109"/>
        <w:gridCol w:w="211"/>
        <w:gridCol w:w="781"/>
        <w:gridCol w:w="109"/>
        <w:gridCol w:w="109"/>
        <w:gridCol w:w="109"/>
        <w:gridCol w:w="109"/>
        <w:gridCol w:w="109"/>
        <w:gridCol w:w="109"/>
        <w:gridCol w:w="211"/>
        <w:gridCol w:w="871"/>
        <w:gridCol w:w="109"/>
        <w:gridCol w:w="109"/>
        <w:gridCol w:w="109"/>
        <w:gridCol w:w="109"/>
        <w:gridCol w:w="211"/>
        <w:gridCol w:w="766"/>
        <w:gridCol w:w="109"/>
        <w:gridCol w:w="109"/>
        <w:gridCol w:w="109"/>
        <w:gridCol w:w="109"/>
        <w:gridCol w:w="211"/>
        <w:gridCol w:w="781"/>
        <w:gridCol w:w="109"/>
        <w:gridCol w:w="109"/>
        <w:gridCol w:w="109"/>
        <w:gridCol w:w="109"/>
        <w:gridCol w:w="109"/>
        <w:gridCol w:w="109"/>
        <w:gridCol w:w="211"/>
        <w:gridCol w:w="871"/>
        <w:gridCol w:w="154"/>
      </w:tblGrid>
      <w:tr>
        <w:trPr/>
        <w:tc>
          <w:tcPr>
            <w:tcW w:w="85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June 30,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c>
          <w:tcPr>
            <w:tcW w:w="1781" w:type="dxa"/>
            <w:gridSpan w:val="8"/>
            <w:tcBorders/>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Assigned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 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Assigned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 Book</w:t>
              <w:br/>
              <w:t>Value</w:t>
            </w:r>
          </w:p>
        </w:tc>
      </w:tr>
      <w:tr>
        <w:trPr/>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Amortizable Intangible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Clearing firm, market data and other 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Technology-related intellectual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(2,335.0)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2,600.2 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Indefinite-Lived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 –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3,050.2 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Trading products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17,175.3 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17,175.3 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40"/>
        <w:jc w:val="left"/>
        <w:rPr>
          <w:color w:val="000000"/>
        </w:rPr>
      </w:pPr>
      <w:r>
        <w:rPr>
          <w:color w:val="000000"/>
        </w:rPr>
        <w:t>    </w:t>
      </w:r>
    </w:p>
    <w:p>
      <w:pPr>
        <w:pStyle w:val="TextBody"/>
        <w:bidi w:val="0"/>
        <w:spacing w:lineRule="auto" w:line="288" w:before="2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amortization expense for intangible assets was $55.5 million and $57.0 million for the quarters ended June 30, 2024 and 2023, respectively. Total amortization expense for intangible assets was $110.7 million and $113.8 million for the six months ended June 30, 2024 and 2023, respectively.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future estimated amortization expense related to amortizable intangible assets is expected to be as follows:</w:t>
      </w:r>
    </w:p>
    <w:tbl>
      <w:tblPr>
        <w:tblW w:w="3495" w:type="dxa"/>
        <w:jc w:val="left"/>
        <w:tblInd w:w="0" w:type="dxa"/>
        <w:tblLayout w:type="fixed"/>
        <w:tblCellMar>
          <w:top w:w="28" w:type="dxa"/>
          <w:left w:w="28" w:type="dxa"/>
          <w:bottom w:w="28" w:type="dxa"/>
          <w:right w:w="28" w:type="dxa"/>
        </w:tblCellMar>
      </w:tblPr>
      <w:tblGrid>
        <w:gridCol w:w="608"/>
        <w:gridCol w:w="533"/>
        <w:gridCol w:w="539"/>
        <w:gridCol w:w="390"/>
        <w:gridCol w:w="1139"/>
        <w:gridCol w:w="286"/>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Amortization Expense</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ans-serif" w:hAnsi="Times New Roman;sans-serif"/>
          <w:b w:val="false"/>
          <w:color w:val="000000"/>
          <w:sz w:val="20"/>
        </w:rPr>
        <w:t>Goodwill activity consisted of the following for the periods ended June 30, 2024 and December 31, 2023</w:t>
      </w:r>
      <w:r>
        <w:rPr>
          <w:rFonts w:ascii="Times New Roman;sans-serif" w:hAnsi="Times New Roman;sans-serif"/>
          <w:b w:val="false"/>
          <w:color w:val="000000"/>
          <w:sz w:val="18"/>
        </w:rPr>
        <w:t>:</w:t>
      </w:r>
    </w:p>
    <w:tbl>
      <w:tblPr>
        <w:tblW w:w="4157" w:type="dxa"/>
        <w:jc w:val="left"/>
        <w:tblInd w:w="0" w:type="dxa"/>
        <w:tblLayout w:type="fixed"/>
        <w:tblCellMar>
          <w:top w:w="28" w:type="dxa"/>
          <w:left w:w="28" w:type="dxa"/>
          <w:bottom w:w="28" w:type="dxa"/>
          <w:right w:w="28" w:type="dxa"/>
        </w:tblCellMar>
      </w:tblPr>
      <w:tblGrid>
        <w:gridCol w:w="940"/>
        <w:gridCol w:w="826"/>
        <w:gridCol w:w="828"/>
        <w:gridCol w:w="109"/>
        <w:gridCol w:w="109"/>
        <w:gridCol w:w="109"/>
        <w:gridCol w:w="211"/>
        <w:gridCol w:w="871"/>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Goodwill</w:t>
            </w:r>
          </w:p>
        </w:tc>
      </w:tr>
      <w:tr>
        <w:trPr/>
        <w:tc>
          <w:tcPr>
            <w:tcW w:w="2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5. Debt</w:t>
      </w:r>
    </w:p>
    <w:p>
      <w:pPr>
        <w:pStyle w:val="TextBody"/>
        <w:bidi w:val="0"/>
        <w:spacing w:lineRule="auto" w:line="240"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 consisted of the following at June 30, 2024 and December 31, 2023:</w:t>
      </w:r>
    </w:p>
    <w:tbl>
      <w:tblPr>
        <w:tblW w:w="9233" w:type="dxa"/>
        <w:jc w:val="left"/>
        <w:tblInd w:w="0" w:type="dxa"/>
        <w:tblLayout w:type="fixed"/>
        <w:tblCellMar>
          <w:top w:w="28" w:type="dxa"/>
          <w:left w:w="28" w:type="dxa"/>
          <w:bottom w:w="28" w:type="dxa"/>
          <w:right w:w="28" w:type="dxa"/>
        </w:tblCellMar>
      </w:tblPr>
      <w:tblGrid>
        <w:gridCol w:w="2142"/>
        <w:gridCol w:w="1881"/>
        <w:gridCol w:w="1887"/>
        <w:gridCol w:w="109"/>
        <w:gridCol w:w="109"/>
        <w:gridCol w:w="109"/>
        <w:gridCol w:w="253"/>
        <w:gridCol w:w="741"/>
        <w:gridCol w:w="131"/>
        <w:gridCol w:w="109"/>
        <w:gridCol w:w="109"/>
        <w:gridCol w:w="109"/>
        <w:gridCol w:w="422"/>
        <w:gridCol w:w="812"/>
        <w:gridCol w:w="310"/>
      </w:tblGrid>
      <w:tr>
        <w:trPr/>
        <w:tc>
          <w:tcPr>
            <w:tcW w:w="2142"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$750.0 million fixed rate notes due March 2025, stated rate of 3.00% </w:t>
            </w:r>
            <w:r>
              <w:rPr>
                <w:rFonts w:ascii="Times New Roman;sans-serif" w:hAnsi="Times New Roman;sans-serif"/>
                <w:b w:val="false"/>
                <w:color w:val="000000"/>
                <w:sz w:val="13"/>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 maintained a forward-starting interest rate swap agreement that modified the interest obligation associated with these notes so that the interest payable on the notes effectively became fixed at a rate of 3.11%</w:t>
      </w:r>
    </w:p>
    <w:p>
      <w:pPr>
        <w:pStyle w:val="TextBody"/>
        <w:bidi w:val="0"/>
        <w:spacing w:lineRule="auto" w:line="240" w:before="20" w:after="120"/>
        <w:jc w:val="left"/>
        <w:rPr/>
      </w:pPr>
      <w:r>
        <w:rPr>
          <w:rFonts w:ascii="Times New Roman;sans-serif" w:hAnsi="Times New Roman;sans-serif"/>
          <w:b w:val="false"/>
          <w:color w:val="000000"/>
          <w:sz w:val="20"/>
        </w:rPr>
        <w:t>Long-term debt consisted of the following at June 30, 2024 and December 31, 2023:</w:t>
      </w:r>
      <w:r>
        <w:rPr>
          <w:color w:val="000000"/>
        </w:rPr>
        <w:t> </w:t>
      </w:r>
    </w:p>
    <w:tbl>
      <w:tblPr>
        <w:tblW w:w="9563" w:type="dxa"/>
        <w:jc w:val="left"/>
        <w:tblInd w:w="0" w:type="dxa"/>
        <w:tblLayout w:type="fixed"/>
        <w:tblCellMar>
          <w:top w:w="28" w:type="dxa"/>
          <w:left w:w="28" w:type="dxa"/>
          <w:bottom w:w="28" w:type="dxa"/>
          <w:right w:w="28" w:type="dxa"/>
        </w:tblCellMar>
      </w:tblPr>
      <w:tblGrid>
        <w:gridCol w:w="2261"/>
        <w:gridCol w:w="1986"/>
        <w:gridCol w:w="1992"/>
        <w:gridCol w:w="109"/>
        <w:gridCol w:w="109"/>
        <w:gridCol w:w="109"/>
        <w:gridCol w:w="218"/>
        <w:gridCol w:w="794"/>
        <w:gridCol w:w="113"/>
        <w:gridCol w:w="109"/>
        <w:gridCol w:w="109"/>
        <w:gridCol w:w="109"/>
        <w:gridCol w:w="288"/>
        <w:gridCol w:w="1047"/>
        <w:gridCol w:w="210"/>
      </w:tblGrid>
      <w:tr>
        <w:trPr/>
        <w:tc>
          <w:tcPr>
            <w:tcW w:w="2261"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$750.0 million fixed rate notes due March 2025, stated rate of 3.00% </w:t>
            </w:r>
            <w:r>
              <w:rPr>
                <w:rFonts w:ascii="Times New Roman;sans-serif" w:hAnsi="Times New Roman;sans-serif"/>
                <w:b w:val="false"/>
                <w:color w:val="000000"/>
                <w:sz w:val="13"/>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$500.0 million fixed rate notes due June 2028, stated rate of 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$750.0 million fixed rate notes due March 2032, stated rate of 2.65%</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$750.0 million fixed rate notes due September 2043, stated rate of 5.30%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$700.0 million fixed rate notes due June 2048, stated rate of 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3,425.4 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 maintained a forward-starting interest rate swap agreement that modified the interest obligation associated with these notes so that the interest payable on the notes effectively became fixed at a rate of 3.11%.</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company maintained a forward-starting interest rate swap agreement that modified the interest obligation associated with these notes so that the interest payable on the notes effectively became fixed at a rate of 4.73%. </w:t>
      </w:r>
    </w:p>
    <w:p>
      <w:pPr>
        <w:pStyle w:val="TextBody"/>
        <w:bidi w:val="0"/>
        <w:spacing w:lineRule="auto" w:line="240" w:before="100" w:after="100"/>
        <w:jc w:val="left"/>
        <w:rPr/>
      </w:pPr>
      <w:r>
        <w:rPr>
          <w:rFonts w:ascii="Times New Roman;sans-serif" w:hAnsi="Times New Roman;sans-serif"/>
          <w:b w:val="false"/>
          <w:color w:val="000000"/>
          <w:sz w:val="20"/>
        </w:rPr>
        <w:t xml:space="preserve">Long-term debt maturities, at par value, were as follows at June 30, 2024: </w:t>
      </w:r>
      <w:r>
        <w:rPr>
          <w:color w:val="000000"/>
        </w:rPr>
        <w:t> </w:t>
      </w:r>
    </w:p>
    <w:tbl>
      <w:tblPr>
        <w:tblW w:w="1916" w:type="dxa"/>
        <w:jc w:val="left"/>
        <w:tblInd w:w="0" w:type="dxa"/>
        <w:tblLayout w:type="fixed"/>
        <w:tblCellMar>
          <w:top w:w="28" w:type="dxa"/>
          <w:left w:w="28" w:type="dxa"/>
          <w:bottom w:w="28" w:type="dxa"/>
          <w:right w:w="28" w:type="dxa"/>
        </w:tblCellMar>
      </w:tblPr>
      <w:tblGrid>
        <w:gridCol w:w="353"/>
        <w:gridCol w:w="310"/>
        <w:gridCol w:w="311"/>
        <w:gridCol w:w="261"/>
        <w:gridCol w:w="505"/>
        <w:gridCol w:w="176"/>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r>
      <w:tr>
        <w:trPr/>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6. Contingencies</w:t>
      </w:r>
    </w:p>
    <w:p>
      <w:pPr>
        <w:pStyle w:val="TextBody"/>
        <w:bidi w:val="0"/>
        <w:spacing w:lineRule="auto" w:line="276" w:before="100" w:after="100"/>
        <w:jc w:val="left"/>
        <w:rPr/>
      </w:pPr>
      <w:r>
        <w:rPr>
          <w:rFonts w:ascii="Times New Roman;sans-serif" w:hAnsi="Times New Roman;sans-serif"/>
          <w:b w:val="false"/>
          <w:i/>
          <w:color w:val="000000"/>
          <w:sz w:val="20"/>
        </w:rPr>
        <w:t xml:space="preserve">Legal and Regulatory Matters. </w:t>
      </w:r>
      <w:r>
        <w:rPr>
          <w:rFonts w:ascii="Times New Roman;sans-serif" w:hAnsi="Times New Roman;sans-serif"/>
          <w:b w:val="false"/>
          <w:color w:val="000000"/>
          <w:sz w:val="20"/>
        </w:rPr>
        <w:t xml:space="preserve">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the company's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 putative class action complaint was filed January 15, 2014 in the Circuit Court of Cook County, Chancery Division, against CME Group Inc. and the Board of Trade of the City of Chicago, Inc. The plaintiffs, certain Class B shareholders of CME Group and Class B members of CBOT, allege breach of contract and breach of the implied covenant of good faith and fair dealing for violations of their core rights granted in the defendants’ respective Certificates of Incorporation. On December 2, 2021, the court granted the plaintiffs’ motion for certification of a damages-only class. No trial date has been set. Given the uncertainty of factors that may potentially affect the resolution of the matter, at this time the company is unable to estimate the reasonably possible loss or range of reasonably possible losses in the unlikely event it were found to be liable at trial. Based on its investigation to date, the company believes that it has strong factual and legal defenses to the claims.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pStyle w:val="TextBody"/>
        <w:bidi w:val="0"/>
        <w:spacing w:lineRule="auto" w:line="288" w:before="0" w:after="1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 accrual was required for contingent legal and regulatory matters as none were probable and estimable as of June 30, 2024 and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60"/>
        <w:jc w:val="left"/>
        <w:rPr/>
      </w:pPr>
      <w:r>
        <w:rPr>
          <w:rFonts w:ascii="Times New Roman;sans-serif" w:hAnsi="Times New Roman;sans-serif"/>
          <w:b w:val="false"/>
          <w:i/>
          <w:color w:val="000000"/>
          <w:sz w:val="20"/>
        </w:rPr>
        <w:t>Intellectual Property Indemnifications</w:t>
      </w:r>
      <w:r>
        <w:rPr>
          <w:rFonts w:ascii="Times New Roman;sans-serif" w:hAnsi="Times New Roman;sans-serif"/>
          <w:b w:val="false"/>
          <w:color w:val="000000"/>
          <w:sz w:val="20"/>
        </w:rPr>
        <w:t>. Certain agreements with customers and other third parties related to accessing the CME Group platforms, utilizing market data services and licensing SPAN and SPAN 2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7. Leases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operating leases for corporate offices. The operating leases have remaining lease terms of up to 14 years, some of which include options to extend or renew the leases for up to an additional five years, and some of which include options to early terminate the leases in less than 12 months. Management evaluates whether these options are exercisable at least quarterly in order to determine whether the contract term must be reassessed. For a small number of the leases, primarily the international locations, management’s approach is to enter into short-term leases for a lease term of 12 months or less in order to provide for greater flexibility in the local environment. For certain office spaces, the company has entered into arrangements to sublease excess space to third parties, while the original lease contract remains in effect with the landlord.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has one finance lease, which is related to the sale of our data center in March 2016. In connection with the sale, the company leased back a portion of the property. The transaction was recognized under the financing method and not as a sale leaseback arrangement.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right-of-use lease asset is recorded within other assets, and the present value of the lease liability is recorded within other liabilities (segregated between short term and long term) on the consolidated balance sheets. The discount rate applied to the lease payments represents the company’s incremental borrowing rate.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were as follows:</w:t>
      </w:r>
    </w:p>
    <w:tbl>
      <w:tblPr>
        <w:tblW w:w="9029" w:type="dxa"/>
        <w:jc w:val="left"/>
        <w:tblInd w:w="0" w:type="dxa"/>
        <w:tblLayout w:type="fixed"/>
        <w:tblCellMar>
          <w:top w:w="28" w:type="dxa"/>
          <w:left w:w="28" w:type="dxa"/>
          <w:bottom w:w="28" w:type="dxa"/>
          <w:right w:w="28" w:type="dxa"/>
        </w:tblCellMar>
      </w:tblPr>
      <w:tblGrid>
        <w:gridCol w:w="1695"/>
        <w:gridCol w:w="1490"/>
        <w:gridCol w:w="1494"/>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69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Quarter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 xml:space="preserve">June 30, </w:t>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expense included in other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expense:</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revenue included in other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was as follows:</w:t>
      </w:r>
    </w:p>
    <w:tbl>
      <w:tblPr>
        <w:tblW w:w="7244" w:type="dxa"/>
        <w:jc w:val="left"/>
        <w:tblInd w:w="0" w:type="dxa"/>
        <w:tblLayout w:type="fixed"/>
        <w:tblCellMar>
          <w:top w:w="28" w:type="dxa"/>
          <w:left w:w="28" w:type="dxa"/>
          <w:bottom w:w="28" w:type="dxa"/>
          <w:right w:w="28" w:type="dxa"/>
        </w:tblCellMar>
      </w:tblPr>
      <w:tblGrid>
        <w:gridCol w:w="1049"/>
        <w:gridCol w:w="921"/>
        <w:gridCol w:w="924"/>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Quarter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 xml:space="preserve">June 30, </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outflows for operating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outflows for finance leases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Supplemental balance sheet information related to leases was as follows: </w:t>
      </w:r>
    </w:p>
    <w:p>
      <w:pPr>
        <w:pStyle w:val="TextBody"/>
        <w:bidi w:val="0"/>
        <w:spacing w:lineRule="auto" w:line="288" w:before="120" w:after="120"/>
        <w:jc w:val="left"/>
        <w:rPr/>
      </w:pPr>
      <w:r>
        <w:rPr>
          <w:rFonts w:ascii="Times New Roman;sans-serif" w:hAnsi="Times New Roman;sans-serif"/>
          <w:b/>
          <w:i/>
          <w:color w:val="000000"/>
          <w:sz w:val="20"/>
        </w:rPr>
        <w:t>Operating leases</w:t>
      </w:r>
      <w:r>
        <w:rPr>
          <w:color w:val="000000"/>
        </w:rPr>
        <w:t xml:space="preserve"> </w:t>
      </w:r>
    </w:p>
    <w:tbl>
      <w:tblPr>
        <w:tblW w:w="7285" w:type="dxa"/>
        <w:jc w:val="left"/>
        <w:tblInd w:w="0" w:type="dxa"/>
        <w:tblLayout w:type="fixed"/>
        <w:tblCellMar>
          <w:top w:w="28" w:type="dxa"/>
          <w:left w:w="28" w:type="dxa"/>
          <w:bottom w:w="28" w:type="dxa"/>
          <w:right w:w="28" w:type="dxa"/>
        </w:tblCellMar>
      </w:tblPr>
      <w:tblGrid>
        <w:gridCol w:w="1553"/>
        <w:gridCol w:w="1364"/>
        <w:gridCol w:w="1372"/>
        <w:gridCol w:w="216"/>
        <w:gridCol w:w="631"/>
        <w:gridCol w:w="277"/>
        <w:gridCol w:w="109"/>
        <w:gridCol w:w="109"/>
        <w:gridCol w:w="109"/>
        <w:gridCol w:w="285"/>
        <w:gridCol w:w="833"/>
        <w:gridCol w:w="427"/>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(in months)</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20"/>
        <w:jc w:val="left"/>
        <w:rPr/>
      </w:pPr>
      <w:r>
        <w:rPr>
          <w:rFonts w:ascii="Times New Roman;sans-serif" w:hAnsi="Times New Roman;sans-serif"/>
          <w:b/>
          <w:i/>
          <w:color w:val="000000"/>
          <w:sz w:val="20"/>
        </w:rPr>
        <w:t>Finance leases</w:t>
      </w:r>
      <w:r>
        <w:rPr>
          <w:color w:val="000000"/>
        </w:rPr>
        <w:t xml:space="preserve"> </w:t>
      </w:r>
    </w:p>
    <w:tbl>
      <w:tblPr>
        <w:tblW w:w="7287" w:type="dxa"/>
        <w:jc w:val="left"/>
        <w:tblInd w:w="0" w:type="dxa"/>
        <w:tblLayout w:type="fixed"/>
        <w:tblCellMar>
          <w:top w:w="28" w:type="dxa"/>
          <w:left w:w="28" w:type="dxa"/>
          <w:bottom w:w="28" w:type="dxa"/>
          <w:right w:w="28" w:type="dxa"/>
        </w:tblCellMar>
      </w:tblPr>
      <w:tblGrid>
        <w:gridCol w:w="1554"/>
        <w:gridCol w:w="1364"/>
        <w:gridCol w:w="1372"/>
        <w:gridCol w:w="239"/>
        <w:gridCol w:w="579"/>
        <w:gridCol w:w="307"/>
        <w:gridCol w:w="109"/>
        <w:gridCol w:w="109"/>
        <w:gridCol w:w="109"/>
        <w:gridCol w:w="314"/>
        <w:gridCol w:w="761"/>
        <w:gridCol w:w="470"/>
      </w:tblGrid>
      <w:tr>
        <w:trPr/>
        <w:tc>
          <w:tcPr>
            <w:tcW w:w="15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(in months)</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were as follows as of June 30, 2024 for operating and finance leases:</w:t>
      </w:r>
    </w:p>
    <w:tbl>
      <w:tblPr>
        <w:tblW w:w="4084" w:type="dxa"/>
        <w:jc w:val="left"/>
        <w:tblInd w:w="0" w:type="dxa"/>
        <w:tblLayout w:type="fixed"/>
        <w:tblCellMar>
          <w:top w:w="28" w:type="dxa"/>
          <w:left w:w="28" w:type="dxa"/>
          <w:bottom w:w="28" w:type="dxa"/>
          <w:right w:w="28" w:type="dxa"/>
        </w:tblCellMar>
      </w:tblPr>
      <w:tblGrid>
        <w:gridCol w:w="928"/>
        <w:gridCol w:w="814"/>
        <w:gridCol w:w="823"/>
        <w:gridCol w:w="109"/>
        <w:gridCol w:w="303"/>
        <w:gridCol w:w="886"/>
        <w:gridCol w:w="221"/>
      </w:tblGrid>
      <w:tr>
        <w:trPr/>
        <w:tc>
          <w:tcPr>
            <w:tcW w:w="92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25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tbl>
      <w:tblPr>
        <w:tblW w:w="3904" w:type="dxa"/>
        <w:jc w:val="center"/>
        <w:tblInd w:w="0" w:type="dxa"/>
        <w:tblLayout w:type="fixed"/>
        <w:tblCellMar>
          <w:top w:w="28" w:type="dxa"/>
          <w:left w:w="28" w:type="dxa"/>
          <w:bottom w:w="28" w:type="dxa"/>
          <w:right w:w="28" w:type="dxa"/>
        </w:tblCellMar>
      </w:tblPr>
      <w:tblGrid>
        <w:gridCol w:w="928"/>
        <w:gridCol w:w="814"/>
        <w:gridCol w:w="823"/>
        <w:gridCol w:w="109"/>
        <w:gridCol w:w="296"/>
        <w:gridCol w:w="718"/>
        <w:gridCol w:w="216"/>
      </w:tblGrid>
      <w:tr>
        <w:trPr/>
        <w:tc>
          <w:tcPr>
            <w:tcW w:w="92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25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8. Guarantees</w:t>
      </w:r>
    </w:p>
    <w:p>
      <w:pPr>
        <w:pStyle w:val="TextBody"/>
        <w:bidi w:val="0"/>
        <w:spacing w:lineRule="auto" w:line="288" w:before="120" w:after="120"/>
        <w:jc w:val="left"/>
        <w:rPr/>
      </w:pPr>
      <w:r>
        <w:rPr>
          <w:rFonts w:ascii="Times New Roman;sans-serif" w:hAnsi="Times New Roman;sans-serif"/>
          <w:b w:val="false"/>
          <w:i/>
          <w:color w:val="000000"/>
          <w:sz w:val="20"/>
        </w:rPr>
        <w:t xml:space="preserve">Mutual Offset Agreement. </w:t>
      </w:r>
      <w:r>
        <w:rPr>
          <w:rFonts w:ascii="Times New Roman;sans-serif" w:hAnsi="Times New Roman;sans-serif"/>
          <w:b w:val="false"/>
          <w:color w:val="000000"/>
          <w:sz w:val="20"/>
        </w:rPr>
        <w:t xml:space="preserve">CME and Singapore Exchange Limited (SGX) maintain a mutual offset agreement with a current term through April 2025. This agreement enables market participants to open a futures position on one exchange and liquidate it on the other. The term of the agreement will automatically renew for a two-year period after April 2025 unless either party provides advance notice of their intent to terminate. CME can maintain collateral in the form of irrevocable, standby letters of credit. At June 30, 2024, CME was contingently liable to SGX on letters of credit totaling </w:t>
      </w:r>
      <w:r>
        <w:rPr>
          <w:rFonts w:ascii="Times New Roman;sans-serif" w:hAnsi="Times New Roman;sans-serif"/>
          <w:b w:val="false"/>
          <w:color w:val="000000"/>
          <w:sz w:val="20"/>
          <w:shd w:fill="FFFFFF" w:val="clear"/>
        </w:rPr>
        <w:t>$285.0 million</w:t>
      </w:r>
      <w:r>
        <w:rPr>
          <w:rFonts w:ascii="Times New Roman;sans-serif" w:hAnsi="Times New Roman;sans-serif"/>
          <w:b w:val="false"/>
          <w:color w:val="000000"/>
          <w:sz w:val="20"/>
        </w:rPr>
        <w:t xml:space="preserve">. CME also maintains a </w:t>
      </w:r>
      <w:r>
        <w:rPr>
          <w:rFonts w:ascii="Times New Roman;sans-serif" w:hAnsi="Times New Roman;sans-serif"/>
          <w:b w:val="false"/>
          <w:color w:val="000000"/>
          <w:sz w:val="20"/>
          <w:shd w:fill="FFFFFF" w:val="clear"/>
        </w:rPr>
        <w:t>$350.0 million</w:t>
      </w:r>
      <w:r>
        <w:rPr>
          <w:color w:val="000000"/>
        </w:rPr>
        <w:t xml:space="preserve"> </w:t>
      </w:r>
      <w:r>
        <w:rPr>
          <w:rFonts w:ascii="Times New Roman;sans-serif" w:hAnsi="Times New Roman;sans-serif"/>
          <w:b w:val="false"/>
          <w:color w:val="000000"/>
          <w:sz w:val="20"/>
        </w:rPr>
        <w:t>line of credit to meet its obligations under this agreement.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Management has assessed the fair value of the company’s guarantee liability under this mutual offset agreement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June 30, 2024 and December 31, 2023.</w:t>
      </w:r>
    </w:p>
    <w:p>
      <w:pPr>
        <w:pStyle w:val="TextBody"/>
        <w:bidi w:val="0"/>
        <w:spacing w:lineRule="auto" w:line="288" w:before="120" w:after="120"/>
        <w:jc w:val="left"/>
        <w:rPr/>
      </w:pPr>
      <w:r>
        <w:rPr>
          <w:rFonts w:ascii="Times New Roman;sans-serif" w:hAnsi="Times New Roman;sans-serif"/>
          <w:b w:val="false"/>
          <w:i/>
          <w:color w:val="000000"/>
          <w:sz w:val="20"/>
        </w:rPr>
        <w:t xml:space="preserve">Family Farmer and Rancher Protection Fund. </w:t>
      </w:r>
      <w:r>
        <w:rPr>
          <w:rFonts w:ascii="Times New Roman;sans-serif" w:hAnsi="Times New Roman;sans-serif"/>
          <w:b w:val="false"/>
          <w:color w:val="000000"/>
          <w:sz w:val="20"/>
        </w:rPr>
        <w:t>In 2012, the company established the Family Farmer and Rancher Protection Fund (the Fund). The Fund is designed to provide payments, up to certain maximum levels, to family farmers, ranchers and other agricultural industry participants who use the company’s agricultural commodity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members and customers must register with the company in advance and provide certain documentation in order to substantiate their eligibility. The company believes that its guarantee liability is nominal and therefore has not recorded any liability at June 30,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9. Accumulated Other Comprehensive Income (Loss)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changes in the accumulated balances for each component of other comprehensive income (loss), including current period other comprehensive income (loss) and reclassifications out of accumulated other comprehensive income (loss):</w:t>
      </w:r>
    </w:p>
    <w:tbl>
      <w:tblPr>
        <w:tblW w:w="10205" w:type="dxa"/>
        <w:jc w:val="left"/>
        <w:tblInd w:w="0" w:type="dxa"/>
        <w:tblLayout w:type="fixed"/>
        <w:tblCellMar>
          <w:top w:w="28" w:type="dxa"/>
          <w:left w:w="28" w:type="dxa"/>
          <w:bottom w:w="28" w:type="dxa"/>
          <w:right w:w="28" w:type="dxa"/>
        </w:tblCellMar>
      </w:tblPr>
      <w:tblGrid>
        <w:gridCol w:w="1409"/>
        <w:gridCol w:w="931"/>
        <w:gridCol w:w="903"/>
        <w:gridCol w:w="317"/>
        <w:gridCol w:w="633"/>
        <w:gridCol w:w="166"/>
        <w:gridCol w:w="109"/>
        <w:gridCol w:w="109"/>
        <w:gridCol w:w="109"/>
        <w:gridCol w:w="261"/>
        <w:gridCol w:w="685"/>
        <w:gridCol w:w="135"/>
        <w:gridCol w:w="109"/>
        <w:gridCol w:w="109"/>
        <w:gridCol w:w="109"/>
        <w:gridCol w:w="304"/>
        <w:gridCol w:w="736"/>
        <w:gridCol w:w="158"/>
        <w:gridCol w:w="109"/>
        <w:gridCol w:w="109"/>
        <w:gridCol w:w="109"/>
        <w:gridCol w:w="289"/>
        <w:gridCol w:w="907"/>
        <w:gridCol w:w="149"/>
        <w:gridCol w:w="109"/>
        <w:gridCol w:w="109"/>
        <w:gridCol w:w="109"/>
        <w:gridCol w:w="211"/>
        <w:gridCol w:w="543"/>
        <w:gridCol w:w="160"/>
      </w:tblGrid>
      <w:tr>
        <w:trPr/>
        <w:tc>
          <w:tcPr>
            <w:tcW w:w="14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 and income tax benefit (expense)</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current period other comprehensive income (loss) </w:t>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89"/>
        <w:gridCol w:w="908"/>
        <w:gridCol w:w="880"/>
        <w:gridCol w:w="315"/>
        <w:gridCol w:w="629"/>
        <w:gridCol w:w="164"/>
        <w:gridCol w:w="109"/>
        <w:gridCol w:w="109"/>
        <w:gridCol w:w="109"/>
        <w:gridCol w:w="260"/>
        <w:gridCol w:w="679"/>
        <w:gridCol w:w="134"/>
        <w:gridCol w:w="109"/>
        <w:gridCol w:w="109"/>
        <w:gridCol w:w="109"/>
        <w:gridCol w:w="302"/>
        <w:gridCol w:w="730"/>
        <w:gridCol w:w="157"/>
        <w:gridCol w:w="109"/>
        <w:gridCol w:w="109"/>
        <w:gridCol w:w="109"/>
        <w:gridCol w:w="287"/>
        <w:gridCol w:w="897"/>
        <w:gridCol w:w="148"/>
        <w:gridCol w:w="109"/>
        <w:gridCol w:w="109"/>
        <w:gridCol w:w="109"/>
        <w:gridCol w:w="211"/>
        <w:gridCol w:w="648"/>
        <w:gridCol w:w="159"/>
      </w:tblGrid>
      <w:tr>
        <w:trPr/>
        <w:tc>
          <w:tcPr>
            <w:tcW w:w="138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 and income tax benefit (expense)</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current period other comprehensive income (loss) </w:t>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10. Fair Value Measurements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a three-level classification hierarchy of fair value measurements for disclosure purposes: </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 xml:space="preserve">Level 1 inputs, which are considered the most reliable evidence of fair value, consist of quoted prices (unadjusted) for identical assets or liabilities in active markets. </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 xml:space="preserve">Level 2 inputs consist of observable market data, such as quoted prices for similar assets and liabilities in active markets, or inputs other than quoted prices that are directly observable. </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Level 3 inputs consist of unobservable inputs which are derived and cannot be corroborated by market data or other entity-specific inputs.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level 2 assets and liabilities generally consist of long-term debt notes. The fair values of the long-term debt notes were based on quoted market prices in an inactive market.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level 3 assets and liabilities include certain investments that were adjusted to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pPr>
      <w:r>
        <w:rPr>
          <w:rFonts w:ascii="Times New Roman;sans-serif" w:hAnsi="Times New Roman;sans-serif"/>
          <w:b w:val="false"/>
          <w:i/>
          <w:color w:val="000000"/>
          <w:sz w:val="20"/>
        </w:rPr>
        <w:t xml:space="preserve">Recurring Fair Value Measurements. </w:t>
      </w:r>
      <w:r>
        <w:rPr>
          <w:rFonts w:ascii="Times New Roman;sans-serif" w:hAnsi="Times New Roman;sans-serif"/>
          <w:b w:val="false"/>
          <w:color w:val="000000"/>
          <w:sz w:val="20"/>
        </w:rPr>
        <w:t>Financial assets and liabilities recorded at fair value on the consolidated balance sheet as of June 30, 2024 were classified in their entirety based on the lowest level of input that was significant to each asset and liability’s fair value measurement. The following table presents financial instruments measured at fair value on a recurring basis:</w:t>
      </w:r>
    </w:p>
    <w:tbl>
      <w:tblPr>
        <w:tblW w:w="7047" w:type="dxa"/>
        <w:jc w:val="left"/>
        <w:tblInd w:w="0" w:type="dxa"/>
        <w:tblLayout w:type="fixed"/>
        <w:tblCellMar>
          <w:top w:w="28" w:type="dxa"/>
          <w:left w:w="28" w:type="dxa"/>
          <w:bottom w:w="28" w:type="dxa"/>
          <w:right w:w="28" w:type="dxa"/>
        </w:tblCellMar>
      </w:tblPr>
      <w:tblGrid>
        <w:gridCol w:w="859"/>
        <w:gridCol w:w="754"/>
        <w:gridCol w:w="757"/>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at 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pPr>
      <w:r>
        <w:rPr>
          <w:rFonts w:ascii="Times New Roman;sans-serif" w:hAnsi="Times New Roman;sans-serif"/>
          <w:b w:val="false"/>
          <w:i/>
          <w:color w:val="000000"/>
          <w:sz w:val="20"/>
          <w:shd w:fill="FFFFFF" w:val="clear"/>
        </w:rPr>
        <w:t xml:space="preserve">Non-Recurring Fair Value Measurements. </w:t>
      </w:r>
      <w:r>
        <w:rPr>
          <w:rFonts w:ascii="Times New Roman;sans-serif" w:hAnsi="Times New Roman;sans-serif"/>
          <w:b w:val="false"/>
          <w:color w:val="000000"/>
          <w:sz w:val="20"/>
          <w:shd w:fill="FFFFFF" w:val="clear"/>
        </w:rPr>
        <w:t>The company recognized an unrealized gain on investments of</w:t>
      </w:r>
      <w:r>
        <w:rPr>
          <w:color w:val="000000"/>
        </w:rPr>
        <w:t xml:space="preserve"> </w:t>
      </w:r>
      <w:r>
        <w:rPr>
          <w:rFonts w:ascii="Times New Roman;sans-serif" w:hAnsi="Times New Roman;sans-serif"/>
          <w:b w:val="false"/>
          <w:color w:val="000000"/>
          <w:sz w:val="20"/>
        </w:rPr>
        <w:t xml:space="preserve">$1.5 million on an </w:t>
      </w:r>
      <w:r>
        <w:rPr>
          <w:rFonts w:ascii="Times New Roman;sans-serif" w:hAnsi="Times New Roman;sans-serif"/>
          <w:b w:val="false"/>
          <w:color w:val="000000"/>
          <w:sz w:val="20"/>
          <w:shd w:fill="FFFFFF" w:val="clear"/>
        </w:rPr>
        <w:t>equity investment without readily determinable fair value. The fair value of this investment was estimated to be $8.6 million at June 30, 2024. This fair value assessment was based on quantitative factors, including observable price changes. The fair value measurement of this investment is considered level 3 and non-recurring.</w:t>
      </w:r>
    </w:p>
    <w:p>
      <w:pPr>
        <w:pStyle w:val="TextBody"/>
        <w:bidi w:val="0"/>
        <w:spacing w:lineRule="auto" w:line="288" w:before="180" w:after="283"/>
        <w:jc w:val="left"/>
        <w:rPr/>
      </w:pPr>
      <w:r>
        <w:rPr>
          <w:rFonts w:ascii="Times New Roman;sans-serif" w:hAnsi="Times New Roman;sans-serif"/>
          <w:b w:val="false"/>
          <w:i/>
          <w:color w:val="000000"/>
          <w:sz w:val="20"/>
          <w:shd w:fill="FFFFFF" w:val="clear"/>
        </w:rPr>
        <w:t xml:space="preserve">Fair Values of Debt Notes. </w:t>
      </w:r>
      <w:r>
        <w:rPr>
          <w:rFonts w:ascii="Times New Roman;sans-serif" w:hAnsi="Times New Roman;sans-serif"/>
          <w:b w:val="false"/>
          <w:color w:val="000000"/>
          <w:sz w:val="20"/>
          <w:shd w:fill="FFFFFF" w:val="clear"/>
        </w:rPr>
        <w:t>The follo</w:t>
      </w:r>
      <w:r>
        <w:rPr>
          <w:rFonts w:ascii="Times New Roman;sans-serif" w:hAnsi="Times New Roman;sans-serif"/>
          <w:b w:val="false"/>
          <w:color w:val="000000"/>
          <w:sz w:val="20"/>
        </w:rPr>
        <w:t xml:space="preserve">wing presents the estimated fair values of short-term and long-term debt notes, which are carried at amortized cost on the consolidated balance sheets. The fair values below are classified as level 2 under the fair value hierarchy and were estimated using quoted market prices in inactive markets. </w:t>
      </w:r>
    </w:p>
    <w:p>
      <w:pPr>
        <w:pStyle w:val="TextBody"/>
        <w:bidi w:val="0"/>
        <w:spacing w:lineRule="auto" w:line="240"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the fair values were as follows:</w:t>
      </w:r>
    </w:p>
    <w:tbl>
      <w:tblPr>
        <w:tblW w:w="6361" w:type="dxa"/>
        <w:jc w:val="left"/>
        <w:tblInd w:w="0" w:type="dxa"/>
        <w:tblLayout w:type="fixed"/>
        <w:tblCellMar>
          <w:top w:w="28" w:type="dxa"/>
          <w:left w:w="28" w:type="dxa"/>
          <w:bottom w:w="28" w:type="dxa"/>
          <w:right w:w="28" w:type="dxa"/>
        </w:tblCellMar>
      </w:tblPr>
      <w:tblGrid>
        <w:gridCol w:w="1570"/>
        <w:gridCol w:w="1380"/>
        <w:gridCol w:w="1384"/>
        <w:gridCol w:w="211"/>
        <w:gridCol w:w="616"/>
        <w:gridCol w:w="109"/>
        <w:gridCol w:w="109"/>
        <w:gridCol w:w="109"/>
        <w:gridCol w:w="109"/>
        <w:gridCol w:w="222"/>
        <w:gridCol w:w="222"/>
        <w:gridCol w:w="320"/>
      </w:tblGrid>
      <w:tr>
        <w:trPr/>
        <w:tc>
          <w:tcPr>
            <w:tcW w:w="157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w:t>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$750.0 million fixed rate notes due March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$500.0 million fixed rate notes due June 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$750.0 million fixed rate notes due March 2032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$750.0 million fixed rate notes due September 2043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$700.0 million fixed rate notes due June 2048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righ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11. Earnings Per Share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the two-class method to calculate basic and diluted earnings per common share because its Series G preferred stock are participating securities. Under the two-class method, undistributed earnings are allocated to common stock and participating securities according to their respective rights in undistributed earnings, as if all of the earnings for the period had been distributed. Basic earnings per common share is computed by dividing the net income attributable to common shareholders by the weighted average number of common shares outstanding during the period. Net income attributable to common shareholders is reduced for preferred stock dividends earned during the period. Preferred stock also receives a proportionate allocation of undistributed or overdistributed earnings for the period because Series G preferred stock has a contractual obligation to share in profits and losses of the company. Diluted earnings per share is computed by dividing the net income attributable to common shareholders by the weighted average number of common shares outstanding plus potentially dilutive common shares. Anti-dilutive stock awards were as follows for the periods presented:</w:t>
      </w:r>
    </w:p>
    <w:tbl>
      <w:tblPr>
        <w:tblW w:w="4658" w:type="dxa"/>
        <w:jc w:val="center"/>
        <w:tblInd w:w="0" w:type="dxa"/>
        <w:tblLayout w:type="fixed"/>
        <w:tblCellMar>
          <w:top w:w="28" w:type="dxa"/>
          <w:left w:w="28" w:type="dxa"/>
          <w:bottom w:w="28" w:type="dxa"/>
          <w:right w:w="28" w:type="dxa"/>
        </w:tblCellMar>
      </w:tblPr>
      <w:tblGrid>
        <w:gridCol w:w="429"/>
        <w:gridCol w:w="377"/>
        <w:gridCol w:w="378"/>
        <w:gridCol w:w="155"/>
        <w:gridCol w:w="155"/>
        <w:gridCol w:w="156"/>
        <w:gridCol w:w="138"/>
        <w:gridCol w:w="138"/>
        <w:gridCol w:w="138"/>
        <w:gridCol w:w="233"/>
        <w:gridCol w:w="233"/>
        <w:gridCol w:w="156"/>
        <w:gridCol w:w="109"/>
        <w:gridCol w:w="109"/>
        <w:gridCol w:w="109"/>
        <w:gridCol w:w="159"/>
        <w:gridCol w:w="159"/>
        <w:gridCol w:w="159"/>
        <w:gridCol w:w="159"/>
        <w:gridCol w:w="159"/>
        <w:gridCol w:w="159"/>
        <w:gridCol w:w="233"/>
        <w:gridCol w:w="233"/>
        <w:gridCol w:w="225"/>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Quarter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 xml:space="preserve">June 30, </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w:t>
            </w:r>
          </w:p>
        </w:tc>
        <w:tc>
          <w:tcPr>
            <w:tcW w:w="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earnings per share calculation for the periods presented:</w:t>
      </w:r>
    </w:p>
    <w:tbl>
      <w:tblPr>
        <w:tblW w:w="10205" w:type="dxa"/>
        <w:jc w:val="left"/>
        <w:tblInd w:w="0" w:type="dxa"/>
        <w:tblLayout w:type="fixed"/>
        <w:tblCellMar>
          <w:top w:w="28" w:type="dxa"/>
          <w:left w:w="28" w:type="dxa"/>
          <w:bottom w:w="28" w:type="dxa"/>
          <w:right w:w="28" w:type="dxa"/>
        </w:tblCellMar>
      </w:tblPr>
      <w:tblGrid>
        <w:gridCol w:w="1831"/>
        <w:gridCol w:w="1481"/>
        <w:gridCol w:w="1494"/>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6"/>
      </w:tblGrid>
      <w:tr>
        <w:trPr/>
        <w:tc>
          <w:tcPr>
            <w:tcW w:w="183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Quarter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 xml:space="preserve">June 30, </w:t>
            </w:r>
          </w:p>
        </w:tc>
      </w:tr>
      <w:tr>
        <w:trPr/>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Income </w:t>
            </w:r>
            <w:r>
              <w:rPr>
                <w:rFonts w:ascii="Times New Roman;sans-serif" w:hAnsi="Times New Roman;sans-serif"/>
                <w:b w:val="false"/>
                <w:i/>
                <w:color w:val="000000"/>
                <w:sz w:val="20"/>
              </w:rPr>
              <w:t>(in millions)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undistributed earnings allocated to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Shareholders of CME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Weighted Average Number of Common Shares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stock options, restricted stock and performance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Attributable to Common Shareholders of CME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12. Subsequent Events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evaluated subsequent events through the date the financial statements were issued. The company has determined that there were no subsequent events that met the requirement for recognition or disclosure in the consolidated financial statements.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2"/>
        <w:gridCol w:w="265"/>
        <w:gridCol w:w="267"/>
        <w:gridCol w:w="2740"/>
        <w:gridCol w:w="2740"/>
        <w:gridCol w:w="3891"/>
      </w:tblGrid>
      <w:tr>
        <w:trPr/>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1" w:type="dxa"/>
            <w:tcBorders/>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tc>
      </w:tr>
    </w:tbl>
    <w:p>
      <w:pPr>
        <w:pStyle w:val="TextBody"/>
        <w:bidi w:val="0"/>
        <w:spacing w:lineRule="auto" w:line="288" w:before="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is provided as a supplement to, and should be read in conjunction with, the accompanying unaudited consolidated financial statements and notes in this Quarterly Report on Form 10-Q and our Annual Report on Form 10-K for the year ended December 31, 2023, filed with the SEC on February 28, 2024.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and Commodity Exchange, Inc. (COMEX), collectively, unless otherwise noted.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Financial Highlights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significant changes in our financial performance for the periods presented.</w:t>
      </w:r>
    </w:p>
    <w:tbl>
      <w:tblPr>
        <w:tblW w:w="10205" w:type="dxa"/>
        <w:jc w:val="left"/>
        <w:tblInd w:w="0" w:type="dxa"/>
        <w:tblLayout w:type="fixed"/>
        <w:tblCellMar>
          <w:top w:w="28" w:type="dxa"/>
          <w:left w:w="28" w:type="dxa"/>
          <w:bottom w:w="28" w:type="dxa"/>
          <w:right w:w="28" w:type="dxa"/>
        </w:tblCellMar>
      </w:tblPr>
      <w:tblGrid>
        <w:gridCol w:w="904"/>
        <w:gridCol w:w="390"/>
        <w:gridCol w:w="393"/>
        <w:gridCol w:w="109"/>
        <w:gridCol w:w="109"/>
        <w:gridCol w:w="109"/>
        <w:gridCol w:w="211"/>
        <w:gridCol w:w="766"/>
        <w:gridCol w:w="271"/>
        <w:gridCol w:w="109"/>
        <w:gridCol w:w="109"/>
        <w:gridCol w:w="109"/>
        <w:gridCol w:w="211"/>
        <w:gridCol w:w="766"/>
        <w:gridCol w:w="271"/>
        <w:gridCol w:w="109"/>
        <w:gridCol w:w="109"/>
        <w:gridCol w:w="109"/>
        <w:gridCol w:w="193"/>
        <w:gridCol w:w="195"/>
        <w:gridCol w:w="367"/>
        <w:gridCol w:w="109"/>
        <w:gridCol w:w="109"/>
        <w:gridCol w:w="109"/>
        <w:gridCol w:w="211"/>
        <w:gridCol w:w="766"/>
        <w:gridCol w:w="271"/>
        <w:gridCol w:w="109"/>
        <w:gridCol w:w="109"/>
        <w:gridCol w:w="109"/>
        <w:gridCol w:w="211"/>
        <w:gridCol w:w="766"/>
        <w:gridCol w:w="271"/>
        <w:gridCol w:w="109"/>
        <w:gridCol w:w="109"/>
        <w:gridCol w:w="109"/>
        <w:gridCol w:w="194"/>
        <w:gridCol w:w="194"/>
        <w:gridCol w:w="421"/>
      </w:tblGrid>
      <w:tr>
        <w:trPr/>
        <w:tc>
          <w:tcPr>
            <w:tcW w:w="90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Quarter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Revenues</w:t>
      </w:r>
    </w:p>
    <w:tbl>
      <w:tblPr>
        <w:tblW w:w="10205" w:type="dxa"/>
        <w:jc w:val="left"/>
        <w:tblInd w:w="0" w:type="dxa"/>
        <w:tblLayout w:type="fixed"/>
        <w:tblCellMar>
          <w:top w:w="28" w:type="dxa"/>
          <w:left w:w="28" w:type="dxa"/>
          <w:bottom w:w="28" w:type="dxa"/>
          <w:right w:w="28" w:type="dxa"/>
        </w:tblCellMar>
      </w:tblPr>
      <w:tblGrid>
        <w:gridCol w:w="944"/>
        <w:gridCol w:w="730"/>
        <w:gridCol w:w="717"/>
        <w:gridCol w:w="109"/>
        <w:gridCol w:w="109"/>
        <w:gridCol w:w="109"/>
        <w:gridCol w:w="211"/>
        <w:gridCol w:w="766"/>
        <w:gridCol w:w="109"/>
        <w:gridCol w:w="109"/>
        <w:gridCol w:w="109"/>
        <w:gridCol w:w="109"/>
        <w:gridCol w:w="211"/>
        <w:gridCol w:w="766"/>
        <w:gridCol w:w="109"/>
        <w:gridCol w:w="109"/>
        <w:gridCol w:w="109"/>
        <w:gridCol w:w="109"/>
        <w:gridCol w:w="180"/>
        <w:gridCol w:w="181"/>
        <w:gridCol w:w="367"/>
        <w:gridCol w:w="109"/>
        <w:gridCol w:w="109"/>
        <w:gridCol w:w="109"/>
        <w:gridCol w:w="211"/>
        <w:gridCol w:w="766"/>
        <w:gridCol w:w="109"/>
        <w:gridCol w:w="109"/>
        <w:gridCol w:w="109"/>
        <w:gridCol w:w="109"/>
        <w:gridCol w:w="211"/>
        <w:gridCol w:w="766"/>
        <w:gridCol w:w="109"/>
        <w:gridCol w:w="109"/>
        <w:gridCol w:w="109"/>
        <w:gridCol w:w="109"/>
        <w:gridCol w:w="180"/>
        <w:gridCol w:w="181"/>
        <w:gridCol w:w="419"/>
      </w:tblGrid>
      <w:tr>
        <w:trPr/>
        <w:tc>
          <w:tcPr>
            <w:tcW w:w="94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Quarter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Clearing and transaction fees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data and information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rFonts w:ascii="Times New Roman;sans-serif" w:hAnsi="Times New Roman;sans-serif"/>
          <w:b/>
          <w:color w:val="000000"/>
          <w:sz w:val="20"/>
        </w:rPr>
      </w:pPr>
      <w:r>
        <w:rPr>
          <w:rFonts w:ascii="Times New Roman;sans-serif" w:hAnsi="Times New Roman;sans-serif"/>
          <w:b/>
          <w:color w:val="000000"/>
          <w:sz w:val="20"/>
        </w:rPr>
        <w:t>Clearing and Transaction Fees</w:t>
      </w:r>
    </w:p>
    <w:p>
      <w:pPr>
        <w:pStyle w:val="TextBody"/>
        <w:bidi w:val="0"/>
        <w:spacing w:lineRule="auto" w:line="288" w:before="120" w:after="12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Futures and Options Contracts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trading volume for the cash markets business and interest rate swaps volume. </w:t>
      </w:r>
    </w:p>
    <w:tbl>
      <w:tblPr>
        <w:tblW w:w="10205" w:type="dxa"/>
        <w:jc w:val="left"/>
        <w:tblInd w:w="0" w:type="dxa"/>
        <w:tblLayout w:type="fixed"/>
        <w:tblCellMar>
          <w:top w:w="28" w:type="dxa"/>
          <w:left w:w="28" w:type="dxa"/>
          <w:bottom w:w="28" w:type="dxa"/>
          <w:right w:w="28" w:type="dxa"/>
        </w:tblCellMar>
      </w:tblPr>
      <w:tblGrid>
        <w:gridCol w:w="952"/>
        <w:gridCol w:w="753"/>
        <w:gridCol w:w="759"/>
        <w:gridCol w:w="109"/>
        <w:gridCol w:w="109"/>
        <w:gridCol w:w="109"/>
        <w:gridCol w:w="211"/>
        <w:gridCol w:w="766"/>
        <w:gridCol w:w="109"/>
        <w:gridCol w:w="109"/>
        <w:gridCol w:w="109"/>
        <w:gridCol w:w="109"/>
        <w:gridCol w:w="211"/>
        <w:gridCol w:w="766"/>
        <w:gridCol w:w="109"/>
        <w:gridCol w:w="109"/>
        <w:gridCol w:w="109"/>
        <w:gridCol w:w="109"/>
        <w:gridCol w:w="180"/>
        <w:gridCol w:w="181"/>
        <w:gridCol w:w="367"/>
        <w:gridCol w:w="109"/>
        <w:gridCol w:w="109"/>
        <w:gridCol w:w="109"/>
        <w:gridCol w:w="211"/>
        <w:gridCol w:w="766"/>
        <w:gridCol w:w="109"/>
        <w:gridCol w:w="109"/>
        <w:gridCol w:w="109"/>
        <w:gridCol w:w="109"/>
        <w:gridCol w:w="211"/>
        <w:gridCol w:w="766"/>
        <w:gridCol w:w="109"/>
        <w:gridCol w:w="109"/>
        <w:gridCol w:w="109"/>
        <w:gridCol w:w="109"/>
        <w:gridCol w:w="144"/>
        <w:gridCol w:w="144"/>
        <w:gridCol w:w="419"/>
      </w:tblGrid>
      <w:tr>
        <w:trPr/>
        <w:tc>
          <w:tcPr>
            <w:tcW w:w="9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Quarter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volume (in millions)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Clearing and transaction fees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rate per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pPr>
      <w:r>
        <w:rPr>
          <w:rFonts w:ascii="Times New Roman;sans-serif" w:hAnsi="Times New Roman;sans-serif"/>
          <w:b w:val="false"/>
          <w:color w:val="000000"/>
          <w:sz w:val="20"/>
        </w:rPr>
        <w:t>We estimate the following net changes in clearing and transaction fees based on the changes in total contract volumes and the changes in average rate per contract for futures and options during the second quarter and first six months of 2024 when compared with the same periods in 2023.</w:t>
      </w:r>
      <w:r>
        <w:rPr>
          <w:color w:val="000000"/>
        </w:rPr>
        <w:t> </w:t>
      </w:r>
    </w:p>
    <w:tbl>
      <w:tblPr>
        <w:tblW w:w="8573" w:type="dxa"/>
        <w:jc w:val="left"/>
        <w:tblInd w:w="0" w:type="dxa"/>
        <w:tblLayout w:type="fixed"/>
        <w:tblCellMar>
          <w:top w:w="28" w:type="dxa"/>
          <w:left w:w="28" w:type="dxa"/>
          <w:bottom w:w="28" w:type="dxa"/>
          <w:right w:w="28" w:type="dxa"/>
        </w:tblCellMar>
      </w:tblPr>
      <w:tblGrid>
        <w:gridCol w:w="1908"/>
        <w:gridCol w:w="1676"/>
        <w:gridCol w:w="1681"/>
        <w:gridCol w:w="109"/>
        <w:gridCol w:w="109"/>
        <w:gridCol w:w="109"/>
        <w:gridCol w:w="270"/>
        <w:gridCol w:w="790"/>
        <w:gridCol w:w="139"/>
        <w:gridCol w:w="109"/>
        <w:gridCol w:w="109"/>
        <w:gridCol w:w="109"/>
        <w:gridCol w:w="313"/>
        <w:gridCol w:w="914"/>
        <w:gridCol w:w="228"/>
      </w:tblGrid>
      <w:tr>
        <w:trPr/>
        <w:tc>
          <w:tcPr>
            <w:tcW w:w="1908"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5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due to a changes in total contract volume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due to a changes in average rate per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increases in clearing and transaction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pStyle w:val="TextBody"/>
        <w:bidi w:val="0"/>
        <w:spacing w:lineRule="auto" w:line="288" w:before="100" w:after="10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Contract Volume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average daily contract volume. Contract volume can be influenced by many factors, including political and economic conditions, the regulatory environment and market competition. </w:t>
      </w:r>
    </w:p>
    <w:tbl>
      <w:tblPr>
        <w:tblW w:w="10205" w:type="dxa"/>
        <w:jc w:val="left"/>
        <w:tblInd w:w="0" w:type="dxa"/>
        <w:tblLayout w:type="fixed"/>
        <w:tblCellMar>
          <w:top w:w="28" w:type="dxa"/>
          <w:left w:w="28" w:type="dxa"/>
          <w:bottom w:w="28" w:type="dxa"/>
          <w:right w:w="28" w:type="dxa"/>
        </w:tblCellMar>
      </w:tblPr>
      <w:tblGrid>
        <w:gridCol w:w="1363"/>
        <w:gridCol w:w="1133"/>
        <w:gridCol w:w="1139"/>
        <w:gridCol w:w="109"/>
        <w:gridCol w:w="109"/>
        <w:gridCol w:w="109"/>
        <w:gridCol w:w="180"/>
        <w:gridCol w:w="181"/>
        <w:gridCol w:w="376"/>
        <w:gridCol w:w="109"/>
        <w:gridCol w:w="109"/>
        <w:gridCol w:w="109"/>
        <w:gridCol w:w="180"/>
        <w:gridCol w:w="181"/>
        <w:gridCol w:w="376"/>
        <w:gridCol w:w="109"/>
        <w:gridCol w:w="109"/>
        <w:gridCol w:w="109"/>
        <w:gridCol w:w="209"/>
        <w:gridCol w:w="212"/>
        <w:gridCol w:w="367"/>
        <w:gridCol w:w="109"/>
        <w:gridCol w:w="109"/>
        <w:gridCol w:w="109"/>
        <w:gridCol w:w="180"/>
        <w:gridCol w:w="181"/>
        <w:gridCol w:w="376"/>
        <w:gridCol w:w="118"/>
        <w:gridCol w:w="118"/>
        <w:gridCol w:w="118"/>
        <w:gridCol w:w="180"/>
        <w:gridCol w:w="181"/>
        <w:gridCol w:w="376"/>
        <w:gridCol w:w="109"/>
        <w:gridCol w:w="109"/>
        <w:gridCol w:w="109"/>
        <w:gridCol w:w="209"/>
        <w:gridCol w:w="212"/>
        <w:gridCol w:w="424"/>
      </w:tblGrid>
      <w:tr>
        <w:trPr/>
        <w:tc>
          <w:tcPr>
            <w:tcW w:w="136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3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Quarter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Daily Volume by Product Line: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indexes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6,817</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Agricultural commodities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volume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Daily Volume by 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CME Globex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 outcry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Privately negotiated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26,146</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Volume as a Percentage of Total Volume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40"/>
        <w:jc w:val="left"/>
        <w:rPr>
          <w:rFonts w:ascii="Times New Roman;sans-serif" w:hAnsi="Times New Roman;sans-serif"/>
          <w:b w:val="false"/>
          <w:color w:val="000000"/>
          <w:sz w:val="20"/>
        </w:rPr>
      </w:pPr>
      <w:r>
        <w:rPr>
          <w:rFonts w:ascii="Times New Roman;sans-serif" w:hAnsi="Times New Roman;sans-serif"/>
          <w:b w:val="false"/>
          <w:color w:val="000000"/>
          <w:sz w:val="20"/>
        </w:rPr>
        <w:t>Market uncertainty remained high through the first six months of 2024. Interest rate, foreign exchange, and equity markets experienced significant uncertainty surrounding the United States Federal Reserve’s (Federal Reserve) interest rate policy decision. The Federal Open Markets Committee (FOMC) had initially signaled the potential for several future rate cuts throughout 2024, but has since indicated fewer cuts as a result of continued inflation. Energy, metals, and agricultural commodities markets were more uncertain in the first half of 2024 mainly as a result of geopolitical events as well as uncertain weather conditions, which led to higher volumes within those markets. We believe these factors contributed to total volumes increasing in the second quarter and first six months of 2024 when compared with the same periods in 2023.</w:t>
      </w:r>
    </w:p>
    <w:p>
      <w:pPr>
        <w:pStyle w:val="TextBody"/>
        <w:bidi w:val="0"/>
        <w:spacing w:before="120" w:after="283"/>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Products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average daily contract volume for our key interest rate products. We no longer offer Eurodollar contract trading as of June 2023. </w:t>
      </w:r>
    </w:p>
    <w:tbl>
      <w:tblPr>
        <w:tblW w:w="10093" w:type="dxa"/>
        <w:jc w:val="left"/>
        <w:tblInd w:w="0" w:type="dxa"/>
        <w:tblLayout w:type="fixed"/>
        <w:tblCellMar>
          <w:top w:w="28" w:type="dxa"/>
          <w:left w:w="28" w:type="dxa"/>
          <w:bottom w:w="28" w:type="dxa"/>
          <w:right w:w="28" w:type="dxa"/>
        </w:tblCellMar>
      </w:tblPr>
      <w:tblGrid>
        <w:gridCol w:w="1059"/>
        <w:gridCol w:w="930"/>
        <w:gridCol w:w="936"/>
        <w:gridCol w:w="109"/>
        <w:gridCol w:w="109"/>
        <w:gridCol w:w="109"/>
        <w:gridCol w:w="308"/>
        <w:gridCol w:w="308"/>
        <w:gridCol w:w="156"/>
        <w:gridCol w:w="138"/>
        <w:gridCol w:w="138"/>
        <w:gridCol w:w="138"/>
        <w:gridCol w:w="307"/>
        <w:gridCol w:w="309"/>
        <w:gridCol w:w="156"/>
        <w:gridCol w:w="109"/>
        <w:gridCol w:w="109"/>
        <w:gridCol w:w="109"/>
        <w:gridCol w:w="269"/>
        <w:gridCol w:w="271"/>
        <w:gridCol w:w="367"/>
        <w:gridCol w:w="109"/>
        <w:gridCol w:w="109"/>
        <w:gridCol w:w="109"/>
        <w:gridCol w:w="308"/>
        <w:gridCol w:w="308"/>
        <w:gridCol w:w="161"/>
        <w:gridCol w:w="161"/>
        <w:gridCol w:w="161"/>
        <w:gridCol w:w="161"/>
        <w:gridCol w:w="308"/>
        <w:gridCol w:w="308"/>
        <w:gridCol w:w="161"/>
        <w:gridCol w:w="109"/>
        <w:gridCol w:w="109"/>
        <w:gridCol w:w="109"/>
        <w:gridCol w:w="269"/>
        <w:gridCol w:w="271"/>
        <w:gridCol w:w="418"/>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Quarter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Eurodollar futures and options: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Futures expiring within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Futures expiring beyond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 futures and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Futures expiring within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bookmarkStart w:id="0" w:name="i4cc21b8dba4f477e93976e165a433e2f_8-2-1-"/>
            <w:bookmarkEnd w:id="0"/>
            <w:r>
              <w:rPr>
                <w:rFonts w:ascii="Times New Roman;sans-serif" w:hAnsi="Times New Roman;sans-serif"/>
                <w:b w:val="false"/>
                <w:color w:val="000000"/>
                <w:sz w:val="20"/>
              </w:rPr>
              <w:t>1,198 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Futures expiring beyond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futures and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Bond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Funds futures and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second quarter and first six months of 2024, overall interest rate contract volumes increased when compared with the same periods in 2023. U.S. Treasury volumes increased in the second quarter and first six months of 2024 due to a shift in market expectations regarding the Federal Reserve's interest rate policy following the FOMC's indication of fewer rate cuts in the near future than previously anticipated and high levels of Treasury issuance.</w:t>
      </w:r>
    </w:p>
    <w:p>
      <w:pPr>
        <w:pStyle w:val="TextBody"/>
        <w:bidi w:val="0"/>
        <w:spacing w:lineRule="auto" w:line="256" w:before="100" w:after="10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Equity Index Products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average daily contract volume for our key equity index products. </w:t>
      </w:r>
    </w:p>
    <w:tbl>
      <w:tblPr>
        <w:tblW w:w="10199" w:type="dxa"/>
        <w:jc w:val="left"/>
        <w:tblInd w:w="0" w:type="dxa"/>
        <w:tblLayout w:type="fixed"/>
        <w:tblCellMar>
          <w:top w:w="28" w:type="dxa"/>
          <w:left w:w="28" w:type="dxa"/>
          <w:bottom w:w="28" w:type="dxa"/>
          <w:right w:w="28" w:type="dxa"/>
        </w:tblCellMar>
      </w:tblPr>
      <w:tblGrid>
        <w:gridCol w:w="1228"/>
        <w:gridCol w:w="1077"/>
        <w:gridCol w:w="1084"/>
        <w:gridCol w:w="109"/>
        <w:gridCol w:w="109"/>
        <w:gridCol w:w="109"/>
        <w:gridCol w:w="308"/>
        <w:gridCol w:w="308"/>
        <w:gridCol w:w="156"/>
        <w:gridCol w:w="138"/>
        <w:gridCol w:w="138"/>
        <w:gridCol w:w="138"/>
        <w:gridCol w:w="308"/>
        <w:gridCol w:w="308"/>
        <w:gridCol w:w="156"/>
        <w:gridCol w:w="109"/>
        <w:gridCol w:w="109"/>
        <w:gridCol w:w="109"/>
        <w:gridCol w:w="180"/>
        <w:gridCol w:w="181"/>
        <w:gridCol w:w="367"/>
        <w:gridCol w:w="109"/>
        <w:gridCol w:w="109"/>
        <w:gridCol w:w="109"/>
        <w:gridCol w:w="308"/>
        <w:gridCol w:w="308"/>
        <w:gridCol w:w="161"/>
        <w:gridCol w:w="161"/>
        <w:gridCol w:w="161"/>
        <w:gridCol w:w="161"/>
        <w:gridCol w:w="308"/>
        <w:gridCol w:w="308"/>
        <w:gridCol w:w="161"/>
        <w:gridCol w:w="109"/>
        <w:gridCol w:w="109"/>
        <w:gridCol w:w="109"/>
        <w:gridCol w:w="180"/>
        <w:gridCol w:w="181"/>
        <w:gridCol w:w="418"/>
      </w:tblGrid>
      <w:tr>
        <w:trPr/>
        <w:tc>
          <w:tcPr>
            <w:tcW w:w="122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Quarter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E-mini S&amp;P 500 futures and options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E-mini Nasdaq 100 futures and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E-mini Russell 2000 futures and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second quarter and first six months of 2024, equity index contract volumes increased when compared with the same periods in 2023, which we believe were due to higher overall volatility within the Nasdaq 100. The second quarter and first six months of 2024 saw higher volatility within the technology sector while the broader market saw significantly lower volatility as indices have reached new all time highs. We believe these factors led to higher overall equity contract volumes in the second quarter and first six months of 2024.</w:t>
      </w:r>
    </w:p>
    <w:p>
      <w:pPr>
        <w:pStyle w:val="TextBody"/>
        <w:bidi w:val="0"/>
        <w:spacing w:lineRule="auto" w:line="288" w:before="10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Exchange Products</w:t>
      </w:r>
    </w:p>
    <w:p>
      <w:pPr>
        <w:pStyle w:val="TextBody"/>
        <w:bidi w:val="0"/>
        <w:spacing w:lineRule="auto" w:line="288" w:before="120" w:after="120"/>
        <w:jc w:val="left"/>
        <w:rPr/>
      </w:pPr>
      <w:r>
        <w:rPr>
          <w:rFonts w:ascii="Times New Roman;sans-serif" w:hAnsi="Times New Roman;sans-serif"/>
          <w:b w:val="false"/>
          <w:color w:val="000000"/>
          <w:sz w:val="20"/>
        </w:rPr>
        <w:t>The following table summarizes average daily contract volume for our key foreign exchange products.</w:t>
      </w:r>
      <w:r>
        <w:rPr>
          <w:color w:val="000000"/>
        </w:rPr>
        <w:t> </w:t>
      </w:r>
    </w:p>
    <w:tbl>
      <w:tblPr>
        <w:tblW w:w="7980" w:type="dxa"/>
        <w:jc w:val="left"/>
        <w:tblInd w:w="0" w:type="dxa"/>
        <w:tblLayout w:type="fixed"/>
        <w:tblCellMar>
          <w:top w:w="28" w:type="dxa"/>
          <w:left w:w="28" w:type="dxa"/>
          <w:bottom w:w="28" w:type="dxa"/>
          <w:right w:w="28" w:type="dxa"/>
        </w:tblCellMar>
      </w:tblPr>
      <w:tblGrid>
        <w:gridCol w:w="641"/>
        <w:gridCol w:w="563"/>
        <w:gridCol w:w="566"/>
        <w:gridCol w:w="109"/>
        <w:gridCol w:w="109"/>
        <w:gridCol w:w="109"/>
        <w:gridCol w:w="233"/>
        <w:gridCol w:w="233"/>
        <w:gridCol w:w="156"/>
        <w:gridCol w:w="138"/>
        <w:gridCol w:w="138"/>
        <w:gridCol w:w="138"/>
        <w:gridCol w:w="233"/>
        <w:gridCol w:w="233"/>
        <w:gridCol w:w="156"/>
        <w:gridCol w:w="109"/>
        <w:gridCol w:w="109"/>
        <w:gridCol w:w="109"/>
        <w:gridCol w:w="180"/>
        <w:gridCol w:w="181"/>
        <w:gridCol w:w="367"/>
        <w:gridCol w:w="109"/>
        <w:gridCol w:w="109"/>
        <w:gridCol w:w="109"/>
        <w:gridCol w:w="233"/>
        <w:gridCol w:w="233"/>
        <w:gridCol w:w="161"/>
        <w:gridCol w:w="161"/>
        <w:gridCol w:w="161"/>
        <w:gridCol w:w="161"/>
        <w:gridCol w:w="233"/>
        <w:gridCol w:w="233"/>
        <w:gridCol w:w="161"/>
        <w:gridCol w:w="109"/>
        <w:gridCol w:w="109"/>
        <w:gridCol w:w="109"/>
        <w:gridCol w:w="180"/>
        <w:gridCol w:w="181"/>
        <w:gridCol w:w="418"/>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Quarter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Japanese Yen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Australian dollar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the second quarter and first six months of 2024, overall foreign exchange volumes increased when compared with the same periods in 2023, which we believe were due to higher overall market volatility. Continued uncertainty surrounding monetary policy expectations from the Federal Reserve and global central banks resulted in higher volumes compared with the same periods in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Agricultural Commodity Products</w:t>
      </w:r>
    </w:p>
    <w:p>
      <w:pPr>
        <w:pStyle w:val="TextBody"/>
        <w:bidi w:val="0"/>
        <w:spacing w:lineRule="auto" w:line="288" w:before="120" w:after="120"/>
        <w:jc w:val="left"/>
        <w:rPr/>
      </w:pPr>
      <w:r>
        <w:rPr>
          <w:rFonts w:ascii="Times New Roman;sans-serif" w:hAnsi="Times New Roman;sans-serif"/>
          <w:b w:val="false"/>
          <w:color w:val="000000"/>
          <w:sz w:val="20"/>
        </w:rPr>
        <w:t>The following table summarizes average daily contract volume for our key agricultural commodity products.</w:t>
      </w:r>
      <w:r>
        <w:rPr>
          <w:color w:val="000000"/>
        </w:rPr>
        <w:t> </w:t>
      </w:r>
    </w:p>
    <w:tbl>
      <w:tblPr>
        <w:tblW w:w="7980" w:type="dxa"/>
        <w:jc w:val="left"/>
        <w:tblInd w:w="0" w:type="dxa"/>
        <w:tblLayout w:type="fixed"/>
        <w:tblCellMar>
          <w:top w:w="28" w:type="dxa"/>
          <w:left w:w="28" w:type="dxa"/>
          <w:bottom w:w="28" w:type="dxa"/>
          <w:right w:w="28" w:type="dxa"/>
        </w:tblCellMar>
      </w:tblPr>
      <w:tblGrid>
        <w:gridCol w:w="641"/>
        <w:gridCol w:w="563"/>
        <w:gridCol w:w="566"/>
        <w:gridCol w:w="109"/>
        <w:gridCol w:w="109"/>
        <w:gridCol w:w="109"/>
        <w:gridCol w:w="233"/>
        <w:gridCol w:w="233"/>
        <w:gridCol w:w="156"/>
        <w:gridCol w:w="138"/>
        <w:gridCol w:w="138"/>
        <w:gridCol w:w="138"/>
        <w:gridCol w:w="233"/>
        <w:gridCol w:w="233"/>
        <w:gridCol w:w="156"/>
        <w:gridCol w:w="109"/>
        <w:gridCol w:w="109"/>
        <w:gridCol w:w="109"/>
        <w:gridCol w:w="180"/>
        <w:gridCol w:w="181"/>
        <w:gridCol w:w="367"/>
        <w:gridCol w:w="109"/>
        <w:gridCol w:w="109"/>
        <w:gridCol w:w="109"/>
        <w:gridCol w:w="233"/>
        <w:gridCol w:w="233"/>
        <w:gridCol w:w="161"/>
        <w:gridCol w:w="161"/>
        <w:gridCol w:w="161"/>
        <w:gridCol w:w="161"/>
        <w:gridCol w:w="233"/>
        <w:gridCol w:w="233"/>
        <w:gridCol w:w="161"/>
        <w:gridCol w:w="109"/>
        <w:gridCol w:w="109"/>
        <w:gridCol w:w="109"/>
        <w:gridCol w:w="180"/>
        <w:gridCol w:w="181"/>
        <w:gridCol w:w="418"/>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Quarter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Soybean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Overall commodity contract volumes increased in the second quarter and first six months of 2024 when compared with the same periods in 2023. We believe these increases are due to higher overall market volatility as a result of a change in market expectations regarding grain supplies as well as weather conditions for 2024. In addition, the first half of 2023 saw lower overall volatility within the commodities markets due to risk aversion by market participants following price increases and global trade uncertainty resulting from the conflict between Russia and Ukraine. We believe these factors contributed to higher overall commodity volumes in the second quarter and first six months of 2024. </w:t>
      </w:r>
    </w:p>
    <w:p>
      <w:pPr>
        <w:pStyle w:val="TextBody"/>
        <w:bidi w:val="0"/>
        <w:spacing w:lineRule="auto" w:line="288" w:before="100" w:after="10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Energy Products</w:t>
      </w:r>
    </w:p>
    <w:p>
      <w:pPr>
        <w:pStyle w:val="TextBody"/>
        <w:bidi w:val="0"/>
        <w:spacing w:lineRule="auto" w:line="288" w:before="120" w:after="120"/>
        <w:jc w:val="left"/>
        <w:rPr/>
      </w:pPr>
      <w:r>
        <w:rPr>
          <w:rFonts w:ascii="Times New Roman;sans-serif" w:hAnsi="Times New Roman;sans-serif"/>
          <w:b w:val="false"/>
          <w:color w:val="000000"/>
          <w:sz w:val="20"/>
        </w:rPr>
        <w:t>The following table summarizes average daily contract volume for our key energy products.</w:t>
      </w:r>
      <w:r>
        <w:rPr>
          <w:color w:val="000000"/>
        </w:rPr>
        <w:t> </w:t>
      </w:r>
    </w:p>
    <w:tbl>
      <w:tblPr>
        <w:tblW w:w="8580" w:type="dxa"/>
        <w:jc w:val="left"/>
        <w:tblInd w:w="0" w:type="dxa"/>
        <w:tblLayout w:type="fixed"/>
        <w:tblCellMar>
          <w:top w:w="28" w:type="dxa"/>
          <w:left w:w="28" w:type="dxa"/>
          <w:bottom w:w="28" w:type="dxa"/>
          <w:right w:w="28" w:type="dxa"/>
        </w:tblCellMar>
      </w:tblPr>
      <w:tblGrid>
        <w:gridCol w:w="641"/>
        <w:gridCol w:w="563"/>
        <w:gridCol w:w="566"/>
        <w:gridCol w:w="109"/>
        <w:gridCol w:w="109"/>
        <w:gridCol w:w="109"/>
        <w:gridCol w:w="308"/>
        <w:gridCol w:w="308"/>
        <w:gridCol w:w="156"/>
        <w:gridCol w:w="138"/>
        <w:gridCol w:w="138"/>
        <w:gridCol w:w="138"/>
        <w:gridCol w:w="308"/>
        <w:gridCol w:w="308"/>
        <w:gridCol w:w="156"/>
        <w:gridCol w:w="109"/>
        <w:gridCol w:w="109"/>
        <w:gridCol w:w="109"/>
        <w:gridCol w:w="180"/>
        <w:gridCol w:w="181"/>
        <w:gridCol w:w="367"/>
        <w:gridCol w:w="109"/>
        <w:gridCol w:w="109"/>
        <w:gridCol w:w="109"/>
        <w:gridCol w:w="308"/>
        <w:gridCol w:w="308"/>
        <w:gridCol w:w="161"/>
        <w:gridCol w:w="161"/>
        <w:gridCol w:w="161"/>
        <w:gridCol w:w="161"/>
        <w:gridCol w:w="308"/>
        <w:gridCol w:w="308"/>
        <w:gridCol w:w="161"/>
        <w:gridCol w:w="109"/>
        <w:gridCol w:w="109"/>
        <w:gridCol w:w="109"/>
        <w:gridCol w:w="180"/>
        <w:gridCol w:w="181"/>
        <w:gridCol w:w="418"/>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Quarter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WTI crude oil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Refined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Energy contract volumes increased in the second quarter and first six months of 2024 when compared with the same periods in 2023, which we believe were due to higher overall market volatility. Natural gas volatility was higher as a result of uncertain weather conditions in the U.S., which impacted prices throughout the quarter. In addition, crude oil volatility was slightly higher as a result of ongoing geopolitical issues in the Middle East as well economic uncertainty between the U.S. and China. </w:t>
      </w:r>
    </w:p>
    <w:p>
      <w:pPr>
        <w:pStyle w:val="TextBody"/>
        <w:bidi w:val="0"/>
        <w:spacing w:lineRule="auto" w:line="276"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Metal Products</w:t>
      </w:r>
    </w:p>
    <w:p>
      <w:pPr>
        <w:pStyle w:val="TextBody"/>
        <w:bidi w:val="0"/>
        <w:spacing w:lineRule="auto" w:line="288" w:before="120" w:after="120"/>
        <w:jc w:val="left"/>
        <w:rPr/>
      </w:pPr>
      <w:r>
        <w:rPr>
          <w:rFonts w:ascii="Times New Roman;sans-serif" w:hAnsi="Times New Roman;sans-serif"/>
          <w:b w:val="false"/>
          <w:color w:val="000000"/>
          <w:sz w:val="20"/>
        </w:rPr>
        <w:t xml:space="preserve">The following table summarizes average daily volume for our key metal products. </w:t>
      </w:r>
      <w:r>
        <w:rPr>
          <w:color w:val="000000"/>
        </w:rPr>
        <w:t> </w:t>
      </w:r>
    </w:p>
    <w:tbl>
      <w:tblPr>
        <w:tblW w:w="7980" w:type="dxa"/>
        <w:jc w:val="left"/>
        <w:tblInd w:w="0" w:type="dxa"/>
        <w:tblLayout w:type="fixed"/>
        <w:tblCellMar>
          <w:top w:w="28" w:type="dxa"/>
          <w:left w:w="28" w:type="dxa"/>
          <w:bottom w:w="28" w:type="dxa"/>
          <w:right w:w="28" w:type="dxa"/>
        </w:tblCellMar>
      </w:tblPr>
      <w:tblGrid>
        <w:gridCol w:w="641"/>
        <w:gridCol w:w="563"/>
        <w:gridCol w:w="566"/>
        <w:gridCol w:w="109"/>
        <w:gridCol w:w="109"/>
        <w:gridCol w:w="109"/>
        <w:gridCol w:w="233"/>
        <w:gridCol w:w="233"/>
        <w:gridCol w:w="156"/>
        <w:gridCol w:w="138"/>
        <w:gridCol w:w="138"/>
        <w:gridCol w:w="138"/>
        <w:gridCol w:w="233"/>
        <w:gridCol w:w="233"/>
        <w:gridCol w:w="156"/>
        <w:gridCol w:w="109"/>
        <w:gridCol w:w="109"/>
        <w:gridCol w:w="109"/>
        <w:gridCol w:w="180"/>
        <w:gridCol w:w="181"/>
        <w:gridCol w:w="367"/>
        <w:gridCol w:w="109"/>
        <w:gridCol w:w="109"/>
        <w:gridCol w:w="109"/>
        <w:gridCol w:w="233"/>
        <w:gridCol w:w="233"/>
        <w:gridCol w:w="161"/>
        <w:gridCol w:w="161"/>
        <w:gridCol w:w="161"/>
        <w:gridCol w:w="161"/>
        <w:gridCol w:w="233"/>
        <w:gridCol w:w="233"/>
        <w:gridCol w:w="161"/>
        <w:gridCol w:w="109"/>
        <w:gridCol w:w="109"/>
        <w:gridCol w:w="109"/>
        <w:gridCol w:w="180"/>
        <w:gridCol w:w="181"/>
        <w:gridCol w:w="418"/>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Quarter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Silver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second quarter and first six months of 2024, overall metal contract volumes increased when compared with the same periods in 2023, which we believe was due to higher market volatility. Copper volumes increased as a result of shortages in supply. In addition, continued uncertainty surrounding the Federal Reserves interest rate policy decision led to higher volumes within our gold and silver asset classes. We believe this market volatility led to the overall increases in metal contract volumes in the second quarter and first six months of 2024.</w:t>
      </w:r>
    </w:p>
    <w:p>
      <w:pPr>
        <w:pStyle w:val="TextBody"/>
        <w:bidi w:val="0"/>
        <w:spacing w:lineRule="auto" w:line="288" w:before="10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Average Rate per Contract </w:t>
      </w:r>
    </w:p>
    <w:p>
      <w:pPr>
        <w:pStyle w:val="TextBody"/>
        <w:bidi w:val="0"/>
        <w:spacing w:lineRule="auto" w:line="288" w:before="100" w:after="1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average rate per contract decreased in the second quarter of 2024, when compared with the same period in 2023. The decrease in the average rate per contract was primarily due to higher member volume as a percentage of total volume. </w:t>
      </w:r>
    </w:p>
    <w:p>
      <w:pPr>
        <w:pStyle w:val="TextBody"/>
        <w:bidi w:val="0"/>
        <w:spacing w:lineRule="auto" w:line="288" w:before="100" w:after="1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average rate per contract increased in the first six months of 2024, when compared with the same periods in 2023. The increase is largely due to a change in product mix. In the first quarter of 2024, equity index and interest rate contract volumes decreased by 2 percentage points as a percent of total volume, while all other products collectively increased by 2 percentage points. In general, equity index and interest rate products have a lower rate per contract compared with the remaining contracts. The increase in the average rate per contract was also due to an increase in our fee structure that went into effect on February 1, 2024. </w:t>
      </w:r>
    </w:p>
    <w:p>
      <w:pPr>
        <w:pStyle w:val="TextBody"/>
        <w:bidi w:val="0"/>
        <w:spacing w:before="10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00"/>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Cash Markets Business</w:t>
      </w:r>
    </w:p>
    <w:p>
      <w:pPr>
        <w:pStyle w:val="TextBody"/>
        <w:bidi w:val="0"/>
        <w:spacing w:lineRule="auto" w:line="288" w:before="120" w:after="120"/>
        <w:jc w:val="left"/>
        <w:rPr/>
      </w:pPr>
      <w:r>
        <w:rPr>
          <w:rFonts w:ascii="Times New Roman;sans-serif" w:hAnsi="Times New Roman;sans-serif"/>
          <w:b w:val="false"/>
          <w:color w:val="000000"/>
          <w:sz w:val="20"/>
          <w:shd w:fill="FFFFFF" w:val="clear"/>
        </w:rPr>
        <w:t>Total clearing and transaction fees revenues in the second quarter and first six months of 2024 include $70.4 million and $139.4 million of transaction fees attributable to the cash markets business, compared with $69.9 million and $144.9 million</w:t>
      </w:r>
      <w:r>
        <w:rPr>
          <w:rFonts w:ascii="Times New Roman;sans-serif" w:hAnsi="Times New Roman;sans-serif"/>
          <w:b w:val="false"/>
          <w:color w:val="000000"/>
          <w:sz w:val="20"/>
        </w:rPr>
        <w:t>, respectively,</w:t>
      </w:r>
      <w:r>
        <w:rPr>
          <w:color w:val="000000"/>
          <w:shd w:fill="FFFFFF" w:val="clear"/>
        </w:rPr>
        <w:t xml:space="preserve"> </w:t>
      </w:r>
      <w:r>
        <w:rPr>
          <w:rFonts w:ascii="Times New Roman;sans-serif" w:hAnsi="Times New Roman;sans-serif"/>
          <w:b w:val="false"/>
          <w:color w:val="000000"/>
          <w:sz w:val="20"/>
        </w:rPr>
        <w:t xml:space="preserve">in the second quarter and </w:t>
      </w:r>
      <w:r>
        <w:rPr>
          <w:rFonts w:ascii="Times New Roman;sans-serif" w:hAnsi="Times New Roman;sans-serif"/>
          <w:b w:val="false"/>
          <w:color w:val="000000"/>
          <w:sz w:val="20"/>
          <w:shd w:fill="FFFFFF" w:val="clear"/>
        </w:rPr>
        <w:t>first six months</w:t>
      </w:r>
      <w:r>
        <w:rPr>
          <w:color w:val="000000"/>
        </w:rPr>
        <w:t xml:space="preserve"> </w:t>
      </w:r>
      <w:r>
        <w:rPr>
          <w:rFonts w:ascii="Times New Roman;sans-serif" w:hAnsi="Times New Roman;sans-serif"/>
          <w:b w:val="false"/>
          <w:color w:val="000000"/>
          <w:sz w:val="20"/>
        </w:rPr>
        <w:t>of 2023. This revenue includes BrokerTec Americas LLC's fixed income volume and EBS's foreign exchange volume.</w:t>
      </w:r>
    </w:p>
    <w:tbl>
      <w:tblPr>
        <w:tblW w:w="10196" w:type="dxa"/>
        <w:jc w:val="left"/>
        <w:tblInd w:w="0" w:type="dxa"/>
        <w:tblLayout w:type="fixed"/>
        <w:tblCellMar>
          <w:top w:w="28" w:type="dxa"/>
          <w:left w:w="28" w:type="dxa"/>
          <w:bottom w:w="28" w:type="dxa"/>
          <w:right w:w="28" w:type="dxa"/>
        </w:tblCellMar>
      </w:tblPr>
      <w:tblGrid>
        <w:gridCol w:w="1229"/>
        <w:gridCol w:w="1076"/>
        <w:gridCol w:w="1084"/>
        <w:gridCol w:w="109"/>
        <w:gridCol w:w="109"/>
        <w:gridCol w:w="109"/>
        <w:gridCol w:w="211"/>
        <w:gridCol w:w="511"/>
        <w:gridCol w:w="109"/>
        <w:gridCol w:w="109"/>
        <w:gridCol w:w="109"/>
        <w:gridCol w:w="109"/>
        <w:gridCol w:w="211"/>
        <w:gridCol w:w="511"/>
        <w:gridCol w:w="109"/>
        <w:gridCol w:w="109"/>
        <w:gridCol w:w="109"/>
        <w:gridCol w:w="109"/>
        <w:gridCol w:w="203"/>
        <w:gridCol w:w="203"/>
        <w:gridCol w:w="367"/>
        <w:gridCol w:w="109"/>
        <w:gridCol w:w="109"/>
        <w:gridCol w:w="109"/>
        <w:gridCol w:w="211"/>
        <w:gridCol w:w="511"/>
        <w:gridCol w:w="109"/>
        <w:gridCol w:w="109"/>
        <w:gridCol w:w="109"/>
        <w:gridCol w:w="109"/>
        <w:gridCol w:w="211"/>
        <w:gridCol w:w="511"/>
        <w:gridCol w:w="109"/>
        <w:gridCol w:w="109"/>
        <w:gridCol w:w="109"/>
        <w:gridCol w:w="109"/>
        <w:gridCol w:w="165"/>
        <w:gridCol w:w="165"/>
        <w:gridCol w:w="418"/>
      </w:tblGrid>
      <w:tr>
        <w:trPr/>
        <w:tc>
          <w:tcPr>
            <w:tcW w:w="122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Quarter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(amounts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BrokerTec fixed income transaction fees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EBS foreign exchange transaction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40"/>
        <w:jc w:val="left"/>
        <w:rPr/>
      </w:pPr>
      <w:r>
        <w:rPr>
          <w:rFonts w:ascii="Times New Roman;sans-serif" w:hAnsi="Times New Roman;sans-serif"/>
          <w:b w:val="false"/>
          <w:color w:val="000000"/>
          <w:sz w:val="20"/>
        </w:rPr>
        <w:t xml:space="preserve">The related average daily notional value for the second quarter and </w:t>
      </w:r>
      <w:r>
        <w:rPr>
          <w:rFonts w:ascii="Times New Roman;sans-serif" w:hAnsi="Times New Roman;sans-serif"/>
          <w:b w:val="false"/>
          <w:color w:val="000000"/>
          <w:sz w:val="20"/>
          <w:shd w:fill="FFFFFF" w:val="clear"/>
        </w:rPr>
        <w:t xml:space="preserve">first six months of </w:t>
      </w:r>
      <w:r>
        <w:rPr>
          <w:rFonts w:ascii="Times New Roman;sans-serif" w:hAnsi="Times New Roman;sans-serif"/>
          <w:b w:val="false"/>
          <w:color w:val="000000"/>
          <w:sz w:val="20"/>
        </w:rPr>
        <w:t>2024 and 2023 were as follows:</w:t>
      </w:r>
    </w:p>
    <w:tbl>
      <w:tblPr>
        <w:tblW w:w="9553" w:type="dxa"/>
        <w:jc w:val="center"/>
        <w:tblInd w:w="0" w:type="dxa"/>
        <w:tblLayout w:type="fixed"/>
        <w:tblCellMar>
          <w:top w:w="28" w:type="dxa"/>
          <w:left w:w="28" w:type="dxa"/>
          <w:bottom w:w="28" w:type="dxa"/>
          <w:right w:w="28" w:type="dxa"/>
        </w:tblCellMar>
      </w:tblPr>
      <w:tblGrid>
        <w:gridCol w:w="794"/>
        <w:gridCol w:w="695"/>
        <w:gridCol w:w="701"/>
        <w:gridCol w:w="109"/>
        <w:gridCol w:w="109"/>
        <w:gridCol w:w="109"/>
        <w:gridCol w:w="211"/>
        <w:gridCol w:w="616"/>
        <w:gridCol w:w="109"/>
        <w:gridCol w:w="109"/>
        <w:gridCol w:w="109"/>
        <w:gridCol w:w="109"/>
        <w:gridCol w:w="211"/>
        <w:gridCol w:w="616"/>
        <w:gridCol w:w="109"/>
        <w:gridCol w:w="109"/>
        <w:gridCol w:w="109"/>
        <w:gridCol w:w="109"/>
        <w:gridCol w:w="218"/>
        <w:gridCol w:w="218"/>
        <w:gridCol w:w="367"/>
        <w:gridCol w:w="109"/>
        <w:gridCol w:w="109"/>
        <w:gridCol w:w="109"/>
        <w:gridCol w:w="211"/>
        <w:gridCol w:w="616"/>
        <w:gridCol w:w="109"/>
        <w:gridCol w:w="109"/>
        <w:gridCol w:w="109"/>
        <w:gridCol w:w="109"/>
        <w:gridCol w:w="211"/>
        <w:gridCol w:w="616"/>
        <w:gridCol w:w="109"/>
        <w:gridCol w:w="109"/>
        <w:gridCol w:w="109"/>
        <w:gridCol w:w="109"/>
        <w:gridCol w:w="218"/>
        <w:gridCol w:w="218"/>
        <w:gridCol w:w="418"/>
      </w:tblGrid>
      <w:tr>
        <w:trPr/>
        <w:tc>
          <w:tcPr>
            <w:tcW w:w="79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Quarter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(amounts 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Repo (in euros)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Spot FX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Overall average daily notional values for the cash markets business were lower in the second quarter and first six months of 2024 when compared with the same periods in 2023. </w:t>
      </w:r>
    </w:p>
    <w:p>
      <w:pPr>
        <w:pStyle w:val="TextBody"/>
        <w:bidi w:val="0"/>
        <w:spacing w:lineRule="auto" w:line="288" w:before="120" w:after="12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Concentration of Revenue</w:t>
      </w:r>
    </w:p>
    <w:p>
      <w:pPr>
        <w:pStyle w:val="TextBody"/>
        <w:bidi w:val="0"/>
        <w:spacing w:lineRule="auto" w:line="288" w:before="120" w:after="120"/>
        <w:jc w:val="left"/>
        <w:rPr/>
      </w:pPr>
      <w:r>
        <w:rPr>
          <w:rFonts w:ascii="Times New Roman;sans-serif" w:hAnsi="Times New Roman;sans-serif"/>
          <w:b w:val="false"/>
          <w:color w:val="000000"/>
          <w:sz w:val="20"/>
        </w:rPr>
        <w:t>We bill a substantial portion of our clearing and transaction fees directly to our clearing firms. The majority of clearing and transaction fees received from clearing firms represent charges for trades executed and cleared on behalf of their customers</w:t>
      </w:r>
      <w:r>
        <w:rPr>
          <w:rFonts w:ascii="Times New Roman;sans-serif" w:hAnsi="Times New Roman;sans-serif"/>
          <w:b w:val="false"/>
          <w:color w:val="000000"/>
          <w:sz w:val="20"/>
          <w:shd w:fill="FFFFFF" w:val="clear"/>
        </w:rPr>
        <w:t>. One individual firm represented at least approximately 10% of o</w:t>
      </w:r>
      <w:r>
        <w:rPr>
          <w:rFonts w:ascii="Times New Roman;sans-serif" w:hAnsi="Times New Roman;sans-serif"/>
          <w:b w:val="false"/>
          <w:color w:val="000000"/>
          <w:sz w:val="20"/>
        </w:rPr>
        <w:t>ur clearing and transaction fees in the first six months of 2024.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Other Sources of Revenue</w:t>
      </w:r>
    </w:p>
    <w:p>
      <w:pPr>
        <w:pStyle w:val="TextBody"/>
        <w:bidi w:val="0"/>
        <w:spacing w:lineRule="auto" w:line="288" w:before="120" w:after="120"/>
        <w:jc w:val="left"/>
        <w:rPr/>
      </w:pPr>
      <w:r>
        <w:rPr>
          <w:rFonts w:ascii="Times New Roman;sans-serif" w:hAnsi="Times New Roman;sans-serif"/>
          <w:b w:val="false"/>
          <w:i/>
          <w:color w:val="000000"/>
          <w:sz w:val="20"/>
        </w:rPr>
        <w:t>Market data and information services</w:t>
      </w:r>
      <w:r>
        <w:rPr>
          <w:rFonts w:ascii="Times New Roman;sans-serif" w:hAnsi="Times New Roman;sans-serif"/>
          <w:b w:val="false"/>
          <w:color w:val="000000"/>
          <w:sz w:val="20"/>
        </w:rPr>
        <w:t>. During the second quarter and first six months of 2024, overall market data and information services revenues increased when compared with the same periods in 2023, largely due to price increases for certain products.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two largest resellers of our market data represented approximately 31% of our market data and information services revenue in the first six months of 2024.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pStyle w:val="TextBody"/>
        <w:bidi w:val="0"/>
        <w:spacing w:lineRule="auto" w:line="288" w:before="0" w:after="0"/>
        <w:jc w:val="left"/>
        <w:rPr/>
      </w:pPr>
      <w:r>
        <w:rPr>
          <w:rFonts w:ascii="Times New Roman;sans-serif" w:hAnsi="Times New Roman;sans-serif"/>
          <w:b w:val="false"/>
          <w:i/>
          <w:color w:val="000000"/>
          <w:sz w:val="20"/>
        </w:rPr>
        <w:t xml:space="preserve">Other revenues. </w:t>
      </w:r>
      <w:r>
        <w:rPr>
          <w:rFonts w:ascii="Times New Roman;sans-serif" w:hAnsi="Times New Roman;sans-serif"/>
          <w:b w:val="false"/>
          <w:color w:val="000000"/>
          <w:sz w:val="20"/>
        </w:rPr>
        <w:t xml:space="preserve">In the second quarter and </w:t>
      </w:r>
      <w:r>
        <w:rPr>
          <w:rFonts w:ascii="Times New Roman;sans-serif" w:hAnsi="Times New Roman;sans-serif"/>
          <w:b w:val="false"/>
          <w:color w:val="000000"/>
          <w:sz w:val="20"/>
          <w:shd w:fill="FFFFFF" w:val="clear"/>
        </w:rPr>
        <w:t>first six months</w:t>
      </w:r>
      <w:r>
        <w:rPr>
          <w:color w:val="000000"/>
        </w:rPr>
        <w:t xml:space="preserve"> </w:t>
      </w:r>
      <w:r>
        <w:rPr>
          <w:rFonts w:ascii="Times New Roman;sans-serif" w:hAnsi="Times New Roman;sans-serif"/>
          <w:b w:val="false"/>
          <w:color w:val="000000"/>
          <w:sz w:val="20"/>
        </w:rPr>
        <w:t>of 2024, the increases in other revenues when compared with the same periods in 2023 were largely attributable to higher custody fees due to an increase in non-cash collateral as well as a fee increase. Other revenues also increased due to higher co-location and other connectivity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Expenses</w:t>
      </w:r>
    </w:p>
    <w:tbl>
      <w:tblPr>
        <w:tblW w:w="10205" w:type="dxa"/>
        <w:jc w:val="left"/>
        <w:tblInd w:w="0" w:type="dxa"/>
        <w:tblLayout w:type="fixed"/>
        <w:tblCellMar>
          <w:top w:w="28" w:type="dxa"/>
          <w:left w:w="28" w:type="dxa"/>
          <w:bottom w:w="28" w:type="dxa"/>
          <w:right w:w="28" w:type="dxa"/>
        </w:tblCellMar>
      </w:tblPr>
      <w:tblGrid>
        <w:gridCol w:w="958"/>
        <w:gridCol w:w="839"/>
        <w:gridCol w:w="775"/>
        <w:gridCol w:w="109"/>
        <w:gridCol w:w="109"/>
        <w:gridCol w:w="109"/>
        <w:gridCol w:w="211"/>
        <w:gridCol w:w="616"/>
        <w:gridCol w:w="109"/>
        <w:gridCol w:w="109"/>
        <w:gridCol w:w="109"/>
        <w:gridCol w:w="109"/>
        <w:gridCol w:w="211"/>
        <w:gridCol w:w="616"/>
        <w:gridCol w:w="109"/>
        <w:gridCol w:w="109"/>
        <w:gridCol w:w="109"/>
        <w:gridCol w:w="109"/>
        <w:gridCol w:w="206"/>
        <w:gridCol w:w="208"/>
        <w:gridCol w:w="367"/>
        <w:gridCol w:w="109"/>
        <w:gridCol w:w="109"/>
        <w:gridCol w:w="109"/>
        <w:gridCol w:w="211"/>
        <w:gridCol w:w="766"/>
        <w:gridCol w:w="109"/>
        <w:gridCol w:w="109"/>
        <w:gridCol w:w="109"/>
        <w:gridCol w:w="109"/>
        <w:gridCol w:w="211"/>
        <w:gridCol w:w="766"/>
        <w:gridCol w:w="109"/>
        <w:gridCol w:w="109"/>
        <w:gridCol w:w="109"/>
        <w:gridCol w:w="109"/>
        <w:gridCol w:w="212"/>
        <w:gridCol w:w="212"/>
        <w:gridCol w:w="422"/>
      </w:tblGrid>
      <w:tr>
        <w:trPr/>
        <w:tc>
          <w:tcPr>
            <w:tcW w:w="95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25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Quarter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 and outside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and other fee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120"/>
        <w:jc w:val="left"/>
        <w:rPr/>
      </w:pPr>
      <w:r>
        <w:rPr>
          <w:rFonts w:ascii="Times New Roman;sans-serif" w:hAnsi="Times New Roman;sans-serif"/>
          <w:b w:val="false"/>
          <w:color w:val="000000"/>
          <w:sz w:val="20"/>
        </w:rPr>
        <w:t>Operating expen</w:t>
      </w:r>
      <w:r>
        <w:rPr>
          <w:rFonts w:ascii="Times New Roman;sans-serif" w:hAnsi="Times New Roman;sans-serif"/>
          <w:b w:val="false"/>
          <w:color w:val="000000"/>
          <w:sz w:val="20"/>
          <w:shd w:fill="FFFFFF" w:val="clear"/>
        </w:rPr>
        <w:t>ses increase</w:t>
      </w:r>
      <w:r>
        <w:rPr>
          <w:rFonts w:ascii="Times New Roman;sans-serif" w:hAnsi="Times New Roman;sans-serif"/>
          <w:b w:val="false"/>
          <w:color w:val="000000"/>
          <w:sz w:val="20"/>
        </w:rPr>
        <w:t>d by $10.3 million and $10.7 million in the second quarter and first six months of 2024 when compared with the same periods in 2023. The following table shows the estimated impacts of key factors resulting in the changes in operating expenses:</w:t>
      </w:r>
      <w:r>
        <w:rPr>
          <w:color w:val="000000"/>
        </w:rPr>
        <w:t> </w:t>
      </w:r>
    </w:p>
    <w:tbl>
      <w:tblPr>
        <w:tblW w:w="8735" w:type="dxa"/>
        <w:jc w:val="left"/>
        <w:tblInd w:w="0" w:type="dxa"/>
        <w:tblLayout w:type="fixed"/>
        <w:tblCellMar>
          <w:top w:w="28" w:type="dxa"/>
          <w:left w:w="28" w:type="dxa"/>
          <w:bottom w:w="28" w:type="dxa"/>
          <w:right w:w="28" w:type="dxa"/>
        </w:tblCellMar>
      </w:tblPr>
      <w:tblGrid>
        <w:gridCol w:w="1143"/>
        <w:gridCol w:w="1001"/>
        <w:gridCol w:w="1006"/>
        <w:gridCol w:w="109"/>
        <w:gridCol w:w="109"/>
        <w:gridCol w:w="109"/>
        <w:gridCol w:w="236"/>
        <w:gridCol w:w="572"/>
        <w:gridCol w:w="122"/>
        <w:gridCol w:w="109"/>
        <w:gridCol w:w="109"/>
        <w:gridCol w:w="109"/>
        <w:gridCol w:w="264"/>
        <w:gridCol w:w="264"/>
        <w:gridCol w:w="658"/>
        <w:gridCol w:w="109"/>
        <w:gridCol w:w="109"/>
        <w:gridCol w:w="109"/>
        <w:gridCol w:w="236"/>
        <w:gridCol w:w="572"/>
        <w:gridCol w:w="122"/>
        <w:gridCol w:w="109"/>
        <w:gridCol w:w="109"/>
        <w:gridCol w:w="109"/>
        <w:gridCol w:w="251"/>
        <w:gridCol w:w="251"/>
        <w:gridCol w:w="729"/>
      </w:tblGrid>
      <w:tr>
        <w:trPr/>
        <w:tc>
          <w:tcPr>
            <w:tcW w:w="114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Quarter Ended </w:t>
              <w:b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June 30, 2024</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w:t>
              <w:b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as  a</w:t>
              <w:br/>
              <w:t>Percentage of</w:t>
              <w:br/>
              <w:t>Total Expenses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w:t>
              <w:b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as  a</w:t>
              <w:br/>
              <w:t>Percentage of</w:t>
              <w:br/>
              <w:t>Total Expenses</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support 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benefits and employer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7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building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 and outside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Increases in operating expenses in the second quarter and first six months of 2024 when compared with the same periods in 2023 were as follows: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The increases in expenses related to technology support services were primarily driven by higher software license fees and third party services to support the ongoing Google Cloud transformation project.</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License fees were higher primarily due to increases in volume for certain equity products.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Salaries, benefits and employer taxes were higher due to increases in headcount during the year, which were primarily attributable to additional headcount in the company's international locations.</w:t>
      </w:r>
    </w:p>
    <w:p>
      <w:pPr>
        <w:pStyle w:val="TextBody"/>
        <w:bidi w:val="0"/>
        <w:spacing w:lineRule="auto" w:line="288" w:before="120" w:after="1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Decreases in operating expenses in the second quarter and first six months of 2024 when compared with the same periods in 2023 were as follows: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Occupancy and building operations expenses decreased due to lower rent expenses and real estate taxes.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Depreciation and amortization expense decreased as a result of certain assets becoming fully depreciated.</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 xml:space="preserve">The decreases in professional fees and outside services are largely due to decreases in consulting costs associated with the Google Cloud Migration, which began in late 2021, as well as lower professional services during the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Non-Operating Income (Expense)</w:t>
      </w:r>
    </w:p>
    <w:tbl>
      <w:tblPr>
        <w:tblW w:w="10205" w:type="dxa"/>
        <w:jc w:val="left"/>
        <w:tblInd w:w="0" w:type="dxa"/>
        <w:tblLayout w:type="fixed"/>
        <w:tblCellMar>
          <w:top w:w="28" w:type="dxa"/>
          <w:left w:w="28" w:type="dxa"/>
          <w:bottom w:w="28" w:type="dxa"/>
          <w:right w:w="28" w:type="dxa"/>
        </w:tblCellMar>
      </w:tblPr>
      <w:tblGrid>
        <w:gridCol w:w="1112"/>
        <w:gridCol w:w="600"/>
        <w:gridCol w:w="570"/>
        <w:gridCol w:w="109"/>
        <w:gridCol w:w="109"/>
        <w:gridCol w:w="109"/>
        <w:gridCol w:w="211"/>
        <w:gridCol w:w="766"/>
        <w:gridCol w:w="109"/>
        <w:gridCol w:w="109"/>
        <w:gridCol w:w="109"/>
        <w:gridCol w:w="109"/>
        <w:gridCol w:w="211"/>
        <w:gridCol w:w="766"/>
        <w:gridCol w:w="109"/>
        <w:gridCol w:w="109"/>
        <w:gridCol w:w="109"/>
        <w:gridCol w:w="109"/>
        <w:gridCol w:w="218"/>
        <w:gridCol w:w="196"/>
        <w:gridCol w:w="367"/>
        <w:gridCol w:w="109"/>
        <w:gridCol w:w="109"/>
        <w:gridCol w:w="109"/>
        <w:gridCol w:w="211"/>
        <w:gridCol w:w="766"/>
        <w:gridCol w:w="109"/>
        <w:gridCol w:w="109"/>
        <w:gridCol w:w="109"/>
        <w:gridCol w:w="109"/>
        <w:gridCol w:w="211"/>
        <w:gridCol w:w="766"/>
        <w:gridCol w:w="109"/>
        <w:gridCol w:w="109"/>
        <w:gridCol w:w="109"/>
        <w:gridCol w:w="109"/>
        <w:gridCol w:w="218"/>
        <w:gridCol w:w="196"/>
        <w:gridCol w:w="422"/>
      </w:tblGrid>
      <w:tr>
        <w:trPr/>
        <w:tc>
          <w:tcPr>
            <w:tcW w:w="11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Quarter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2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borrowing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earnings of unconsolidated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ans-serif" w:hAnsi="Times New Roman;sans-serif"/>
          <w:b w:val="false"/>
          <w:i/>
          <w:color w:val="000000"/>
          <w:sz w:val="20"/>
        </w:rPr>
        <w:t>Investment income.</w:t>
      </w:r>
      <w:r>
        <w:rPr>
          <w:color w:val="000000"/>
        </w:rPr>
        <w:t xml:space="preserve"> </w:t>
      </w:r>
      <w:r>
        <w:rPr>
          <w:rFonts w:ascii="Times New Roman;sans-serif" w:hAnsi="Times New Roman;sans-serif"/>
          <w:b w:val="false"/>
          <w:color w:val="000000"/>
          <w:sz w:val="20"/>
        </w:rPr>
        <w:t>Earnings from cash performance bond and guaranty fund contributions that are reinvested decreased in the second quarter of 2024 when compared with the same period in 2023, due to lower average reinvestment balances despite higher average rates of return. In the second quarter and first six months of 2024, earnings from cash performance bond and guaranty fund contributions were $1,007.6 million and $2,044.3 million, co</w:t>
      </w:r>
      <w:r>
        <w:rPr>
          <w:rFonts w:ascii="Times New Roman;sans-serif" w:hAnsi="Times New Roman;sans-serif"/>
          <w:b w:val="false"/>
          <w:color w:val="000000"/>
          <w:sz w:val="20"/>
          <w:shd w:fill="FFFFFF" w:val="clear"/>
        </w:rPr>
        <w:t xml:space="preserve">mpared with </w:t>
      </w:r>
      <w:r>
        <w:rPr>
          <w:rFonts w:ascii="Times New Roman;sans-serif" w:hAnsi="Times New Roman;sans-serif"/>
          <w:b w:val="false"/>
          <w:color w:val="000000"/>
          <w:sz w:val="20"/>
        </w:rPr>
        <w:t xml:space="preserve">$1,540.1 million and $2,796.4 million, respectively, in the second quarter and first six months of 2023. </w:t>
      </w:r>
      <w:r>
        <w:rPr>
          <w:rFonts w:ascii="Times New Roman;sans-serif" w:hAnsi="Times New Roman;sans-serif"/>
          <w:b w:val="false"/>
          <w:color w:val="000000"/>
          <w:sz w:val="20"/>
          <w:shd w:fill="FFFFFF" w:val="clear"/>
        </w:rPr>
        <w:t>We also recognized lower net realized and unrealized gains on investments in the first six months of 2024.</w:t>
      </w:r>
    </w:p>
    <w:p>
      <w:pPr>
        <w:pStyle w:val="TextBody"/>
        <w:bidi w:val="0"/>
        <w:spacing w:lineRule="auto" w:line="288" w:before="100" w:after="100"/>
        <w:jc w:val="left"/>
        <w:rPr/>
      </w:pPr>
      <w:r>
        <w:rPr>
          <w:rFonts w:ascii="Times New Roman;sans-serif" w:hAnsi="Times New Roman;sans-serif"/>
          <w:b w:val="false"/>
          <w:i/>
          <w:color w:val="000000"/>
          <w:sz w:val="20"/>
          <w:shd w:fill="FFFFFF" w:val="clear"/>
        </w:rPr>
        <w:t>Equity in net earnings (losses) of unconsolidated subsidiaries.</w:t>
      </w:r>
      <w:r>
        <w:rPr>
          <w:color w:val="000000"/>
          <w:shd w:fill="FFFFFF" w:val="clear"/>
        </w:rPr>
        <w:t xml:space="preserve"> </w:t>
      </w:r>
      <w:r>
        <w:rPr>
          <w:rFonts w:ascii="Times New Roman;sans-serif" w:hAnsi="Times New Roman;sans-serif"/>
          <w:b w:val="false"/>
          <w:color w:val="000000"/>
          <w:sz w:val="20"/>
          <w:shd w:fill="FFFFFF" w:val="clear"/>
        </w:rPr>
        <w:t>Higher income generated from our S&amp;P/Dow Jones Indices LLC (S&amp;P/DJI) business venture contributed to an increase in equity in net earnings of unconsolidated subsidiaries in the second quarter and first six months of quarter of 2024 when compared with the same periods in 2023.</w:t>
      </w:r>
    </w:p>
    <w:p>
      <w:pPr>
        <w:pStyle w:val="TextBody"/>
        <w:bidi w:val="0"/>
        <w:spacing w:lineRule="auto" w:line="288" w:before="100" w:after="100"/>
        <w:jc w:val="left"/>
        <w:rPr/>
      </w:pPr>
      <w:r>
        <w:rPr>
          <w:rFonts w:ascii="Times New Roman;sans-serif" w:hAnsi="Times New Roman;sans-serif"/>
          <w:b w:val="false"/>
          <w:i/>
          <w:color w:val="000000"/>
          <w:sz w:val="20"/>
        </w:rPr>
        <w:t>Other income (expense)</w:t>
      </w:r>
      <w:r>
        <w:rPr>
          <w:rFonts w:ascii="Times New Roman;sans-serif" w:hAnsi="Times New Roman;sans-serif"/>
          <w:b w:val="false"/>
          <w:i/>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We recognized lower expenses related to the distribution of interest earned on performance bond collateral reinvestments to the clearing firms in conjunction with lower interest income earned on our reinvestment during the second quarter and first six months of 2024 when compared with the same periods in 2023. In the second quarter and first six months of 2024, expenses related to the distribution of interest earned on collateral reinvestments we</w:t>
      </w:r>
      <w:r>
        <w:rPr>
          <w:rFonts w:ascii="Times New Roman;sans-serif" w:hAnsi="Times New Roman;sans-serif"/>
          <w:b w:val="false"/>
          <w:color w:val="000000"/>
          <w:sz w:val="20"/>
        </w:rPr>
        <w:t xml:space="preserve">re $939.4 million and $1,906.9 million, compared with $1,432.8 million and $2,596.3 million in the second quarter and first six months of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Income Tax Provision</w:t>
      </w:r>
    </w:p>
    <w:p>
      <w:pPr>
        <w:pStyle w:val="TextBody"/>
        <w:bidi w:val="0"/>
        <w:spacing w:lineRule="auto" w:line="288" w:before="120" w:after="120"/>
        <w:jc w:val="left"/>
        <w:rPr/>
      </w:pPr>
      <w:r>
        <w:rPr>
          <w:rFonts w:ascii="Times New Roman;sans-serif" w:hAnsi="Times New Roman;sans-serif"/>
          <w:b w:val="false"/>
          <w:color w:val="000000"/>
          <w:sz w:val="20"/>
        </w:rPr>
        <w:t>The following table summarizes the effective tax rates for the periods presented:</w:t>
      </w:r>
      <w:r>
        <w:rPr>
          <w:color w:val="000000"/>
        </w:rPr>
        <w:t> </w:t>
      </w:r>
    </w:p>
    <w:tbl>
      <w:tblPr>
        <w:tblW w:w="4512" w:type="dxa"/>
        <w:jc w:val="left"/>
        <w:tblInd w:w="0" w:type="dxa"/>
        <w:tblLayout w:type="fixed"/>
        <w:tblCellMar>
          <w:top w:w="28" w:type="dxa"/>
          <w:left w:w="28" w:type="dxa"/>
          <w:bottom w:w="28" w:type="dxa"/>
          <w:right w:w="28" w:type="dxa"/>
        </w:tblCellMar>
      </w:tblPr>
      <w:tblGrid>
        <w:gridCol w:w="814"/>
        <w:gridCol w:w="714"/>
        <w:gridCol w:w="721"/>
        <w:gridCol w:w="109"/>
        <w:gridCol w:w="109"/>
        <w:gridCol w:w="109"/>
        <w:gridCol w:w="255"/>
        <w:gridCol w:w="256"/>
        <w:gridCol w:w="271"/>
        <w:gridCol w:w="109"/>
        <w:gridCol w:w="109"/>
        <w:gridCol w:w="109"/>
        <w:gridCol w:w="255"/>
        <w:gridCol w:w="256"/>
        <w:gridCol w:w="316"/>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 ended June 30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overall effective tax rate remained relatively consistent in the second quarter and first six months of 2024 when compared with the same periods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120"/>
        <w:jc w:val="left"/>
        <w:rPr/>
      </w:pPr>
      <w:r>
        <w:rPr>
          <w:rFonts w:ascii="Times New Roman;sans-serif" w:hAnsi="Times New Roman;sans-serif"/>
          <w:b w:val="false"/>
          <w:i/>
          <w:color w:val="000000"/>
          <w:sz w:val="20"/>
          <w:u w:val="single"/>
        </w:rPr>
        <w:t>Sources and Uses of Cash</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Net cash provided by operating activities increased in the first six months of 2024 when compared with the same period in 2023 was largely due to an increase in revenues. Cash used in investing activities increased in the first six months of 2024 when compared with the same period in 2023 due to a decrease in proceeds from sales of investments. Cash used in financing activities was lower during the first six months of 2024 when compared with the same period in 2023 due to a smaller decrease in cash performance bonds and guaranty fund contributions. </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pPr>
      <w:r>
        <w:rPr>
          <w:rFonts w:ascii="Times New Roman;sans-serif" w:hAnsi="Times New Roman;sans-serif"/>
          <w:b w:val="false"/>
          <w:i/>
          <w:color w:val="000000"/>
          <w:sz w:val="20"/>
          <w:u w:val="single"/>
        </w:rPr>
        <w:t>Debt Instruments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The following table summarizes our debt outstanding at June 30, 2024: </w:t>
      </w:r>
    </w:p>
    <w:tbl>
      <w:tblPr>
        <w:tblW w:w="6020" w:type="dxa"/>
        <w:jc w:val="left"/>
        <w:tblInd w:w="0" w:type="dxa"/>
        <w:tblLayout w:type="fixed"/>
        <w:tblCellMar>
          <w:top w:w="28" w:type="dxa"/>
          <w:left w:w="28" w:type="dxa"/>
          <w:bottom w:w="28" w:type="dxa"/>
          <w:right w:w="28" w:type="dxa"/>
        </w:tblCellMar>
      </w:tblPr>
      <w:tblGrid>
        <w:gridCol w:w="1826"/>
        <w:gridCol w:w="1604"/>
        <w:gridCol w:w="1609"/>
        <w:gridCol w:w="211"/>
        <w:gridCol w:w="616"/>
        <w:gridCol w:w="154"/>
      </w:tblGrid>
      <w:tr>
        <w:trPr/>
        <w:tc>
          <w:tcPr>
            <w:tcW w:w="182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r>
      <w:tr>
        <w:trPr/>
        <w:tc>
          <w:tcPr>
            <w:tcW w:w="5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Fixed rate notes due March 2025, stated rate of 3.00%</w:t>
            </w:r>
            <w:r>
              <w:rPr>
                <w:color w:val="000000"/>
              </w:rPr>
              <w:t xml:space="preserve">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rate notes due June 2028, stated rate of 3.75%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rate notes due March 2032, stated rate of 2.65%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Fixed rate notes due September 2043, stated rate of 5.30%</w:t>
            </w:r>
            <w:r>
              <w:rPr>
                <w:color w:val="000000"/>
              </w:rPr>
              <w:t xml:space="preserve"> </w:t>
            </w:r>
            <w:r>
              <w:rPr>
                <w:rFonts w:ascii="Times New Roman;sans-serif" w:hAnsi="Times New Roman;sans-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rate notes due June 2048, stated rate of 4.15%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color w:val="000000"/>
        </w:rPr>
      </w:pPr>
      <w:r>
        <w:rPr>
          <w:color w:val="000000"/>
        </w:rPr>
        <w:t> </w:t>
      </w:r>
      <w:r>
        <w:rPr>
          <w:rFonts w:ascii="Times New Roman;sans-serif" w:hAnsi="Times New Roman;sans-serif"/>
          <w:b w:val="false"/>
          <w:color w:val="000000"/>
          <w:sz w:val="20"/>
        </w:rPr>
        <w:t>_______________</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(1)We maintained a forward-starting interest rate swap agreement that modified the interest obligation associated with these notes so that the interest payable on the notes effectively became fixed at a rate of 3.11%.</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(2)We maintained a forward-starting interest rate swap agreement that modified the interest obligation associated with these notes so that the interest payable effectively became fixed at a rate of 4.73%.</w:t>
      </w:r>
    </w:p>
    <w:p>
      <w:pPr>
        <w:pStyle w:val="TextBody"/>
        <w:bidi w:val="0"/>
        <w:spacing w:lineRule="auto" w:line="288" w:before="12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 $2.3 billion multi-currency revolving senior credit facility with various financial institutions, which matures in November 2026.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$3.3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September 30, 2021, giving effect to share repurchases made and special dividends paid during the term of the agreements (and in no event greater than $2.0 billion in aggregate), multiplied by 0.65. We currently do not have any borrowings outstanding under this facility, but any commercial paper balance if or when outstanding can be backstopped against this facility.</w:t>
      </w:r>
    </w:p>
    <w:p>
      <w:pPr>
        <w:pStyle w:val="TextBody"/>
        <w:bidi w:val="0"/>
        <w:spacing w:lineRule="auto" w:line="288" w:before="120" w:after="120"/>
        <w:jc w:val="left"/>
        <w:rPr/>
      </w:pPr>
      <w:r>
        <w:rPr>
          <w:rFonts w:ascii="Times New Roman;sans-serif" w:hAnsi="Times New Roman;sans-serif"/>
          <w:b w:val="false"/>
          <w:color w:val="000000"/>
          <w:sz w:val="20"/>
        </w:rPr>
        <w:t>We maintain a 364-day multi-currency revolving secured credit facility with a consortium of domestic and international banks to be used in certain situations by the clearing house. The facility provides for borrowings of up to $7.0 billion. We may use the proceeds to provide temporary liquidity in the unlikely event a clearing firm fails to promptly discharge an obligation to CME Clearing, in the event of a liquidity constraint or default by a depositary (custodian for our collateral), in the event of a temporary disruption with the domestic payments system that would delay payment of settlement variation between us and our clearing firms, or in other cases as provided by the CME rulebook. Clearing firm guaranty fund contributions received in the form of cash or U.S. Treasury securities as well as the performance bond assets (pursuant to the CME rulebook) can be used to collateralize the facility. At June 30, 2024, guaranty fund contributions available to collateralize the facility totaled</w:t>
      </w:r>
      <w:r>
        <w:rPr>
          <w:color w:val="000000"/>
          <w:shd w:fill="FFFFFF" w:val="clear"/>
        </w:rPr>
        <w:t xml:space="preserve"> </w:t>
      </w:r>
      <w:r>
        <w:rPr>
          <w:rFonts w:ascii="Times New Roman;sans-serif" w:hAnsi="Times New Roman;sans-serif"/>
          <w:b w:val="false"/>
          <w:color w:val="000000"/>
          <w:sz w:val="20"/>
          <w:shd w:fill="FFFFFF" w:val="clear"/>
        </w:rPr>
        <w:t xml:space="preserve">$9.8 billion. </w:t>
      </w:r>
      <w:r>
        <w:rPr>
          <w:rFonts w:ascii="Times New Roman;sans-serif" w:hAnsi="Times New Roman;sans-serif"/>
          <w:b w:val="false"/>
          <w:color w:val="000000"/>
          <w:sz w:val="20"/>
        </w:rPr>
        <w:t xml:space="preserve">We have the option to request an increase in the line from $7.0 billion to $10.0 billion. Our 364-day facility contains a requirement that CME remain in compliance with a consolidated tangible net worth test, defined as CME's consolidated shareholder's equity less intangible assets (as defined in the agreement), of not less than $800.0 million. We currently do not have any borrowings outstanding under this facility.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we have excess borrowing capacity for general corporate purposes of approximately $2.3 billion under our multi-currency revolving senior credit facility.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we were in compliance with the various covenant requirements of all our debt facilities.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CME Group, as a holding company, has no operations of its own. Instead, it relies on dividends declared and paid to it by its subsidiaries in order to provide the funds which it uses to pay dividends to its shareholders.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To satisfy our performance bond obligation with Singapore Exchange Limited, we may pledge irrevocable standby letters of credit. At June 30, 2024, the letters of credit totaled $285.0 million. We also maintain a $350.0 million line of credit to meet our obligations under this agreement.</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pPr>
      <w:r>
        <w:rPr>
          <w:rFonts w:ascii="Times New Roman;sans-serif" w:hAnsi="Times New Roman;sans-serif"/>
          <w:b w:val="false"/>
          <w:color w:val="000000"/>
          <w:sz w:val="20"/>
        </w:rPr>
        <w:t xml:space="preserve">The following table summarizes our credit ratings at June 30, 2024: </w:t>
      </w:r>
      <w:r>
        <w:rPr>
          <w:color w:val="000000"/>
        </w:rPr>
        <w:t> </w:t>
      </w:r>
    </w:p>
    <w:tbl>
      <w:tblPr>
        <w:tblW w:w="6578" w:type="dxa"/>
        <w:jc w:val="left"/>
        <w:tblInd w:w="0" w:type="dxa"/>
        <w:tblLayout w:type="fixed"/>
        <w:tblCellMar>
          <w:top w:w="28" w:type="dxa"/>
          <w:left w:w="28" w:type="dxa"/>
          <w:bottom w:w="28" w:type="dxa"/>
          <w:right w:w="28" w:type="dxa"/>
        </w:tblCellMar>
      </w:tblPr>
      <w:tblGrid>
        <w:gridCol w:w="1035"/>
        <w:gridCol w:w="909"/>
        <w:gridCol w:w="920"/>
        <w:gridCol w:w="109"/>
        <w:gridCol w:w="109"/>
        <w:gridCol w:w="109"/>
        <w:gridCol w:w="329"/>
        <w:gridCol w:w="329"/>
        <w:gridCol w:w="333"/>
        <w:gridCol w:w="109"/>
        <w:gridCol w:w="109"/>
        <w:gridCol w:w="109"/>
        <w:gridCol w:w="329"/>
        <w:gridCol w:w="329"/>
        <w:gridCol w:w="333"/>
        <w:gridCol w:w="109"/>
        <w:gridCol w:w="109"/>
        <w:gridCol w:w="109"/>
        <w:gridCol w:w="220"/>
        <w:gridCol w:w="220"/>
        <w:gridCol w:w="311"/>
      </w:tblGrid>
      <w:tr>
        <w:trPr/>
        <w:tc>
          <w:tcPr>
            <w:tcW w:w="103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Rating Agency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Rating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Rating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Outlook</w:t>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 &amp; Poor’s Global Ratings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Moody’s Investors Service,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Aa3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Given our cash flow generation, our ability to pay down debt levels and our ability to refinance existing debt facilities if necessary, we expect to maintain an investment grade rating. If our ratings are downgraded below investment grade within certain specified time periods due to a change of control, we are required to make an offer to repurchase our fixed rate notes at a price equal to 101% of the principal amount, plus accrued and unpaid interest. No report of any rating agency is incorporated by reference herein.</w:t>
      </w:r>
    </w:p>
    <w:p>
      <w:pPr>
        <w:pStyle w:val="TextBody"/>
        <w:bidi w:val="0"/>
        <w:spacing w:lineRule="auto" w:line="288" w:before="120" w:after="120"/>
        <w:jc w:val="left"/>
        <w:rPr/>
      </w:pPr>
      <w:r>
        <w:rPr>
          <w:rFonts w:ascii="Times New Roman;sans-serif" w:hAnsi="Times New Roman;sans-serif"/>
          <w:b w:val="false"/>
          <w:i/>
          <w:color w:val="000000"/>
          <w:sz w:val="20"/>
          <w:u w:val="single"/>
        </w:rPr>
        <w:t>Liquidity and Cash Management</w:t>
      </w:r>
      <w:r>
        <w:rPr>
          <w:rFonts w:ascii="Times New Roman;sans-serif" w:hAnsi="Times New Roman;sans-serif"/>
          <w:b w:val="false"/>
          <w:color w:val="000000"/>
          <w:sz w:val="20"/>
        </w:rPr>
        <w:t xml:space="preserve">. Cash and cash equivalents totaled </w:t>
      </w:r>
      <w:r>
        <w:rPr>
          <w:rFonts w:ascii="Times New Roman;sans-serif" w:hAnsi="Times New Roman;sans-serif"/>
          <w:b w:val="false"/>
          <w:color w:val="000000"/>
          <w:sz w:val="20"/>
          <w:shd w:fill="FFFFFF" w:val="clear"/>
        </w:rPr>
        <w:t>$1.8 billion</w:t>
      </w:r>
      <w:r>
        <w:rPr>
          <w:color w:val="000000"/>
        </w:rPr>
        <w:t xml:space="preserve"> </w:t>
      </w:r>
      <w:r>
        <w:rPr>
          <w:rFonts w:ascii="Times New Roman;sans-serif" w:hAnsi="Times New Roman;sans-serif"/>
          <w:b w:val="false"/>
          <w:color w:val="000000"/>
          <w:sz w:val="20"/>
        </w:rPr>
        <w:t>and $2.9 billion at June 30, 2024 and December 31, 2023, respectively. The balance retained in cash and cash equivalents is a function of anticipated or possible short-term cash needs, prevailing interest rates, our corporate investment policy and alternative investment choices. A majority of our cash and cash equivalents balance is invested in money market mutual funds that invest only in U.S. Treasury securities, U.S. government agency securities and U.S. Treasury security reverse repurchase agreements and short-term bank deposits. Our exposure to credit and liquidity risk is minimal given the nature of the investments. Cash that is not available for general corporate purposes because of regulatory requirements or other restrictions is classified as restricted cash and is included in cash performance bonds and guaranty fund contributions, other current assets or other assets in the consolidated balance sheets.</w:t>
      </w:r>
    </w:p>
    <w:p>
      <w:pPr>
        <w:pStyle w:val="TextBody"/>
        <w:bidi w:val="0"/>
        <w:spacing w:lineRule="auto" w:line="288" w:before="120" w:after="120"/>
        <w:jc w:val="left"/>
        <w:rPr/>
      </w:pPr>
      <w:r>
        <w:rPr>
          <w:rFonts w:ascii="Times New Roman;sans-serif" w:hAnsi="Times New Roman;sans-serif"/>
          <w:b w:val="false"/>
          <w:i/>
          <w:color w:val="000000"/>
          <w:sz w:val="20"/>
          <w:u w:val="single"/>
        </w:rPr>
        <w:t>Regulatory Requirements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CME is regulated by the CFTC as a Derivatives Clearing Organization (DCO). DCOs are required to maintain 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the Dodd-Frank Wall Street Reform and Consumer Protection Act. As a result, CME must comply with CFTC regulations applicable to a systemically important DCO for financial resources and liquidity resources. CME is in compliance with all DCO financial requirements.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BrokerTec Americas LLC is required to maintain sufficient net capital under Securities Exchange Act of 1934, as amended (Exchange Act), Rule 15c3-1 (the Net Capital Rule). The Net Capital Rule focuses on liquidity and is designed to protect securities customers, counterparties, and creditors by requiring that broker-dealers have sufficient liquid resources on hand at all times to satisfy claims promptly. Rule 15c3-3, or the customer protection rule, which complements Rule 15c3-1, is designed to ensure that customer property (securities and funds) in the custody of broker-dealers is adequately safeguarded. By law, both of these rules apply to the activities of registered broker-dealers, but not to unregistered affiliates. The firm began operating as a (k)(2)(i) broker dealer in November 2017 following notification to the Financial Industry Regulatory Authority and the SEC. A company operating under the (k)(2)(i) exemption is not required to lock up customer funds as would otherwise be required under Exchange Act Rule 15c3-3.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34" w:type="dxa"/>
        <w:jc w:val="left"/>
        <w:tblInd w:w="0" w:type="dxa"/>
        <w:tblLayout w:type="fixed"/>
        <w:tblCellMar>
          <w:top w:w="28" w:type="dxa"/>
          <w:left w:w="28" w:type="dxa"/>
          <w:bottom w:w="28" w:type="dxa"/>
          <w:right w:w="28" w:type="dxa"/>
        </w:tblCellMar>
      </w:tblPr>
      <w:tblGrid>
        <w:gridCol w:w="304"/>
        <w:gridCol w:w="267"/>
        <w:gridCol w:w="269"/>
        <w:gridCol w:w="2078"/>
        <w:gridCol w:w="2078"/>
        <w:gridCol w:w="293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QUANTITATIVE AND QUALITATIVE DISCLOSURES ABOUT MARKET RISK</w:t>
            </w:r>
          </w:p>
        </w:tc>
      </w:tr>
    </w:tbl>
    <w:p>
      <w:pPr>
        <w:pStyle w:val="TextBody"/>
        <w:bidi w:val="0"/>
        <w:spacing w:lineRule="auto" w:line="288" w:before="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market risks, including those caused by changes in interest rates, credit, foreign currency exchange rates and equity prices. There have not been material changes in our exposure to market risk since December 31, 2023. Refer to Item 7A. of CME Group’s Annual Report on Form 10-K for the year ended December 31, 2023, filed with the SEC on February 28, 2024,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85" w:type="dxa"/>
        <w:jc w:val="left"/>
        <w:tblInd w:w="0" w:type="dxa"/>
        <w:tblLayout w:type="fixed"/>
        <w:tblCellMar>
          <w:top w:w="28" w:type="dxa"/>
          <w:left w:w="28" w:type="dxa"/>
          <w:bottom w:w="28" w:type="dxa"/>
          <w:right w:w="28" w:type="dxa"/>
        </w:tblCellMar>
      </w:tblPr>
      <w:tblGrid>
        <w:gridCol w:w="304"/>
        <w:gridCol w:w="267"/>
        <w:gridCol w:w="269"/>
        <w:gridCol w:w="892"/>
        <w:gridCol w:w="892"/>
        <w:gridCol w:w="1261"/>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CONTROLS AND PROCEDURES</w:t>
            </w:r>
          </w:p>
        </w:tc>
      </w:tr>
    </w:tbl>
    <w:p>
      <w:pPr>
        <w:pStyle w:val="TextBody"/>
        <w:bidi w:val="0"/>
        <w:spacing w:lineRule="auto" w:line="288" w:before="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 Disclosure Controls and Procedures. Our management, with the participation of our Chief Executive Officer and Chief Financial Officer, has evaluated the effectiveness of our disclosure controls and procedures (as such term is defined in Rules 13a-15(e) and 15d-15(e) under the Exchange Act) as of the end of the period covered by this report. Based on such evaluation, our Chief Executive Officer and Chief Financial Officer have concluded that, as of the end of such period, our disclosure controls and procedures are effective.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righ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which occurred during the fiscal quarter ended June 30, 2024,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35" w:type="dxa"/>
        <w:jc w:val="left"/>
        <w:tblInd w:w="0" w:type="dxa"/>
        <w:tblLayout w:type="fixed"/>
        <w:tblCellMar>
          <w:top w:w="28" w:type="dxa"/>
          <w:left w:w="28" w:type="dxa"/>
          <w:bottom w:w="28" w:type="dxa"/>
          <w:right w:w="28" w:type="dxa"/>
        </w:tblCellMar>
      </w:tblPr>
      <w:tblGrid>
        <w:gridCol w:w="304"/>
        <w:gridCol w:w="267"/>
        <w:gridCol w:w="269"/>
        <w:gridCol w:w="672"/>
        <w:gridCol w:w="672"/>
        <w:gridCol w:w="951"/>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LEGAL PROCEEDINGS</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disclosure under “Legal and Regulatory Matters” in Note 6. Contingencies in the Notes to Unaudited Consolidated Financial Statements in Item 1 of Part I of this report is incorporated herein by reference. Such disclosure includes updates to the legal proceedings disclosed in the company’s Annual Report on Form 10-K for the year ended December 31, 2023, filed with the SEC on February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51" w:type="dxa"/>
        <w:jc w:val="left"/>
        <w:tblInd w:w="0" w:type="dxa"/>
        <w:tblLayout w:type="fixed"/>
        <w:tblCellMar>
          <w:top w:w="28" w:type="dxa"/>
          <w:left w:w="28" w:type="dxa"/>
          <w:bottom w:w="28" w:type="dxa"/>
          <w:right w:w="28" w:type="dxa"/>
        </w:tblCellMar>
      </w:tblPr>
      <w:tblGrid>
        <w:gridCol w:w="353"/>
        <w:gridCol w:w="311"/>
        <w:gridCol w:w="312"/>
        <w:gridCol w:w="461"/>
        <w:gridCol w:w="461"/>
        <w:gridCol w:w="653"/>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1A.</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RISK FACTORS</w:t>
            </w:r>
          </w:p>
        </w:tc>
      </w:tr>
    </w:tbl>
    <w:p>
      <w:pPr>
        <w:pStyle w:val="TextBody"/>
        <w:bidi w:val="0"/>
        <w:spacing w:lineRule="auto" w:line="288" w:before="20" w:after="160"/>
        <w:jc w:val="left"/>
        <w:rPr>
          <w:rFonts w:ascii="Times New Roman;sans-serif" w:hAnsi="Times New Roman;sans-serif"/>
          <w:b w:val="false"/>
          <w:color w:val="333333"/>
          <w:sz w:val="20"/>
        </w:rPr>
      </w:pPr>
      <w:r>
        <w:rPr>
          <w:rFonts w:ascii="Times New Roman;sans-serif" w:hAnsi="Times New Roman;sans-serif"/>
          <w:b w:val="false"/>
          <w:color w:val="333333"/>
          <w:sz w:val="20"/>
        </w:rPr>
        <w:t>There have been no material changes in the company's risk factors from those disclosed in the company's Annual Report on Form 10-K for the year ended December 31, 2023, filed with the SEC on February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815" w:type="dxa"/>
        <w:jc w:val="left"/>
        <w:tblInd w:w="0" w:type="dxa"/>
        <w:tblLayout w:type="fixed"/>
        <w:tblCellMar>
          <w:top w:w="28" w:type="dxa"/>
          <w:left w:w="28" w:type="dxa"/>
          <w:bottom w:w="28" w:type="dxa"/>
          <w:right w:w="28" w:type="dxa"/>
        </w:tblCellMar>
      </w:tblPr>
      <w:tblGrid>
        <w:gridCol w:w="304"/>
        <w:gridCol w:w="267"/>
        <w:gridCol w:w="269"/>
        <w:gridCol w:w="2040"/>
        <w:gridCol w:w="2040"/>
        <w:gridCol w:w="2895"/>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 AND USE OF PROCEEDS</w:t>
            </w:r>
          </w:p>
        </w:tc>
      </w:tr>
    </w:tbl>
    <w:p>
      <w:pPr>
        <w:pStyle w:val="TextBody"/>
        <w:bidi w:val="0"/>
        <w:spacing w:lineRule="auto" w:line="288" w:before="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361"/>
        <w:gridCol w:w="318"/>
        <w:gridCol w:w="321"/>
        <w:gridCol w:w="109"/>
        <w:gridCol w:w="109"/>
        <w:gridCol w:w="109"/>
        <w:gridCol w:w="532"/>
        <w:gridCol w:w="532"/>
        <w:gridCol w:w="533"/>
        <w:gridCol w:w="109"/>
        <w:gridCol w:w="109"/>
        <w:gridCol w:w="109"/>
        <w:gridCol w:w="282"/>
        <w:gridCol w:w="966"/>
        <w:gridCol w:w="148"/>
        <w:gridCol w:w="109"/>
        <w:gridCol w:w="109"/>
        <w:gridCol w:w="109"/>
        <w:gridCol w:w="798"/>
        <w:gridCol w:w="798"/>
        <w:gridCol w:w="799"/>
        <w:gridCol w:w="109"/>
        <w:gridCol w:w="109"/>
        <w:gridCol w:w="109"/>
        <w:gridCol w:w="684"/>
        <w:gridCol w:w="1317"/>
        <w:gridCol w:w="508"/>
      </w:tblGrid>
      <w:tr>
        <w:trPr/>
        <w:tc>
          <w:tcPr>
            <w:tcW w:w="3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 Total Number of</w:t>
              <w:br/>
              <w:t>Class A</w:t>
              <w:br/>
              <w:t>Shares 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 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 Total Number of Class A Shares Purchased as</w:t>
              <w:br/>
              <w:t>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 Maximum Number (or Approximate Value) of shares that</w:t>
              <w:br/>
              <w:t>May Yet Be Purchased</w:t>
              <w:br/>
              <w:t>Under the Plans or Programs</w:t>
              <w:br/>
              <w:t>(in millions)</w:t>
            </w:r>
          </w:p>
        </w:tc>
      </w:tr>
      <w:tr>
        <w:trPr/>
        <w:tc>
          <w:tcPr>
            <w:tcW w:w="1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to April 30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to 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5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to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5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hanging="360"/>
        <w:jc w:val="left"/>
        <w:rPr/>
      </w:pPr>
      <w:r>
        <w:rPr>
          <w:rFonts w:ascii="Times New Roman;sans-serif" w:hAnsi="Times New Roman;sans-serif"/>
          <w:b w:val="false"/>
          <w:color w:val="000000"/>
          <w:sz w:val="20"/>
        </w:rPr>
        <w:t>(1)Shares purchased consist of an aggregate o</w:t>
      </w:r>
      <w:r>
        <w:rPr>
          <w:rFonts w:ascii="Times New Roman;sans-serif" w:hAnsi="Times New Roman;sans-serif"/>
          <w:b w:val="false"/>
          <w:color w:val="000000"/>
          <w:sz w:val="20"/>
          <w:shd w:fill="FFFFFF" w:val="clear"/>
        </w:rPr>
        <w:t>f 181 share</w:t>
      </w:r>
      <w:r>
        <w:rPr>
          <w:rFonts w:ascii="Times New Roman;sans-serif" w:hAnsi="Times New Roman;sans-serif"/>
          <w:b w:val="false"/>
          <w:color w:val="000000"/>
          <w:sz w:val="20"/>
        </w:rPr>
        <w:t>s of Class A common stock surrendered in the second quarter of 2024 to satisfy employees’ tax obligations upon the vesting of restricted stock.</w:t>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20" w:after="12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tbl>
      <w:tblPr>
        <w:tblW w:w="1936" w:type="dxa"/>
        <w:jc w:val="left"/>
        <w:tblInd w:w="0" w:type="dxa"/>
        <w:tblLayout w:type="fixed"/>
        <w:tblCellMar>
          <w:top w:w="28" w:type="dxa"/>
          <w:left w:w="28" w:type="dxa"/>
          <w:bottom w:w="28" w:type="dxa"/>
          <w:right w:w="28" w:type="dxa"/>
        </w:tblCellMar>
      </w:tblPr>
      <w:tblGrid>
        <w:gridCol w:w="304"/>
        <w:gridCol w:w="267"/>
        <w:gridCol w:w="269"/>
        <w:gridCol w:w="321"/>
        <w:gridCol w:w="321"/>
        <w:gridCol w:w="4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6.</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217"/>
        <w:gridCol w:w="168"/>
        <w:gridCol w:w="169"/>
        <w:gridCol w:w="109"/>
        <w:gridCol w:w="109"/>
        <w:gridCol w:w="109"/>
        <w:gridCol w:w="3042"/>
        <w:gridCol w:w="2950"/>
        <w:gridCol w:w="2957"/>
        <w:gridCol w:w="109"/>
        <w:gridCol w:w="109"/>
        <w:gridCol w:w="157"/>
      </w:tblGrid>
      <w:tr>
        <w:trPr/>
        <w:tc>
          <w:tcPr>
            <w:tcW w:w="21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2"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Amendment No. 8 to Credit Agreement, dated as of April 24, 2024, among Chicago Mercantile Exchange Inc., Bank of America, N.A., in its capacity as administrative agent, Citibank, N.A., in its capacity as collateral agent and collateral monitoring agent, and the banks party thereto. The Amended Credit Agreement, as amended through Amendment No. 8, among Chicago Mercantile Exchange Inc., each of banks from time to time party thereto, Bank of America, N.A., in its capacity as administrative agent, and Citibank, N.A., in its capacity as collateral agent and collateral monitoring agent, is attached as Annex A to Amendment No. 8 (incorporated by reference to Exhibit 10.1 to CME Group Inc.’s Current Report on Form 8-K, filed with the SEC on April 25,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me-202463010qex311.htm">
              <w:r>
                <w:rPr>
                  <w:rStyle w:val="InternetLink"/>
                  <w:rFonts w:ascii="Times New Roman;sans-serif" w:hAnsi="Times New Roman;sans-serif"/>
                  <w:b w:val="false"/>
                  <w:color w:val="0000FF"/>
                  <w:sz w:val="20"/>
                  <w:u w:val="single"/>
                </w:rPr>
                <w:t>Section 302 Certification—Terrence A. Duffy</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me-202463010qex312.htm">
              <w:r>
                <w:rPr>
                  <w:rStyle w:val="InternetLink"/>
                  <w:rFonts w:ascii="Times New Roman;sans-serif" w:hAnsi="Times New Roman;sans-serif"/>
                  <w:b w:val="false"/>
                  <w:color w:val="0000FF"/>
                  <w:sz w:val="20"/>
                  <w:u w:val="single"/>
                </w:rPr>
                <w:t>Section 302 Certification—Lynne Fitzpatrick</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me-202463010qex321.htm">
              <w:r>
                <w:rPr>
                  <w:rStyle w:val="InternetLink"/>
                  <w:rFonts w:ascii="Times New Roman;sans-serif" w:hAnsi="Times New Roman;sans-serif"/>
                  <w:b w:val="false"/>
                  <w:color w:val="0000FF"/>
                  <w:sz w:val="20"/>
                  <w:u w:val="single"/>
                </w:rPr>
                <w:t>Section 906 Certification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CME Group Inc.’s Quarterly Report on Form 10-Q for the quarterly period ended June 30, 2024, formatted in Inline XBRL (Xtensible Business Reporting Language): (i) the Consolidated Balance Sheets, (ii) the Consolidated Statements of Income, (iii) the Consolidated Statements of Comprehensive Income, (iv) the Consolidated Statements of Equity, (v) the Consolidated Statements of Cash Flows and (vi) Notes to Unaudited Consolidated Financial Statements, tagged as blocks of text.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included in the Inline XBRL Document Set for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8e4c9c368844cf38676106c06de86ac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8653" w:type="dxa"/>
        <w:jc w:val="left"/>
        <w:tblInd w:w="0" w:type="dxa"/>
        <w:tblLayout w:type="fixed"/>
        <w:tblCellMar>
          <w:top w:w="28" w:type="dxa"/>
          <w:left w:w="28" w:type="dxa"/>
          <w:bottom w:w="28" w:type="dxa"/>
          <w:right w:w="28" w:type="dxa"/>
        </w:tblCellMar>
      </w:tblPr>
      <w:tblGrid>
        <w:gridCol w:w="705"/>
        <w:gridCol w:w="619"/>
        <w:gridCol w:w="625"/>
        <w:gridCol w:w="109"/>
        <w:gridCol w:w="109"/>
        <w:gridCol w:w="109"/>
        <w:gridCol w:w="109"/>
        <w:gridCol w:w="109"/>
        <w:gridCol w:w="109"/>
        <w:gridCol w:w="109"/>
        <w:gridCol w:w="109"/>
        <w:gridCol w:w="109"/>
        <w:gridCol w:w="164"/>
        <w:gridCol w:w="164"/>
        <w:gridCol w:w="164"/>
        <w:gridCol w:w="164"/>
        <w:gridCol w:w="164"/>
        <w:gridCol w:w="164"/>
        <w:gridCol w:w="1362"/>
        <w:gridCol w:w="1362"/>
        <w:gridCol w:w="2015"/>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CME Group Inc.</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5,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Lynne Fitzpatrick</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color w:val="000000"/>
                <w:sz w:val="20"/>
              </w:rPr>
              <w:t>Lynne Fitzpatrick</w:t>
              <w:br/>
            </w:r>
            <w:r>
              <w:rPr>
                <w:rFonts w:ascii="Times New Roman;sans-serif" w:hAnsi="Times New Roman;sans-serif"/>
                <w:b/>
                <w:sz w:val="20"/>
              </w:rPr>
              <w:br/>
            </w:r>
            <w:r>
              <w:rPr>
                <w:rFonts w:ascii="Times New Roman;sans-serif" w:hAnsi="Times New Roman;sans-serif"/>
                <w:b/>
                <w:color w:val="000000"/>
                <w:sz w:val="20"/>
              </w:rPr>
              <w:t>Senior Managing Director and Chief Financial Officer</w:t>
              <w:br/>
            </w:r>
            <w:r>
              <w:rPr>
                <w:rFonts w:ascii="Times New Roman;sans-serif" w:hAnsi="Times New Roman;sans-serif"/>
                <w:b/>
                <w:sz w:val="20"/>
              </w:rPr>
              <w:br/>
            </w:r>
            <w:r>
              <w:rPr>
                <w:rFonts w:ascii="Times New Roman;sans-serif" w:hAnsi="Times New Roman;sans-serif"/>
                <w:b/>
                <w:color w:val="000000"/>
                <w:sz w:val="20"/>
              </w:rPr>
              <w:t>Principal Financial Offer and</w:t>
              <w:br/>
              <w:t>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Terrence A. Duffy, certify that: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1. I have reviewed this report on Form 10-Q of CME Group Inc.;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tbl>
      <w:tblPr>
        <w:tblW w:w="4840" w:type="dxa"/>
        <w:jc w:val="center"/>
        <w:tblInd w:w="0" w:type="dxa"/>
        <w:tblLayout w:type="fixed"/>
        <w:tblCellMar>
          <w:top w:w="28" w:type="dxa"/>
          <w:left w:w="28" w:type="dxa"/>
          <w:bottom w:w="28" w:type="dxa"/>
          <w:right w:w="28" w:type="dxa"/>
        </w:tblCellMar>
      </w:tblPr>
      <w:tblGrid>
        <w:gridCol w:w="705"/>
        <w:gridCol w:w="619"/>
        <w:gridCol w:w="625"/>
        <w:gridCol w:w="109"/>
        <w:gridCol w:w="109"/>
        <w:gridCol w:w="109"/>
        <w:gridCol w:w="749"/>
        <w:gridCol w:w="749"/>
        <w:gridCol w:w="1066"/>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Terrence A. Duffy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Terrence A. Duffy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Lynne Fitzpatrick, certify that: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1. I have reviewed this report on Form 10-Q of CME Group Inc.;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tbl>
      <w:tblPr>
        <w:tblW w:w="5107" w:type="dxa"/>
        <w:jc w:val="center"/>
        <w:tblInd w:w="0" w:type="dxa"/>
        <w:tblLayout w:type="fixed"/>
        <w:tblCellMar>
          <w:top w:w="28" w:type="dxa"/>
          <w:left w:w="28" w:type="dxa"/>
          <w:bottom w:w="28" w:type="dxa"/>
          <w:right w:w="28" w:type="dxa"/>
        </w:tblCellMar>
      </w:tblPr>
      <w:tblGrid>
        <w:gridCol w:w="705"/>
        <w:gridCol w:w="619"/>
        <w:gridCol w:w="625"/>
        <w:gridCol w:w="109"/>
        <w:gridCol w:w="109"/>
        <w:gridCol w:w="109"/>
        <w:gridCol w:w="109"/>
        <w:gridCol w:w="109"/>
        <w:gridCol w:w="109"/>
        <w:gridCol w:w="732"/>
        <w:gridCol w:w="732"/>
        <w:gridCol w:w="1040"/>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Lynne Fitzpatrick</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Lynne Fitzpatrick</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CEO and CFO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In connection with the Quarterly Report on Form 10-Q of CME Group Inc. (the “Company”) for the quarter ended June 30, 2024 as filed with the Securities and Exchange Commission on the date hereof (the “Report”), Terrence A. Duffy, as Chief Executive Officer of the Company, and Lynne Fitzpatrick, as Chief Financial Officer of the Company, each hereby certifies, pursuant to 18 U.S.C. § 1350, as adopted pursuant to § 906 of the Sarbanes-Oxley Act of 2002, that, to the best of his knowledge: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(1) The Report fully complies with the requirements of Section 13(a) or 15(d) of the Securities Exchange Act of 1934; and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tbl>
      <w:tblPr>
        <w:tblW w:w="2906" w:type="dxa"/>
        <w:jc w:val="center"/>
        <w:tblInd w:w="0" w:type="dxa"/>
        <w:tblLayout w:type="fixed"/>
        <w:tblCellMar>
          <w:top w:w="28" w:type="dxa"/>
          <w:left w:w="28" w:type="dxa"/>
          <w:bottom w:w="28" w:type="dxa"/>
          <w:right w:w="28" w:type="dxa"/>
        </w:tblCellMar>
      </w:tblPr>
      <w:tblGrid>
        <w:gridCol w:w="917"/>
        <w:gridCol w:w="804"/>
        <w:gridCol w:w="813"/>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Terrence A. Duffy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Terrence A. Duffy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August 5, 2024 </w:t>
      </w:r>
    </w:p>
    <w:tbl>
      <w:tblPr>
        <w:tblW w:w="2847" w:type="dxa"/>
        <w:jc w:val="center"/>
        <w:tblInd w:w="0" w:type="dxa"/>
        <w:tblLayout w:type="fixed"/>
        <w:tblCellMar>
          <w:top w:w="28" w:type="dxa"/>
          <w:left w:w="28" w:type="dxa"/>
          <w:bottom w:w="28" w:type="dxa"/>
          <w:right w:w="28" w:type="dxa"/>
        </w:tblCellMar>
      </w:tblPr>
      <w:tblGrid>
        <w:gridCol w:w="896"/>
        <w:gridCol w:w="787"/>
        <w:gridCol w:w="792"/>
        <w:gridCol w:w="109"/>
        <w:gridCol w:w="109"/>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Lynne Fitzpatrick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Lynne Fitzpatrick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August 5, 2024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This certification accompanies the Report pursuant to § 906 of the Sarbanes-Oxley Act of 2002 and shall not, except to the extent required by the Sarbanes-Oxley Act of 2002, be deemed filed by the Company for purposes of §18 of the Securities Exchange Act of 1934, as amended. </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A signed original of this written statement required by § 906 of the Sarbanes-Oxley Act of 2002 has been provided to the Company and will be retained by the Company and furnished to the Securities and Exchange Commission or its staff upon request.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56375/000119312524113786/d818559d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15465</Words>
  <Characters>84143</Characters>
  <CharactersWithSpaces>98493</CharactersWithSpaces>
  <Paragraphs>2825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