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August 22, 2008</w:t>
      </w:r>
    </w:p>
    <w:p>
      <w:pPr>
        <w:spacing w:after="0" w:line="13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NYMEX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31115</wp:posOffset>
            </wp:positionV>
            <wp:extent cx="5651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1500" cy="8890"/>
                    </a:xfrm>
                    <a:prstGeom prst="rect">
                      <a:avLst/>
                    </a:prstGeom>
                    <a:noFill/>
                  </pic:spPr>
                </pic:pic>
              </a:graphicData>
            </a:graphic>
          </wp:anchor>
        </w:drawing>
      </w:r>
    </w:p>
    <w:p>
      <w:pPr>
        <w:spacing w:after="0" w:line="5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14" w:lineRule="exact"/>
        <w:rPr>
          <w:sz w:val="24"/>
          <w:szCs w:val="24"/>
          <w:color w:val="auto"/>
        </w:rPr>
      </w:pPr>
    </w:p>
    <w:tbl>
      <w:tblPr>
        <w:tblLayout w:type="fixed"/>
        <w:tblInd w:w="1040" w:type="dxa"/>
        <w:tblCellMar>
          <w:top w:w="0" w:type="dxa"/>
          <w:left w:w="0" w:type="dxa"/>
          <w:bottom w:w="0" w:type="dxa"/>
          <w:right w:w="0" w:type="dxa"/>
        </w:tblCellMar>
      </w:tblPr>
      <w:tr>
        <w:trPr>
          <w:trHeight w:val="218"/>
        </w:trPr>
        <w:tc>
          <w:tcPr>
            <w:tcW w:w="3840" w:type="dxa"/>
            <w:vAlign w:val="bottom"/>
          </w:tcPr>
          <w:p>
            <w:pPr>
              <w:jc w:val="center"/>
              <w:ind w:right="1942"/>
              <w:spacing w:after="0"/>
              <w:rPr>
                <w:sz w:val="20"/>
                <w:szCs w:val="20"/>
                <w:color w:val="auto"/>
              </w:rPr>
            </w:pPr>
            <w:r>
              <w:rPr>
                <w:rFonts w:ascii="Arial" w:cs="Arial" w:eastAsia="Arial" w:hAnsi="Arial"/>
                <w:sz w:val="18"/>
                <w:szCs w:val="18"/>
                <w:b w:val="1"/>
                <w:bCs w:val="1"/>
                <w:color w:val="auto"/>
                <w:w w:val="88"/>
              </w:rPr>
              <w:t>Delaware</w:t>
            </w:r>
          </w:p>
        </w:tc>
        <w:tc>
          <w:tcPr>
            <w:tcW w:w="2560" w:type="dxa"/>
            <w:vAlign w:val="bottom"/>
          </w:tcPr>
          <w:p>
            <w:pPr>
              <w:jc w:val="right"/>
              <w:ind w:right="1142"/>
              <w:spacing w:after="0"/>
              <w:rPr>
                <w:sz w:val="20"/>
                <w:szCs w:val="20"/>
                <w:color w:val="auto"/>
              </w:rPr>
            </w:pPr>
            <w:r>
              <w:rPr>
                <w:rFonts w:ascii="Arial" w:cs="Arial" w:eastAsia="Arial" w:hAnsi="Arial"/>
                <w:sz w:val="18"/>
                <w:szCs w:val="18"/>
                <w:b w:val="1"/>
                <w:bCs w:val="1"/>
                <w:color w:val="auto"/>
              </w:rPr>
              <w:t>001-33149</w:t>
            </w:r>
          </w:p>
        </w:tc>
        <w:tc>
          <w:tcPr>
            <w:tcW w:w="2680" w:type="dxa"/>
            <w:vAlign w:val="bottom"/>
          </w:tcPr>
          <w:p>
            <w:pPr>
              <w:jc w:val="center"/>
              <w:ind w:left="1564"/>
              <w:spacing w:after="0"/>
              <w:rPr>
                <w:sz w:val="20"/>
                <w:szCs w:val="20"/>
                <w:color w:val="auto"/>
              </w:rPr>
            </w:pPr>
            <w:r>
              <w:rPr>
                <w:rFonts w:ascii="Arial" w:cs="Arial" w:eastAsia="Arial" w:hAnsi="Arial"/>
                <w:sz w:val="18"/>
                <w:szCs w:val="18"/>
                <w:b w:val="1"/>
                <w:bCs w:val="1"/>
                <w:color w:val="auto"/>
                <w:w w:val="87"/>
              </w:rPr>
              <w:t>13-4098266</w:t>
            </w:r>
          </w:p>
        </w:tc>
      </w:tr>
      <w:tr>
        <w:trPr>
          <w:trHeight w:val="149"/>
        </w:trPr>
        <w:tc>
          <w:tcPr>
            <w:tcW w:w="384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560" w:type="dxa"/>
            <w:vAlign w:val="bottom"/>
          </w:tcPr>
          <w:p>
            <w:pPr>
              <w:jc w:val="center"/>
              <w:ind w:right="56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680" w:type="dxa"/>
            <w:vAlign w:val="bottom"/>
          </w:tcPr>
          <w:p>
            <w:pPr>
              <w:jc w:val="center"/>
              <w:ind w:left="15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840" w:type="dxa"/>
            <w:vAlign w:val="bottom"/>
          </w:tcPr>
          <w:p>
            <w:pPr>
              <w:jc w:val="center"/>
              <w:ind w:right="1942"/>
              <w:spacing w:after="0"/>
              <w:rPr>
                <w:sz w:val="20"/>
                <w:szCs w:val="20"/>
                <w:color w:val="auto"/>
              </w:rPr>
            </w:pPr>
            <w:r>
              <w:rPr>
                <w:rFonts w:ascii="Arial" w:cs="Arial" w:eastAsia="Arial" w:hAnsi="Arial"/>
                <w:sz w:val="14"/>
                <w:szCs w:val="14"/>
                <w:b w:val="1"/>
                <w:bCs w:val="1"/>
                <w:color w:val="auto"/>
                <w:w w:val="87"/>
              </w:rPr>
              <w:t>of incorporation)</w:t>
            </w:r>
          </w:p>
        </w:tc>
        <w:tc>
          <w:tcPr>
            <w:tcW w:w="2560" w:type="dxa"/>
            <w:vAlign w:val="bottom"/>
          </w:tcPr>
          <w:p>
            <w:pPr>
              <w:spacing w:after="0"/>
              <w:rPr>
                <w:sz w:val="15"/>
                <w:szCs w:val="15"/>
                <w:color w:val="auto"/>
              </w:rPr>
            </w:pPr>
          </w:p>
        </w:tc>
        <w:tc>
          <w:tcPr>
            <w:tcW w:w="2680" w:type="dxa"/>
            <w:vAlign w:val="bottom"/>
          </w:tcPr>
          <w:p>
            <w:pPr>
              <w:jc w:val="center"/>
              <w:ind w:left="15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3840" w:type="dxa"/>
            <w:vAlign w:val="bottom"/>
          </w:tcPr>
          <w:p>
            <w:pPr>
              <w:jc w:val="center"/>
              <w:ind w:right="102"/>
              <w:spacing w:after="0"/>
              <w:rPr>
                <w:sz w:val="20"/>
                <w:szCs w:val="20"/>
                <w:color w:val="auto"/>
              </w:rPr>
            </w:pPr>
            <w:r>
              <w:rPr>
                <w:rFonts w:ascii="Arial" w:cs="Arial" w:eastAsia="Arial" w:hAnsi="Arial"/>
                <w:sz w:val="18"/>
                <w:szCs w:val="18"/>
                <w:b w:val="1"/>
                <w:bCs w:val="1"/>
                <w:color w:val="auto"/>
                <w:w w:val="89"/>
              </w:rPr>
              <w:t>One North End Avenue, World Financial Center,</w:t>
            </w:r>
          </w:p>
        </w:tc>
        <w:tc>
          <w:tcPr>
            <w:tcW w:w="2560" w:type="dxa"/>
            <w:vAlign w:val="bottom"/>
          </w:tcPr>
          <w:p>
            <w:pPr>
              <w:spacing w:after="0"/>
              <w:rPr>
                <w:sz w:val="24"/>
                <w:szCs w:val="24"/>
                <w:color w:val="auto"/>
              </w:rPr>
            </w:pPr>
          </w:p>
        </w:tc>
        <w:tc>
          <w:tcPr>
            <w:tcW w:w="2680" w:type="dxa"/>
            <w:vAlign w:val="bottom"/>
          </w:tcPr>
          <w:p>
            <w:pPr>
              <w:jc w:val="right"/>
              <w:ind w:right="944"/>
              <w:spacing w:after="0"/>
              <w:rPr>
                <w:sz w:val="20"/>
                <w:szCs w:val="20"/>
                <w:color w:val="auto"/>
              </w:rPr>
            </w:pPr>
            <w:r>
              <w:rPr>
                <w:rFonts w:ascii="Arial" w:cs="Arial" w:eastAsia="Arial" w:hAnsi="Arial"/>
                <w:sz w:val="18"/>
                <w:szCs w:val="18"/>
                <w:b w:val="1"/>
                <w:bCs w:val="1"/>
                <w:color w:val="auto"/>
              </w:rPr>
              <w:t>10282-1101</w:t>
            </w:r>
          </w:p>
        </w:tc>
      </w:tr>
      <w:tr>
        <w:trPr>
          <w:trHeight w:val="228"/>
        </w:trPr>
        <w:tc>
          <w:tcPr>
            <w:tcW w:w="3840" w:type="dxa"/>
            <w:vAlign w:val="bottom"/>
          </w:tcPr>
          <w:p>
            <w:pPr>
              <w:jc w:val="center"/>
              <w:ind w:right="122"/>
              <w:spacing w:after="0"/>
              <w:rPr>
                <w:sz w:val="20"/>
                <w:szCs w:val="20"/>
                <w:color w:val="auto"/>
              </w:rPr>
            </w:pPr>
            <w:r>
              <w:rPr>
                <w:rFonts w:ascii="Arial" w:cs="Arial" w:eastAsia="Arial" w:hAnsi="Arial"/>
                <w:sz w:val="18"/>
                <w:szCs w:val="18"/>
                <w:b w:val="1"/>
                <w:bCs w:val="1"/>
                <w:color w:val="auto"/>
                <w:w w:val="92"/>
              </w:rPr>
              <w:t>New York, NY</w:t>
            </w:r>
          </w:p>
        </w:tc>
        <w:tc>
          <w:tcPr>
            <w:tcW w:w="2560" w:type="dxa"/>
            <w:vAlign w:val="bottom"/>
          </w:tcPr>
          <w:p>
            <w:pPr>
              <w:spacing w:after="0"/>
              <w:rPr>
                <w:sz w:val="19"/>
                <w:szCs w:val="19"/>
                <w:color w:val="auto"/>
              </w:rPr>
            </w:pPr>
          </w:p>
        </w:tc>
        <w:tc>
          <w:tcPr>
            <w:tcW w:w="2680" w:type="dxa"/>
            <w:vAlign w:val="bottom"/>
          </w:tcPr>
          <w:p>
            <w:pPr>
              <w:jc w:val="center"/>
              <w:ind w:right="104"/>
              <w:spacing w:after="0"/>
              <w:rPr>
                <w:sz w:val="20"/>
                <w:szCs w:val="20"/>
                <w:color w:val="auto"/>
              </w:rPr>
            </w:pPr>
            <w:r>
              <w:rPr>
                <w:rFonts w:ascii="Arial" w:cs="Arial" w:eastAsia="Arial" w:hAnsi="Arial"/>
                <w:sz w:val="14"/>
                <w:szCs w:val="14"/>
                <w:b w:val="1"/>
                <w:bCs w:val="1"/>
                <w:color w:val="auto"/>
                <w:w w:val="89"/>
              </w:rPr>
              <w:t>(Zip Code)</w:t>
            </w:r>
          </w:p>
        </w:tc>
      </w:tr>
      <w:tr>
        <w:trPr>
          <w:trHeight w:val="177"/>
        </w:trPr>
        <w:tc>
          <w:tcPr>
            <w:tcW w:w="3840" w:type="dxa"/>
            <w:vAlign w:val="bottom"/>
          </w:tcPr>
          <w:p>
            <w:pPr>
              <w:jc w:val="center"/>
              <w:ind w:right="1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560" w:type="dxa"/>
            <w:vAlign w:val="bottom"/>
          </w:tcPr>
          <w:p>
            <w:pPr>
              <w:spacing w:after="0"/>
              <w:rPr>
                <w:sz w:val="15"/>
                <w:szCs w:val="15"/>
                <w:color w:val="auto"/>
              </w:rPr>
            </w:pPr>
          </w:p>
        </w:tc>
        <w:tc>
          <w:tcPr>
            <w:tcW w:w="2680" w:type="dxa"/>
            <w:vAlign w:val="bottom"/>
          </w:tcPr>
          <w:p>
            <w:pPr>
              <w:spacing w:after="0"/>
              <w:rPr>
                <w:sz w:val="15"/>
                <w:szCs w:val="15"/>
                <w:color w:val="auto"/>
              </w:rPr>
            </w:pPr>
          </w:p>
        </w:tc>
      </w:tr>
    </w:tbl>
    <w:p>
      <w:pPr>
        <w:spacing w:after="0" w:line="337"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Registrant’s telephone number, including area code (212) 299-2000</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38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435"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August 22, 2008, CME Group Inc. (“CME Group”) completed the acquisition of NYMEX Holdings Inc. (“NYMEX Holdings”), through the merger of NYMEX Holdings (the “Merger”) with and into CMEG NY Inc., a Delaware corporation and a direct, wholly owned subsidiary of CME Group (“Merger Sub”), pursuant to the Agreement and Plan of Merger, dated as of March 17, 2008, and amended as of June 30, 2008, July 18, 2008 and August 7, 2008 (the “Merger Agreement”), by and among CME Group, Merger Sub, NYMEX Holdings and New York Mercantile Exchange, Inc., a Delaware non-stock corporation and a wholly-owned subsidiary of NYMEX Holdings (“NYMEX”).</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Merger Agreement, as of the effective time of the Merger, each share of common stock, par value $0.01 per share, of NYMEX Holdings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“NYMEX Holdings Common Stock”), issued and outstanding immediately prior to the effective time of the Merger (other than shares of NYMEX Holdings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owned by CME Group or NYMEX Holdings or any of their respective wholly-owned subsidiaries and other than shares of NYMEX Holdings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for which appraisal rights were sought under applicable law) was converted into the right to receive, at the election of each NYMEX Holdings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 consideration in the form of cash or CME Group Class A common stock, par value $0.01 per share (the “CME Group Class A Common Stock”), plus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in lieu of fractional shares. The cash consideration per share of NYMEX Holdings Common Stock for which a valid cash election was made is equal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$81.16, the sum of (i) $36.00 plus (ii) the product of (a) 0.1323 and (b) $341.3720, the average closing sale price, rounded to four decimal places, of CME Group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Class A Common Stock on the Nasdaq Global Select Market (“NASDAQ”) (as reported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New York City edition) for the period of ten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consecutive trading days ending on the second full trading day prior to the effective time of the Merger (the “Average CME Group Share Price”). The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consideration per share of NYMEX Holdings Common Stock for which a valid stock election was made is 0.2378 shares of CME Group Class A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is equal to the cash consideration per share divided by the Average CME Group Share Price. The cash and stock consideration payable in the Merger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subject to proration based on an approximately $3.4 billion mandatory cash component. Because the mandatory cash component was undersubscribed, NYMEX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Holdings stockholders who elected to receive stock consideration in the Merger will receive, per share of NYMEX Holdings Common Stock,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$7.29 in cash and 0.2164 shares of CME Group Class A Common Stock, plus additional cash in lieu of any fractional shares.</w:t>
      </w:r>
    </w:p>
    <w:p>
      <w:pPr>
        <w:spacing w:after="0" w:line="16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CME Group Class A Common Stock will continue to trade on NASDAQ under the ticker symbol “CME.” The NYMEX Holdings Common Stock has been delisted and no longer trades on the New York Stock Exchange (“NYSE”).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3.01</w:t>
      </w:r>
      <w:r>
        <w:rPr>
          <w:sz w:val="20"/>
          <w:szCs w:val="20"/>
          <w:color w:val="auto"/>
        </w:rPr>
        <w:tab/>
      </w:r>
      <w:r>
        <w:rPr>
          <w:rFonts w:ascii="Arial" w:cs="Arial" w:eastAsia="Arial" w:hAnsi="Arial"/>
          <w:sz w:val="15"/>
          <w:szCs w:val="15"/>
          <w:b w:val="1"/>
          <w:bCs w:val="1"/>
          <w:color w:val="auto"/>
        </w:rPr>
        <w:t>Notice of Delisting or Failure to Satisfy a Continued Listing Rule or Standard; Transfer of Listing.</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August 22, 2008, NYMEX Holdings notified the NYSE of the effectiveness of the Merger. As a result of the Merger, NYMEX Holdings no longer meets the listing requirements of NYSE. NYMEX Holdings also notified NYSE that the cash consideration per share of NYMEX Holdings Common Stock for which a valid cash election was made is equal to $81.16, the sum of (i) $36.00 plus (ii) the product of (a) 0.1323 and (b) $341.3720 (the Average CME Group Share Price). The stock consideration per share of NYMEX Holdings Common Stock for which a valid stock election was made is 0.2378 shares of CME Group Class A Common Stock, which is equal to the cash consideration per share divided by the Average CME Group Share Price. NYMEX Holdings also requested that the NYSE file with the Securities and Exchange Commission (the “SEC”) an application on Form 25 to delist and deregister the NYMEX Holdings Common Stock. The NYSE filed the Form 25 with the SEC on August 26, 2008. Trading of NYMEX Holdings Common Stock on the NYSE was suspended as of the opening of trading on August 22, 2008.</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Merger Agreement, as of the effective time of the Merger, each share of NYMEX Holdings Common Stock, issued and outstanding immediately prior to the effective time of the Merger (other than shares of NYMEX Holdings Common Stock owned by CME Group or NYMEX Holdings or any of their respective wholly-owned subsidiaries and other than shares of NYMEX Holdings Common Stock for which appraisal rights were sought under applicable law) was converted into the right to receive, at the election of each NYMEX Holdings stockholder, consideration in the form of cash or CME Group Class A Common Stock, plus cash in lieu of fractional shares. The cash consideration per share of NYMEX Holdings Common Stock for which a valid cash election was made is equal to $81.16, the sum of (i) $36.00 plus (ii) the product of (a) 0.1323 and (b) $341.3720 (the Average CME Group Share Price). The stock consideration per share of NYMEX Holdings Common Stock for which a valid stock election was made is 0.2378 shares of CME Group Class A Common Stock, which is equal to the cash consideration per share divided by the Average CME Group Share Price. The cash and stock consideration payable in the Merger was subject to proration based on an approximately $3.4 billion mandatory cash component. Because the mandatory cash component was undersubscribed, NYMEX Holdings stockholders who elected to receive stock consideration in the Merger will receive, per share of NYMEX Holdings Common Stock, approximately $7.29 in cash and 0.2164 shares of CME Group Class A Common Stock, plus additional cash in lieu of any fractional shares.</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the effective time, NYMEX Holdings’ stockholders immediately prior to the effective time ceased to have any rights as stockholders of NYMEX Holdings (other than their right to receive the Merger consideration in the form of cash or CME Group Class A common stock) and accordingly no longer have any interest in NYMEX Holdings’ future earnings or growth.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5.01</w:t>
      </w:r>
      <w:r>
        <w:rPr>
          <w:sz w:val="20"/>
          <w:szCs w:val="20"/>
          <w:color w:val="auto"/>
        </w:rPr>
        <w:tab/>
      </w:r>
      <w:r>
        <w:rPr>
          <w:rFonts w:ascii="Arial" w:cs="Arial" w:eastAsia="Arial" w:hAnsi="Arial"/>
          <w:sz w:val="15"/>
          <w:szCs w:val="15"/>
          <w:b w:val="1"/>
          <w:bCs w:val="1"/>
          <w:color w:val="auto"/>
        </w:rPr>
        <w:t>Changes in Control of Registrant.</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August 22, 2008, CME Group completed the acquisition of NYMEX Holdings, through the merger of NYMEX Holdings with and into Merger Sub, pursuant to the Merger Agreement, by and among CME Group, Merger Sub, NYMEX Holdings and NYMEX.</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Merger Agreement, as of the effective time of the Merger, each share of NYMEX Holdings Common Stock, issued and outstanding immediately prior to the effective time of the Merger (other than shares of NYMEX Holdings Common Stock owned by CME Group or NYMEX Holdings or any of their respective wholly-owned subsidiaries and other than shares of NYMEX Holdings Common Stock for which appraisal rights were sought under applicable law) was converted into the right to receive, at the election of each NYMEX Holdings stockholder, consideration in the form of cash or CME Group Class A Common Stock, plus cash in lieu of fractional shares. The cash consideration per share of NYMEX Holdings Common Stock for which a valid cash election was made is equal to $81.16, the sum of (i) $36.00 plus (ii) the product of (a) 0.1323 and (b) $341.3720 (the Average CME Group Share Price). The stock consideration per share of NYMEX Holdings Common Stock for which a valid stock election was made is 0.2378 shares of CME Group Class A Common Stock, which is equal to the cash consideration per share divided by the Average CME Group Share Price. The cash and stock consideration payable in the Merger was subject to proration based on an approximately $3.4 billion mandatory cash component. Because the mandatory cash component was undersubscribed, NYMEX Holdings stockholders who elected to receive stock consideration in the Merger will receive, per share of NYMEX Holdings Common Stock, approximately $7.29 in cash and 0.2164 shares of CME Group Class A Common Stock, plus additional cash in lieu of any fractional shares.</w:t>
      </w:r>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August 12, 2008, CME Group completed a public offering of $250,000,000 aggregate principal amount of its Floating Rate Notes due 2009 (the “Floating Rate Notes due 2009”), $300,000,000 aggregate principal amount of its Floating Rate Notes due 2010 (the “Floating Rate Notes due 2010” and, together with the Floating Rate Notes due 2009, the “Floating Rate Notes”) and $750,000,000 aggregate principal amount of its 5.40% Notes due 2013 (the “Fixed Rate Notes” and, together with the Floating Rate Notes, the “Notes”). The Notes were offered by CME Group pursuant to its Automatic Shelf Registration Statement on Form S-3 (File No. 333-132554) and the Prospectus included therein, filed with the SEC on March 17, 2006 and supplemented by the Prospectus Supplement dated August 7, 2008. CME Group intends to use the net proceeds from the offering, together with other available funds, to finance the Merger.</w:t>
      </w:r>
    </w:p>
    <w:p>
      <w:pPr>
        <w:spacing w:after="0" w:line="12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to the public offering of the Notes, CME Group entered into a $1,416,000,000 senior credit facility, dated as of August 22, 2008, with certain financial institutions and other persons party thereto as lenders and Bank of America, N.A., as agent for such lenders (the “Senior Credit Facility”), which provides for term loans of up to $420,500,000 (the “Term Facility”) and for revolving loans of up to $995,500,000 (the “Revolving Credit Facility”). In addition, CME Group may, at its option, so long as no default is continuing under the Senior Credit Facility, increase the Revolving Credit Facility from time to time to an aggregate amount of up to $1,084,000,000 with only the consent of the agent and the lenders providing the additional funds. Proceeds of the loans under the Senior Credit Facility can be used to finance, in part, the Merger and to pay fees and expenses in connection therewith, to refinance certain existing indebtedness of NYMEX Holdings and, in the case of the Revolving Credit Facility, to provide ongoing working capital and other corporate purposes of the Company and its subsidiaries, including supporting issuances of commercial paper and financing dividends and stock repurchases.</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CME Group also entered into a $1,284,000,000 364-day revolving loan facility, dated as of August 22, 2008, with certain financial institutions and other persons party thereto as lenders and Bank of America, N.A., as agent for such lenders (the “Bridge Credit Facility”). Proceeds of the loans under the Bridge Credit Facility can be used to finance, or support issuances of commercial paper to finance, in part, the Merger and to pay fees and expenses in connection therewith and to finance dividends and stock repurchases.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1040" w:right="30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Effective upon the closing of the Merger, each of the following members of the board of directors of NYMEX Holdings resigned from the board of directors of NYMEX Holdings and all committees thereof and, to the extent they were an officer and/or director of one or more of the subsidiaries of NYMEX Holdings, as an officer of applicable subsidiaries and/or from the boards of directors of applicable subsidiaries and all committees thereof: Steve Ardizzone, Neil Citrone, Melvyn Falis, Howard Gabler, Anthony George Gero, Thomas Gordon, William Maxwell, John McNamara, James Newsome, Daniel Rappaport, Richard Schaeffer, Frank Siciliano, Robert Steele, Dennis Suskind and William Ford.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274" w:right="419" w:bottom="1440" w:gutter="0" w:footer="0" w:header="0"/>
        </w:sectPr>
      </w:pPr>
    </w:p>
    <w:bookmarkStart w:id="6" w:name="page7"/>
    <w:bookmarkEnd w:id="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5.03</w:t>
      </w:r>
      <w:r>
        <w:rPr>
          <w:sz w:val="20"/>
          <w:szCs w:val="20"/>
          <w:color w:val="auto"/>
        </w:rPr>
        <w:tab/>
      </w:r>
      <w:r>
        <w:rPr>
          <w:rFonts w:ascii="Arial" w:cs="Arial" w:eastAsia="Arial" w:hAnsi="Arial"/>
          <w:sz w:val="15"/>
          <w:szCs w:val="15"/>
          <w:b w:val="1"/>
          <w:bCs w:val="1"/>
          <w:color w:val="auto"/>
        </w:rPr>
        <w:t>Amendments to the Articles of Incorporation or Bylaws, Change in Fiscal Year.</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August 22, 2008, pursuant to the Merger Agreement, NYMEX Holdings merged with and into Merger Sub, with Merger Sub continuing as the corporation surviving the Merger. Upon consummation of the Merger and in accordance with the Certificate of Merger of NYMEX Holdings with and into Merger Sub, Merger Sub’s name was changed to CMEG NYMEX Holdings Inc. The Restated Certificate of Incorporation and the Bylaws of Merger Sub are attached hereto as Exhibits 3.1 and 3.2, respectively, and are incorporated herein by reference.</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274" w:right="419" w:bottom="1440" w:gutter="0" w:footer="0" w:header="0"/>
        </w:sectPr>
      </w:pPr>
    </w:p>
    <w:bookmarkStart w:id="7" w:name="page8"/>
    <w:bookmarkEnd w:id="7"/>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3.1</w:t>
      </w:r>
      <w:r>
        <w:rPr>
          <w:sz w:val="20"/>
          <w:szCs w:val="20"/>
          <w:color w:val="auto"/>
        </w:rPr>
        <w:tab/>
      </w:r>
      <w:r>
        <w:rPr>
          <w:rFonts w:ascii="Arial" w:cs="Arial" w:eastAsia="Arial" w:hAnsi="Arial"/>
          <w:sz w:val="16"/>
          <w:szCs w:val="16"/>
          <w:color w:val="auto"/>
        </w:rPr>
        <w:t>Restated Certificate of Incorporation of CMEG NYMEX Holdings Inc.</w:t>
      </w:r>
    </w:p>
    <w:p>
      <w:pPr>
        <w:spacing w:after="0" w:line="117" w:lineRule="exact"/>
        <w:rPr>
          <w:sz w:val="20"/>
          <w:szCs w:val="20"/>
          <w:color w:val="auto"/>
        </w:rPr>
      </w:pPr>
    </w:p>
    <w:p>
      <w:pPr>
        <w:ind w:left="1160" w:hanging="1147"/>
        <w:spacing w:after="0" w:line="268" w:lineRule="auto"/>
        <w:tabs>
          <w:tab w:leader="none" w:pos="11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8"/>
          <w:szCs w:val="18"/>
          <w:color w:val="auto"/>
        </w:rPr>
        <w:t>Bylaws of CMEG NYMEX Holdings Inc. (pursuant to the Merger Agreement, the bylaws of CMEG NY Inc. became the bylaws of CMEG NYMEX Holdings Inc. upon consummation of the Merger.)</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240" w:top="274" w:right="69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NYMEX Holdings,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Kerschner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Richard Kerschner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General Counsel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29, 2008</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2"/>
        </w:trPr>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980" w:type="dxa"/>
            <w:vAlign w:val="bottom"/>
          </w:tcPr>
          <w:p>
            <w:pPr>
              <w:jc w:val="center"/>
              <w:ind w:right="1872"/>
              <w:spacing w:after="0"/>
              <w:rPr>
                <w:sz w:val="20"/>
                <w:szCs w:val="20"/>
                <w:color w:val="auto"/>
              </w:rPr>
            </w:pPr>
            <w:r>
              <w:rPr>
                <w:rFonts w:ascii="Arial" w:cs="Arial" w:eastAsia="Arial" w:hAnsi="Arial"/>
                <w:sz w:val="18"/>
                <w:szCs w:val="18"/>
                <w:color w:val="auto"/>
                <w:w w:val="99"/>
              </w:rPr>
              <w:t>EXHIBIT INDEX</w:t>
            </w:r>
          </w:p>
        </w:tc>
      </w:tr>
      <w:tr>
        <w:trPr>
          <w:trHeight w:val="420"/>
        </w:trPr>
        <w:tc>
          <w:tcPr>
            <w:tcW w:w="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1"/>
              </w:rPr>
              <w:t>Exhibit No.</w:t>
            </w:r>
          </w:p>
        </w:tc>
        <w:tc>
          <w:tcPr>
            <w:tcW w:w="50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r>
      <w:tr>
        <w:trPr>
          <w:trHeight w:val="317"/>
        </w:trPr>
        <w:tc>
          <w:tcPr>
            <w:tcW w:w="88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50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Restated Certificate of Incorporation of CMEG NYMEX Holdings Inc.</w:t>
            </w: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50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0"/>
              </w:rPr>
              <w:t>Bylaws of CMEG NYMEX Holdings Inc. (pursuant to the Merger Agreement, the bylaws of CMEG NY Inc. became the bylaws of CMEG</w:t>
            </w:r>
          </w:p>
        </w:tc>
      </w:tr>
      <w:tr>
        <w:trPr>
          <w:trHeight w:val="222"/>
        </w:trPr>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NYMEX Holdings Inc. upon consummation of the Merger.)</w:t>
            </w:r>
          </w:p>
        </w:tc>
      </w:tr>
      <w:tr>
        <w:trPr>
          <w:trHeight w:val="365"/>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300" w:type="dxa"/>
            <w:vAlign w:val="bottom"/>
            <w:gridSpan w:val="3"/>
          </w:tcPr>
          <w:p>
            <w:pPr>
              <w:jc w:val="right"/>
              <w:ind w:right="5292"/>
              <w:spacing w:after="0"/>
              <w:rPr>
                <w:sz w:val="20"/>
                <w:szCs w:val="20"/>
                <w:color w:val="auto"/>
              </w:rPr>
            </w:pPr>
            <w:r>
              <w:rPr>
                <w:rFonts w:ascii="Arial" w:cs="Arial" w:eastAsia="Arial" w:hAnsi="Arial"/>
                <w:sz w:val="18"/>
                <w:szCs w:val="18"/>
                <w:color w:val="auto"/>
              </w:rPr>
              <w:t>10</w:t>
            </w:r>
          </w:p>
        </w:tc>
      </w:tr>
    </w:tbl>
    <w:p>
      <w:pPr>
        <w:jc w:val="right"/>
        <w:ind w:right="5292"/>
        <w:spacing w:after="0"/>
        <w:rPr>
          <w:sz w:val="20"/>
          <w:szCs w:val="20"/>
          <w:color w:val="auto"/>
        </w:rPr>
        <w:sectPr>
          <w:pgSz w:w="11900" w:h="16838" w:orient="portrait"/>
          <w:cols w:equalWidth="0" w:num="1">
            <w:col w:w="11180"/>
          </w:cols>
          <w:pgMar w:left="240" w:top="280" w:right="47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CMEG NYMEX HOLDINGS INC.</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CMEG NYMEX Holdings Inc. (hereinafter referred to as the “Corporation”), which was originally incorporated in the State of Delaware on March 10, 2008 under the name “CMEG NY Inc.”, hereby certifies that this Restated Certificate of Incorporation was duly adopted in accordance with the provisions of Section 245 of the General Corporation Law of the State of Delaware as set forth in Title 8 of the Delaware Code (the “GCL”). This Restated Certificate of Incorporation only restates and integrates, and does not further amend, the provisions of the Certificate of Incorporation of the Corporation, dated as of March 10, 2008, as amended by the Certificate of Merger filed on August 22, 2008, and there is no discrepancy between the provisions of the Certificate of Incorporation of the Corporation, as so amended, and the provisions of this Restated Certificate of Incorporation (except for those provisions of the original Certificate of Incorporation of the Corporation that may be omitted herefrom pursuant to Section 245(c) of the GCL).</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The name of the Corporation is CMEG NYMEX Holdings Inc.</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The address of the registered office of the Corporation in the State of Delaware is 1209 Orange Street, Wilmington, County of New Castle. The name of its registered agent is The Corporation Trust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The purpose of the Corporation is to engage in any lawful act or activity for which a corporation may be organized under the GCL.</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The total number of shares of stock which the Corporation shall have authority to issue is 1,000 shares of Common Stock, each having a par value of one penny ($0.01).</w:t>
      </w:r>
    </w:p>
    <w:p>
      <w:pPr>
        <w:spacing w:after="0" w:line="132"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51" w:lineRule="exact"/>
        <w:rPr>
          <w:sz w:val="20"/>
          <w:szCs w:val="20"/>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business and affairs of the Corporation shall be managed by or under the direction of the Board of Directors.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directors shall have concurrent power with the stockholders to make, alter, amend, change, add to or repeal the Bylaws of the Corporation.</w:t>
      </w:r>
    </w:p>
    <w:p>
      <w:pPr>
        <w:spacing w:after="0" w:line="194" w:lineRule="exact"/>
        <w:rPr>
          <w:rFonts w:ascii="Arial" w:cs="Arial" w:eastAsia="Arial" w:hAnsi="Arial"/>
          <w:sz w:val="16"/>
          <w:szCs w:val="16"/>
          <w:color w:val="auto"/>
        </w:rPr>
      </w:pPr>
    </w:p>
    <w:p>
      <w:pPr>
        <w:ind w:right="20" w:firstLine="464"/>
        <w:spacing w:after="0" w:line="268" w:lineRule="auto"/>
        <w:tabs>
          <w:tab w:leader="none" w:pos="70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of directors of the Corporation shall be as from time to time fixed by, or in the manner provided in, the Bylaws of the Corporation. Election of directors need not be by written ballot unless the Bylaws so provide.</w:t>
      </w:r>
    </w:p>
    <w:p>
      <w:pPr>
        <w:sectPr>
          <w:pgSz w:w="11900" w:h="16838" w:orient="portrait"/>
          <w:cols w:equalWidth="0" w:num="1">
            <w:col w:w="11420"/>
          </w:cols>
          <w:pgMar w:left="240" w:top="125" w:right="239" w:bottom="1440" w:gutter="0" w:footer="0" w:header="0"/>
        </w:sectPr>
      </w:pPr>
    </w:p>
    <w:bookmarkStart w:id="11" w:name="page12"/>
    <w:bookmarkEnd w:id="11"/>
    <w:p>
      <w:pPr>
        <w:ind w:right="80" w:firstLine="464"/>
        <w:spacing w:after="0" w:line="254" w:lineRule="auto"/>
        <w:tabs>
          <w:tab w:leader="none" w:pos="705"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director shall be personally liable to the Corporation or any of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pursuant to Section 174 of the GCL or (iv) for any transaction from which the director derived an improper personal benefit. Any repeal or modification of this Article FIFTH by the stockholders of the Corporation shall not adversely affect any right or protection of a director of the Corporation existing at the time of such repeal or modification with respect to acts or omissions occurring prior to such repeal or modification.</w:t>
      </w:r>
    </w:p>
    <w:p>
      <w:pPr>
        <w:spacing w:after="0" w:line="144" w:lineRule="exact"/>
        <w:rPr>
          <w:rFonts w:ascii="Arial" w:cs="Arial" w:eastAsia="Arial" w:hAnsi="Arial"/>
          <w:sz w:val="18"/>
          <w:szCs w:val="18"/>
          <w:color w:val="auto"/>
        </w:rPr>
      </w:pPr>
    </w:p>
    <w:p>
      <w:pPr>
        <w:ind w:firstLine="464"/>
        <w:spacing w:after="0" w:line="298" w:lineRule="auto"/>
        <w:tabs>
          <w:tab w:leader="none" w:pos="70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GCL, this Certificate of Incorporation, and any Bylaws adopted by the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Bylaws hereafter adopted by the stockholders shall invalidate any prior act of the directors which would have been valid if such Bylaws had not been adopted.</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xml:space="preserve">: The Corporation shall indemnify its directors to the fullest extent authorized or permitted by law, as now or hereafter in effect, and such right to indemnification shall continue as to a person who has ceased to be a director of the Corporation and shall inure to the benefit of his or her heirs, executors and personal and legal representatives;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for proceedings to enforce rights to indemnification, the Corporation shall not be obligated to indemnify any director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Article SIXTH shall include the right to be paid by the Corporation the expenses incurred in defending or otherwise participating in any proceeding in advance of its final disposition.</w:t>
      </w:r>
    </w:p>
    <w:p>
      <w:pPr>
        <w:spacing w:after="0" w:line="14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Corporation may, to the extent authorized from time to time by the Board of Directors, provide rights to indemnification and to the advancement of expenses to officers, employees and agents of the Corporation similar to those conferred in this Article SIXTH to directors of the Corporation.</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rights to indemnification and to the advancement of expenses conferred in this Article SIXTH shall not be exclusive of any other right which any person may have or hereafter acquire under this Certificate of Incorporation, the Bylaws of the Corporation, any statute, agreement, vote of the stockholders of the Corporation or disinterested directors of the Corporation or otherwise.</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No amendment, repeal or modification of this Article SIXTH shall adversely affect any rights to indemnification and to the advancement of expenses of a director of the Corporation existing at the time of such amendment, repeal or modification with respect to any acts or omissions occurring prior to such amendment, repeal or modification.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2" w:name="page13"/>
    <w:bookmarkEnd w:id="12"/>
    <w:p>
      <w:pPr>
        <w:ind w:firstLine="456"/>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SEVENTH</w:t>
      </w:r>
      <w:r>
        <w:rPr>
          <w:rFonts w:ascii="Arial" w:cs="Arial" w:eastAsia="Arial" w:hAnsi="Arial"/>
          <w:sz w:val="18"/>
          <w:szCs w:val="18"/>
          <w:color w:val="auto"/>
        </w:rPr>
        <w:t>: Meetings of stockholders may be held within or without the State of Delaware, as the Bylaws may provide. The books of the Corporation may be kept (subject to any provision contained in the GCL) outside the State of Delaware at such place or places as may be designated from time to time by the Board of Directors or in the Bylaws of the Corporation.</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u w:val="single" w:color="auto"/>
          <w:color w:val="auto"/>
        </w:rPr>
        <w:t>EIGHTH</w:t>
      </w:r>
      <w:r>
        <w:rPr>
          <w:rFonts w:ascii="Arial" w:cs="Arial" w:eastAsia="Arial" w:hAnsi="Arial"/>
          <w:sz w:val="16"/>
          <w:szCs w:val="16"/>
          <w:color w:val="auto"/>
        </w:rPr>
        <w:t>: 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 *</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13" w:name="page14"/>
    <w:bookmarkEnd w:id="13"/>
    <w:p>
      <w:pPr>
        <w:ind w:right="2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CMEG NYMEX Holdings Inc. has caused this Restated Certificate of Incorporation to be executed in its corporate name this 22nd day of August, 2008.</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CMEG NYMEX HOLDINGS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/s/ Kathleen M. Cronin</w:t>
            </w:r>
          </w:p>
        </w:tc>
      </w:tr>
      <w:tr>
        <w:trPr>
          <w:trHeight w:val="202"/>
        </w:trPr>
        <w:tc>
          <w:tcPr>
            <w:tcW w:w="280" w:type="dxa"/>
            <w:vAlign w:val="bottom"/>
          </w:tcPr>
          <w:p>
            <w:pPr>
              <w:spacing w:after="0"/>
              <w:rPr>
                <w:sz w:val="17"/>
                <w:szCs w:val="17"/>
                <w:color w:val="auto"/>
              </w:rPr>
            </w:pPr>
          </w:p>
        </w:tc>
        <w:tc>
          <w:tcPr>
            <w:tcW w:w="4280" w:type="dxa"/>
            <w:vAlign w:val="bottom"/>
          </w:tcPr>
          <w:p>
            <w:pPr>
              <w:jc w:val="center"/>
              <w:spacing w:after="0" w:line="202" w:lineRule="exact"/>
              <w:rPr>
                <w:sz w:val="20"/>
                <w:szCs w:val="20"/>
                <w:color w:val="auto"/>
              </w:rPr>
            </w:pPr>
            <w:r>
              <w:rPr>
                <w:rFonts w:ascii="Arial" w:cs="Arial" w:eastAsia="Arial" w:hAnsi="Arial"/>
                <w:sz w:val="18"/>
                <w:szCs w:val="18"/>
                <w:color w:val="auto"/>
                <w:w w:val="90"/>
              </w:rPr>
              <w:t>Name: Kathleen M. Cronin</w:t>
            </w:r>
          </w:p>
        </w:tc>
      </w:tr>
      <w:tr>
        <w:trPr>
          <w:trHeight w:val="222"/>
        </w:trPr>
        <w:tc>
          <w:tcPr>
            <w:tcW w:w="280" w:type="dxa"/>
            <w:vAlign w:val="bottom"/>
          </w:tcPr>
          <w:p>
            <w:pPr>
              <w:spacing w:after="0"/>
              <w:rPr>
                <w:sz w:val="19"/>
                <w:szCs w:val="19"/>
                <w:color w:val="auto"/>
              </w:rPr>
            </w:pPr>
          </w:p>
        </w:tc>
        <w:tc>
          <w:tcPr>
            <w:tcW w:w="4280" w:type="dxa"/>
            <w:vAlign w:val="bottom"/>
          </w:tcPr>
          <w:p>
            <w:pPr>
              <w:ind w:left="1260"/>
              <w:spacing w:after="0"/>
              <w:rPr>
                <w:sz w:val="20"/>
                <w:szCs w:val="20"/>
                <w:color w:val="auto"/>
              </w:rPr>
            </w:pPr>
            <w:r>
              <w:rPr>
                <w:rFonts w:ascii="Arial" w:cs="Arial" w:eastAsia="Arial" w:hAnsi="Arial"/>
                <w:sz w:val="18"/>
                <w:szCs w:val="18"/>
                <w:color w:val="auto"/>
              </w:rPr>
              <w:t>Title: Secretary</w:t>
            </w:r>
          </w:p>
        </w:tc>
      </w:tr>
    </w:tbl>
    <w:p>
      <w:pPr>
        <w:sectPr>
          <w:pgSz w:w="11900" w:h="16838" w:orient="portrait"/>
          <w:cols w:equalWidth="0" w:num="1">
            <w:col w:w="11420"/>
          </w:cols>
          <w:pgMar w:left="240" w:top="280"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BYLAWS</w:t>
      </w:r>
    </w:p>
    <w:p>
      <w:pPr>
        <w:spacing w:after="0" w:line="17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OF</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CMEG NY INC.</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A Delaware Corporation</w:t>
      </w:r>
    </w:p>
    <w:p>
      <w:pPr>
        <w:spacing w:after="0" w:line="187"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Effective March 10, 2008</w:t>
      </w:r>
    </w:p>
    <w:p>
      <w:pPr>
        <w:sectPr>
          <w:pgSz w:w="11900" w:h="16838" w:orient="portrait"/>
          <w:cols w:equalWidth="0" w:num="1">
            <w:col w:w="10220"/>
          </w:cols>
          <w:pgMar w:left="1440" w:top="12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740" w:type="dxa"/>
            <w:vAlign w:val="bottom"/>
          </w:tcPr>
          <w:p>
            <w:pPr>
              <w:ind w:left="3160"/>
              <w:spacing w:after="0"/>
              <w:rPr>
                <w:sz w:val="20"/>
                <w:szCs w:val="20"/>
                <w:color w:val="auto"/>
              </w:rPr>
            </w:pPr>
            <w:r>
              <w:rPr>
                <w:rFonts w:ascii="Arial" w:cs="Arial" w:eastAsia="Arial" w:hAnsi="Arial"/>
                <w:sz w:val="22"/>
                <w:szCs w:val="22"/>
                <w:b w:val="1"/>
                <w:bCs w:val="1"/>
                <w:color w:val="auto"/>
              </w:rPr>
              <w:t>TABLE OF CONTENTS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7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80" w:type="dxa"/>
            <w:vAlign w:val="bottom"/>
          </w:tcPr>
          <w:p>
            <w:pPr>
              <w:spacing w:after="0"/>
              <w:rPr>
                <w:sz w:val="8"/>
                <w:szCs w:val="8"/>
                <w:color w:val="auto"/>
              </w:rPr>
            </w:pPr>
          </w:p>
        </w:tc>
        <w:tc>
          <w:tcPr>
            <w:tcW w:w="974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OFFICES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80" w:type="dxa"/>
            <w:vAlign w:val="bottom"/>
          </w:tcPr>
          <w:p>
            <w:pPr>
              <w:ind w:left="420"/>
              <w:spacing w:after="0"/>
              <w:rPr>
                <w:sz w:val="20"/>
                <w:szCs w:val="20"/>
                <w:color w:val="auto"/>
              </w:rPr>
            </w:pPr>
            <w:r>
              <w:rPr>
                <w:rFonts w:ascii="Arial" w:cs="Arial" w:eastAsia="Arial" w:hAnsi="Arial"/>
                <w:sz w:val="18"/>
                <w:szCs w:val="18"/>
                <w:color w:val="auto"/>
              </w:rPr>
              <w:t>Section 1.</w:t>
            </w:r>
          </w:p>
        </w:tc>
        <w:tc>
          <w:tcPr>
            <w:tcW w:w="9740" w:type="dxa"/>
            <w:vAlign w:val="bottom"/>
          </w:tcPr>
          <w:p>
            <w:pPr>
              <w:ind w:left="180"/>
              <w:spacing w:after="0"/>
              <w:rPr>
                <w:sz w:val="20"/>
                <w:szCs w:val="20"/>
                <w:color w:val="auto"/>
              </w:rPr>
            </w:pPr>
            <w:r>
              <w:rPr>
                <w:rFonts w:ascii="Arial" w:cs="Arial" w:eastAsia="Arial" w:hAnsi="Arial"/>
                <w:sz w:val="18"/>
                <w:szCs w:val="18"/>
                <w:color w:val="auto"/>
              </w:rPr>
              <w:t>Registered Office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2.</w:t>
            </w:r>
          </w:p>
        </w:tc>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Offices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140" w:type="dxa"/>
            <w:vAlign w:val="bottom"/>
            <w:gridSpan w:val="3"/>
          </w:tcPr>
          <w:p>
            <w:pPr>
              <w:spacing w:after="0"/>
              <w:rPr>
                <w:sz w:val="20"/>
                <w:szCs w:val="20"/>
                <w:color w:val="auto"/>
              </w:rPr>
            </w:pPr>
            <w:r>
              <w:rPr>
                <w:rFonts w:ascii="Arial" w:cs="Arial" w:eastAsia="Arial" w:hAnsi="Arial"/>
                <w:sz w:val="18"/>
                <w:szCs w:val="18"/>
                <w:color w:val="auto"/>
              </w:rPr>
              <w:t>ARTICLE II MEETINGS OF STOCKHOLDERS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1.</w:t>
            </w:r>
          </w:p>
        </w:tc>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Place of Meetings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20"/>
              <w:spacing w:after="0"/>
              <w:rPr>
                <w:sz w:val="20"/>
                <w:szCs w:val="20"/>
                <w:color w:val="auto"/>
              </w:rPr>
            </w:pPr>
            <w:r>
              <w:rPr>
                <w:rFonts w:ascii="Arial" w:cs="Arial" w:eastAsia="Arial" w:hAnsi="Arial"/>
                <w:sz w:val="18"/>
                <w:szCs w:val="18"/>
                <w:color w:val="auto"/>
              </w:rPr>
              <w:t>Section 2.</w:t>
            </w:r>
          </w:p>
        </w:tc>
        <w:tc>
          <w:tcPr>
            <w:tcW w:w="9740" w:type="dxa"/>
            <w:vAlign w:val="bottom"/>
          </w:tcPr>
          <w:p>
            <w:pPr>
              <w:ind w:left="180"/>
              <w:spacing w:after="0"/>
              <w:rPr>
                <w:sz w:val="20"/>
                <w:szCs w:val="20"/>
                <w:color w:val="auto"/>
              </w:rPr>
            </w:pPr>
            <w:r>
              <w:rPr>
                <w:rFonts w:ascii="Arial" w:cs="Arial" w:eastAsia="Arial" w:hAnsi="Arial"/>
                <w:sz w:val="18"/>
                <w:szCs w:val="18"/>
                <w:color w:val="auto"/>
              </w:rPr>
              <w:t>Annual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3.</w:t>
            </w:r>
          </w:p>
        </w:tc>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Special Meetings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20"/>
              <w:spacing w:after="0"/>
              <w:rPr>
                <w:sz w:val="20"/>
                <w:szCs w:val="20"/>
                <w:color w:val="auto"/>
              </w:rPr>
            </w:pPr>
            <w:r>
              <w:rPr>
                <w:rFonts w:ascii="Arial" w:cs="Arial" w:eastAsia="Arial" w:hAnsi="Arial"/>
                <w:sz w:val="18"/>
                <w:szCs w:val="18"/>
                <w:color w:val="auto"/>
              </w:rPr>
              <w:t>Section 4.</w:t>
            </w:r>
          </w:p>
        </w:tc>
        <w:tc>
          <w:tcPr>
            <w:tcW w:w="9740" w:type="dxa"/>
            <w:vAlign w:val="bottom"/>
          </w:tcPr>
          <w:p>
            <w:pPr>
              <w:ind w:left="180"/>
              <w:spacing w:after="0"/>
              <w:rPr>
                <w:sz w:val="20"/>
                <w:szCs w:val="20"/>
                <w:color w:val="auto"/>
              </w:rPr>
            </w:pPr>
            <w:r>
              <w:rPr>
                <w:rFonts w:ascii="Arial" w:cs="Arial" w:eastAsia="Arial" w:hAnsi="Arial"/>
                <w:sz w:val="18"/>
                <w:szCs w:val="18"/>
                <w:color w:val="auto"/>
              </w:rPr>
              <w:t>Notice</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5.</w:t>
            </w:r>
          </w:p>
        </w:tc>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Adjournments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20"/>
              <w:spacing w:after="0"/>
              <w:rPr>
                <w:sz w:val="20"/>
                <w:szCs w:val="20"/>
                <w:color w:val="auto"/>
              </w:rPr>
            </w:pPr>
            <w:r>
              <w:rPr>
                <w:rFonts w:ascii="Arial" w:cs="Arial" w:eastAsia="Arial" w:hAnsi="Arial"/>
                <w:sz w:val="18"/>
                <w:szCs w:val="18"/>
                <w:color w:val="auto"/>
              </w:rPr>
              <w:t>Section 6.</w:t>
            </w:r>
          </w:p>
        </w:tc>
        <w:tc>
          <w:tcPr>
            <w:tcW w:w="9740" w:type="dxa"/>
            <w:vAlign w:val="bottom"/>
          </w:tcPr>
          <w:p>
            <w:pPr>
              <w:ind w:left="180"/>
              <w:spacing w:after="0"/>
              <w:rPr>
                <w:sz w:val="20"/>
                <w:szCs w:val="20"/>
                <w:color w:val="auto"/>
              </w:rPr>
            </w:pPr>
            <w:r>
              <w:rPr>
                <w:rFonts w:ascii="Arial" w:cs="Arial" w:eastAsia="Arial" w:hAnsi="Arial"/>
                <w:sz w:val="18"/>
                <w:szCs w:val="18"/>
                <w:color w:val="auto"/>
              </w:rPr>
              <w:t>Quorum</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7.</w:t>
            </w:r>
          </w:p>
        </w:tc>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Voting</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20"/>
              <w:spacing w:after="0"/>
              <w:rPr>
                <w:sz w:val="20"/>
                <w:szCs w:val="20"/>
                <w:color w:val="auto"/>
              </w:rPr>
            </w:pPr>
            <w:r>
              <w:rPr>
                <w:rFonts w:ascii="Arial" w:cs="Arial" w:eastAsia="Arial" w:hAnsi="Arial"/>
                <w:sz w:val="18"/>
                <w:szCs w:val="18"/>
                <w:color w:val="auto"/>
              </w:rPr>
              <w:t>Section 8.</w:t>
            </w:r>
          </w:p>
        </w:tc>
        <w:tc>
          <w:tcPr>
            <w:tcW w:w="9740" w:type="dxa"/>
            <w:vAlign w:val="bottom"/>
          </w:tcPr>
          <w:p>
            <w:pPr>
              <w:ind w:left="180"/>
              <w:spacing w:after="0"/>
              <w:rPr>
                <w:sz w:val="20"/>
                <w:szCs w:val="20"/>
                <w:color w:val="auto"/>
              </w:rPr>
            </w:pPr>
            <w:r>
              <w:rPr>
                <w:rFonts w:ascii="Arial" w:cs="Arial" w:eastAsia="Arial" w:hAnsi="Arial"/>
                <w:sz w:val="18"/>
                <w:szCs w:val="18"/>
                <w:color w:val="auto"/>
              </w:rPr>
              <w:t>Proxies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9.</w:t>
            </w:r>
          </w:p>
        </w:tc>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Consent of Stockholders in Lieu of Meeting</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20"/>
              <w:spacing w:after="0"/>
              <w:rPr>
                <w:sz w:val="20"/>
                <w:szCs w:val="20"/>
                <w:color w:val="auto"/>
              </w:rPr>
            </w:pPr>
            <w:r>
              <w:rPr>
                <w:rFonts w:ascii="Arial" w:cs="Arial" w:eastAsia="Arial" w:hAnsi="Arial"/>
                <w:sz w:val="18"/>
                <w:szCs w:val="18"/>
                <w:color w:val="auto"/>
              </w:rPr>
              <w:t>Section 10.</w:t>
            </w:r>
          </w:p>
        </w:tc>
        <w:tc>
          <w:tcPr>
            <w:tcW w:w="9740" w:type="dxa"/>
            <w:vAlign w:val="bottom"/>
          </w:tcPr>
          <w:p>
            <w:pPr>
              <w:ind w:left="180"/>
              <w:spacing w:after="0"/>
              <w:rPr>
                <w:sz w:val="20"/>
                <w:szCs w:val="20"/>
                <w:color w:val="auto"/>
              </w:rPr>
            </w:pPr>
            <w:r>
              <w:rPr>
                <w:rFonts w:ascii="Arial" w:cs="Arial" w:eastAsia="Arial" w:hAnsi="Arial"/>
                <w:sz w:val="18"/>
                <w:szCs w:val="18"/>
                <w:color w:val="auto"/>
              </w:rPr>
              <w:t>List of Stockholders Entitled to Vote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11.</w:t>
            </w:r>
          </w:p>
        </w:tc>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Record Date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20"/>
              <w:spacing w:after="0"/>
              <w:rPr>
                <w:sz w:val="20"/>
                <w:szCs w:val="20"/>
                <w:color w:val="auto"/>
              </w:rPr>
            </w:pPr>
            <w:r>
              <w:rPr>
                <w:rFonts w:ascii="Arial" w:cs="Arial" w:eastAsia="Arial" w:hAnsi="Arial"/>
                <w:sz w:val="18"/>
                <w:szCs w:val="18"/>
                <w:color w:val="auto"/>
              </w:rPr>
              <w:t>Section 12.</w:t>
            </w:r>
          </w:p>
        </w:tc>
        <w:tc>
          <w:tcPr>
            <w:tcW w:w="9740" w:type="dxa"/>
            <w:vAlign w:val="bottom"/>
          </w:tcPr>
          <w:p>
            <w:pPr>
              <w:ind w:left="180"/>
              <w:spacing w:after="0"/>
              <w:rPr>
                <w:sz w:val="20"/>
                <w:szCs w:val="20"/>
                <w:color w:val="auto"/>
              </w:rPr>
            </w:pPr>
            <w:r>
              <w:rPr>
                <w:rFonts w:ascii="Arial" w:cs="Arial" w:eastAsia="Arial" w:hAnsi="Arial"/>
                <w:sz w:val="18"/>
                <w:szCs w:val="18"/>
                <w:color w:val="auto"/>
              </w:rPr>
              <w:t>Stock Ledger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13.</w:t>
            </w:r>
          </w:p>
        </w:tc>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Conduct of Meetings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140" w:type="dxa"/>
            <w:vAlign w:val="bottom"/>
            <w:gridSpan w:val="3"/>
          </w:tcPr>
          <w:p>
            <w:pPr>
              <w:spacing w:after="0"/>
              <w:rPr>
                <w:sz w:val="20"/>
                <w:szCs w:val="20"/>
                <w:color w:val="auto"/>
              </w:rPr>
            </w:pPr>
            <w:r>
              <w:rPr>
                <w:rFonts w:ascii="Arial" w:cs="Arial" w:eastAsia="Arial" w:hAnsi="Arial"/>
                <w:sz w:val="18"/>
                <w:szCs w:val="18"/>
                <w:color w:val="auto"/>
              </w:rPr>
              <w:t>ARTICLE III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1.</w:t>
            </w:r>
          </w:p>
        </w:tc>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Number and Election of Directors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20"/>
              <w:spacing w:after="0"/>
              <w:rPr>
                <w:sz w:val="20"/>
                <w:szCs w:val="20"/>
                <w:color w:val="auto"/>
              </w:rPr>
            </w:pPr>
            <w:r>
              <w:rPr>
                <w:rFonts w:ascii="Arial" w:cs="Arial" w:eastAsia="Arial" w:hAnsi="Arial"/>
                <w:sz w:val="18"/>
                <w:szCs w:val="18"/>
                <w:color w:val="auto"/>
              </w:rPr>
              <w:t>Section 2.</w:t>
            </w:r>
          </w:p>
        </w:tc>
        <w:tc>
          <w:tcPr>
            <w:tcW w:w="9740" w:type="dxa"/>
            <w:vAlign w:val="bottom"/>
          </w:tcPr>
          <w:p>
            <w:pPr>
              <w:ind w:left="180"/>
              <w:spacing w:after="0"/>
              <w:rPr>
                <w:sz w:val="20"/>
                <w:szCs w:val="20"/>
                <w:color w:val="auto"/>
              </w:rPr>
            </w:pPr>
            <w:r>
              <w:rPr>
                <w:rFonts w:ascii="Arial" w:cs="Arial" w:eastAsia="Arial" w:hAnsi="Arial"/>
                <w:sz w:val="18"/>
                <w:szCs w:val="18"/>
                <w:color w:val="auto"/>
              </w:rPr>
              <w:t>Duties and Powers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3.</w:t>
            </w:r>
          </w:p>
        </w:tc>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Meetings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20"/>
              <w:spacing w:after="0"/>
              <w:rPr>
                <w:sz w:val="20"/>
                <w:szCs w:val="20"/>
                <w:color w:val="auto"/>
              </w:rPr>
            </w:pPr>
            <w:r>
              <w:rPr>
                <w:rFonts w:ascii="Arial" w:cs="Arial" w:eastAsia="Arial" w:hAnsi="Arial"/>
                <w:sz w:val="18"/>
                <w:szCs w:val="18"/>
                <w:color w:val="auto"/>
              </w:rPr>
              <w:t>Section 4.</w:t>
            </w:r>
          </w:p>
        </w:tc>
        <w:tc>
          <w:tcPr>
            <w:tcW w:w="9740" w:type="dxa"/>
            <w:vAlign w:val="bottom"/>
          </w:tcPr>
          <w:p>
            <w:pPr>
              <w:ind w:left="180"/>
              <w:spacing w:after="0"/>
              <w:rPr>
                <w:sz w:val="20"/>
                <w:szCs w:val="20"/>
                <w:color w:val="auto"/>
              </w:rPr>
            </w:pPr>
            <w:r>
              <w:rPr>
                <w:rFonts w:ascii="Arial" w:cs="Arial" w:eastAsia="Arial" w:hAnsi="Arial"/>
                <w:sz w:val="18"/>
                <w:szCs w:val="18"/>
                <w:color w:val="auto"/>
              </w:rPr>
              <w:t>Organization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5.</w:t>
            </w:r>
          </w:p>
        </w:tc>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Resignations and Removals of Directors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20"/>
              <w:spacing w:after="0"/>
              <w:rPr>
                <w:sz w:val="20"/>
                <w:szCs w:val="20"/>
                <w:color w:val="auto"/>
              </w:rPr>
            </w:pPr>
            <w:r>
              <w:rPr>
                <w:rFonts w:ascii="Arial" w:cs="Arial" w:eastAsia="Arial" w:hAnsi="Arial"/>
                <w:sz w:val="18"/>
                <w:szCs w:val="18"/>
                <w:color w:val="auto"/>
              </w:rPr>
              <w:t>Section 6.</w:t>
            </w:r>
          </w:p>
        </w:tc>
        <w:tc>
          <w:tcPr>
            <w:tcW w:w="9740" w:type="dxa"/>
            <w:vAlign w:val="bottom"/>
          </w:tcPr>
          <w:p>
            <w:pPr>
              <w:ind w:left="180"/>
              <w:spacing w:after="0"/>
              <w:rPr>
                <w:sz w:val="20"/>
                <w:szCs w:val="20"/>
                <w:color w:val="auto"/>
              </w:rPr>
            </w:pPr>
            <w:r>
              <w:rPr>
                <w:rFonts w:ascii="Arial" w:cs="Arial" w:eastAsia="Arial" w:hAnsi="Arial"/>
                <w:sz w:val="18"/>
                <w:szCs w:val="18"/>
                <w:color w:val="auto"/>
              </w:rPr>
              <w:t>Quorum</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7.</w:t>
            </w:r>
          </w:p>
        </w:tc>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Actions of the Board by Written Consent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20"/>
              <w:spacing w:after="0"/>
              <w:rPr>
                <w:sz w:val="20"/>
                <w:szCs w:val="20"/>
                <w:color w:val="auto"/>
              </w:rPr>
            </w:pPr>
            <w:r>
              <w:rPr>
                <w:rFonts w:ascii="Arial" w:cs="Arial" w:eastAsia="Arial" w:hAnsi="Arial"/>
                <w:sz w:val="18"/>
                <w:szCs w:val="18"/>
                <w:color w:val="auto"/>
              </w:rPr>
              <w:t>Section 8.</w:t>
            </w:r>
          </w:p>
        </w:tc>
        <w:tc>
          <w:tcPr>
            <w:tcW w:w="9740" w:type="dxa"/>
            <w:vAlign w:val="bottom"/>
          </w:tcPr>
          <w:p>
            <w:pPr>
              <w:ind w:left="180"/>
              <w:spacing w:after="0"/>
              <w:rPr>
                <w:sz w:val="20"/>
                <w:szCs w:val="20"/>
                <w:color w:val="auto"/>
              </w:rPr>
            </w:pPr>
            <w:r>
              <w:rPr>
                <w:rFonts w:ascii="Arial" w:cs="Arial" w:eastAsia="Arial" w:hAnsi="Arial"/>
                <w:sz w:val="18"/>
                <w:szCs w:val="18"/>
                <w:color w:val="auto"/>
              </w:rPr>
              <w:t>Meetings by Means of Conference Telephone</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9.</w:t>
            </w:r>
          </w:p>
        </w:tc>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Committees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20"/>
              <w:spacing w:after="0"/>
              <w:rPr>
                <w:sz w:val="20"/>
                <w:szCs w:val="20"/>
                <w:color w:val="auto"/>
              </w:rPr>
            </w:pPr>
            <w:r>
              <w:rPr>
                <w:rFonts w:ascii="Arial" w:cs="Arial" w:eastAsia="Arial" w:hAnsi="Arial"/>
                <w:sz w:val="18"/>
                <w:szCs w:val="18"/>
                <w:color w:val="auto"/>
              </w:rPr>
              <w:t>Section 10.</w:t>
            </w:r>
          </w:p>
        </w:tc>
        <w:tc>
          <w:tcPr>
            <w:tcW w:w="9740" w:type="dxa"/>
            <w:vAlign w:val="bottom"/>
          </w:tcPr>
          <w:p>
            <w:pPr>
              <w:ind w:left="180"/>
              <w:spacing w:after="0"/>
              <w:rPr>
                <w:sz w:val="20"/>
                <w:szCs w:val="20"/>
                <w:color w:val="auto"/>
              </w:rPr>
            </w:pPr>
            <w:r>
              <w:rPr>
                <w:rFonts w:ascii="Arial" w:cs="Arial" w:eastAsia="Arial" w:hAnsi="Arial"/>
                <w:sz w:val="18"/>
                <w:szCs w:val="18"/>
                <w:color w:val="auto"/>
              </w:rPr>
              <w:t>Subcommittees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11.</w:t>
            </w:r>
          </w:p>
        </w:tc>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420"/>
              <w:spacing w:after="0"/>
              <w:rPr>
                <w:sz w:val="20"/>
                <w:szCs w:val="20"/>
                <w:color w:val="auto"/>
              </w:rPr>
            </w:pPr>
            <w:r>
              <w:rPr>
                <w:rFonts w:ascii="Arial" w:cs="Arial" w:eastAsia="Arial" w:hAnsi="Arial"/>
                <w:sz w:val="18"/>
                <w:szCs w:val="18"/>
                <w:color w:val="auto"/>
              </w:rPr>
              <w:t>Section 12.</w:t>
            </w:r>
          </w:p>
        </w:tc>
        <w:tc>
          <w:tcPr>
            <w:tcW w:w="9740" w:type="dxa"/>
            <w:vAlign w:val="bottom"/>
          </w:tcPr>
          <w:p>
            <w:pPr>
              <w:ind w:left="180"/>
              <w:spacing w:after="0"/>
              <w:rPr>
                <w:sz w:val="20"/>
                <w:szCs w:val="20"/>
                <w:color w:val="auto"/>
              </w:rPr>
            </w:pPr>
            <w:r>
              <w:rPr>
                <w:rFonts w:ascii="Arial" w:cs="Arial" w:eastAsia="Arial" w:hAnsi="Arial"/>
                <w:sz w:val="18"/>
                <w:szCs w:val="18"/>
                <w:color w:val="auto"/>
              </w:rPr>
              <w:t>Interested Directors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1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IV OFFICERS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80" w:type="dxa"/>
            <w:vAlign w:val="bottom"/>
          </w:tcPr>
          <w:p>
            <w:pPr>
              <w:ind w:left="420"/>
              <w:spacing w:after="0"/>
              <w:rPr>
                <w:sz w:val="20"/>
                <w:szCs w:val="20"/>
                <w:color w:val="auto"/>
              </w:rPr>
            </w:pPr>
            <w:r>
              <w:rPr>
                <w:rFonts w:ascii="Arial" w:cs="Arial" w:eastAsia="Arial" w:hAnsi="Arial"/>
                <w:sz w:val="18"/>
                <w:szCs w:val="18"/>
                <w:color w:val="auto"/>
              </w:rPr>
              <w:t>Section 1.</w:t>
            </w:r>
          </w:p>
        </w:tc>
        <w:tc>
          <w:tcPr>
            <w:tcW w:w="9740" w:type="dxa"/>
            <w:vAlign w:val="bottom"/>
          </w:tcPr>
          <w:p>
            <w:pPr>
              <w:ind w:left="180"/>
              <w:spacing w:after="0"/>
              <w:rPr>
                <w:sz w:val="20"/>
                <w:szCs w:val="20"/>
                <w:color w:val="auto"/>
              </w:rPr>
            </w:pPr>
            <w:r>
              <w:rPr>
                <w:rFonts w:ascii="Arial" w:cs="Arial" w:eastAsia="Arial" w:hAnsi="Arial"/>
                <w:sz w:val="18"/>
                <w:szCs w:val="18"/>
                <w:color w:val="auto"/>
              </w:rPr>
              <w:t>General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2.</w:t>
            </w:r>
          </w:p>
        </w:tc>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Election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20"/>
              <w:spacing w:after="0"/>
              <w:rPr>
                <w:sz w:val="20"/>
                <w:szCs w:val="20"/>
                <w:color w:val="auto"/>
              </w:rPr>
            </w:pPr>
            <w:r>
              <w:rPr>
                <w:rFonts w:ascii="Arial" w:cs="Arial" w:eastAsia="Arial" w:hAnsi="Arial"/>
                <w:sz w:val="18"/>
                <w:szCs w:val="18"/>
                <w:color w:val="auto"/>
              </w:rPr>
              <w:t>Section 3.</w:t>
            </w:r>
          </w:p>
        </w:tc>
        <w:tc>
          <w:tcPr>
            <w:tcW w:w="9740" w:type="dxa"/>
            <w:vAlign w:val="bottom"/>
          </w:tcPr>
          <w:p>
            <w:pPr>
              <w:ind w:left="180"/>
              <w:spacing w:after="0"/>
              <w:rPr>
                <w:sz w:val="20"/>
                <w:szCs w:val="20"/>
                <w:color w:val="auto"/>
              </w:rPr>
            </w:pPr>
            <w:r>
              <w:rPr>
                <w:rFonts w:ascii="Arial" w:cs="Arial" w:eastAsia="Arial" w:hAnsi="Arial"/>
                <w:sz w:val="18"/>
                <w:szCs w:val="18"/>
                <w:color w:val="auto"/>
              </w:rPr>
              <w:t>Voting Securities Owned by the Corporation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4.</w:t>
            </w:r>
          </w:p>
        </w:tc>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Chairman of the Board of Directors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20"/>
              <w:spacing w:after="0"/>
              <w:rPr>
                <w:sz w:val="20"/>
                <w:szCs w:val="20"/>
                <w:color w:val="auto"/>
              </w:rPr>
            </w:pPr>
            <w:r>
              <w:rPr>
                <w:rFonts w:ascii="Arial" w:cs="Arial" w:eastAsia="Arial" w:hAnsi="Arial"/>
                <w:sz w:val="18"/>
                <w:szCs w:val="18"/>
                <w:color w:val="auto"/>
              </w:rPr>
              <w:t>Section 5.</w:t>
            </w:r>
          </w:p>
        </w:tc>
        <w:tc>
          <w:tcPr>
            <w:tcW w:w="9740" w:type="dxa"/>
            <w:vAlign w:val="bottom"/>
          </w:tcPr>
          <w:p>
            <w:pPr>
              <w:ind w:left="180"/>
              <w:spacing w:after="0"/>
              <w:rPr>
                <w:sz w:val="20"/>
                <w:szCs w:val="20"/>
                <w:color w:val="auto"/>
              </w:rPr>
            </w:pPr>
            <w:r>
              <w:rPr>
                <w:rFonts w:ascii="Arial" w:cs="Arial" w:eastAsia="Arial" w:hAnsi="Arial"/>
                <w:sz w:val="18"/>
                <w:szCs w:val="18"/>
                <w:color w:val="auto"/>
              </w:rPr>
              <w:t>President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6.</w:t>
            </w:r>
          </w:p>
        </w:tc>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Vice Presidents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420"/>
              <w:spacing w:after="0"/>
              <w:rPr>
                <w:sz w:val="20"/>
                <w:szCs w:val="20"/>
                <w:color w:val="auto"/>
              </w:rPr>
            </w:pPr>
            <w:r>
              <w:rPr>
                <w:rFonts w:ascii="Arial" w:cs="Arial" w:eastAsia="Arial" w:hAnsi="Arial"/>
                <w:sz w:val="18"/>
                <w:szCs w:val="18"/>
                <w:color w:val="auto"/>
              </w:rPr>
              <w:t>Section 7.</w:t>
            </w:r>
          </w:p>
        </w:tc>
        <w:tc>
          <w:tcPr>
            <w:tcW w:w="9740" w:type="dxa"/>
            <w:vAlign w:val="bottom"/>
          </w:tcPr>
          <w:p>
            <w:pPr>
              <w:ind w:left="180"/>
              <w:spacing w:after="0"/>
              <w:rPr>
                <w:sz w:val="20"/>
                <w:szCs w:val="20"/>
                <w:color w:val="auto"/>
              </w:rPr>
            </w:pPr>
            <w:r>
              <w:rPr>
                <w:rFonts w:ascii="Arial" w:cs="Arial" w:eastAsia="Arial" w:hAnsi="Arial"/>
                <w:sz w:val="18"/>
                <w:szCs w:val="18"/>
                <w:color w:val="auto"/>
              </w:rPr>
              <w:t>Secretary</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6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8.</w:t>
            </w: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Treasurer</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8"/>
                <w:szCs w:val="18"/>
                <w:color w:val="auto"/>
              </w:rPr>
              <w:t>Section 9.</w:t>
            </w:r>
          </w:p>
        </w:tc>
        <w:tc>
          <w:tcPr>
            <w:tcW w:w="5880" w:type="dxa"/>
            <w:vAlign w:val="bottom"/>
          </w:tcPr>
          <w:p>
            <w:pPr>
              <w:ind w:left="20"/>
              <w:spacing w:after="0"/>
              <w:rPr>
                <w:sz w:val="20"/>
                <w:szCs w:val="20"/>
                <w:color w:val="auto"/>
              </w:rPr>
            </w:pPr>
            <w:r>
              <w:rPr>
                <w:rFonts w:ascii="Arial" w:cs="Arial" w:eastAsia="Arial" w:hAnsi="Arial"/>
                <w:sz w:val="18"/>
                <w:szCs w:val="18"/>
                <w:color w:val="auto"/>
              </w:rPr>
              <w:t>Assistant Secretaries</w:t>
            </w:r>
          </w:p>
        </w:tc>
        <w:tc>
          <w:tcPr>
            <w:tcW w:w="39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10.</w:t>
            </w: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Assistant Treasurers</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tcPr>
          <w:p>
            <w:pPr>
              <w:ind w:left="420"/>
              <w:spacing w:after="0"/>
              <w:rPr>
                <w:sz w:val="20"/>
                <w:szCs w:val="20"/>
                <w:color w:val="auto"/>
              </w:rPr>
            </w:pPr>
            <w:r>
              <w:rPr>
                <w:rFonts w:ascii="Arial" w:cs="Arial" w:eastAsia="Arial" w:hAnsi="Arial"/>
                <w:sz w:val="18"/>
                <w:szCs w:val="18"/>
                <w:color w:val="auto"/>
              </w:rPr>
              <w:t>Section 11.</w:t>
            </w:r>
          </w:p>
        </w:tc>
        <w:tc>
          <w:tcPr>
            <w:tcW w:w="5880" w:type="dxa"/>
            <w:vAlign w:val="bottom"/>
          </w:tcPr>
          <w:p>
            <w:pPr>
              <w:ind w:left="20"/>
              <w:spacing w:after="0"/>
              <w:rPr>
                <w:sz w:val="20"/>
                <w:szCs w:val="20"/>
                <w:color w:val="auto"/>
              </w:rPr>
            </w:pPr>
            <w:r>
              <w:rPr>
                <w:rFonts w:ascii="Arial" w:cs="Arial" w:eastAsia="Arial" w:hAnsi="Arial"/>
                <w:sz w:val="18"/>
                <w:szCs w:val="18"/>
                <w:color w:val="auto"/>
              </w:rPr>
              <w:t>Other Officers</w:t>
            </w:r>
          </w:p>
        </w:tc>
        <w:tc>
          <w:tcPr>
            <w:tcW w:w="39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4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w w:val="94"/>
              </w:rPr>
              <w:t>ARTICLE V STOCK</w:t>
            </w:r>
          </w:p>
        </w:tc>
        <w:tc>
          <w:tcPr>
            <w:tcW w:w="5880" w:type="dxa"/>
            <w:vAlign w:val="bottom"/>
            <w:shd w:val="clear" w:color="auto" w:fill="CCEEFF"/>
          </w:tcPr>
          <w:p>
            <w:pPr>
              <w:spacing w:after="0"/>
              <w:rPr>
                <w:sz w:val="18"/>
                <w:szCs w:val="18"/>
                <w:color w:val="auto"/>
              </w:rPr>
            </w:pP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40" w:type="dxa"/>
            <w:vAlign w:val="bottom"/>
          </w:tcPr>
          <w:p>
            <w:pPr>
              <w:ind w:left="420"/>
              <w:spacing w:after="0"/>
              <w:rPr>
                <w:sz w:val="20"/>
                <w:szCs w:val="20"/>
                <w:color w:val="auto"/>
              </w:rPr>
            </w:pPr>
            <w:r>
              <w:rPr>
                <w:rFonts w:ascii="Arial" w:cs="Arial" w:eastAsia="Arial" w:hAnsi="Arial"/>
                <w:sz w:val="18"/>
                <w:szCs w:val="18"/>
                <w:color w:val="auto"/>
              </w:rPr>
              <w:t>Section 1.</w:t>
            </w:r>
          </w:p>
        </w:tc>
        <w:tc>
          <w:tcPr>
            <w:tcW w:w="5880" w:type="dxa"/>
            <w:vAlign w:val="bottom"/>
          </w:tcPr>
          <w:p>
            <w:pPr>
              <w:ind w:left="20"/>
              <w:spacing w:after="0"/>
              <w:rPr>
                <w:sz w:val="20"/>
                <w:szCs w:val="20"/>
                <w:color w:val="auto"/>
              </w:rPr>
            </w:pPr>
            <w:r>
              <w:rPr>
                <w:rFonts w:ascii="Arial" w:cs="Arial" w:eastAsia="Arial" w:hAnsi="Arial"/>
                <w:sz w:val="18"/>
                <w:szCs w:val="18"/>
                <w:color w:val="auto"/>
              </w:rPr>
              <w:t>Form of Certificates</w:t>
            </w:r>
          </w:p>
        </w:tc>
        <w:tc>
          <w:tcPr>
            <w:tcW w:w="40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2.</w:t>
            </w: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Signatures</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8"/>
                <w:szCs w:val="18"/>
                <w:color w:val="auto"/>
              </w:rPr>
              <w:t>Section 3.</w:t>
            </w:r>
          </w:p>
        </w:tc>
        <w:tc>
          <w:tcPr>
            <w:tcW w:w="5880" w:type="dxa"/>
            <w:vAlign w:val="bottom"/>
          </w:tcPr>
          <w:p>
            <w:pPr>
              <w:ind w:left="20"/>
              <w:spacing w:after="0"/>
              <w:rPr>
                <w:sz w:val="20"/>
                <w:szCs w:val="20"/>
                <w:color w:val="auto"/>
              </w:rPr>
            </w:pPr>
            <w:r>
              <w:rPr>
                <w:rFonts w:ascii="Arial" w:cs="Arial" w:eastAsia="Arial" w:hAnsi="Arial"/>
                <w:sz w:val="18"/>
                <w:szCs w:val="18"/>
                <w:color w:val="auto"/>
              </w:rPr>
              <w:t>Lost Certificates</w:t>
            </w:r>
          </w:p>
        </w:tc>
        <w:tc>
          <w:tcPr>
            <w:tcW w:w="39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4.</w:t>
            </w: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8"/>
                <w:szCs w:val="18"/>
                <w:color w:val="auto"/>
              </w:rPr>
              <w:t>Section 5.</w:t>
            </w:r>
          </w:p>
        </w:tc>
        <w:tc>
          <w:tcPr>
            <w:tcW w:w="5880" w:type="dxa"/>
            <w:vAlign w:val="bottom"/>
          </w:tcPr>
          <w:p>
            <w:pPr>
              <w:ind w:left="20"/>
              <w:spacing w:after="0"/>
              <w:rPr>
                <w:sz w:val="20"/>
                <w:szCs w:val="20"/>
                <w:color w:val="auto"/>
              </w:rPr>
            </w:pPr>
            <w:r>
              <w:rPr>
                <w:rFonts w:ascii="Arial" w:cs="Arial" w:eastAsia="Arial" w:hAnsi="Arial"/>
                <w:sz w:val="18"/>
                <w:szCs w:val="18"/>
                <w:color w:val="auto"/>
              </w:rPr>
              <w:t>Dividend Record Date</w:t>
            </w:r>
          </w:p>
        </w:tc>
        <w:tc>
          <w:tcPr>
            <w:tcW w:w="39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6.</w:t>
            </w: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Record Owners</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tcPr>
          <w:p>
            <w:pPr>
              <w:ind w:left="420"/>
              <w:spacing w:after="0"/>
              <w:rPr>
                <w:sz w:val="20"/>
                <w:szCs w:val="20"/>
                <w:color w:val="auto"/>
              </w:rPr>
            </w:pPr>
            <w:r>
              <w:rPr>
                <w:rFonts w:ascii="Arial" w:cs="Arial" w:eastAsia="Arial" w:hAnsi="Arial"/>
                <w:sz w:val="18"/>
                <w:szCs w:val="18"/>
                <w:color w:val="auto"/>
              </w:rPr>
              <w:t>Section 7.</w:t>
            </w:r>
          </w:p>
        </w:tc>
        <w:tc>
          <w:tcPr>
            <w:tcW w:w="5880" w:type="dxa"/>
            <w:vAlign w:val="bottom"/>
          </w:tcPr>
          <w:p>
            <w:pPr>
              <w:ind w:left="20"/>
              <w:spacing w:after="0"/>
              <w:rPr>
                <w:sz w:val="20"/>
                <w:szCs w:val="20"/>
                <w:color w:val="auto"/>
              </w:rPr>
            </w:pPr>
            <w:r>
              <w:rPr>
                <w:rFonts w:ascii="Arial" w:cs="Arial" w:eastAsia="Arial" w:hAnsi="Arial"/>
                <w:sz w:val="18"/>
                <w:szCs w:val="18"/>
                <w:color w:val="auto"/>
              </w:rPr>
              <w:t>Transfer and Registry Agents</w:t>
            </w:r>
          </w:p>
        </w:tc>
        <w:tc>
          <w:tcPr>
            <w:tcW w:w="39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gridSpan w:val="2"/>
          </w:tcPr>
          <w:p>
            <w:pPr>
              <w:spacing w:after="0"/>
              <w:rPr>
                <w:sz w:val="18"/>
                <w:szCs w:val="18"/>
                <w:color w:val="auto"/>
              </w:rPr>
            </w:pPr>
          </w:p>
        </w:tc>
        <w:tc>
          <w:tcPr>
            <w:tcW w:w="3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NOTICES</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40" w:type="dxa"/>
            <w:vAlign w:val="bottom"/>
          </w:tcPr>
          <w:p>
            <w:pPr>
              <w:ind w:left="420"/>
              <w:spacing w:after="0"/>
              <w:rPr>
                <w:sz w:val="20"/>
                <w:szCs w:val="20"/>
                <w:color w:val="auto"/>
              </w:rPr>
            </w:pPr>
            <w:r>
              <w:rPr>
                <w:rFonts w:ascii="Arial" w:cs="Arial" w:eastAsia="Arial" w:hAnsi="Arial"/>
                <w:sz w:val="18"/>
                <w:szCs w:val="18"/>
                <w:color w:val="auto"/>
              </w:rPr>
              <w:t>Section 1.</w:t>
            </w:r>
          </w:p>
        </w:tc>
        <w:tc>
          <w:tcPr>
            <w:tcW w:w="5880" w:type="dxa"/>
            <w:vAlign w:val="bottom"/>
          </w:tcPr>
          <w:p>
            <w:pPr>
              <w:ind w:left="20"/>
              <w:spacing w:after="0"/>
              <w:rPr>
                <w:sz w:val="20"/>
                <w:szCs w:val="20"/>
                <w:color w:val="auto"/>
              </w:rPr>
            </w:pPr>
            <w:r>
              <w:rPr>
                <w:rFonts w:ascii="Arial" w:cs="Arial" w:eastAsia="Arial" w:hAnsi="Arial"/>
                <w:sz w:val="18"/>
                <w:szCs w:val="18"/>
                <w:color w:val="auto"/>
              </w:rPr>
              <w:t>Notices</w:t>
            </w:r>
          </w:p>
        </w:tc>
        <w:tc>
          <w:tcPr>
            <w:tcW w:w="40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2.</w:t>
            </w: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Waivers of Notice</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440" w:type="dxa"/>
            <w:vAlign w:val="bottom"/>
            <w:gridSpan w:val="3"/>
          </w:tcPr>
          <w:p>
            <w:pPr>
              <w:spacing w:after="0"/>
              <w:rPr>
                <w:sz w:val="20"/>
                <w:szCs w:val="20"/>
                <w:color w:val="auto"/>
              </w:rPr>
            </w:pPr>
            <w:r>
              <w:rPr>
                <w:rFonts w:ascii="Arial" w:cs="Arial" w:eastAsia="Arial" w:hAnsi="Arial"/>
                <w:sz w:val="18"/>
                <w:szCs w:val="18"/>
                <w:color w:val="auto"/>
              </w:rPr>
              <w:t>ARTICLE VII GENERAL PROVISIONS</w:t>
            </w:r>
          </w:p>
        </w:tc>
        <w:tc>
          <w:tcPr>
            <w:tcW w:w="40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88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1.</w:t>
            </w: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8"/>
                <w:szCs w:val="18"/>
                <w:color w:val="auto"/>
              </w:rPr>
              <w:t>Section 2.</w:t>
            </w:r>
          </w:p>
        </w:tc>
        <w:tc>
          <w:tcPr>
            <w:tcW w:w="5880" w:type="dxa"/>
            <w:vAlign w:val="bottom"/>
          </w:tcPr>
          <w:p>
            <w:pPr>
              <w:ind w:left="20"/>
              <w:spacing w:after="0"/>
              <w:rPr>
                <w:sz w:val="20"/>
                <w:szCs w:val="20"/>
                <w:color w:val="auto"/>
              </w:rPr>
            </w:pPr>
            <w:r>
              <w:rPr>
                <w:rFonts w:ascii="Arial" w:cs="Arial" w:eastAsia="Arial" w:hAnsi="Arial"/>
                <w:sz w:val="18"/>
                <w:szCs w:val="18"/>
                <w:color w:val="auto"/>
              </w:rPr>
              <w:t>Disbursements</w:t>
            </w:r>
          </w:p>
        </w:tc>
        <w:tc>
          <w:tcPr>
            <w:tcW w:w="39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3.</w:t>
            </w: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tcPr>
          <w:p>
            <w:pPr>
              <w:ind w:left="420"/>
              <w:spacing w:after="0"/>
              <w:rPr>
                <w:sz w:val="20"/>
                <w:szCs w:val="20"/>
                <w:color w:val="auto"/>
              </w:rPr>
            </w:pPr>
            <w:r>
              <w:rPr>
                <w:rFonts w:ascii="Arial" w:cs="Arial" w:eastAsia="Arial" w:hAnsi="Arial"/>
                <w:sz w:val="18"/>
                <w:szCs w:val="18"/>
                <w:color w:val="auto"/>
              </w:rPr>
              <w:t>Section 4.</w:t>
            </w:r>
          </w:p>
        </w:tc>
        <w:tc>
          <w:tcPr>
            <w:tcW w:w="5880" w:type="dxa"/>
            <w:vAlign w:val="bottom"/>
          </w:tcPr>
          <w:p>
            <w:pPr>
              <w:ind w:left="20"/>
              <w:spacing w:after="0"/>
              <w:rPr>
                <w:sz w:val="20"/>
                <w:szCs w:val="20"/>
                <w:color w:val="auto"/>
              </w:rPr>
            </w:pPr>
            <w:r>
              <w:rPr>
                <w:rFonts w:ascii="Arial" w:cs="Arial" w:eastAsia="Arial" w:hAnsi="Arial"/>
                <w:sz w:val="18"/>
                <w:szCs w:val="18"/>
                <w:color w:val="auto"/>
              </w:rPr>
              <w:t>Corporate Seal</w:t>
            </w:r>
          </w:p>
        </w:tc>
        <w:tc>
          <w:tcPr>
            <w:tcW w:w="39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gridSpan w:val="2"/>
          </w:tcPr>
          <w:p>
            <w:pPr>
              <w:spacing w:after="0"/>
              <w:rPr>
                <w:sz w:val="18"/>
                <w:szCs w:val="18"/>
                <w:color w:val="auto"/>
              </w:rPr>
            </w:pPr>
          </w:p>
        </w:tc>
        <w:tc>
          <w:tcPr>
            <w:tcW w:w="3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VIII INDEMNIFICATION</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40" w:type="dxa"/>
            <w:vAlign w:val="bottom"/>
          </w:tcPr>
          <w:p>
            <w:pPr>
              <w:ind w:left="420"/>
              <w:spacing w:after="0"/>
              <w:rPr>
                <w:sz w:val="20"/>
                <w:szCs w:val="20"/>
                <w:color w:val="auto"/>
              </w:rPr>
            </w:pPr>
            <w:r>
              <w:rPr>
                <w:rFonts w:ascii="Arial" w:cs="Arial" w:eastAsia="Arial" w:hAnsi="Arial"/>
                <w:sz w:val="18"/>
                <w:szCs w:val="18"/>
                <w:color w:val="auto"/>
              </w:rPr>
              <w:t>Section 1.</w:t>
            </w:r>
          </w:p>
        </w:tc>
        <w:tc>
          <w:tcPr>
            <w:tcW w:w="5880" w:type="dxa"/>
            <w:vAlign w:val="bottom"/>
          </w:tcPr>
          <w:p>
            <w:pPr>
              <w:ind w:left="20"/>
              <w:spacing w:after="0"/>
              <w:rPr>
                <w:sz w:val="20"/>
                <w:szCs w:val="20"/>
                <w:color w:val="auto"/>
              </w:rPr>
            </w:pPr>
            <w:r>
              <w:rPr>
                <w:rFonts w:ascii="Arial" w:cs="Arial" w:eastAsia="Arial" w:hAnsi="Arial"/>
                <w:sz w:val="18"/>
                <w:szCs w:val="18"/>
                <w:color w:val="auto"/>
              </w:rPr>
              <w:t>Right to Indemnification</w:t>
            </w:r>
          </w:p>
        </w:tc>
        <w:tc>
          <w:tcPr>
            <w:tcW w:w="40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2.</w:t>
            </w: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Prepayment of Expenses</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8"/>
                <w:szCs w:val="18"/>
                <w:color w:val="auto"/>
              </w:rPr>
              <w:t>Section 3.</w:t>
            </w:r>
          </w:p>
        </w:tc>
        <w:tc>
          <w:tcPr>
            <w:tcW w:w="5880" w:type="dxa"/>
            <w:vAlign w:val="bottom"/>
          </w:tcPr>
          <w:p>
            <w:pPr>
              <w:ind w:left="20"/>
              <w:spacing w:after="0"/>
              <w:rPr>
                <w:sz w:val="20"/>
                <w:szCs w:val="20"/>
                <w:color w:val="auto"/>
              </w:rPr>
            </w:pPr>
            <w:r>
              <w:rPr>
                <w:rFonts w:ascii="Arial" w:cs="Arial" w:eastAsia="Arial" w:hAnsi="Arial"/>
                <w:sz w:val="18"/>
                <w:szCs w:val="18"/>
                <w:color w:val="auto"/>
              </w:rPr>
              <w:t>Claims</w:t>
            </w:r>
          </w:p>
        </w:tc>
        <w:tc>
          <w:tcPr>
            <w:tcW w:w="39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4.</w:t>
            </w: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Non-Exclusivity of Rights</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Arial" w:cs="Arial" w:eastAsia="Arial" w:hAnsi="Arial"/>
                <w:sz w:val="18"/>
                <w:szCs w:val="18"/>
                <w:color w:val="auto"/>
              </w:rPr>
              <w:t>Section 5.</w:t>
            </w:r>
          </w:p>
        </w:tc>
        <w:tc>
          <w:tcPr>
            <w:tcW w:w="5880" w:type="dxa"/>
            <w:vAlign w:val="bottom"/>
          </w:tcPr>
          <w:p>
            <w:pPr>
              <w:ind w:left="20"/>
              <w:spacing w:after="0"/>
              <w:rPr>
                <w:sz w:val="20"/>
                <w:szCs w:val="20"/>
                <w:color w:val="auto"/>
              </w:rPr>
            </w:pPr>
            <w:r>
              <w:rPr>
                <w:rFonts w:ascii="Arial" w:cs="Arial" w:eastAsia="Arial" w:hAnsi="Arial"/>
                <w:sz w:val="18"/>
                <w:szCs w:val="18"/>
                <w:color w:val="auto"/>
              </w:rPr>
              <w:t>Other Indemnification</w:t>
            </w:r>
          </w:p>
        </w:tc>
        <w:tc>
          <w:tcPr>
            <w:tcW w:w="39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6.</w:t>
            </w: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Amendment or Repeal</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440" w:type="dxa"/>
            <w:vAlign w:val="bottom"/>
            <w:gridSpan w:val="3"/>
          </w:tcPr>
          <w:p>
            <w:pPr>
              <w:spacing w:after="0"/>
              <w:rPr>
                <w:sz w:val="20"/>
                <w:szCs w:val="20"/>
                <w:color w:val="auto"/>
              </w:rPr>
            </w:pPr>
            <w:r>
              <w:rPr>
                <w:rFonts w:ascii="Arial" w:cs="Arial" w:eastAsia="Arial" w:hAnsi="Arial"/>
                <w:sz w:val="18"/>
                <w:szCs w:val="18"/>
                <w:color w:val="auto"/>
              </w:rPr>
              <w:t>ARTICLE IX AMENDMENTS</w:t>
            </w:r>
          </w:p>
        </w:tc>
        <w:tc>
          <w:tcPr>
            <w:tcW w:w="40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88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1.</w:t>
            </w: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Amendments</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tcPr>
          <w:p>
            <w:pPr>
              <w:ind w:left="420"/>
              <w:spacing w:after="0"/>
              <w:rPr>
                <w:sz w:val="20"/>
                <w:szCs w:val="20"/>
                <w:color w:val="auto"/>
              </w:rPr>
            </w:pPr>
            <w:r>
              <w:rPr>
                <w:rFonts w:ascii="Arial" w:cs="Arial" w:eastAsia="Arial" w:hAnsi="Arial"/>
                <w:sz w:val="18"/>
                <w:szCs w:val="18"/>
                <w:color w:val="auto"/>
              </w:rPr>
              <w:t>Section 2.</w:t>
            </w:r>
          </w:p>
        </w:tc>
        <w:tc>
          <w:tcPr>
            <w:tcW w:w="5880" w:type="dxa"/>
            <w:vAlign w:val="bottom"/>
          </w:tcPr>
          <w:p>
            <w:pPr>
              <w:ind w:left="20"/>
              <w:spacing w:after="0"/>
              <w:rPr>
                <w:sz w:val="20"/>
                <w:szCs w:val="20"/>
                <w:color w:val="auto"/>
              </w:rPr>
            </w:pPr>
            <w:r>
              <w:rPr>
                <w:rFonts w:ascii="Arial" w:cs="Arial" w:eastAsia="Arial" w:hAnsi="Arial"/>
                <w:sz w:val="18"/>
                <w:szCs w:val="18"/>
                <w:color w:val="auto"/>
              </w:rPr>
              <w:t>Entire Board of Directors</w:t>
            </w:r>
          </w:p>
        </w:tc>
        <w:tc>
          <w:tcPr>
            <w:tcW w:w="39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8"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BYLAWS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CMEG NY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(hereinafter called the “Corporation”)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of the Corporation shall be in the City of Wilmington, County of New Castle, State of Delaware.</w:t>
      </w:r>
    </w:p>
    <w:p>
      <w:pPr>
        <w:spacing w:after="0" w:line="19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MEETINGS OF STOCKHOLDERS</w:t>
      </w:r>
    </w:p>
    <w:p>
      <w:pPr>
        <w:spacing w:after="0" w:line="25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the stockholders for the election of directors or for any other purpose shall be held at such time and place, either within or without the State of Delaware, as shall be designated from time to time by the Board of Directors. The Board of Directors may, in its sole discretion, determine that a meeting of the stockholders shall not be held at any place, but may instead be held solely by means of remote communication in the manner authorized by the General Corporation Law of the State of Delaware (the “DGCL”).</w:t>
      </w:r>
    </w:p>
    <w:p>
      <w:pPr>
        <w:spacing w:after="0" w:line="14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Annual Meetings</w:t>
      </w:r>
      <w:r>
        <w:rPr>
          <w:rFonts w:ascii="Arial" w:cs="Arial" w:eastAsia="Arial" w:hAnsi="Arial"/>
          <w:sz w:val="16"/>
          <w:szCs w:val="16"/>
          <w:color w:val="auto"/>
        </w:rPr>
        <w:t>. The Annual Meeting of Stockholders for the election of directors shall be held on such date and at such time as shall be designated from time to time by the Board of Directors. Any other proper business may be transacted at the Annual Meeting of Stockholders.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Special Meetings</w:t>
      </w:r>
      <w:r>
        <w:rPr>
          <w:rFonts w:ascii="Arial" w:cs="Arial" w:eastAsia="Arial" w:hAnsi="Arial"/>
          <w:sz w:val="16"/>
          <w:szCs w:val="16"/>
          <w:color w:val="auto"/>
        </w:rPr>
        <w:t>. Unless otherwise required by law or by the certificate of incorporation of the Corporation, as amended and restated from time to time (the “Certificate of Incorporation”), Special Meetings of Stockholders, for any purpose or purposes, may be called by the Chairman, if there be one, and shall be called by any officer of the Corporation at the request in writing of (i) the Board of Directors, (ii) a committee of the Board of Directors that has been duly designated by the Board of Directors and whose powers and authority include the power to call such meetings or (iii) stockholders owning a majority of the capital stock of the Corporation issued and outstanding and entitled to vote. Such request shall state the purpose or purposes of the proposed meeting. At a Special Meeting of Stockholders, only such business shall be conducted as shall be specified in the notice of meeting (or any supplement thereto).</w:t>
      </w:r>
    </w:p>
    <w:p>
      <w:pPr>
        <w:sectPr>
          <w:pgSz w:w="11900" w:h="16838" w:orient="portrait"/>
          <w:cols w:equalWidth="0" w:num="1">
            <w:col w:w="11400"/>
          </w:cols>
          <w:pgMar w:left="240" w:top="261" w:right="259" w:bottom="1440" w:gutter="0" w:footer="0" w:header="0"/>
        </w:sectPr>
      </w:pPr>
    </w:p>
    <w:bookmarkStart w:id="18" w:name="page19"/>
    <w:bookmarkEnd w:id="18"/>
    <w:p>
      <w:pPr>
        <w:ind w:right="8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 </w:t>
      </w:r>
      <w:r>
        <w:rPr>
          <w:rFonts w:ascii="Arial" w:cs="Arial" w:eastAsia="Arial" w:hAnsi="Arial"/>
          <w:sz w:val="18"/>
          <w:szCs w:val="18"/>
          <w:u w:val="single" w:color="auto"/>
          <w:color w:val="auto"/>
        </w:rPr>
        <w:t>Notice</w:t>
      </w:r>
      <w:r>
        <w:rPr>
          <w:rFonts w:ascii="Arial" w:cs="Arial" w:eastAsia="Arial" w:hAnsi="Arial"/>
          <w:sz w:val="18"/>
          <w:szCs w:val="18"/>
          <w:color w:val="auto"/>
        </w:rPr>
        <w:t>. Whenever stockholders are required or permitted to take any action at a meeting, a written notice of the meeting shall be given which shall state the place, if any, date and hour of the meeting, the means of remote communications, if any, by which stockholders and proxyholders may be deemed to be present in person and vote at such meeting, and, in the case of a Special Meeting, the purpose or purposes for which the meeting is called. Unless otherwise required by law, written notice of any meeting shall be given not less than ten (10) nor more than sixty (60) days before the date of the meeting to each stockholder entitled to notice of and to vote at such meeting.</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Adjournments</w:t>
      </w:r>
      <w:r>
        <w:rPr>
          <w:rFonts w:ascii="Arial" w:cs="Arial" w:eastAsia="Arial" w:hAnsi="Arial"/>
          <w:sz w:val="16"/>
          <w:szCs w:val="16"/>
          <w:color w:val="auto"/>
        </w:rPr>
        <w:t>. Any meeting of the stockholders may be adjourned from time to time to reconvene at the same or some other place, and notice need not be given of any such adjourned meeting if the time and place, if any, thereof and the means of remote communications, if any, by which stockholders and proxyholders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notice of the adjourned meeting in accordance with the requirements of Section 4 hereof shall be given to each stockholder of record entitled to notice of and to vote at the meeting.</w:t>
      </w:r>
    </w:p>
    <w:p>
      <w:pPr>
        <w:spacing w:after="0" w:line="12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 xml:space="preserve">Section 6. </w:t>
      </w:r>
      <w:r>
        <w:rPr>
          <w:rFonts w:ascii="Arial" w:cs="Arial" w:eastAsia="Arial" w:hAnsi="Arial"/>
          <w:sz w:val="15"/>
          <w:szCs w:val="15"/>
          <w:u w:val="single" w:color="auto"/>
          <w:color w:val="auto"/>
        </w:rPr>
        <w:t>Quorum</w:t>
      </w:r>
      <w:r>
        <w:rPr>
          <w:rFonts w:ascii="Arial" w:cs="Arial" w:eastAsia="Arial" w:hAnsi="Arial"/>
          <w:sz w:val="15"/>
          <w:szCs w:val="15"/>
          <w:color w:val="auto"/>
        </w:rPr>
        <w:t>. Unless otherwise required by applicable law or the Certificate of Incorporation, the holders of a majority of the Corporation’s capital stock issued and outstanding and entitled to vote thereat, present in person or represented by proxy, shall constitute a quorum at all meetings of the stockholders for the transaction of business. A quorum, once established, shall not be broken by the withdrawal of enough votes to leave less than a quorum. If, however, such quorum shall not be present or represented at any meeting of the stockholders, the stockholders entitled to vote thereat, present in person or represented by proxy, shall have power to adjourn the meeting from time to time, in the manner provided in Section 5 hereof, until a quorum shall be present or represented.</w:t>
      </w:r>
    </w:p>
    <w:p>
      <w:pPr>
        <w:spacing w:after="0" w:line="10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w:t>
      </w:r>
      <w:r>
        <w:rPr>
          <w:rFonts w:ascii="Arial" w:cs="Arial" w:eastAsia="Arial" w:hAnsi="Arial"/>
          <w:sz w:val="18"/>
          <w:szCs w:val="18"/>
          <w:color w:val="auto"/>
        </w:rPr>
        <w:t>. Unless otherwise required by law, the Certificate of Incorporation or these Bylaws, any question brought before any meeting of the stockholders, other than the election of directors, shall be decided by the vote of the holders of a majority of the total number of votes of the Corporation’s capital stock represented and entitled to vote thereat, voting as a single class. Unless otherwise provided in the Certificate of Incorporation, and subject to Section 11(a) of this Article II, each stockholder represented at a meeting of the stockholders shall be entitled to cast one (1) vote for each share of the capital stock entitled to vote thereat held by such stockholder. Such votes may be cast in person or by proxy as provided in Section 8 of this Article II. The Board of Directors, in its discretion, or the officer of the Corporation presiding at a meeting of the stockholders, in such officer’s discretion, may require that any votes cast at such meeting shall be cast by written ballot.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9" w:name="page20"/>
    <w:bookmarkEnd w:id="19"/>
    <w:p>
      <w:pPr>
        <w:ind w:right="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 </w:t>
      </w:r>
      <w:r>
        <w:rPr>
          <w:rFonts w:ascii="Arial" w:cs="Arial" w:eastAsia="Arial" w:hAnsi="Arial"/>
          <w:sz w:val="16"/>
          <w:szCs w:val="16"/>
          <w:u w:val="single" w:color="auto"/>
          <w:color w:val="auto"/>
        </w:rPr>
        <w:t>Proxies</w:t>
      </w:r>
      <w:r>
        <w:rPr>
          <w:rFonts w:ascii="Arial" w:cs="Arial" w:eastAsia="Arial" w:hAnsi="Arial"/>
          <w:sz w:val="16"/>
          <w:szCs w:val="16"/>
          <w:color w:val="auto"/>
        </w:rPr>
        <w:t>. Each stockholder entitled to vote at a meeting of the stockholders or to express consent or dissent to corporate action in writing without a meeting may authorize another person or persons to act for such stockholder as proxy, but no such proxy shall be voted upon after three years from its date, unless such proxy provides for a longer period. Without limiting the manner in which a stockholder may authorize another person or persons to act for such stockholder as proxy, the following shall constitute a valid means by which a stockholder may grant such authority:</w:t>
      </w:r>
    </w:p>
    <w:p>
      <w:pPr>
        <w:spacing w:after="0" w:line="113" w:lineRule="exact"/>
        <w:rPr>
          <w:sz w:val="20"/>
          <w:szCs w:val="20"/>
          <w:color w:val="auto"/>
        </w:rPr>
      </w:pPr>
    </w:p>
    <w:p>
      <w:pPr>
        <w:ind w:right="80" w:firstLine="464"/>
        <w:spacing w:after="0" w:line="259" w:lineRule="auto"/>
        <w:tabs>
          <w:tab w:leader="none" w:pos="666"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140" w:lineRule="exact"/>
        <w:rPr>
          <w:rFonts w:ascii="Arial" w:cs="Arial" w:eastAsia="Arial" w:hAnsi="Arial"/>
          <w:sz w:val="18"/>
          <w:szCs w:val="18"/>
          <w:color w:val="auto"/>
        </w:rPr>
      </w:pPr>
    </w:p>
    <w:p>
      <w:pPr>
        <w:ind w:firstLine="464"/>
        <w:spacing w:after="0" w:line="314" w:lineRule="auto"/>
        <w:tabs>
          <w:tab w:leader="none" w:pos="715" w:val="left"/>
        </w:tabs>
        <w:numPr>
          <w:ilvl w:val="0"/>
          <w:numId w:val="4"/>
        </w:numPr>
        <w:rPr>
          <w:rFonts w:ascii="Arial" w:cs="Arial" w:eastAsia="Arial" w:hAnsi="Arial"/>
          <w:sz w:val="15"/>
          <w:szCs w:val="15"/>
          <w:color w:val="auto"/>
        </w:rPr>
      </w:pPr>
      <w:r>
        <w:rPr>
          <w:rFonts w:ascii="Arial" w:cs="Arial" w:eastAsia="Arial" w:hAnsi="Arial"/>
          <w:sz w:val="15"/>
          <w:szCs w:val="15"/>
          <w:color w:val="auto"/>
        </w:rPr>
        <w:t>A stockholder may authorize another person or persons to act for such stockholder as proxy by transmitting or authorizing the transmission of a telegram, cablegram or other means of electronic transmission to the person who will be the holder of the proxy or to a proxy solicitation firm, proxy support service organization or like agent duly authorized by the person who will be the holder of the proxy to receive such transmission, provided that any such telegram, cablegram or other means of electronic transmission must either set forth or be submitted with information from which it can be determined that the telegram, cablegram or other electronic transmission was authorized by the stockholder. If it is determined that such telegrams, cablegrams or other electronic transmissions are valid, the inspectors or, if there are no inspectors, such other persons making that determination shall specify the information on which they relied.</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however, that such copy, facsimile telecommunication or other reproduction shall be a complete reproduction of the entire original writing or transmission.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Consent of Stockholders in Lieu of Meeting</w:t>
      </w:r>
      <w:r>
        <w:rPr>
          <w:rFonts w:ascii="Arial" w:cs="Arial" w:eastAsia="Arial" w:hAnsi="Arial"/>
          <w:sz w:val="16"/>
          <w:szCs w:val="16"/>
          <w:color w:val="auto"/>
        </w:rPr>
        <w:t>. Unless otherwise provided in the Certificate of Incorporation,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the stockholders are recorded. Delivery made to the Corporation’s registered office shall be by hand or by certified or registered mail, return receipt requested. Every written consent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0" w:name="page21"/>
    <w:bookmarkEnd w:id="20"/>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bear the date of signature of each stockholder who signs the consent and no written consent shall be effective to take the corporate action referred to therein unless, within sixty (60) days of the earliest dated consent delivered in the manner required by this Section 9 to the Corporation, written consents signed by a sufficient number of holders to take action are delivered to the Corporation by delivery to its registered office in the State of Delaware, its principal place of business, or an officer or agent of the Corporation having custody of the book in which proceedings of meetings of the stockholders are recorded. A telegram, cablegram or other electronic transmission consenting to an action to be taken and transmitted by a stockholder or proxyholder, or by a person or persons authorized to act for a stockholder or proxyholder, shall be deemed to be written, signed and dated for the purposes of this Section 9, provided that any such telegram, cablegram or other electronic transmission sets forth or is delivered with information from which the Corporation can determine (i) that the telegram, cablegram or other electronic transmission was transmitted by the stockholder or proxyholder or by a person or persons authorized to act for the stockholder or proxyholder and (ii)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the stockholders are recorded. Delivery made to the Corporation’s registered office shall be made by hand or by certified or registered mail, return receipt requested.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 as provided above in this Section 9.</w:t>
      </w:r>
    </w:p>
    <w:p>
      <w:pPr>
        <w:spacing w:after="0" w:line="131"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 xml:space="preserve">Section 10. </w:t>
      </w:r>
      <w:r>
        <w:rPr>
          <w:rFonts w:ascii="Arial" w:cs="Arial" w:eastAsia="Arial" w:hAnsi="Arial"/>
          <w:sz w:val="15"/>
          <w:szCs w:val="15"/>
          <w:u w:val="single" w:color="auto"/>
          <w:color w:val="auto"/>
        </w:rPr>
        <w:t>List of Stockholders Entitled to Vote</w:t>
      </w:r>
      <w:r>
        <w:rPr>
          <w:rFonts w:ascii="Arial" w:cs="Arial" w:eastAsia="Arial" w:hAnsi="Arial"/>
          <w:sz w:val="15"/>
          <w:szCs w:val="15"/>
          <w:color w:val="auto"/>
        </w:rPr>
        <w:t>. The officer of the Corporation who has charge of the stock ledger of the Corporation shall prepare and make, at least ten (10) days before every meeting of the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w:t>
      </w:r>
    </w:p>
    <w:p>
      <w:pPr>
        <w:spacing w:after="0" w:line="3"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a reasonably accessible electronic network, provided that the information required to gain access to such list is provided with the notice of the meeting,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ordinary business hours, at the principal place of business of the Corporation. In the event that the Corporation determines to make the list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1" w:name="page22"/>
    <w:bookmarkEnd w:id="2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Record Date</w:t>
      </w:r>
      <w:r>
        <w:rPr>
          <w:rFonts w:ascii="Arial" w:cs="Arial" w:eastAsia="Arial" w:hAnsi="Arial"/>
          <w:sz w:val="18"/>
          <w:szCs w:val="18"/>
          <w:color w:val="auto"/>
        </w:rPr>
        <w:t>.</w:t>
      </w:r>
    </w:p>
    <w:p>
      <w:pPr>
        <w:spacing w:after="0" w:line="90" w:lineRule="exact"/>
        <w:rPr>
          <w:sz w:val="20"/>
          <w:szCs w:val="20"/>
          <w:color w:val="auto"/>
        </w:rPr>
      </w:pPr>
    </w:p>
    <w:p>
      <w:pPr>
        <w:ind w:right="40" w:firstLine="464"/>
        <w:spacing w:after="0" w:line="290" w:lineRule="auto"/>
        <w:tabs>
          <w:tab w:leader="none" w:pos="695"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or to vote at any meeting of the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no record date is fixed by the Board of Directors,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of the meeting; provided, however, that the Board of Directors may fix a new record date for the adjourned meeting.</w:t>
      </w:r>
    </w:p>
    <w:p>
      <w:pPr>
        <w:spacing w:after="0" w:line="118" w:lineRule="exact"/>
        <w:rPr>
          <w:rFonts w:ascii="Arial" w:cs="Arial" w:eastAsia="Arial" w:hAnsi="Arial"/>
          <w:sz w:val="16"/>
          <w:szCs w:val="16"/>
          <w:color w:val="auto"/>
        </w:rPr>
      </w:pPr>
    </w:p>
    <w:p>
      <w:pPr>
        <w:ind w:firstLine="464"/>
        <w:spacing w:after="0" w:line="287" w:lineRule="auto"/>
        <w:tabs>
          <w:tab w:leader="none" w:pos="705"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the stockholders are recorded. Delivery made to the Corporation’s registered office shall be by hand or by certified or registered mail, return receipt requested.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2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Stock Ledger</w:t>
      </w:r>
      <w:r>
        <w:rPr>
          <w:rFonts w:ascii="Arial" w:cs="Arial" w:eastAsia="Arial" w:hAnsi="Arial"/>
          <w:sz w:val="18"/>
          <w:szCs w:val="18"/>
          <w:color w:val="auto"/>
        </w:rPr>
        <w:t>. The stock ledger of the Corporation shall be the only evidence as to who are the stockholders entitled to examine the stock ledger,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list required by Section 10 of this Article II or the books of the Corporation, or to vote in person or by proxy at any meeting of the stockholders.</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Conduct of Meetings</w:t>
      </w:r>
      <w:r>
        <w:rPr>
          <w:rFonts w:ascii="Arial" w:cs="Arial" w:eastAsia="Arial" w:hAnsi="Arial"/>
          <w:sz w:val="16"/>
          <w:szCs w:val="16"/>
          <w:color w:val="auto"/>
        </w:rPr>
        <w:t>. The Board of Directors of the Corporation may adopt by resolution such rules and regulations for the conduct of any meeting of the stockholders as it shall deem appropriate. Except to the extent inconsistent with such rules and regulations as adopted by the Board of Directors, the chairman of any meeting of the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the determination of when the polls shall open and close for any given matter to be voted on at the meeting; (iii) rules and procedures for maintaining order at the meeting and the safety of those present; (iv) limitations on attendance at or participation in the meeting to stockholders of record of the Corporation, their duly authorized and constituted proxies or such other persons as the chairman of the meeting shall determine; (v) restrictions on entry to the meeting after the time fixed for the commencement thereof; and (vi) limitations on the time allotted to questions or comments by participants.</w:t>
      </w:r>
    </w:p>
    <w:p>
      <w:pPr>
        <w:spacing w:after="0" w:line="2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III</w:t>
      </w:r>
    </w:p>
    <w:p>
      <w:pPr>
        <w:spacing w:after="0" w:line="171"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DIRECTORS</w:t>
      </w:r>
    </w:p>
    <w:p>
      <w:pPr>
        <w:spacing w:after="0" w:line="25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Number and Election of Directors</w:t>
      </w:r>
      <w:r>
        <w:rPr>
          <w:rFonts w:ascii="Arial" w:cs="Arial" w:eastAsia="Arial" w:hAnsi="Arial"/>
          <w:sz w:val="18"/>
          <w:szCs w:val="18"/>
          <w:color w:val="auto"/>
        </w:rPr>
        <w:t>. The Board of Directors shall consist of the number of directors as from time to time may be fixed by the Board of Directors.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Duties and Powers</w:t>
      </w:r>
      <w:r>
        <w:rPr>
          <w:rFonts w:ascii="Arial" w:cs="Arial" w:eastAsia="Arial" w:hAnsi="Arial"/>
          <w:sz w:val="18"/>
          <w:szCs w:val="18"/>
          <w:color w:val="auto"/>
        </w:rPr>
        <w:t>. The business and affairs of the Corporation shall be managed by or under the direction of the Board of Directors which may exercise all such powers of the Corporation and do all such lawful acts and things as are not by statute or by the Certificate of Incorporation or by these Bylaws required to be exercised or done by the stockholders.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Meetings</w:t>
      </w:r>
      <w:r>
        <w:rPr>
          <w:rFonts w:ascii="Arial" w:cs="Arial" w:eastAsia="Arial" w:hAnsi="Arial"/>
          <w:sz w:val="18"/>
          <w:szCs w:val="18"/>
          <w:color w:val="auto"/>
        </w:rPr>
        <w:t>. The Board of Directors may hold meetings, both regular and special, either within or without the State of Delaware. Regular meetings of the Board of Directors may be held without notice at such time and at such place as may from time to time be determined by the Board of Directors. Special meetings of the Board of Directors may be called by the Chairman, if there be one, or the Board of Directors. Notice thereof stating the place, date and hour of the meeting shall be given to each director either by mail not less than forty-eight (48) hours before the date of the meeting, by telephone, telegram or electronic means on twenty-four (24) hours’ notice, or on such shorter notice as the person or persons calling such meeting may deem necessary or appropriate in the circumstances.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3" w:name="page24"/>
    <w:bookmarkEnd w:id="23"/>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 </w:t>
      </w:r>
      <w:r>
        <w:rPr>
          <w:rFonts w:ascii="Arial" w:cs="Arial" w:eastAsia="Arial" w:hAnsi="Arial"/>
          <w:sz w:val="18"/>
          <w:szCs w:val="18"/>
          <w:u w:val="single" w:color="auto"/>
          <w:color w:val="auto"/>
        </w:rPr>
        <w:t>Organization</w:t>
      </w:r>
      <w:r>
        <w:rPr>
          <w:rFonts w:ascii="Arial" w:cs="Arial" w:eastAsia="Arial" w:hAnsi="Arial"/>
          <w:sz w:val="18"/>
          <w:szCs w:val="18"/>
          <w:color w:val="auto"/>
        </w:rPr>
        <w:t>. At each meeting of the Board of Directors, the Chairman of the Board of Directors, or, in his or her absence, a director chosen by a majority of the directors present, shall act as chairman. The Secretary of the Corporation shall act as secretary at each meeting of the Board of Directors. In case the Secretary shall be absent from any meeting of the Board of Directors, an Assistant Secretary shall perform the duties of secretary at such meeting; and in the absence from any such meeting of the Secretary and all the Assistant Secretaries, the chairman of the meeting may appoint any person to act as secretary of the meeting.</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Resignations and Removals of Directors</w:t>
      </w:r>
      <w:r>
        <w:rPr>
          <w:rFonts w:ascii="Arial" w:cs="Arial" w:eastAsia="Arial" w:hAnsi="Arial"/>
          <w:sz w:val="16"/>
          <w:szCs w:val="16"/>
          <w:color w:val="auto"/>
        </w:rPr>
        <w:t>. Any director of the Corporation may resign at any time, by giving notice in writing or by electronic transmission to the Chairman of the Board of Directors, the President or the Secretary of the Corporation. Such resignation shall take effect at the time therein specified or, if no time is specified, immediately; and, unless otherwise specified in such notice, the acceptance of such resignation shall not be necessary to make it effective. Except as otherwise required by applicable law and subject to the rights, if any, of the holders of shares of preferred stock then outstanding, any director or the entire Board of Directors may be removed from office at any time by the affirmative vote of the holders of at least a majority in voting power of the issued and outstanding capital stock of the Corporation entitled to vote in the election of directors.</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Quorum</w:t>
      </w:r>
      <w:r>
        <w:rPr>
          <w:rFonts w:ascii="Arial" w:cs="Arial" w:eastAsia="Arial" w:hAnsi="Arial"/>
          <w:sz w:val="18"/>
          <w:szCs w:val="18"/>
          <w:color w:val="auto"/>
        </w:rPr>
        <w:t>. Except as otherwise required by law or the Certificate of Incorporation, at all meetings of the Board of Directors, a majority of the entire Board of Directors shall constitute a quorum for the transaction of business and the act of a majority of the directors present at any meeting at which there is a quorum shall be the act of the Board of Directors. If a quorum shall not be present at any meeting of the Board of Directors, the directors present thereat may adjourn the meeting from time to time, without notice other than announcement at the meeting of the time and place of the adjourned meeting, until a quorum shall be present.</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Actions of the Board by Written Consent</w:t>
      </w:r>
      <w:r>
        <w:rPr>
          <w:rFonts w:ascii="Arial" w:cs="Arial" w:eastAsia="Arial" w:hAnsi="Arial"/>
          <w:sz w:val="16"/>
          <w:szCs w:val="16"/>
          <w:color w:val="auto"/>
        </w:rPr>
        <w:t>. Unless otherwise provided in the Certificate of Incorporation or these Bylaws, any action required or permitted to be taken at any meeting of the Board of Directors or of any committee thereof may be taken without a meeting, if all the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Meetings by Means of Conference Telephone</w:t>
      </w:r>
      <w:r>
        <w:rPr>
          <w:rFonts w:ascii="Arial" w:cs="Arial" w:eastAsia="Arial" w:hAnsi="Arial"/>
          <w:sz w:val="18"/>
          <w:szCs w:val="18"/>
          <w:color w:val="auto"/>
        </w:rPr>
        <w:t>. Unless otherwise provided in the Certificate of Incorporation or these Bylaws, members of the Board of Directors of the Corporation, or any committee thereof, may participate in a meeting of the Board of Directors or such committee by means of a conference telephone or other communications equipment by means of which all persons participating in the meeting can hear each other, and participation in a meeting pursuant to this Section 9 shall constitute presence in person at such meeting.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4" w:name="page25"/>
    <w:bookmarkEnd w:id="24"/>
    <w:p>
      <w:pPr>
        <w:ind w:right="8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any such committee.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such member or members constitute a quorum, may unanimously appoint another member of the Board of Directors to act at the meeting in the place of any absent or disqualified member. Any committee, to the extent permitted by law and provided in the resolution establishing such committee, shall have and may exercise all the powers and authority of the Board of Directors in the management of the business and affairs of the Corporation, and may authorize the seal of the Corporation to be affixed to all papers which may require it. Each committee shall keep regular minutes and report to the Board of Directors when required.</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Subcommittees</w:t>
      </w:r>
      <w:r>
        <w:rPr>
          <w:rFonts w:ascii="Arial" w:cs="Arial" w:eastAsia="Arial" w:hAnsi="Arial"/>
          <w:sz w:val="18"/>
          <w:szCs w:val="18"/>
          <w:color w:val="auto"/>
        </w:rPr>
        <w:t>. A committee may create one or more subcommittees, each subcommittee to consist of one or more members of the committee, and delegate to a subcommittee any or all of the powers and authority of the committee.</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Compensation</w:t>
      </w:r>
      <w:r>
        <w:rPr>
          <w:rFonts w:ascii="Arial" w:cs="Arial" w:eastAsia="Arial" w:hAnsi="Arial"/>
          <w:sz w:val="18"/>
          <w:szCs w:val="18"/>
          <w:color w:val="auto"/>
        </w:rPr>
        <w:t>. The directors may be paid their expenses, if any, of attendance at each meeting of the Board of Directors and may be paid a fixed sum for attendance at each meeting of the Board of Directors or a stated salary for service as director, payable in cash or securities. No such payment shall preclude any director from serving the Corporation in any other capacity and receiving compensation therefor. Members of special or standing committees may be allowed like compensation for service as committee members.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Interested Directors</w:t>
      </w:r>
      <w:r>
        <w:rPr>
          <w:rFonts w:ascii="Arial" w:cs="Arial" w:eastAsia="Arial" w:hAnsi="Arial"/>
          <w:sz w:val="16"/>
          <w:szCs w:val="16"/>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any such director’s or officer’s vote is counted for such purpose if: (i)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be counted in determining the presence of a quorum at a meeting of the Board of Directors or of a committee which authorizes the contract or transaction.</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25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w:t>
      </w:r>
      <w:r>
        <w:rPr>
          <w:rFonts w:ascii="Arial" w:cs="Arial" w:eastAsia="Arial" w:hAnsi="Arial"/>
          <w:sz w:val="16"/>
          <w:szCs w:val="16"/>
          <w:color w:val="auto"/>
        </w:rPr>
        <w:t>. The officers of the Corporation shall be chosen by the Board of Directors and shall be a President and a Secretary. The Board of Directors, in its discretion, also may choose a Chairman of the Board of Directors (who must be a director), a Treasurer and one or more Vice Presidents, Assistant Secretaries, Assistant Treasurers and other officers. Any number of offices may be held by the same person, unless otherwise prohibited by law, the Certificate of Incorporation or these Bylaws. The officers of the Corporation need not be stockholders of the Corporation nor, except in the case of the Chairman of the Board of Directors, need such officers be directors of the Corporation.</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Election</w:t>
      </w:r>
      <w:r>
        <w:rPr>
          <w:rFonts w:ascii="Arial" w:cs="Arial" w:eastAsia="Arial" w:hAnsi="Arial"/>
          <w:sz w:val="16"/>
          <w:szCs w:val="16"/>
          <w:color w:val="auto"/>
        </w:rPr>
        <w:t>. The Board of Directors, at its first meeting held after each Annual Meeting of Stockholders (or action by written consent of stockholders in lieu of the Annual Meeting of Stockholders), shall elect the officers of the Corporation who shall hold their offices for such terms and shall exercise such powers and perform such duties as shall be determined from time to time by the Board of Directors; and each officer of the Corporation shall hold office until such officer’s successor is elected and qualified, or until such officer’s earlier death, resignation or removal. Any officer elected by the Board of Directors may be removed at any time by the Board of Directors. Any vacancy occurring in any office of the Corporation shall be filled by the Board of Directors. The salaries of all officers of the Corporation shall be fixed by the Board of Directors.</w:t>
      </w:r>
    </w:p>
    <w:p>
      <w:pPr>
        <w:spacing w:after="0" w:line="12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Voting Securities Owned by the Corporation</w:t>
      </w:r>
      <w:r>
        <w:rPr>
          <w:rFonts w:ascii="Arial" w:cs="Arial" w:eastAsia="Arial" w:hAnsi="Arial"/>
          <w:sz w:val="18"/>
          <w:szCs w:val="18"/>
          <w:color w:val="auto"/>
        </w:rPr>
        <w:t>. Powers of attorney, proxies, waivers of notice of meeting, consents and other instruments relating to securities owned by the Corporation may be executed in the name of and on behalf of the Corporation by the President or any Vice President or any other officer authorized to do so by the Board of Directors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147"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Chairman of the Board of Directors</w:t>
      </w:r>
      <w:r>
        <w:rPr>
          <w:rFonts w:ascii="Arial" w:cs="Arial" w:eastAsia="Arial" w:hAnsi="Arial"/>
          <w:sz w:val="16"/>
          <w:szCs w:val="16"/>
          <w:color w:val="auto"/>
        </w:rPr>
        <w:t>. The Chairman of the Board of Directors shall, unless otherwise determined by the Board of Directors, preside at all meetings of the stockholders and of the Board of Directors. Except where by law the signature of the President is required, the Chairman of the Board of Directors shall possess the same power as the President to sign all contracts, certificates and other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6" w:name="page27"/>
    <w:bookmarkEnd w:id="26"/>
    <w:p>
      <w:pPr>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instruments of the Corporation which may be authorized by the Board of Directors. During the absence or disability of the President, the Chairman of the Board of Directors shall exercise all the powers and discharge all the duties of the President. The Chairman of the Board of Directors shall also perform such other duties and may exercise such other powers as may from time to time be assigned by these Bylaws or by the Board of Directors.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President</w:t>
      </w:r>
      <w:r>
        <w:rPr>
          <w:rFonts w:ascii="Arial" w:cs="Arial" w:eastAsia="Arial" w:hAnsi="Arial"/>
          <w:sz w:val="16"/>
          <w:szCs w:val="16"/>
          <w:color w:val="auto"/>
        </w:rPr>
        <w:t>. The President shall, subject to the control of the Board of Directors and, if there be one, the Chairman of the Board of Directors, have general supervision of the business of the Corporation and shall see that all orders and resolutions of the Board of Directors are carried into effect. The President shall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of Directors or the President. The President shall also perform such other duties and may exercise such other powers as may from time to time be assigned to such officer by these Bylaws or by the Board of Directors.</w:t>
      </w:r>
    </w:p>
    <w:p>
      <w:pPr>
        <w:spacing w:after="0" w:line="20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Vice Presidents</w:t>
      </w:r>
      <w:r>
        <w:rPr>
          <w:rFonts w:ascii="Arial" w:cs="Arial" w:eastAsia="Arial" w:hAnsi="Arial"/>
          <w:sz w:val="16"/>
          <w:szCs w:val="16"/>
          <w:color w:val="auto"/>
        </w:rPr>
        <w:t>. At the request of the President or in the President’s absence or in the event of the President’s inability or refusal to act (and if there be no Chairman of the Board of Directors), the Vice President, or the Vice Presidents if there are more than one (in the order designated by the Board of Directors), shall perform the duties of the President, and when so acting, shall have all the powers of and be subject to all the restrictions upon the President. Each Vice President shall perform such other duties and have such other powers as the Board of Directors from time to time may prescribe. If there be no Chairman of the Board of Directors and no Vice President, the Board of Directors shall designate the officer of the Corporation who, in the absence of the President or in the event of the inability or refusal of the President to act, shall perform the duties of the President, and when so acting, shall have all the powers of and be subject to all the restrictions upon the President.</w:t>
      </w:r>
    </w:p>
    <w:p>
      <w:pPr>
        <w:spacing w:after="0" w:line="199"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attend all meetings of the Board of Directors and all meetings of the stockholders and record all the proceedings thereat in a book or books to be kept for that purpose; the Secretary shall also perform like duties for committees of the Board of Directors when required. The Secretary shall give, or cause to be given, notice of all meetings of the stockholders and special meetings of the Board of Directors, and shall perform such other duties as may be prescribed by the Board of Directors, the Chairman of the Board of Directors or the President, under whose supervision the Secretary shall be. If the Secretary shall be unable or shall refuse to cause to be given notice of all meetings of the stockholders and special meetings of the Board of Directors, and if there be no Assistant Secretary, then either the Board of Directors or the President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7" w:name="page28"/>
    <w:bookmarkEnd w:id="27"/>
    <w:p>
      <w:pPr>
        <w:jc w:val="both"/>
        <w:ind w:right="1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give general authority to any other officer to affix the seal of the Corporation and to attest to the affixing by such officer’s signature. The Secretary shall see that all books, reports, statements, certificates and other documents and records required by law to be kept or filed are properly kept or filed, as the case may be.</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if there be one,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the office of the Treasurer and for the restoration to the Corporation, in case of the Treasurer’s death, resignation, retirement or removal from office, of all books, papers, vouchers, money and other property of whatever kind in the Treasurer’s possession or under the Treasurer’s control belonging to the Corporation.</w:t>
      </w:r>
    </w:p>
    <w:p>
      <w:pPr>
        <w:spacing w:after="0" w:line="20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Assistant Secretaries</w:t>
      </w:r>
      <w:r>
        <w:rPr>
          <w:rFonts w:ascii="Arial" w:cs="Arial" w:eastAsia="Arial" w:hAnsi="Arial"/>
          <w:sz w:val="18"/>
          <w:szCs w:val="18"/>
          <w:color w:val="auto"/>
        </w:rPr>
        <w:t>. Assistant Secretaries, if there be any, shall perform such duties and have such powers as from time to time may be assigned to them by the Board of Directors, the President, any Vice President, if there be one, or the Secretary, and in the absence of the Secretary or in the event of the Secretary’s inability or refusal to act, shall perform the duties of the Secretary, and when so acting, shall have all the powers of and be subject to all the restrictions upon the Secretary.</w:t>
      </w:r>
    </w:p>
    <w:p>
      <w:pPr>
        <w:spacing w:after="0" w:line="22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Assistant Treasurers</w:t>
      </w:r>
      <w:r>
        <w:rPr>
          <w:rFonts w:ascii="Arial" w:cs="Arial" w:eastAsia="Arial" w:hAnsi="Arial"/>
          <w:sz w:val="16"/>
          <w:szCs w:val="16"/>
          <w:color w:val="auto"/>
        </w:rPr>
        <w:t>. Assistant Treasurers, if there be any, shall perform such duties and have such powers as from time to time may be assigned to them by the Board of Directors, the President, any Vice President, if there be one, or the Treasurer, and in the absence of the Treasurer or in the event of the Treasurer’s inability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the office of Assistant Treasurer and for the restoration to the Corporation, in case of the Assistant Treasurer’s death, resignation, retirement or removal from office, of all books, papers, vouchers, money and other property of whatever kind in the Assistant Treasurer’s possession or under the Assistant Treasurer’s control belonging to the Corporation.</w:t>
      </w:r>
    </w:p>
    <w:p>
      <w:pPr>
        <w:spacing w:after="0" w:line="19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Other Officers</w:t>
      </w:r>
      <w:r>
        <w:rPr>
          <w:rFonts w:ascii="Arial" w:cs="Arial" w:eastAsia="Arial" w:hAnsi="Arial"/>
          <w:sz w:val="18"/>
          <w:szCs w:val="18"/>
          <w:color w:val="auto"/>
        </w:rPr>
        <w:t>. Such other officers as the Board of Directors may choose shall perform such duties and have such powers as from time to time may be assigned to them by the Board of Directors. The Board of Directors may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delegate to any other officer of the Corporation the power to choose such other officers and to prescribe their respective duties and powers.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STOCK</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Form of Certificates</w:t>
      </w:r>
      <w:r>
        <w:rPr>
          <w:rFonts w:ascii="Arial" w:cs="Arial" w:eastAsia="Arial" w:hAnsi="Arial"/>
          <w:sz w:val="16"/>
          <w:szCs w:val="16"/>
          <w:color w:val="auto"/>
        </w:rPr>
        <w:t>. Every holder of stock in the Corporation shall be entitled to have a certificate signed by, or in the name of the Corporation</w:t>
      </w:r>
    </w:p>
    <w:p>
      <w:pPr>
        <w:spacing w:after="0" w:line="38" w:lineRule="exact"/>
        <w:rPr>
          <w:sz w:val="20"/>
          <w:szCs w:val="20"/>
          <w:color w:val="auto"/>
        </w:rPr>
      </w:pPr>
    </w:p>
    <w:p>
      <w:pPr>
        <w:ind w:right="520" w:firstLine="8"/>
        <w:spacing w:after="0" w:line="323" w:lineRule="auto"/>
        <w:tabs>
          <w:tab w:leader="none" w:pos="210" w:val="left"/>
        </w:tabs>
        <w:numPr>
          <w:ilvl w:val="0"/>
          <w:numId w:val="7"/>
        </w:numPr>
        <w:rPr>
          <w:rFonts w:ascii="Arial" w:cs="Arial" w:eastAsia="Arial" w:hAnsi="Arial"/>
          <w:sz w:val="16"/>
          <w:szCs w:val="16"/>
          <w:color w:val="auto"/>
        </w:rPr>
      </w:pPr>
      <w:r>
        <w:rPr>
          <w:rFonts w:ascii="Arial" w:cs="Arial" w:eastAsia="Arial" w:hAnsi="Arial"/>
          <w:sz w:val="16"/>
          <w:szCs w:val="16"/>
          <w:color w:val="auto"/>
        </w:rPr>
        <w:t>by the Chairman of the Board of Directors, or the President or a Vice President and (ii) by the Treasurer or an Assistant Treasurer, or the Secretary or an Assistant Secretary of the Corporation, certifying the number of shares owned by such stockholder in the Corporation.</w:t>
      </w:r>
    </w:p>
    <w:p>
      <w:pPr>
        <w:spacing w:after="0" w:line="17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Signatures</w:t>
      </w:r>
      <w:r>
        <w:rPr>
          <w:rFonts w:ascii="Arial" w:cs="Arial" w:eastAsia="Arial" w:hAnsi="Arial"/>
          <w:sz w:val="16"/>
          <w:szCs w:val="16"/>
          <w:color w:val="auto"/>
        </w:rPr>
        <w:t>. Any or all of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8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Lost Certificates</w:t>
      </w:r>
      <w:r>
        <w:rPr>
          <w:rFonts w:ascii="Arial" w:cs="Arial" w:eastAsia="Arial" w:hAnsi="Arial"/>
          <w:sz w:val="16"/>
          <w:szCs w:val="16"/>
          <w:color w:val="auto"/>
        </w:rPr>
        <w:t>. The Board of Directors may direct a new certificate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the Board of Directors may, in its discretion and as a condition precedent to the issuance thereof, require the owner of such lost, stolen or destroyed certificate, or such owner’s legal representative, to advertise the same in such manner as the Board of Directors shall require and/or to give the Corporation a bond in such sum as it may direct as indemnity against any claim that may be made against the Corporation on account of the alleged loss, theft or destruction of such certificate or the issuance of such new certificate.</w:t>
      </w:r>
    </w:p>
    <w:p>
      <w:pPr>
        <w:spacing w:after="0" w:line="20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Transfers</w:t>
      </w:r>
      <w:r>
        <w:rPr>
          <w:rFonts w:ascii="Arial" w:cs="Arial" w:eastAsia="Arial" w:hAnsi="Arial"/>
          <w:sz w:val="16"/>
          <w:szCs w:val="16"/>
          <w:color w:val="auto"/>
        </w:rPr>
        <w:t>. Stock of the Corporation shall be transferable in the manner prescribed by applicable law and in these Bylaws. Transfers of stock shall be made on the books of the Corporation only by the person named in the certificate or by such person’s attorney lawfully constituted in writing and upon the surrender of the certificate therefor, properly endorsed for transfer and payment of all necessary transfer taxes; provided, however, that such surrender and endorsement or payment of taxes shall not be required in any case in which the officers of the Corporation shall determine to waive such requirement. Every certificate exchanged, returned or surrendered to the Corporation shall be marked “Cancelled,”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from and to whom transferred.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9" w:name="page30"/>
    <w:bookmarkEnd w:id="29"/>
    <w:p>
      <w:pPr>
        <w:ind w:right="20" w:firstLine="456"/>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 </w:t>
      </w:r>
      <w:r>
        <w:rPr>
          <w:rFonts w:ascii="Arial" w:cs="Arial" w:eastAsia="Arial" w:hAnsi="Arial"/>
          <w:sz w:val="15"/>
          <w:szCs w:val="15"/>
          <w:u w:val="single" w:color="auto"/>
          <w:color w:val="auto"/>
        </w:rPr>
        <w:t>Dividend Record Date</w:t>
      </w:r>
      <w:r>
        <w:rPr>
          <w:rFonts w:ascii="Arial" w:cs="Arial" w:eastAsia="Arial" w:hAnsi="Arial"/>
          <w:sz w:val="15"/>
          <w:szCs w:val="15"/>
          <w:color w:val="auto"/>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8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Record Owners</w:t>
      </w:r>
      <w:r>
        <w:rPr>
          <w:rFonts w:ascii="Arial" w:cs="Arial" w:eastAsia="Arial" w:hAnsi="Arial"/>
          <w:sz w:val="18"/>
          <w:szCs w:val="18"/>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22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Transfer and Registry Agents</w:t>
      </w:r>
      <w:r>
        <w:rPr>
          <w:rFonts w:ascii="Arial" w:cs="Arial" w:eastAsia="Arial" w:hAnsi="Arial"/>
          <w:sz w:val="18"/>
          <w:szCs w:val="18"/>
          <w:color w:val="auto"/>
        </w:rPr>
        <w:t>. The Corporation may from time to time maintain one or more transfer offices or agencies and registry offices or agencies at such place or places as may be determined from time to time by the Board of Directors.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NOTICES</w:t>
      </w:r>
    </w:p>
    <w:p>
      <w:pPr>
        <w:spacing w:after="0" w:line="25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Notices</w:t>
      </w:r>
      <w:r>
        <w:rPr>
          <w:rFonts w:ascii="Arial" w:cs="Arial" w:eastAsia="Arial" w:hAnsi="Arial"/>
          <w:sz w:val="16"/>
          <w:szCs w:val="16"/>
          <w:color w:val="auto"/>
        </w:rPr>
        <w:t>. Whenever written notice is required by law, the Certificate of Incorporation or these Bylaws, to be given to any director, member of a committee or stockholder, such notice may be given by mail, addressed to such director, member of a committee or stockholder, at such person’s address as it appears on the records of the Corporation, with postage thereon prepaid, and such notice shall be deemed to be given at the time when the same shall be deposited in the United States mail. Without limiting the manner by which notice otherwise may be given effectively to stockholders, any notice to stockholders given by the Corporation under applicable law, the Certificate of Incorporation or these Bylaws shall be effective if given by a form of electronic transmission if consented to by the stockholder to whom the notice is given. Any such consent shall be revocable by the stockholder by written notice to the Corporation. Any such consent shall be deemed to be revoked if (i) the Corporation is unable to deliver by electronic transmission two (2) consecutive notices by the Corporation in accordance with such consent and (ii) such inability becomes known to the Secretary or Assistant Secretary of the Corporation or to the transfer agent, or other person responsible for the giving of notice; provided, however, that the inadvertent failure to treat such inability as a revocation shall not invalidate any meeting or other action. Notice given by electronic transmission, as described above, shall be deemed given: (i) if by facsimile telecommunication, when directed to a number at which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30" w:name="page31"/>
    <w:bookmarkEnd w:id="30"/>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 Notice to directors or committee members may be given personally or by telegram, telex, cable or by means of electronic transmission.</w:t>
      </w:r>
    </w:p>
    <w:p>
      <w:pPr>
        <w:spacing w:after="0" w:line="19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Waivers of Notice</w:t>
      </w:r>
      <w:r>
        <w:rPr>
          <w:rFonts w:ascii="Arial" w:cs="Arial" w:eastAsia="Arial" w:hAnsi="Arial"/>
          <w:sz w:val="16"/>
          <w:szCs w:val="16"/>
          <w:color w:val="auto"/>
        </w:rPr>
        <w:t>. Whenever any notice is required by applicable law, the Certificate of Incorporation or these Bylaws, to be given to any director, member of a committee or stockholder, a waiver thereof in writing, signed by the person or persons entitled to notice, or a waiver by electronic transmission by the person or persons entitled to notice, whether before or after the time stated therein, shall be deemed equivalent thereto. 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Stockholders or any regular or special meeting of the directors or members of a committee of directors need be specified in any written waiver of notice unless so required by law, the Certificate of Incorporation or these Bylaws.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 PROVISIONS</w:t>
      </w:r>
    </w:p>
    <w:p>
      <w:pPr>
        <w:spacing w:after="0" w:line="25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Dividends</w:t>
      </w:r>
      <w:r>
        <w:rPr>
          <w:rFonts w:ascii="Arial" w:cs="Arial" w:eastAsia="Arial" w:hAnsi="Arial"/>
          <w:sz w:val="16"/>
          <w:szCs w:val="16"/>
          <w:color w:val="auto"/>
        </w:rPr>
        <w:t>. Dividends upon the capital stock of the Corporation, subject to the requirements of the DGCL and the provisions of the Certificate of Incorporation, if any, may be declared by the Board of Directors at any regular or special meeting of the Board of Directors (or any action by written consent in lieu thereof in accordance with Section 8 of Article III hereof), and may be paid in cash, in property, or in shares of the Corporation’s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of Directors may modify or abolish any such reserve.</w:t>
      </w:r>
    </w:p>
    <w:p>
      <w:pPr>
        <w:spacing w:after="0" w:line="1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Disbursements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fixed by resolution of the Board of Directors.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31" w:name="page32"/>
    <w:bookmarkEnd w:id="31"/>
    <w:p>
      <w:pPr>
        <w:ind w:right="2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 </w:t>
      </w:r>
      <w:r>
        <w:rPr>
          <w:rFonts w:ascii="Arial" w:cs="Arial" w:eastAsia="Arial" w:hAnsi="Arial"/>
          <w:sz w:val="18"/>
          <w:szCs w:val="18"/>
          <w:u w:val="single" w:color="auto"/>
          <w:color w:val="auto"/>
        </w:rPr>
        <w:t>Corporate Sea</w:t>
      </w:r>
      <w:r>
        <w:rPr>
          <w:rFonts w:ascii="Arial" w:cs="Arial" w:eastAsia="Arial" w:hAnsi="Arial"/>
          <w:sz w:val="18"/>
          <w:szCs w:val="18"/>
          <w:color w:val="auto"/>
        </w:rPr>
        <w:t>l. The Corporation may adopt a corporate seal.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25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In addition and subject to the indemnification provisions contained in the Certificate of Incorporation, and subject to applicable law, the following Sections of this Article VIII shall apply with respect to any person subject to the indemnification provisions of the Corporation.</w:t>
      </w:r>
    </w:p>
    <w:p>
      <w:pPr>
        <w:spacing w:after="0" w:line="16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Prepayment of Expenses</w:t>
      </w:r>
      <w:r>
        <w:rPr>
          <w:rFonts w:ascii="Arial" w:cs="Arial" w:eastAsia="Arial" w:hAnsi="Arial"/>
          <w:sz w:val="18"/>
          <w:szCs w:val="18"/>
          <w:color w:val="auto"/>
        </w:rPr>
        <w:t>. The Corporation may pay or reimburse the reasonable expenses incurred in defending any proceeding in advance of its final disposition if the Corporation has received in advance an undertaking by the person receiving such payment or reimbursement to repay all amounts advanced if it should be ultimately determined that he or she is not entitled to be indemnified under this Article VIII or otherwise. The Corporation may require security for any such undertaking.</w:t>
      </w:r>
    </w:p>
    <w:p>
      <w:pPr>
        <w:spacing w:after="0" w:line="22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Claims</w:t>
      </w:r>
      <w:r>
        <w:rPr>
          <w:rFonts w:ascii="Arial" w:cs="Arial" w:eastAsia="Arial" w:hAnsi="Arial"/>
          <w:sz w:val="18"/>
          <w:szCs w:val="18"/>
          <w:color w:val="auto"/>
        </w:rPr>
        <w:t>. If a claim for indemnification or payment of expenses under this Article VII is not paid in full within 60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payment of expenses under applicable law.</w:t>
      </w:r>
    </w:p>
    <w:p>
      <w:pPr>
        <w:spacing w:after="0" w:line="22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person by this Article VIII shall not be exclusive of any other rights which such person may have or hereafter acquire under any statute, provision of the Certificate of Incorporation, these Bylaws, agreement, vote of shareholders or disinterested Directors or otherwise.</w:t>
      </w:r>
    </w:p>
    <w:p>
      <w:pPr>
        <w:spacing w:after="0" w:line="2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Other Indemnification</w:t>
      </w:r>
      <w:r>
        <w:rPr>
          <w:rFonts w:ascii="Arial" w:cs="Arial" w:eastAsia="Arial" w:hAnsi="Arial"/>
          <w:sz w:val="18"/>
          <w:szCs w:val="18"/>
          <w:color w:val="auto"/>
        </w:rPr>
        <w:t>. The Corporation’s obligation, if any, to indemnify any person who was or is serving at its request as a Director, officer, employee, partner or agent of another corporation, partnership, joint venture or other enterprise shall be reduced by any amount such person may collect as indemnification from such other corporation, partnership, joint venture or other enterprise.</w:t>
      </w:r>
    </w:p>
    <w:p>
      <w:pPr>
        <w:spacing w:after="0" w:line="221"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Amendment or Repeal</w:t>
      </w:r>
      <w:r>
        <w:rPr>
          <w:rFonts w:ascii="Arial" w:cs="Arial" w:eastAsia="Arial" w:hAnsi="Arial"/>
          <w:sz w:val="16"/>
          <w:szCs w:val="16"/>
          <w:color w:val="auto"/>
        </w:rPr>
        <w:t>. Any repeal or modification of the foregoing provisions of this Article VIII shall not adversely affect any right or protection hereunder of any person in respect of any act or omission occurring prior to the time of such repeal or modification.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32" w:name="page33"/>
    <w:bookmarkEnd w:id="32"/>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IX</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AMENDMENTS</w:t>
      </w:r>
    </w:p>
    <w:p>
      <w:pPr>
        <w:spacing w:after="0" w:line="25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Amendments</w:t>
      </w:r>
      <w:r>
        <w:rPr>
          <w:rFonts w:ascii="Arial" w:cs="Arial" w:eastAsia="Arial" w:hAnsi="Arial"/>
          <w:sz w:val="16"/>
          <w:szCs w:val="16"/>
          <w:color w:val="auto"/>
        </w:rPr>
        <w:t>. These Bylaws may be altered, amended or repealed, in whole or in part, or new Bylaws may be adopted by the stockholders or by the Board of Directors; provided, however, that notice of such alteration, amendment, repeal or adoption of new Bylaws be contained in the notice of such meeting of the stockholders or Board of Directors, as the case may be. All such amendments must be approved by either the holders of a majority of the outstanding capital stock entitled to vote thereon or by a majority of the entire Board of Directors then in office.</w:t>
      </w:r>
    </w:p>
    <w:p>
      <w:pPr>
        <w:spacing w:after="0" w:line="19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Entire Board of Directors</w:t>
      </w:r>
      <w:r>
        <w:rPr>
          <w:rFonts w:ascii="Arial" w:cs="Arial" w:eastAsia="Arial" w:hAnsi="Arial"/>
          <w:sz w:val="18"/>
          <w:szCs w:val="18"/>
          <w:color w:val="auto"/>
        </w:rPr>
        <w:t>. As used in this Article IX and in these Bylaws generally, the term “entire Board of Directors” means the total number of directors which the Corporation would have if there were no vacancies.</w:t>
      </w: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 *</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Adopted as of: March 10, 2008</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4"/>
    </w:lvl>
  </w:abstractNum>
  <w:abstractNum w:abstractNumId="3">
    <w:nsid w:val="3D1B58BA"/>
    <w:multiLevelType w:val="hybridMultilevel"/>
    <w:lvl w:ilvl="0">
      <w:lvlJc w:val="left"/>
      <w:lvlText w:val="(%1)"/>
      <w:numFmt w:val="lowerRoman"/>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2019-12-15T01:01:37Z</dcterms:created>
  <dcterms:modified xsi:type="dcterms:W3CDTF">2019-12-15T01:01:37Z</dcterms:modified>
</cp:coreProperties>
</file>