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center"/>
        <w:ind w:left="360"/>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2540</wp:posOffset>
            </wp:positionV>
            <wp:extent cx="144780" cy="195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80" cy="195580"/>
                    </a:xfrm>
                    <a:prstGeom prst="rect">
                      <a:avLst/>
                    </a:prstGeom>
                    <a:noFill/>
                  </pic:spPr>
                </pic:pic>
              </a:graphicData>
            </a:graphic>
          </wp:anchor>
        </w:drawing>
      </w:r>
    </w:p>
    <w:p>
      <w:pPr>
        <w:spacing w:after="0" w:line="2" w:lineRule="exact"/>
        <w:rPr>
          <w:sz w:val="24"/>
          <w:szCs w:val="24"/>
          <w:color w:val="auto"/>
        </w:rPr>
      </w:pPr>
    </w:p>
    <w:p>
      <w:pPr>
        <w:jc w:val="both"/>
        <w:ind w:left="360" w:right="360" w:hanging="272"/>
        <w:spacing w:after="0" w:line="188" w:lineRule="auto"/>
        <w:tabs>
          <w:tab w:leader="none" w:pos="360" w:val="left"/>
        </w:tabs>
        <w:numPr>
          <w:ilvl w:val="0"/>
          <w:numId w:val="1"/>
        </w:numPr>
        <w:rPr>
          <w:rFonts w:ascii="Times New Roman" w:cs="Times New Roman" w:eastAsia="Times New Roman" w:hAnsi="Times New Roman"/>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5569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69585"/>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20" w:space="34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Malo Christopher</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CBOT HOLDINGS, INC.</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141 WEST JACKSON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CBOT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NYSE: BOT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07/12/2007</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46"/>
        <w:spacing w:after="0"/>
        <w:rPr>
          <w:sz w:val="20"/>
          <w:szCs w:val="20"/>
          <w:color w:val="auto"/>
        </w:rPr>
      </w:pPr>
      <w:r>
        <w:rPr>
          <w:rFonts w:ascii="Times New Roman" w:cs="Times New Roman" w:eastAsia="Times New Roman" w:hAnsi="Times New Roman"/>
          <w:sz w:val="17"/>
          <w:szCs w:val="17"/>
          <w:color w:val="0000FF"/>
        </w:rPr>
        <w:t>Executive VP of Mktg &amp; Bus Dev</w:t>
      </w:r>
    </w:p>
    <w:p>
      <w:pPr>
        <w:spacing w:after="0" w:line="414" w:lineRule="exact"/>
        <w:rPr>
          <w:sz w:val="24"/>
          <w:szCs w:val="24"/>
          <w:color w:val="auto"/>
        </w:rPr>
      </w:pPr>
    </w:p>
    <w:p>
      <w:pPr>
        <w:sectPr>
          <w:pgSz w:w="11900" w:h="16838" w:orient="portrait"/>
          <w:cols w:equalWidth="0" w:num="3">
            <w:col w:w="3360" w:space="720"/>
            <w:col w:w="3340" w:space="634"/>
            <w:col w:w="3466"/>
          </w:cols>
          <w:pgMar w:left="240" w:top="219"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7"/>
          </w:tcPr>
          <w:p>
            <w:pPr>
              <w:jc w:val="center"/>
              <w:ind w:right="36"/>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CHICAGO</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IL</w:t>
            </w:r>
          </w:p>
        </w:tc>
        <w:tc>
          <w:tcPr>
            <w:tcW w:w="102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60604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7480" w:type="dxa"/>
            <w:vAlign w:val="bottom"/>
            <w:tcBorders>
              <w:top w:val="single" w:sz="8" w:color="2C2C2C"/>
            </w:tcBorders>
            <w:gridSpan w:val="14"/>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Borders>
              <w:bottom w:val="single" w:sz="8" w:color="2C2C2C"/>
            </w:tcBorders>
            <w:gridSpan w:val="5"/>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5"/>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740" w:type="dxa"/>
            <w:vAlign w:val="bottom"/>
            <w:gridSpan w:val="11"/>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rPr>
              <w:t>20,000</w:t>
            </w:r>
          </w:p>
        </w:tc>
        <w:tc>
          <w:tcPr>
            <w:tcW w:w="60" w:type="dxa"/>
            <w:vAlign w:val="bottom"/>
          </w:tcPr>
          <w:p>
            <w:pPr>
              <w:spacing w:after="0"/>
              <w:rPr>
                <w:sz w:val="16"/>
                <w:szCs w:val="16"/>
                <w:color w:val="auto"/>
              </w:rPr>
            </w:pPr>
          </w:p>
        </w:tc>
        <w:tc>
          <w:tcPr>
            <w:tcW w:w="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jc w:val="center"/>
              <w:ind w:left="8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54</w:t>
            </w:r>
          </w:p>
        </w:tc>
        <w:tc>
          <w:tcPr>
            <w:tcW w:w="200" w:type="dxa"/>
            <w:vAlign w:val="bottom"/>
          </w:tcPr>
          <w:p>
            <w:pPr>
              <w:spacing w:after="0"/>
              <w:rPr>
                <w:sz w:val="5"/>
                <w:szCs w:val="5"/>
                <w:color w:val="auto"/>
              </w:rPr>
            </w:pPr>
          </w:p>
        </w:tc>
        <w:tc>
          <w:tcPr>
            <w:tcW w:w="1020" w:type="dxa"/>
            <w:vAlign w:val="bottom"/>
            <w:vMerge w:val="restart"/>
          </w:tcPr>
          <w:p>
            <w:pPr>
              <w:jc w:val="center"/>
              <w:spacing w:after="0" w:line="147" w:lineRule="exact"/>
              <w:rPr>
                <w:sz w:val="20"/>
                <w:szCs w:val="20"/>
                <w:color w:val="auto"/>
              </w:rPr>
            </w:pPr>
            <w:r>
              <w:rPr>
                <w:rFonts w:ascii="Times New Roman" w:cs="Times New Roman" w:eastAsia="Times New Roman" w:hAnsi="Times New Roman"/>
                <w:sz w:val="13"/>
                <w:szCs w:val="13"/>
                <w:color w:val="0000FF"/>
              </w:rPr>
              <w:t>07/12/2007</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ind w:left="6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940" w:type="dxa"/>
            <w:vAlign w:val="bottom"/>
            <w:vMerge w:val="restart"/>
          </w:tcPr>
          <w:p>
            <w:pPr>
              <w:jc w:val="center"/>
              <w:ind w:left="298"/>
              <w:spacing w:after="0" w:line="147" w:lineRule="exact"/>
              <w:rPr>
                <w:sz w:val="20"/>
                <w:szCs w:val="20"/>
                <w:color w:val="auto"/>
              </w:rPr>
            </w:pPr>
            <w:r>
              <w:rPr>
                <w:rFonts w:ascii="Times New Roman" w:cs="Times New Roman" w:eastAsia="Times New Roman" w:hAnsi="Times New Roman"/>
                <w:sz w:val="13"/>
                <w:szCs w:val="13"/>
                <w:color w:val="0000FF"/>
              </w:rPr>
              <w:t>20,000</w:t>
            </w: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7" w:lineRule="exact"/>
              <w:rPr>
                <w:sz w:val="20"/>
                <w:szCs w:val="20"/>
                <w:color w:val="auto"/>
              </w:rPr>
            </w:pPr>
            <w:r>
              <w:rPr>
                <w:rFonts w:ascii="Times New Roman" w:cs="Times New Roman" w:eastAsia="Times New Roman" w:hAnsi="Times New Roman"/>
                <w:sz w:val="13"/>
                <w:szCs w:val="13"/>
                <w:color w:val="0000FF"/>
              </w:rPr>
              <w:t>10/19/2015</w:t>
            </w:r>
          </w:p>
        </w:tc>
        <w:tc>
          <w:tcPr>
            <w:tcW w:w="700" w:type="dxa"/>
            <w:vAlign w:val="bottom"/>
            <w:vMerge w:val="restart"/>
          </w:tcPr>
          <w:p>
            <w:pPr>
              <w:ind w:left="6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ind w:left="380"/>
              <w:spacing w:after="0" w:line="147"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700" w:type="dxa"/>
            <w:vAlign w:val="bottom"/>
            <w:vMerge w:val="restart"/>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vMerge w:val="restart"/>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4,000</w:t>
            </w:r>
          </w:p>
        </w:tc>
        <w:tc>
          <w:tcPr>
            <w:tcW w:w="60" w:type="dxa"/>
            <w:vAlign w:val="bottom"/>
          </w:tcPr>
          <w:p>
            <w:pPr>
              <w:spacing w:after="0"/>
              <w:rPr>
                <w:sz w:val="16"/>
                <w:szCs w:val="16"/>
                <w:color w:val="auto"/>
              </w:rPr>
            </w:pPr>
          </w:p>
        </w:tc>
        <w:tc>
          <w:tcPr>
            <w:tcW w:w="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jc w:val="center"/>
              <w:ind w:left="10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93.76</w:t>
            </w:r>
          </w:p>
        </w:tc>
        <w:tc>
          <w:tcPr>
            <w:tcW w:w="200" w:type="dxa"/>
            <w:vAlign w:val="bottom"/>
          </w:tcPr>
          <w:p>
            <w:pPr>
              <w:spacing w:after="0"/>
              <w:rPr>
                <w:sz w:val="5"/>
                <w:szCs w:val="5"/>
                <w:color w:val="auto"/>
              </w:rPr>
            </w:pPr>
          </w:p>
        </w:tc>
        <w:tc>
          <w:tcPr>
            <w:tcW w:w="1020" w:type="dxa"/>
            <w:vAlign w:val="bottom"/>
            <w:vMerge w:val="restart"/>
          </w:tcPr>
          <w:p>
            <w:pPr>
              <w:jc w:val="center"/>
              <w:spacing w:after="0" w:line="147" w:lineRule="exact"/>
              <w:rPr>
                <w:sz w:val="20"/>
                <w:szCs w:val="20"/>
                <w:color w:val="auto"/>
              </w:rPr>
            </w:pPr>
            <w:r>
              <w:rPr>
                <w:rFonts w:ascii="Times New Roman" w:cs="Times New Roman" w:eastAsia="Times New Roman" w:hAnsi="Times New Roman"/>
                <w:sz w:val="13"/>
                <w:szCs w:val="13"/>
                <w:color w:val="0000FF"/>
              </w:rPr>
              <w:t>07/12/2007</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ind w:left="6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940" w:type="dxa"/>
            <w:vAlign w:val="bottom"/>
            <w:vMerge w:val="restart"/>
          </w:tcPr>
          <w:p>
            <w:pPr>
              <w:jc w:val="center"/>
              <w:ind w:left="298"/>
              <w:spacing w:after="0" w:line="147" w:lineRule="exact"/>
              <w:rPr>
                <w:sz w:val="20"/>
                <w:szCs w:val="20"/>
                <w:color w:val="auto"/>
              </w:rPr>
            </w:pPr>
            <w:r>
              <w:rPr>
                <w:rFonts w:ascii="Times New Roman" w:cs="Times New Roman" w:eastAsia="Times New Roman" w:hAnsi="Times New Roman"/>
                <w:sz w:val="13"/>
                <w:szCs w:val="13"/>
                <w:color w:val="0000FF"/>
              </w:rPr>
              <w:t>4,000</w:t>
            </w: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7" w:lineRule="exact"/>
              <w:rPr>
                <w:sz w:val="20"/>
                <w:szCs w:val="20"/>
                <w:color w:val="auto"/>
              </w:rPr>
            </w:pPr>
            <w:r>
              <w:rPr>
                <w:rFonts w:ascii="Times New Roman" w:cs="Times New Roman" w:eastAsia="Times New Roman" w:hAnsi="Times New Roman"/>
                <w:sz w:val="13"/>
                <w:szCs w:val="13"/>
                <w:color w:val="0000FF"/>
              </w:rPr>
              <w:t>01/03/2016</w:t>
            </w:r>
          </w:p>
        </w:tc>
        <w:tc>
          <w:tcPr>
            <w:tcW w:w="700" w:type="dxa"/>
            <w:vAlign w:val="bottom"/>
            <w:vMerge w:val="restart"/>
          </w:tcPr>
          <w:p>
            <w:pPr>
              <w:ind w:left="6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ind w:left="380"/>
              <w:spacing w:after="0" w:line="147"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700" w:type="dxa"/>
            <w:vAlign w:val="bottom"/>
            <w:vMerge w:val="restart"/>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vMerge w:val="restart"/>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3,000</w:t>
            </w:r>
          </w:p>
        </w:tc>
        <w:tc>
          <w:tcPr>
            <w:tcW w:w="60" w:type="dxa"/>
            <w:vAlign w:val="bottom"/>
          </w:tcPr>
          <w:p>
            <w:pPr>
              <w:spacing w:after="0"/>
              <w:rPr>
                <w:sz w:val="16"/>
                <w:szCs w:val="16"/>
                <w:color w:val="auto"/>
              </w:rPr>
            </w:pPr>
          </w:p>
        </w:tc>
        <w:tc>
          <w:tcPr>
            <w:tcW w:w="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jc w:val="center"/>
              <w:ind w:left="8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151.47</w:t>
            </w:r>
          </w:p>
        </w:tc>
        <w:tc>
          <w:tcPr>
            <w:tcW w:w="200" w:type="dxa"/>
            <w:vAlign w:val="bottom"/>
          </w:tcPr>
          <w:p>
            <w:pPr>
              <w:spacing w:after="0"/>
              <w:rPr>
                <w:sz w:val="5"/>
                <w:szCs w:val="5"/>
                <w:color w:val="auto"/>
              </w:rPr>
            </w:pPr>
          </w:p>
        </w:tc>
        <w:tc>
          <w:tcPr>
            <w:tcW w:w="1020" w:type="dxa"/>
            <w:vAlign w:val="bottom"/>
            <w:vMerge w:val="restart"/>
          </w:tcPr>
          <w:p>
            <w:pPr>
              <w:jc w:val="center"/>
              <w:spacing w:after="0" w:line="147" w:lineRule="exact"/>
              <w:rPr>
                <w:sz w:val="20"/>
                <w:szCs w:val="20"/>
                <w:color w:val="auto"/>
              </w:rPr>
            </w:pPr>
            <w:r>
              <w:rPr>
                <w:rFonts w:ascii="Times New Roman" w:cs="Times New Roman" w:eastAsia="Times New Roman" w:hAnsi="Times New Roman"/>
                <w:sz w:val="13"/>
                <w:szCs w:val="13"/>
                <w:color w:val="0000FF"/>
              </w:rPr>
              <w:t>07/12/2007</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ind w:left="6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940" w:type="dxa"/>
            <w:vAlign w:val="bottom"/>
            <w:vMerge w:val="restart"/>
          </w:tcPr>
          <w:p>
            <w:pPr>
              <w:jc w:val="center"/>
              <w:ind w:left="298"/>
              <w:spacing w:after="0" w:line="147" w:lineRule="exact"/>
              <w:rPr>
                <w:sz w:val="20"/>
                <w:szCs w:val="20"/>
                <w:color w:val="auto"/>
              </w:rPr>
            </w:pPr>
            <w:r>
              <w:rPr>
                <w:rFonts w:ascii="Times New Roman" w:cs="Times New Roman" w:eastAsia="Times New Roman" w:hAnsi="Times New Roman"/>
                <w:sz w:val="13"/>
                <w:szCs w:val="13"/>
                <w:color w:val="0000FF"/>
              </w:rPr>
              <w:t>3,000</w:t>
            </w: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7" w:lineRule="exact"/>
              <w:rPr>
                <w:sz w:val="20"/>
                <w:szCs w:val="20"/>
                <w:color w:val="auto"/>
              </w:rPr>
            </w:pPr>
            <w:r>
              <w:rPr>
                <w:rFonts w:ascii="Times New Roman" w:cs="Times New Roman" w:eastAsia="Times New Roman" w:hAnsi="Times New Roman"/>
                <w:sz w:val="13"/>
                <w:szCs w:val="13"/>
                <w:color w:val="0000FF"/>
              </w:rPr>
              <w:t>01/02/2017</w:t>
            </w:r>
          </w:p>
        </w:tc>
        <w:tc>
          <w:tcPr>
            <w:tcW w:w="700" w:type="dxa"/>
            <w:vAlign w:val="bottom"/>
            <w:vMerge w:val="restart"/>
          </w:tcPr>
          <w:p>
            <w:pPr>
              <w:ind w:left="6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ind w:left="380"/>
              <w:spacing w:after="0" w:line="147"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700" w:type="dxa"/>
            <w:vAlign w:val="bottom"/>
            <w:vMerge w:val="restart"/>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vMerge w:val="restart"/>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becomes exercisable in four equal annual installments on the first four anniversaries of the original grant date or the earlier of 12 months of employment with CME Group or involuntary termination.</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Converted into an option to purchase 7,500 shares of CME Group common stock at an exercise price of $144.00 per share.</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Converted into an option to purchase 1,500 shares of CME Group common stock at an exercise price of $250.03 per share.</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became exercisable on 07/12/07.</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Converted into an option to purchase 1,125 shares of CME Group common stock at an exercise price of $403.92 per share.</w:t>
      </w:r>
    </w:p>
    <w:p>
      <w:pPr>
        <w:spacing w:after="0" w:line="7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Paul J. Draths, attorney-in-</w:t>
            </w:r>
          </w:p>
        </w:tc>
        <w:tc>
          <w:tcPr>
            <w:tcW w:w="20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07/16/2007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1414" TargetMode="External"/><Relationship Id="rId13" Type="http://schemas.openxmlformats.org/officeDocument/2006/relationships/hyperlink" Target="http://www.sec.gov/cgi-bin/browse-edgar?action=getcompany&amp;CIK=00011614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2019-12-17T13:27:13Z</dcterms:created>
  <dcterms:modified xsi:type="dcterms:W3CDTF">2019-12-17T13:27:13Z</dcterms:modified>
</cp:coreProperties>
</file>