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10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001-31553 </w:t>
      </w:r>
    </w:p>
    <w:p>
      <w:pPr>
        <w:pStyle w:val="TextBody"/>
        <w:bidi w:val="0"/>
        <w:spacing w:lineRule="auto" w:line="288" w:before="60" w:after="60"/>
        <w:jc w:val="center"/>
        <w:rPr>
          <w:rFonts w:ascii="Times New Roman;serif" w:hAnsi="Times New Roman;serif"/>
          <w:b/>
          <w:color w:val="000000"/>
          <w:sz w:val="40"/>
        </w:rPr>
      </w:pPr>
      <w:r>
        <w:rPr>
          <w:rFonts w:ascii="Times New Roman;serif" w:hAnsi="Times New Roman;serif"/>
          <w:b/>
          <w:color w:val="000000"/>
          <w:sz w:val="40"/>
        </w:rPr>
        <w:t xml:space="preserve">CME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698" w:type="dxa"/>
        <w:jc w:val="left"/>
        <w:tblInd w:w="0" w:type="dxa"/>
        <w:tblLayout w:type="fixed"/>
        <w:tblCellMar>
          <w:top w:w="28" w:type="dxa"/>
          <w:left w:w="28" w:type="dxa"/>
          <w:bottom w:w="28" w:type="dxa"/>
          <w:right w:w="28" w:type="dxa"/>
        </w:tblCellMar>
      </w:tblPr>
      <w:tblGrid>
        <w:gridCol w:w="857"/>
        <w:gridCol w:w="751"/>
        <w:gridCol w:w="762"/>
        <w:gridCol w:w="270"/>
        <w:gridCol w:w="270"/>
        <w:gridCol w:w="271"/>
        <w:gridCol w:w="235"/>
        <w:gridCol w:w="235"/>
        <w:gridCol w:w="236"/>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36-4459170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 South Wacker Drive</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Chicago</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60606</w:t>
            </w:r>
          </w:p>
        </w:tc>
      </w:tr>
      <w:tr>
        <w:trPr/>
        <w:tc>
          <w:tcPr>
            <w:tcW w:w="3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(312) 930-1000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color w:val="000000"/>
          <w:sz w:val="16"/>
        </w:rPr>
        <w:t>(Former name, former address and former fiscal year, if changed since last report)</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7139" w:type="dxa"/>
        <w:jc w:val="left"/>
        <w:tblInd w:w="0" w:type="dxa"/>
        <w:tblLayout w:type="fixed"/>
        <w:tblCellMar>
          <w:top w:w="28" w:type="dxa"/>
          <w:left w:w="28" w:type="dxa"/>
          <w:bottom w:w="28" w:type="dxa"/>
          <w:right w:w="28" w:type="dxa"/>
        </w:tblCellMar>
      </w:tblPr>
      <w:tblGrid>
        <w:gridCol w:w="739"/>
        <w:gridCol w:w="647"/>
        <w:gridCol w:w="654"/>
        <w:gridCol w:w="464"/>
        <w:gridCol w:w="464"/>
        <w:gridCol w:w="466"/>
        <w:gridCol w:w="1085"/>
        <w:gridCol w:w="1085"/>
        <w:gridCol w:w="1535"/>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0" w:after="60"/>
        <w:jc w:val="left"/>
        <w:rPr/>
      </w:pPr>
      <w:r>
        <w:rPr>
          <w:color w:val="000000"/>
        </w:rPr>
        <w:t>    </w:t>
      </w: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60"/>
        <w:jc w:val="left"/>
        <w:rPr/>
      </w:pPr>
      <w:r>
        <w:rPr>
          <w:color w:val="000000"/>
        </w:rPr>
        <w:t>    </w:t>
      </w: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46"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109"/>
        <w:gridCol w:w="109"/>
        <w:gridCol w:w="109"/>
        <w:gridCol w:w="679"/>
        <w:gridCol w:w="679"/>
        <w:gridCol w:w="682"/>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0" w:after="60"/>
        <w:jc w:val="left"/>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60"/>
        <w:jc w:val="left"/>
        <w:rPr/>
      </w:pPr>
      <w:r>
        <w:rPr>
          <w:color w:val="000000"/>
        </w:rPr>
        <w:t>    </w:t>
      </w:r>
      <w:r>
        <w:rPr>
          <w:rFonts w:ascii="Times New Roman;serif" w:hAnsi="Times New Roman;serif"/>
          <w:b w:val="false"/>
          <w:color w:val="000000"/>
          <w:sz w:val="20"/>
        </w:rPr>
        <w:t>Indicate by check mark whether the registrant is a shell company (as defined in Rule 12b-2 of the Exchange Act).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Yes   ☐    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each of the registrant’s classes of common stock as of October 14, 2026 was as follows: 357,930,746 shares of Class A common stock, $0.01 par value; 625 shares of Class B-1 common stock, $0.01 par value; 813 shares of Class B-2 common stock, $0.01 par value; 1,287 shares of Class B-3 common stock, $0.01 par value; and 413 shares of Class B-4 common stock, $0.01 par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CME GROUP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74"/>
        <w:gridCol w:w="501"/>
        <w:gridCol w:w="501"/>
        <w:gridCol w:w="2726"/>
        <w:gridCol w:w="2673"/>
        <w:gridCol w:w="2716"/>
        <w:gridCol w:w="149"/>
        <w:gridCol w:w="149"/>
        <w:gridCol w:w="216"/>
      </w:tblGrid>
      <w:tr>
        <w:trPr/>
        <w:tc>
          <w:tcPr>
            <w:tcW w:w="57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0">
              <w:r>
                <w:rPr>
                  <w:rStyle w:val="InternetLink"/>
                  <w:rFonts w:ascii="Times New Roman;serif" w:hAnsi="Times New Roman;serif"/>
                  <w:b/>
                  <w:color w:val="0000FF"/>
                  <w:sz w:val="18"/>
                  <w:u w:val="single"/>
                </w:rPr>
                <w:t>PART I. FINANCIAL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0">
              <w:r>
                <w:rPr>
                  <w:rStyle w:val="InternetLink"/>
                  <w:rFonts w:ascii="Times New Roman;serif" w:hAnsi="Times New Roman;serif"/>
                  <w:b w:val="false"/>
                  <w:strike w:val="false"/>
                  <w:dstrike w:val="false"/>
                  <w:color w:val="000000"/>
                  <w:sz w:val="20"/>
                  <w:u w:val="none"/>
                  <w:effect w:val="none"/>
                </w:rPr>
                <w:t>3</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3">
              <w:r>
                <w:rPr>
                  <w:rStyle w:val="InternetLink"/>
                  <w:rFonts w:ascii="Times New Roman;serif" w:hAnsi="Times New Roman;serif"/>
                  <w:b/>
                  <w:color w:val="0000FF"/>
                  <w:sz w:val="18"/>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3">
              <w:r>
                <w:rPr>
                  <w:rStyle w:val="InternetLink"/>
                  <w:rFonts w:ascii="Times New Roman;serif" w:hAnsi="Times New Roman;serif"/>
                  <w:b w:val="false"/>
                  <w:strike w:val="false"/>
                  <w:dstrike w:val="false"/>
                  <w:color w:val="000000"/>
                  <w:sz w:val="20"/>
                  <w:u w:val="none"/>
                  <w:effect w:val="none"/>
                </w:rPr>
                <w:t>5</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6">
              <w:r>
                <w:rPr>
                  <w:rStyle w:val="InternetLink"/>
                  <w:rFonts w:ascii="Times New Roman;serif" w:hAnsi="Times New Roman;serif"/>
                  <w:b w:val="false"/>
                  <w:color w:val="0000FF"/>
                  <w:sz w:val="18"/>
                  <w:u w:val="single"/>
                </w:rPr>
                <w:t>Consolidated Balance Sheets at September 30,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6">
              <w:r>
                <w:rPr>
                  <w:rStyle w:val="InternetLink"/>
                  <w:rFonts w:ascii="Times New Roman;serif" w:hAnsi="Times New Roman;serif"/>
                  <w:b w:val="false"/>
                  <w:strike w:val="false"/>
                  <w:dstrike w:val="false"/>
                  <w:color w:val="000000"/>
                  <w:sz w:val="20"/>
                  <w:u w:val="none"/>
                  <w:effect w:val="none"/>
                </w:rPr>
                <w:t>5</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9">
              <w:r>
                <w:rPr>
                  <w:rStyle w:val="InternetLink"/>
                  <w:rFonts w:ascii="Times New Roman;serif" w:hAnsi="Times New Roman;serif"/>
                  <w:b w:val="false"/>
                  <w:color w:val="0000FF"/>
                  <w:sz w:val="18"/>
                  <w:u w:val="single"/>
                </w:rPr>
                <w:t>Consolidated Statements of Income for the Quarters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9">
              <w:r>
                <w:rPr>
                  <w:rStyle w:val="InternetLink"/>
                  <w:rFonts w:ascii="Times New Roman;serif" w:hAnsi="Times New Roman;serif"/>
                  <w:b w:val="false"/>
                  <w:strike w:val="false"/>
                  <w:dstrike w:val="false"/>
                  <w:color w:val="000000"/>
                  <w:sz w:val="20"/>
                  <w:u w:val="none"/>
                  <w:effect w:val="none"/>
                </w:rPr>
                <w:t>6</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22">
              <w:r>
                <w:rPr>
                  <w:rStyle w:val="InternetLink"/>
                  <w:rFonts w:ascii="Times New Roman;serif" w:hAnsi="Times New Roman;serif"/>
                  <w:b w:val="false"/>
                  <w:color w:val="0000FF"/>
                  <w:sz w:val="18"/>
                  <w:u w:val="single"/>
                </w:rPr>
                <w:t>Consolidated Statements of Comprehensive Income for the Quarters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22">
              <w:r>
                <w:rPr>
                  <w:rStyle w:val="InternetLink"/>
                  <w:rFonts w:ascii="Times New Roman;serif" w:hAnsi="Times New Roman;serif"/>
                  <w:b w:val="false"/>
                  <w:strike w:val="false"/>
                  <w:dstrike w:val="false"/>
                  <w:color w:val="000000"/>
                  <w:sz w:val="20"/>
                  <w:u w:val="none"/>
                  <w:effect w:val="none"/>
                </w:rPr>
                <w:t>7</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25">
              <w:r>
                <w:rPr>
                  <w:rStyle w:val="InternetLink"/>
                  <w:rFonts w:ascii="Times New Roman;serif" w:hAnsi="Times New Roman;serif"/>
                  <w:b w:val="false"/>
                  <w:color w:val="0000FF"/>
                  <w:sz w:val="18"/>
                  <w:u w:val="single"/>
                </w:rPr>
                <w:t>Consolidated Statements of Equity for the Quarters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25">
              <w:r>
                <w:rPr>
                  <w:rStyle w:val="InternetLink"/>
                  <w:rFonts w:ascii="Times New Roman;serif" w:hAnsi="Times New Roman;serif"/>
                  <w:b w:val="false"/>
                  <w:strike w:val="false"/>
                  <w:dstrike w:val="false"/>
                  <w:color w:val="000000"/>
                  <w:sz w:val="20"/>
                  <w:u w:val="none"/>
                  <w:effect w:val="none"/>
                </w:rPr>
                <w:t>8</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28">
              <w:r>
                <w:rPr>
                  <w:rStyle w:val="InternetLink"/>
                  <w:rFonts w:ascii="Times New Roman;serif" w:hAnsi="Times New Roman;serif"/>
                  <w:b w:val="false"/>
                  <w:color w:val="0000FF"/>
                  <w:sz w:val="18"/>
                  <w:u w:val="single"/>
                </w:rPr>
                <w:t>Consolidated Statements of Cash Flows for the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28">
              <w:r>
                <w:rPr>
                  <w:rStyle w:val="InternetLink"/>
                  <w:rFonts w:ascii="Times New Roman;serif" w:hAnsi="Times New Roman;serif"/>
                  <w:b w:val="false"/>
                  <w:strike w:val="false"/>
                  <w:dstrike w:val="false"/>
                  <w:color w:val="000000"/>
                  <w:sz w:val="20"/>
                  <w:u w:val="none"/>
                  <w:effect w:val="none"/>
                </w:rPr>
                <w:t>10</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31">
              <w:r>
                <w:rPr>
                  <w:rStyle w:val="InternetLink"/>
                  <w:rFonts w:ascii="Times New Roman;serif" w:hAnsi="Times New Roman;serif"/>
                  <w:b w:val="false"/>
                  <w:color w:val="0000FF"/>
                  <w:sz w:val="18"/>
                  <w:u w:val="single"/>
                </w:rPr>
                <w:t>Notes to Unaudited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31">
              <w:r>
                <w:rPr>
                  <w:rStyle w:val="InternetLink"/>
                  <w:rFonts w:ascii="Times New Roman;serif" w:hAnsi="Times New Roman;serif"/>
                  <w:b w:val="false"/>
                  <w:strike w:val="false"/>
                  <w:dstrike w:val="false"/>
                  <w:color w:val="000000"/>
                  <w:sz w:val="20"/>
                  <w:u w:val="none"/>
                  <w:effect w:val="none"/>
                </w:rPr>
                <w:t>12</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2.</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82">
              <w:r>
                <w:rPr>
                  <w:rStyle w:val="InternetLink"/>
                  <w:rFonts w:ascii="Times New Roman;serif" w:hAnsi="Times New Roman;serif"/>
                  <w:b/>
                  <w:color w:val="0000FF"/>
                  <w:sz w:val="18"/>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82">
              <w:r>
                <w:rPr>
                  <w:rStyle w:val="InternetLink"/>
                  <w:rFonts w:ascii="Times New Roman;serif" w:hAnsi="Times New Roman;serif"/>
                  <w:b w:val="false"/>
                  <w:strike w:val="false"/>
                  <w:dstrike w:val="false"/>
                  <w:color w:val="000000"/>
                  <w:sz w:val="20"/>
                  <w:u w:val="none"/>
                  <w:effect w:val="none"/>
                </w:rPr>
                <w:t>23</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3.</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03">
              <w:r>
                <w:rPr>
                  <w:rStyle w:val="InternetLink"/>
                  <w:rFonts w:ascii="Times New Roman;serif" w:hAnsi="Times New Roman;serif"/>
                  <w:b/>
                  <w:color w:val="0000FF"/>
                  <w:sz w:val="18"/>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03">
              <w:r>
                <w:rPr>
                  <w:rStyle w:val="InternetLink"/>
                  <w:rFonts w:ascii="Times New Roman;serif" w:hAnsi="Times New Roman;serif"/>
                  <w:b w:val="false"/>
                  <w:strike w:val="false"/>
                  <w:dstrike w:val="false"/>
                  <w:color w:val="000000"/>
                  <w:sz w:val="20"/>
                  <w:u w:val="none"/>
                  <w:effect w:val="none"/>
                </w:rPr>
                <w:t>32</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4.</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06">
              <w:r>
                <w:rPr>
                  <w:rStyle w:val="InternetLink"/>
                  <w:rFonts w:ascii="Times New Roman;serif" w:hAnsi="Times New Roman;serif"/>
                  <w:b/>
                  <w:color w:val="0000FF"/>
                  <w:sz w:val="18"/>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06">
              <w:r>
                <w:rPr>
                  <w:rStyle w:val="InternetLink"/>
                  <w:rFonts w:ascii="Times New Roman;serif" w:hAnsi="Times New Roman;serif"/>
                  <w:b w:val="false"/>
                  <w:strike w:val="false"/>
                  <w:dstrike w:val="false"/>
                  <w:color w:val="000000"/>
                  <w:sz w:val="20"/>
                  <w:u w:val="none"/>
                  <w:effect w:val="none"/>
                </w:rPr>
                <w:t>32</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09">
              <w:r>
                <w:rPr>
                  <w:rStyle w:val="InternetLink"/>
                  <w:rFonts w:ascii="Times New Roman;serif" w:hAnsi="Times New Roman;serif"/>
                  <w:b/>
                  <w:color w:val="0000FF"/>
                  <w:sz w:val="18"/>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09">
              <w:r>
                <w:rPr>
                  <w:rStyle w:val="InternetLink"/>
                  <w:rFonts w:ascii="Times New Roman;serif" w:hAnsi="Times New Roman;serif"/>
                  <w:b w:val="false"/>
                  <w:strike w:val="false"/>
                  <w:dstrike w:val="false"/>
                  <w:color w:val="000000"/>
                  <w:sz w:val="20"/>
                  <w:u w:val="none"/>
                  <w:effect w:val="none"/>
                </w:rPr>
                <w:t>32</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12">
              <w:r>
                <w:rPr>
                  <w:rStyle w:val="InternetLink"/>
                  <w:rFonts w:ascii="Times New Roman;serif" w:hAnsi="Times New Roman;serif"/>
                  <w:b/>
                  <w:color w:val="0000FF"/>
                  <w:sz w:val="18"/>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12">
              <w:r>
                <w:rPr>
                  <w:rStyle w:val="InternetLink"/>
                  <w:rFonts w:ascii="Times New Roman;serif" w:hAnsi="Times New Roman;serif"/>
                  <w:b w:val="false"/>
                  <w:strike w:val="false"/>
                  <w:dstrike w:val="false"/>
                  <w:color w:val="000000"/>
                  <w:sz w:val="20"/>
                  <w:u w:val="none"/>
                  <w:effect w:val="none"/>
                </w:rPr>
                <w:t>32</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1A.</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15">
              <w:r>
                <w:rPr>
                  <w:rStyle w:val="InternetLink"/>
                  <w:rFonts w:ascii="Times New Roman;serif" w:hAnsi="Times New Roman;serif"/>
                  <w:b/>
                  <w:color w:val="0000FF"/>
                  <w:sz w:val="18"/>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15">
              <w:r>
                <w:rPr>
                  <w:rStyle w:val="InternetLink"/>
                  <w:rFonts w:ascii="Times New Roman;serif" w:hAnsi="Times New Roman;serif"/>
                  <w:b w:val="false"/>
                  <w:strike w:val="false"/>
                  <w:dstrike w:val="false"/>
                  <w:color w:val="000000"/>
                  <w:sz w:val="20"/>
                  <w:u w:val="none"/>
                  <w:effect w:val="none"/>
                </w:rPr>
                <w:t>32</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2.</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18">
              <w:r>
                <w:rPr>
                  <w:rStyle w:val="InternetLink"/>
                  <w:rFonts w:ascii="Times New Roman;serif" w:hAnsi="Times New Roman;serif"/>
                  <w:b/>
                  <w:color w:val="0000FF"/>
                  <w:sz w:val="18"/>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18">
              <w:r>
                <w:rPr>
                  <w:rStyle w:val="InternetLink"/>
                  <w:rFonts w:ascii="Times New Roman;serif" w:hAnsi="Times New Roman;serif"/>
                  <w:b w:val="false"/>
                  <w:strike w:val="false"/>
                  <w:dstrike w:val="false"/>
                  <w:color w:val="000000"/>
                  <w:sz w:val="20"/>
                  <w:u w:val="none"/>
                  <w:effect w:val="none"/>
                </w:rPr>
                <w:t>33</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Item 5. </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21">
              <w:r>
                <w:rPr>
                  <w:rStyle w:val="InternetLink"/>
                  <w:rFonts w:ascii="Times New Roman;serif" w:hAnsi="Times New Roman;serif"/>
                  <w:b/>
                  <w:color w:val="0000FF"/>
                  <w:sz w:val="18"/>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21">
              <w:r>
                <w:rPr>
                  <w:rStyle w:val="InternetLink"/>
                  <w:rFonts w:ascii="Times New Roman;serif" w:hAnsi="Times New Roman;serif"/>
                  <w:b w:val="false"/>
                  <w:strike w:val="false"/>
                  <w:dstrike w:val="false"/>
                  <w:color w:val="000000"/>
                  <w:sz w:val="20"/>
                  <w:u w:val="none"/>
                  <w:effect w:val="none"/>
                </w:rPr>
                <w:t>33</w:t>
              </w:r>
            </w:hyperlink>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6.</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27">
              <w:r>
                <w:rPr>
                  <w:rStyle w:val="InternetLink"/>
                  <w:rFonts w:ascii="Times New Roman;serif" w:hAnsi="Times New Roman;serif"/>
                  <w:b/>
                  <w:color w:val="0000FF"/>
                  <w:sz w:val="18"/>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27">
              <w:r>
                <w:rPr>
                  <w:rStyle w:val="InternetLink"/>
                  <w:rFonts w:ascii="Times New Roman;serif" w:hAnsi="Times New Roman;serif"/>
                  <w:b w:val="false"/>
                  <w:strike w:val="false"/>
                  <w:dstrike w:val="false"/>
                  <w:color w:val="000000"/>
                  <w:sz w:val="20"/>
                  <w:u w:val="none"/>
                  <w:effect w:val="none"/>
                </w:rPr>
                <w:t>33</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268660e04f54eaf85a797901aa5fcc9_130">
              <w:r>
                <w:rPr>
                  <w:rStyle w:val="InternetLink"/>
                  <w:rFonts w:ascii="Times New Roman;serif" w:hAnsi="Times New Roman;serif"/>
                  <w:b/>
                  <w:color w:val="0000FF"/>
                  <w:sz w:val="18"/>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68660e04f54eaf85a797901aa5fcc9_130">
              <w:r>
                <w:rPr>
                  <w:rStyle w:val="InternetLink"/>
                  <w:rFonts w:ascii="Times New Roman;serif" w:hAnsi="Times New Roman;serif"/>
                  <w:b w:val="false"/>
                  <w:strike w:val="false"/>
                  <w:dstrike w:val="false"/>
                  <w:color w:val="000000"/>
                  <w:sz w:val="20"/>
                  <w:u w:val="none"/>
                  <w:effect w:val="non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Certain Terms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references to “options” or “options contracts” in the text of this document refer to options on futures contracts.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information about CME Group and its products can be found at http://www.cmegroup.com. Information made available on our website does not constitute a part of this Quarterly Report on Form 10-Q.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Information about Contract Volume and Average Rate per Contract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noted, all amounts regarding contract volume and average rate per contract are for CME Group's listed futures and options on futures contracts and exclude CME Group's event contracts.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Trademark Information </w:t>
      </w:r>
    </w:p>
    <w:p>
      <w:pPr>
        <w:pStyle w:val="TextBody"/>
        <w:bidi w:val="0"/>
        <w:spacing w:lineRule="auto" w:line="268" w:before="0" w:after="0"/>
        <w:jc w:val="left"/>
        <w:rPr/>
      </w:pPr>
      <w:r>
        <w:rPr>
          <w:rFonts w:ascii="Times New Roman;serif" w:hAnsi="Times New Roman;serif"/>
          <w:b w:val="false"/>
          <w:color w:val="000000"/>
          <w:sz w:val="20"/>
        </w:rPr>
        <w:t>CME Group, the Globe logo, CME, Chicago Mercantile Exchange, Globex, and E-mini are trademarks of Chicago Mercantile Exchange Inc. (CME), CBOT and Chicago Board of Trade are trademarks of Board of Trade of the City of Chicago, Inc.</w:t>
      </w:r>
      <w:r>
        <w:rPr>
          <w:color w:val="000000"/>
        </w:rPr>
        <w:t xml:space="preserve"> </w:t>
      </w:r>
      <w:r>
        <w:rPr>
          <w:rFonts w:ascii="Times New Roman;serif" w:hAnsi="Times New Roman;serif"/>
          <w:b w:val="false"/>
          <w:color w:val="000000"/>
          <w:sz w:val="20"/>
        </w:rPr>
        <w:t>NYMEX, New York Mercantile Exchange and ClearPort are trademarks of New York Mercantile Exchange, Inc.</w:t>
      </w:r>
      <w:r>
        <w:rPr>
          <w:color w:val="000000"/>
        </w:rPr>
        <w:t xml:space="preserve"> </w:t>
      </w:r>
      <w:r>
        <w:rPr>
          <w:rFonts w:ascii="Times New Roman;serif" w:hAnsi="Times New Roman;serif"/>
          <w:b w:val="false"/>
          <w:color w:val="000000"/>
          <w:sz w:val="20"/>
        </w:rPr>
        <w:t xml:space="preserve">COMEX is a trademark of Commodity Exchange, Inc. BrokerTec is a trademark of BrokerTec Americas LLC and EBS is a trademark of EBS Group Limited. Dow Jones, Dow Jones Industrial Average, S&amp;P 500 and S&amp;P are service and/or trademarks of Dow Jones Trademark Holdings LLC, Standard &amp; Poor's Financial Services LLC and S&amp;P Dow Jones Indices LLC, as the case may be, and have been licensed for use by CME. All other trademarks are the property of their respective owners.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increasing competition by foreign and domestic entities, including increased competition from new entrants into our markets and consolidation of existing entities; 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continue introducing innovative and competitive new products and services on a timely, cost-effective basis, including through our electronic trading capabilities, and derive revenues that are commensurate with our efforts and expectations, and our ability to maintain the competitiveness of our existing products and services;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adjust our fixed costs and expenses if our revenues decline;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manage variable costs associated with CME Group's transition to the Google Cloud, and minimizing the duplicative costs of maintaining both on-premise and Google Cloud environments during the transition;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resilience of our electronic platforms and the soundness of our business continuity and disaster recovery plans, including in the event of cyberattacks and cyberterrorism or as impacted by a failure of or disruption at one of our suppliers;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maintain existing customers at substantially similar trading levels, develop strategic relationships and attract new customers;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expand and globally offer our products and services;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 as well as the impact of tariffs and tax policy changes, restrictions on our ability to offer CME Group products and services in specific geographies or to specific customers or limitations or changes in underlying/physical product flows across geographies;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costs associated with protecting our intellectual property rights and our ability to operate our business without violating the intellectual property rights of others;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decreases in revenue from our market data as a result of decreased demand or changes to regulations in various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ability of our credit and liquidity risk management practices to adequately protect us from the credit risks of clearing firms and other counterparties, and to satisfy the margin and liquidity requirements associated with the BrokerTec matched principal business;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dependence on third-party providers and exposure to risk from third parties, including risks related to the performance, reliability and security of technology used by, or facilities provided by, our third-party providers and third-party providers that our clients and third-parties rely 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reliance on third-party distribution partners, including independent software vendors (ISVs), futures commission merchants (FCMs), introducing brokers, broker-dealers, regulatory reporting and data distributors and platform operators, and other partners, for facilitating trading and for market data information, and potential impacts from changes in their business models and priorities;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volatility in commodity, equity and fixed income prices, and price volatility of financial benchmarks and instruments such as interest rates, equity indices, fixed income instruments and foreign exchange rates; economic, social, political and market conditions, including the volatility of the capital and credit markets and the impact of economic conditions on the trading activity of our current and potential customers;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accommodate increases in contract volume and market data and order transaction traffic across the entire trade cycle and the ability to implement enhancements meeting our regulatory obligations and customer needs without failure or degradation of the performance of our trading and clearing systems;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execute our growth strategy and maintain our growth effectively;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manage the risks, control the costs and achieve the synergies associated with and benefits from our strategy for acquisitions, investments, alliances, strategic partnerships and joint ventures;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variances in earnings on cash accounts and collateral that our clearing house holds;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impact of CME Group pricing/fee level and structure and incentive changes;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impact of aggregation services and internalization on trade flow and volumes;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any negative financial impacts from changes to the terms of intellectual property and index rights;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continue to generate funds and/or manage our indebtedness to allow us to continue to invest in our business;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industry, channel partner and customer consolidation and/or concentration;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decreases in trading and clearing activity;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imposition of a transaction tax or user fee on futures and options transactions and/or repeal of the 60/40 tax treatment of such transactions;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increases in effective tax rates, borrowing costs or changes in tax policy;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maintain our brand and reputation;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unfavorable resolution of material legal proceedings.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 detailed discussion of these and other factors that might affect our performance, see Item 1A. of our Annual Report on Form 10-K for the year ended December 31, 2025, filed with the Securities and Exchange Commission on February 26, 2026 and Item 1A. in Part II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tbl>
      <w:tblPr>
        <w:tblW w:w="3450" w:type="dxa"/>
        <w:jc w:val="left"/>
        <w:tblInd w:w="0" w:type="dxa"/>
        <w:tblLayout w:type="fixed"/>
        <w:tblCellMar>
          <w:top w:w="28" w:type="dxa"/>
          <w:left w:w="28" w:type="dxa"/>
          <w:bottom w:w="28" w:type="dxa"/>
          <w:right w:w="28" w:type="dxa"/>
        </w:tblCellMar>
      </w:tblPr>
      <w:tblGrid>
        <w:gridCol w:w="304"/>
        <w:gridCol w:w="267"/>
        <w:gridCol w:w="269"/>
        <w:gridCol w:w="764"/>
        <w:gridCol w:w="764"/>
        <w:gridCol w:w="1082"/>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par value data; shares in thousands)</w:t>
      </w:r>
    </w:p>
    <w:tbl>
      <w:tblPr>
        <w:tblW w:w="10205" w:type="dxa"/>
        <w:jc w:val="center"/>
        <w:tblInd w:w="0" w:type="dxa"/>
        <w:tblLayout w:type="fixed"/>
        <w:tblCellMar>
          <w:top w:w="28" w:type="dxa"/>
          <w:left w:w="28" w:type="dxa"/>
          <w:bottom w:w="28" w:type="dxa"/>
          <w:right w:w="28" w:type="dxa"/>
        </w:tblCellMar>
      </w:tblPr>
      <w:tblGrid>
        <w:gridCol w:w="2634"/>
        <w:gridCol w:w="2094"/>
        <w:gridCol w:w="2045"/>
        <w:gridCol w:w="109"/>
        <w:gridCol w:w="109"/>
        <w:gridCol w:w="109"/>
        <w:gridCol w:w="223"/>
        <w:gridCol w:w="1033"/>
        <w:gridCol w:w="115"/>
        <w:gridCol w:w="109"/>
        <w:gridCol w:w="109"/>
        <w:gridCol w:w="109"/>
        <w:gridCol w:w="220"/>
        <w:gridCol w:w="1021"/>
        <w:gridCol w:w="166"/>
      </w:tblGrid>
      <w:tr>
        <w:trPr/>
        <w:tc>
          <w:tcPr>
            <w:tcW w:w="2634"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$9.1 and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 (includes $3.5 and $6.5 in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bonds and guaranty fund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159,656.1 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159,138.2 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165,359.3 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net of accumulated depreciation and amortization of $1,019.5 and $1,005.7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assets—trading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192,092.5 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198,424.2 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bonds and guaranty fund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159,656.1 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156,112.9 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160,296.7 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165,532.2 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169,696.0 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 shares authorized at September 30, 2026 and December 31, 2025; no shares issued and outstanding as of September 30, 2026 and 4,584 issued and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1,000,000 shares authorized at September 30, 2026 and December 31, 2025; 357,424 and 358,950 shares issued and outstanding as of September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3 shares authorized, issued and outstanding as of September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CME Group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26,560.3 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192,092.5 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198,424.2 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8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shares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24"/>
        <w:gridCol w:w="1385"/>
        <w:gridCol w:w="139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72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Clearing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 and information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 fee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borrowing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unconsolidated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Common Shareholders of CME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19"/>
        <w:gridCol w:w="1462"/>
        <w:gridCol w:w="1476"/>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171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(losses) arising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defined benefit plans arising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(gains) losses included in compensation and benefits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unrealized (gains) losses to interest expense and other 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shares in thousands)</w:t>
      </w:r>
    </w:p>
    <w:p>
      <w:pPr>
        <w:pStyle w:val="TextBody"/>
        <w:bidi w:val="0"/>
        <w:spacing w:lineRule="auto" w:line="288" w:before="0" w:after="0"/>
        <w:jc w:val="center"/>
        <w:rPr/>
      </w:pPr>
      <w:r>
        <w:rPr>
          <w:rFonts w:ascii="Times New Roman;serif" w:hAnsi="Times New Roman;serif"/>
          <w:b w:val="false"/>
          <w:color w:val="000000"/>
          <w:sz w:val="20"/>
        </w:rPr>
        <w:t>(unaudited)</w:t>
      </w:r>
      <w:r>
        <w:rPr>
          <w:color w:val="000000"/>
        </w:rPr>
        <w:t> </w:t>
      </w:r>
    </w:p>
    <w:p>
      <w:pPr>
        <w:pStyle w:val="TextBody"/>
        <w:bidi w:val="0"/>
        <w:spacing w:before="0" w:after="0"/>
        <w:jc w:val="center"/>
        <w:rPr/>
      </w:pPr>
      <w:r>
        <w:rPr/>
      </w:r>
    </w:p>
    <w:tbl>
      <w:tblPr>
        <w:tblW w:w="11228" w:type="dxa"/>
        <w:jc w:val="center"/>
        <w:tblInd w:w="0" w:type="dxa"/>
        <w:tblLayout w:type="fixed"/>
        <w:tblCellMar>
          <w:top w:w="28" w:type="dxa"/>
          <w:left w:w="28" w:type="dxa"/>
          <w:bottom w:w="28" w:type="dxa"/>
          <w:right w:w="28" w:type="dxa"/>
        </w:tblCellMar>
      </w:tblPr>
      <w:tblGrid>
        <w:gridCol w:w="757"/>
        <w:gridCol w:w="296"/>
        <w:gridCol w:w="298"/>
        <w:gridCol w:w="361"/>
        <w:gridCol w:w="270"/>
        <w:gridCol w:w="271"/>
        <w:gridCol w:w="109"/>
        <w:gridCol w:w="109"/>
        <w:gridCol w:w="109"/>
        <w:gridCol w:w="413"/>
        <w:gridCol w:w="413"/>
        <w:gridCol w:w="256"/>
        <w:gridCol w:w="109"/>
        <w:gridCol w:w="109"/>
        <w:gridCol w:w="109"/>
        <w:gridCol w:w="255"/>
        <w:gridCol w:w="255"/>
        <w:gridCol w:w="256"/>
        <w:gridCol w:w="109"/>
        <w:gridCol w:w="109"/>
        <w:gridCol w:w="109"/>
        <w:gridCol w:w="211"/>
        <w:gridCol w:w="871"/>
        <w:gridCol w:w="109"/>
        <w:gridCol w:w="109"/>
        <w:gridCol w:w="109"/>
        <w:gridCol w:w="109"/>
        <w:gridCol w:w="211"/>
        <w:gridCol w:w="766"/>
        <w:gridCol w:w="109"/>
        <w:gridCol w:w="109"/>
        <w:gridCol w:w="109"/>
        <w:gridCol w:w="109"/>
        <w:gridCol w:w="308"/>
        <w:gridCol w:w="747"/>
        <w:gridCol w:w="161"/>
        <w:gridCol w:w="109"/>
        <w:gridCol w:w="109"/>
        <w:gridCol w:w="109"/>
        <w:gridCol w:w="211"/>
        <w:gridCol w:w="871"/>
        <w:gridCol w:w="109"/>
        <w:gridCol w:w="109"/>
        <w:gridCol w:w="109"/>
        <w:gridCol w:w="109"/>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6"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Common</w:t>
              <w:br/>
              <w:t>Stock and</w:t>
              <w:b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CME Group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of $10.05 per share</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G preferred stock to Class A common stock</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issued restricted Class A common stock</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Board of Directors</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Repurchase of Class A common stock </w:t>
            </w:r>
            <w:r>
              <w:rPr>
                <w:rFonts w:ascii="Times New Roman;serif" w:hAnsi="Times New Roman;serif"/>
                <w:b w:val="false"/>
                <w:color w:val="000000"/>
                <w:sz w:val="13"/>
              </w:rPr>
              <w:t>(1)</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357,424 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137" w:type="dxa"/>
        <w:jc w:val="center"/>
        <w:tblInd w:w="0" w:type="dxa"/>
        <w:tblLayout w:type="fixed"/>
        <w:tblCellMar>
          <w:top w:w="28" w:type="dxa"/>
          <w:left w:w="28" w:type="dxa"/>
          <w:bottom w:w="28" w:type="dxa"/>
          <w:right w:w="28" w:type="dxa"/>
        </w:tblCellMar>
      </w:tblPr>
      <w:tblGrid>
        <w:gridCol w:w="783"/>
        <w:gridCol w:w="318"/>
        <w:gridCol w:w="250"/>
        <w:gridCol w:w="270"/>
        <w:gridCol w:w="270"/>
        <w:gridCol w:w="271"/>
        <w:gridCol w:w="109"/>
        <w:gridCol w:w="109"/>
        <w:gridCol w:w="109"/>
        <w:gridCol w:w="413"/>
        <w:gridCol w:w="413"/>
        <w:gridCol w:w="256"/>
        <w:gridCol w:w="109"/>
        <w:gridCol w:w="109"/>
        <w:gridCol w:w="109"/>
        <w:gridCol w:w="255"/>
        <w:gridCol w:w="255"/>
        <w:gridCol w:w="256"/>
        <w:gridCol w:w="109"/>
        <w:gridCol w:w="109"/>
        <w:gridCol w:w="109"/>
        <w:gridCol w:w="211"/>
        <w:gridCol w:w="871"/>
        <w:gridCol w:w="109"/>
        <w:gridCol w:w="109"/>
        <w:gridCol w:w="109"/>
        <w:gridCol w:w="109"/>
        <w:gridCol w:w="211"/>
        <w:gridCol w:w="766"/>
        <w:gridCol w:w="109"/>
        <w:gridCol w:w="109"/>
        <w:gridCol w:w="109"/>
        <w:gridCol w:w="109"/>
        <w:gridCol w:w="308"/>
        <w:gridCol w:w="747"/>
        <w:gridCol w:w="161"/>
        <w:gridCol w:w="109"/>
        <w:gridCol w:w="109"/>
        <w:gridCol w:w="109"/>
        <w:gridCol w:w="211"/>
        <w:gridCol w:w="871"/>
        <w:gridCol w:w="109"/>
        <w:gridCol w:w="109"/>
        <w:gridCol w:w="10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Common</w:t>
              <w:br/>
              <w:t>Stock and</w:t>
              <w:b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CME Group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359,275 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of $1.30 per share</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issued restricted Class A common stock</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Repurchase of Class A common stock </w:t>
            </w:r>
            <w:r>
              <w:rPr>
                <w:rFonts w:ascii="Times New Roman;serif" w:hAnsi="Times New Roman;serif"/>
                <w:b w:val="false"/>
                <w:color w:val="000000"/>
                <w:sz w:val="13"/>
              </w:rPr>
              <w:t>(1)</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5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357,424 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December 2024, the board of directors approved a share repurchase program (the Share Repurchase Program), which authorizes the repurchase of up to $3.0 billion of CME Group Class A common stock at prevailing market prices. During the three and nine months ended September 30, 2026, 2,047,234 and 6,432,010 shares of outstanding Class A common stock were repurchased, respectively. The average price was $255.81 per share for a total of $0.5 billion (excluding excise tax) during the third quarter of 2026 and $272.89 per share for a total of $1.8 billion (excluding excise tax) for the first nine months of 2026. The remaining aggregate amount under the existing Share Repurchase Program is $1.0 billion as of September 30, 2026. Shares are retired upon repurchase and not held as treasury stock.</w:t>
      </w:r>
    </w:p>
    <w:p>
      <w:pPr>
        <w:pStyle w:val="TextBody"/>
        <w:bidi w:val="0"/>
        <w:spacing w:before="80" w:after="140"/>
        <w:jc w:val="left"/>
        <w:rPr/>
      </w:pPr>
      <w:r>
        <w:rPr/>
      </w:r>
    </w:p>
    <w:p>
      <w:pPr>
        <w:pStyle w:val="TextBody"/>
        <w:bidi w:val="0"/>
        <w:spacing w:before="80" w:after="140"/>
        <w:jc w:val="left"/>
        <w:rPr/>
      </w:pPr>
      <w:r>
        <w:rPr/>
      </w:r>
    </w:p>
    <w:p>
      <w:pPr>
        <w:pStyle w:val="TextBody"/>
        <w:bidi w:val="0"/>
        <w:spacing w:before="80" w:after="1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140"/>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 shares in thousands)</w:t>
      </w:r>
    </w:p>
    <w:p>
      <w:pPr>
        <w:pStyle w:val="TextBody"/>
        <w:bidi w:val="0"/>
        <w:spacing w:lineRule="auto" w:line="288" w:before="0" w:after="0"/>
        <w:jc w:val="center"/>
        <w:rPr/>
      </w:pPr>
      <w:r>
        <w:rPr>
          <w:rFonts w:ascii="Times New Roman;serif" w:hAnsi="Times New Roman;serif"/>
          <w:b w:val="false"/>
          <w:color w:val="000000"/>
          <w:sz w:val="20"/>
        </w:rPr>
        <w:t>(unaudited)</w:t>
      </w:r>
      <w:r>
        <w:rPr>
          <w:color w:val="000000"/>
        </w:rPr>
        <w:t> </w:t>
      </w:r>
    </w:p>
    <w:tbl>
      <w:tblPr>
        <w:tblW w:w="10777" w:type="dxa"/>
        <w:jc w:val="center"/>
        <w:tblInd w:w="0" w:type="dxa"/>
        <w:tblLayout w:type="fixed"/>
        <w:tblCellMar>
          <w:top w:w="28" w:type="dxa"/>
          <w:left w:w="28" w:type="dxa"/>
          <w:bottom w:w="28" w:type="dxa"/>
          <w:right w:w="28" w:type="dxa"/>
        </w:tblCellMar>
      </w:tblPr>
      <w:tblGrid>
        <w:gridCol w:w="566"/>
        <w:gridCol w:w="392"/>
        <w:gridCol w:w="393"/>
        <w:gridCol w:w="346"/>
        <w:gridCol w:w="270"/>
        <w:gridCol w:w="271"/>
        <w:gridCol w:w="109"/>
        <w:gridCol w:w="109"/>
        <w:gridCol w:w="109"/>
        <w:gridCol w:w="413"/>
        <w:gridCol w:w="413"/>
        <w:gridCol w:w="256"/>
        <w:gridCol w:w="109"/>
        <w:gridCol w:w="109"/>
        <w:gridCol w:w="109"/>
        <w:gridCol w:w="255"/>
        <w:gridCol w:w="255"/>
        <w:gridCol w:w="256"/>
        <w:gridCol w:w="109"/>
        <w:gridCol w:w="109"/>
        <w:gridCol w:w="109"/>
        <w:gridCol w:w="211"/>
        <w:gridCol w:w="871"/>
        <w:gridCol w:w="109"/>
        <w:gridCol w:w="109"/>
        <w:gridCol w:w="109"/>
        <w:gridCol w:w="109"/>
        <w:gridCol w:w="211"/>
        <w:gridCol w:w="766"/>
        <w:gridCol w:w="109"/>
        <w:gridCol w:w="109"/>
        <w:gridCol w:w="109"/>
        <w:gridCol w:w="109"/>
        <w:gridCol w:w="269"/>
        <w:gridCol w:w="806"/>
        <w:gridCol w:w="141"/>
        <w:gridCol w:w="109"/>
        <w:gridCol w:w="109"/>
        <w:gridCol w:w="109"/>
        <w:gridCol w:w="211"/>
        <w:gridCol w:w="871"/>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Common</w:t>
              <w:br/>
              <w:t>Stock and</w:t>
              <w:b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CME Group Shareholders’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359,602 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and preferred stock of $3.75 per share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issued restricted Class A common stock</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Board of Directors</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Repurchase of Class A common stock </w:t>
            </w:r>
            <w:r>
              <w:rPr>
                <w:rFonts w:ascii="Times New Roman;serif" w:hAnsi="Times New Roman;serif"/>
                <w:b w:val="false"/>
                <w:color w:val="000000"/>
                <w:sz w:val="13"/>
              </w:rPr>
              <w:t>(1)</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6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359,849 </w:t>
            </w:r>
          </w:p>
        </w:tc>
        <w:tc>
          <w:tcPr>
            <w:tcW w:w="2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28,190.3 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140"/>
        <w:jc w:val="center"/>
        <w:rPr/>
      </w:pPr>
      <w:r>
        <w:rPr/>
      </w:r>
    </w:p>
    <w:tbl>
      <w:tblPr>
        <w:tblW w:w="11213" w:type="dxa"/>
        <w:jc w:val="center"/>
        <w:tblInd w:w="0" w:type="dxa"/>
        <w:tblLayout w:type="fixed"/>
        <w:tblCellMar>
          <w:top w:w="28" w:type="dxa"/>
          <w:left w:w="28" w:type="dxa"/>
          <w:bottom w:w="28" w:type="dxa"/>
          <w:right w:w="28" w:type="dxa"/>
        </w:tblCellMar>
      </w:tblPr>
      <w:tblGrid>
        <w:gridCol w:w="783"/>
        <w:gridCol w:w="318"/>
        <w:gridCol w:w="250"/>
        <w:gridCol w:w="346"/>
        <w:gridCol w:w="270"/>
        <w:gridCol w:w="271"/>
        <w:gridCol w:w="109"/>
        <w:gridCol w:w="109"/>
        <w:gridCol w:w="109"/>
        <w:gridCol w:w="413"/>
        <w:gridCol w:w="413"/>
        <w:gridCol w:w="256"/>
        <w:gridCol w:w="109"/>
        <w:gridCol w:w="109"/>
        <w:gridCol w:w="109"/>
        <w:gridCol w:w="255"/>
        <w:gridCol w:w="255"/>
        <w:gridCol w:w="256"/>
        <w:gridCol w:w="109"/>
        <w:gridCol w:w="109"/>
        <w:gridCol w:w="109"/>
        <w:gridCol w:w="211"/>
        <w:gridCol w:w="871"/>
        <w:gridCol w:w="109"/>
        <w:gridCol w:w="109"/>
        <w:gridCol w:w="109"/>
        <w:gridCol w:w="109"/>
        <w:gridCol w:w="211"/>
        <w:gridCol w:w="766"/>
        <w:gridCol w:w="109"/>
        <w:gridCol w:w="109"/>
        <w:gridCol w:w="109"/>
        <w:gridCol w:w="109"/>
        <w:gridCol w:w="308"/>
        <w:gridCol w:w="747"/>
        <w:gridCol w:w="161"/>
        <w:gridCol w:w="109"/>
        <w:gridCol w:w="109"/>
        <w:gridCol w:w="109"/>
        <w:gridCol w:w="211"/>
        <w:gridCol w:w="871"/>
        <w:gridCol w:w="109"/>
        <w:gridCol w:w="109"/>
        <w:gridCol w:w="10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1"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Common</w:t>
              <w:br/>
              <w:t>Stock and</w:t>
              <w:b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CME Group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and preferred stock of $1.25 per share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issued restricted Class A common stock</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359,849 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 December 2024, the board of directors approved a share repurchase program (the Share Repurchase Program), which authorizes the repurchase of up to $3.0 billion of CME Group Class A common stock at prevailing market prices. During the three and nine months ended September 30, 2025, 0 and 32,265 shares of outstanding Class A common stock were repurchased at an average price of $253.05 per share for a total of </w:t>
      </w:r>
      <w:r>
        <w:rPr>
          <w:rFonts w:ascii="Times New Roman;serif" w:hAnsi="Times New Roman;serif"/>
          <w:b w:val="false"/>
          <w:color w:val="000000"/>
          <w:sz w:val="16"/>
          <w:shd w:fill="FFFFFF" w:val="clear"/>
        </w:rPr>
        <w:t>$8.2 million</w:t>
      </w:r>
      <w:r>
        <w:rPr>
          <w:color w:val="000000"/>
        </w:rPr>
        <w:t xml:space="preserve"> </w:t>
      </w:r>
      <w:r>
        <w:rPr>
          <w:rFonts w:ascii="Times New Roman;serif" w:hAnsi="Times New Roman;serif"/>
          <w:b w:val="false"/>
          <w:color w:val="000000"/>
          <w:sz w:val="16"/>
        </w:rPr>
        <w:t>The remaining aggregate amount under the existing Share Repurchase Program is $3.0 billion as of September 30, 2025. Shares are retired upon repurchase and not held as treasury stock.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1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pStyle w:val="TextBody"/>
        <w:bidi w:val="0"/>
        <w:spacing w:before="80" w:after="140"/>
        <w:jc w:val="center"/>
        <w:rPr/>
      </w:pPr>
      <w:r>
        <w:rPr/>
      </w:r>
    </w:p>
    <w:p>
      <w:pPr>
        <w:pStyle w:val="TextBody"/>
        <w:bidi w:val="0"/>
        <w:spacing w:before="80" w:after="140"/>
        <w:jc w:val="center"/>
        <w:rPr/>
      </w:pPr>
      <w:r>
        <w:rPr/>
      </w:r>
    </w:p>
    <w:p>
      <w:pPr>
        <w:pStyle w:val="TextBody"/>
        <w:bidi w:val="0"/>
        <w:spacing w:before="80" w:after="1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pPr>
      <w:r>
        <w:rPr>
          <w:rFonts w:ascii="Times New Roman;serif" w:hAnsi="Times New Roman;serif"/>
          <w:b w:val="false"/>
          <w:color w:val="000000"/>
          <w:sz w:val="20"/>
        </w:rPr>
        <w:t>(unaudited)</w:t>
      </w:r>
      <w:r>
        <w:rPr>
          <w:color w:val="000000"/>
        </w:rPr>
        <w:t> </w:t>
      </w:r>
    </w:p>
    <w:tbl>
      <w:tblPr>
        <w:tblW w:w="9591" w:type="dxa"/>
        <w:jc w:val="center"/>
        <w:tblInd w:w="0" w:type="dxa"/>
        <w:tblLayout w:type="fixed"/>
        <w:tblCellMar>
          <w:top w:w="28" w:type="dxa"/>
          <w:left w:w="28" w:type="dxa"/>
          <w:bottom w:w="28" w:type="dxa"/>
          <w:right w:w="28" w:type="dxa"/>
        </w:tblCellMar>
      </w:tblPr>
      <w:tblGrid>
        <w:gridCol w:w="2434"/>
        <w:gridCol w:w="2137"/>
        <w:gridCol w:w="2149"/>
        <w:gridCol w:w="109"/>
        <w:gridCol w:w="109"/>
        <w:gridCol w:w="109"/>
        <w:gridCol w:w="211"/>
        <w:gridCol w:w="766"/>
        <w:gridCol w:w="109"/>
        <w:gridCol w:w="109"/>
        <w:gridCol w:w="109"/>
        <w:gridCol w:w="109"/>
        <w:gridCol w:w="211"/>
        <w:gridCol w:w="766"/>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available-for-sale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Purchases of property,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privately-held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Class A common stock, including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performance bond and guaranty fund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on restricted stock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(9,917.7)</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46,610.3 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pPr>
      <w:r>
        <w:rPr>
          <w:rFonts w:ascii="Times New Roman;serif" w:hAnsi="Times New Roman;serif"/>
          <w:b/>
          <w:color w:val="000000"/>
          <w:sz w:val="20"/>
        </w:rPr>
        <w:t>CONSOLIDATED STATEMENTS OF CASH FLOWS</w:t>
      </w:r>
      <w:r>
        <w:rPr>
          <w:color w:val="000000"/>
        </w:rPr>
        <w:t xml:space="preserve"> </w:t>
      </w:r>
      <w:r>
        <w:rPr>
          <w:rFonts w:ascii="Times New Roman;serif" w:hAnsi="Times New Roman;serif"/>
          <w:b w:val="false"/>
          <w:color w:val="000000"/>
          <w:sz w:val="20"/>
        </w:rPr>
        <w:t>(continued)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pPr>
      <w:r>
        <w:rPr>
          <w:rFonts w:ascii="Times New Roman;serif" w:hAnsi="Times New Roman;serif"/>
          <w:b w:val="false"/>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532"/>
        <w:gridCol w:w="2187"/>
        <w:gridCol w:w="2194"/>
        <w:gridCol w:w="109"/>
        <w:gridCol w:w="109"/>
        <w:gridCol w:w="109"/>
        <w:gridCol w:w="211"/>
        <w:gridCol w:w="976"/>
        <w:gridCol w:w="109"/>
        <w:gridCol w:w="109"/>
        <w:gridCol w:w="109"/>
        <w:gridCol w:w="109"/>
        <w:gridCol w:w="211"/>
        <w:gridCol w:w="976"/>
        <w:gridCol w:w="155"/>
      </w:tblGrid>
      <w:tr>
        <w:trPr/>
        <w:tc>
          <w:tcPr>
            <w:tcW w:w="2532"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restricted cash and restricted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49,700.4 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Restricted Cash and Restricted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151,494.5 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restricted cash and restricted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restricted cash equivalents (performance bonds and guaranty fund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149,041.2 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151,494.5 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September 30, 2026 and December 31, 2025 and the results of operations and cash flows for the periods indicated. Quarterly results are not necessarily indicative of results for any subsequent period.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should be read in conjunction with the consolidated financial statements and notes thereto in CME Group’s Annual Report on Form 10-K for the year ended December 31, 2025, filed with the Securities and Exchange Commission (SEC)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 Accounting Policies</w:t>
      </w:r>
    </w:p>
    <w:p>
      <w:pPr>
        <w:pStyle w:val="TextBody"/>
        <w:bidi w:val="0"/>
        <w:spacing w:lineRule="auto" w:line="288" w:before="0" w:after="0"/>
        <w:jc w:val="left"/>
        <w:rPr/>
      </w:pPr>
      <w:r>
        <w:rPr>
          <w:rFonts w:ascii="Times New Roman;serif" w:hAnsi="Times New Roman;serif"/>
          <w:b/>
          <w:color w:val="000000"/>
          <w:sz w:val="20"/>
        </w:rPr>
        <w:t>Newly Adopted Accounting Policies</w:t>
      </w:r>
      <w:r>
        <w:rPr>
          <w:rFonts w:ascii="Times New Roman;serif" w:hAnsi="Times New Roman;serif"/>
          <w:b w:val="false"/>
          <w:color w:val="000000"/>
          <w:sz w:val="20"/>
        </w:rPr>
        <w:t>. In July 2025, the FASB issued an accounting standards update which provides a practical expedient when estimating the amount of expected credit losses on current accounts receivable and current contract assets. This update permits entities to assume that current conditions as of the balance sheet date do not change for the remaining life of the current accounts receivable and current contract assets. Therefore, entities will not need to develop reasonable and supportable forecasts of future economic conditions. The practical expedient must be applied consistently across all current accounts receivable and current contract assets. The company adopted this standard on January 1, 2026, and has elected to apply the practical expedient. The adoption of this guidance did not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from customers from the following sources:</w:t>
      </w:r>
    </w:p>
    <w:p>
      <w:pPr>
        <w:pStyle w:val="TextBody"/>
        <w:bidi w:val="0"/>
        <w:spacing w:lineRule="auto" w:line="288" w:before="100" w:after="100"/>
        <w:jc w:val="left"/>
        <w:rPr/>
      </w:pPr>
      <w:r>
        <w:rPr>
          <w:rFonts w:ascii="Times New Roman;serif" w:hAnsi="Times New Roman;serif"/>
          <w:b w:val="false"/>
          <w:i/>
          <w:color w:val="000000"/>
          <w:sz w:val="20"/>
        </w:rPr>
        <w:t>Clearing and transaction fees.</w:t>
      </w:r>
      <w:r>
        <w:rPr>
          <w:color w:val="000000"/>
        </w:rPr>
        <w:t xml:space="preserve"> </w:t>
      </w:r>
      <w:r>
        <w:rPr>
          <w:rFonts w:ascii="Times New Roman;serif" w:hAnsi="Times New Roman;serif"/>
          <w:b w:val="false"/>
          <w:color w:val="000000"/>
          <w:sz w:val="20"/>
        </w:rPr>
        <w:t xml:space="preserve">Clearing and transaction fees include per-contract charges for trade matching, clearing, trading on the company's electronic trading platforms, portfolio reconciliation and compression services, risk mitigation, and other fees.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 </w:t>
      </w:r>
    </w:p>
    <w:p>
      <w:pPr>
        <w:pStyle w:val="TextBody"/>
        <w:bidi w:val="0"/>
        <w:spacing w:lineRule="auto" w:line="288" w:before="100" w:after="100"/>
        <w:jc w:val="left"/>
        <w:rPr/>
      </w:pPr>
      <w:r>
        <w:rPr>
          <w:rFonts w:ascii="Times New Roman;serif" w:hAnsi="Times New Roman;serif"/>
          <w:b w:val="false"/>
          <w:i/>
          <w:color w:val="000000"/>
          <w:sz w:val="20"/>
        </w:rPr>
        <w:t>Market data and information services.</w:t>
      </w:r>
      <w:r>
        <w:rPr>
          <w:color w:val="000000"/>
        </w:rPr>
        <w:t xml:space="preserve"> </w:t>
      </w:r>
      <w:r>
        <w:rPr>
          <w:rFonts w:ascii="Times New Roman;serif" w:hAnsi="Times New Roman;serif"/>
          <w:b w:val="false"/>
          <w:color w:val="000000"/>
          <w:sz w:val="20"/>
        </w:rPr>
        <w:t xml:space="preserve">Market data and information services represent revenue from the dissemination of market data to subscribers, 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 </w:t>
      </w:r>
    </w:p>
    <w:p>
      <w:pPr>
        <w:pStyle w:val="TextBody"/>
        <w:bidi w:val="0"/>
        <w:spacing w:lineRule="auto" w:line="288" w:before="100" w:after="100"/>
        <w:jc w:val="left"/>
        <w:rPr/>
      </w:pPr>
      <w:r>
        <w:rPr>
          <w:rFonts w:ascii="Times New Roman;serif" w:hAnsi="Times New Roman;serif"/>
          <w:b w:val="false"/>
          <w:i/>
          <w:color w:val="000000"/>
          <w:sz w:val="20"/>
        </w:rPr>
        <w:t xml:space="preserve">Other. </w:t>
      </w:r>
      <w:r>
        <w:rPr>
          <w:rFonts w:ascii="Times New Roman;serif" w:hAnsi="Times New Roman;serif"/>
          <w:b w:val="false"/>
          <w:color w:val="000000"/>
          <w:sz w:val="20"/>
        </w:rPr>
        <w:t xml:space="preserve">Other revenues include certain access and communication fees, fees for collateral management, equity membership subscription fees, and fees for 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and are billed monthly. This fee revenue is recognized monthly as billed as the customers receive and consume the benefits of the services. The company also has an equity membership program which provides equity members the option to pay a monthly subscription fee in satisfaction of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a disaggregation of revenue from contracts with customers by product line for the quarters and nine months ended September 30, 2026 and 2025:</w:t>
      </w:r>
    </w:p>
    <w:tbl>
      <w:tblPr>
        <w:tblW w:w="9536" w:type="dxa"/>
        <w:jc w:val="center"/>
        <w:tblInd w:w="0" w:type="dxa"/>
        <w:tblLayout w:type="fixed"/>
        <w:tblCellMar>
          <w:top w:w="28" w:type="dxa"/>
          <w:left w:w="28" w:type="dxa"/>
          <w:bottom w:w="28" w:type="dxa"/>
          <w:right w:w="28" w:type="dxa"/>
        </w:tblCellMar>
      </w:tblPr>
      <w:tblGrid>
        <w:gridCol w:w="1391"/>
        <w:gridCol w:w="1222"/>
        <w:gridCol w:w="1226"/>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indexes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BrokerTec 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EBS foreign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clearing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 and information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charges and miscellaneous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 xml:space="preserve">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third quarter of 2026 were not materially impacted by any other factors. The balance of contract liabilities was </w:t>
      </w:r>
      <w:r>
        <w:rPr>
          <w:rFonts w:ascii="Times New Roman;serif" w:hAnsi="Times New Roman;serif"/>
          <w:b w:val="false"/>
          <w:color w:val="000000"/>
          <w:sz w:val="20"/>
          <w:shd w:fill="FFFFFF" w:val="clear"/>
        </w:rPr>
        <w:t>$35.0 million</w:t>
      </w:r>
      <w:r>
        <w:rPr>
          <w:color w:val="000000"/>
        </w:rPr>
        <w:t xml:space="preserve">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$16.7 million</w:t>
      </w:r>
      <w:r>
        <w:rPr>
          <w:color w:val="000000"/>
        </w:rPr>
        <w:t xml:space="preserve"> </w:t>
      </w:r>
      <w:r>
        <w:rPr>
          <w:rFonts w:ascii="Times New Roman;serif" w:hAnsi="Times New Roman;serif"/>
          <w:b w:val="false"/>
          <w:color w:val="000000"/>
          <w:sz w:val="20"/>
        </w:rPr>
        <w:t>as of September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4. Performance Bonds and Guaranty Fund Contributions</w:t>
      </w:r>
    </w:p>
    <w:p>
      <w:pPr>
        <w:pStyle w:val="TextBody"/>
        <w:bidi w:val="0"/>
        <w:spacing w:lineRule="auto" w:line="288" w:before="120" w:after="120"/>
        <w:jc w:val="left"/>
        <w:rPr/>
      </w:pPr>
      <w:r>
        <w:rPr>
          <w:rFonts w:ascii="Times New Roman;serif" w:hAnsi="Times New Roman;serif"/>
          <w:b w:val="false"/>
          <w:i/>
          <w:color w:val="000000"/>
          <w:sz w:val="20"/>
        </w:rPr>
        <w:t xml:space="preserve">Performance Bonds and Guaranty Fund Contribution Reinvestment. </w:t>
      </w:r>
      <w:r>
        <w:rPr>
          <w:rFonts w:ascii="Times New Roman;serif" w:hAnsi="Times New Roman;serif"/>
          <w:b w:val="false"/>
          <w:color w:val="000000"/>
          <w:sz w:val="20"/>
        </w:rPr>
        <w:t xml:space="preserve">CME reinvests cash performance bonds and guaranty fund contributions and 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September 30, 2026, CME maintained $139.1 billion within the cash account at the Federal Reserve Bank of Chicago. The cash deposit at the Federal Reserve Bank of Chicago is included within performance bonds and guaranty fund contributions on the consolidated balance sheets. Cash performance bonds and guaranty fund contributions are included as restricted cash and restricted cash equivalents on the consolidated statements of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third quarter and first nine months of 2026, earnings from cash performance bond and guaranty fund contributions were $1,391.7 million and $4,151.5 million, respectively, compared with $1,514.1 million and $3,875.3 million in the third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and first nine months of 2025. In the third quarter and first nine months of 2026, expenses related to the distribution of interest earned on collateral reinvestments were $1,269.0 million and $3,783.9 million, respectively, compared with $1,399.2 million and $3,578.5 million in the third quarter and first nine months of 2025. The earnings from cash performance bonds and guaranty fund contributions are included in investment income and the expense related to the distribution of interest earned is included in other non-operating income (expense) on the consolidated statements of income. </w:t>
      </w:r>
    </w:p>
    <w:p>
      <w:pPr>
        <w:pStyle w:val="TextBody"/>
        <w:bidi w:val="0"/>
        <w:spacing w:lineRule="auto" w:line="288" w:before="120" w:after="120"/>
        <w:jc w:val="left"/>
        <w:rPr/>
      </w:pPr>
      <w:r>
        <w:rPr>
          <w:rFonts w:ascii="Times New Roman;serif" w:hAnsi="Times New Roman;serif"/>
          <w:b w:val="false"/>
          <w:i/>
          <w:color w:val="000000"/>
          <w:sz w:val="20"/>
          <w:shd w:fill="FFFFFF" w:val="clear"/>
        </w:rPr>
        <w:t xml:space="preserve">Clearing House </w:t>
      </w:r>
      <w:r>
        <w:rPr>
          <w:rFonts w:ascii="Times New Roman;serif" w:hAnsi="Times New Roman;serif"/>
          <w:b w:val="false"/>
          <w:i/>
          <w:color w:val="000000"/>
          <w:sz w:val="20"/>
        </w:rPr>
        <w:t>Contract</w:t>
      </w:r>
      <w:r>
        <w:rPr>
          <w:color w:val="000000"/>
          <w:shd w:fill="FFFFFF" w:val="clear"/>
        </w:rPr>
        <w:t xml:space="preserve"> </w:t>
      </w:r>
      <w:r>
        <w:rPr>
          <w:rFonts w:ascii="Times New Roman;serif" w:hAnsi="Times New Roman;serif"/>
          <w:b w:val="false"/>
          <w:i/>
          <w:color w:val="000000"/>
          <w:sz w:val="20"/>
          <w:shd w:fill="FFFFFF" w:val="clear"/>
        </w:rPr>
        <w:t>Settlement.</w:t>
      </w:r>
      <w:r>
        <w:rPr>
          <w:color w:val="000000"/>
          <w:shd w:fill="FFFFFF" w:val="clear"/>
        </w:rPr>
        <w:t xml:space="preserve"> </w:t>
      </w:r>
      <w:r>
        <w:rPr>
          <w:rFonts w:ascii="Times New Roman;serif" w:hAnsi="Times New Roman;serif"/>
          <w:b w:val="false"/>
          <w:color w:val="000000"/>
          <w:sz w:val="20"/>
          <w:shd w:fill="FFFFFF" w:val="clear"/>
        </w:rPr>
        <w:t>The clearing house marks-to-market open positions at least onc</w:t>
      </w:r>
      <w:r>
        <w:rPr>
          <w:rFonts w:ascii="Times New Roman;serif" w:hAnsi="Times New Roman;serif"/>
          <w:b w:val="false"/>
          <w:color w:val="000000"/>
          <w:sz w:val="20"/>
        </w:rPr>
        <w:t>e each business day (twice each business day for all futures and options 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 losses, the maximum exposure at the time of default related to futures and options on futures positions would be one half of a business day of changes in fair value of all open positions, before considering the clearing house's ability to access defaulting clearing firms' collateral deposits. For cleared interest rate swap contracts, the maximum exposure at the time of default related to the clearing house's guarantee would be one full business day of changes in fair value of all open positions, before considering the clearing house's ability to access defaulting clearing firms' collateral.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nine months of 2026, the clearing house transferred an average of approximately $8.2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firm and the estimated probability of potential payouts by the clearing house. Based on the assessment performed, management estimates the guarantee liability to be nominal and therefore has not recorded any liability at September 30, 2026 and December 31, 2025. The company does not have a history of significant losses recognized on performance bond collateral as posted by our clearing firms,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Intangible Assets and Goodwill</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at September 30, 2026 and December 31, 2025:</w:t>
      </w:r>
    </w:p>
    <w:p>
      <w:pPr>
        <w:pStyle w:val="TextBody"/>
        <w:bidi w:val="0"/>
        <w:spacing w:lineRule="auto" w:line="288" w:before="60" w:after="60"/>
        <w:jc w:val="left"/>
        <w:rPr>
          <w:color w:val="000000"/>
        </w:rPr>
      </w:pPr>
      <w:r>
        <w:rPr>
          <w:color w:val="000000"/>
        </w:rPr>
        <w:t> </w:t>
      </w:r>
    </w:p>
    <w:tbl>
      <w:tblPr>
        <w:tblW w:w="10925" w:type="dxa"/>
        <w:jc w:val="left"/>
        <w:tblInd w:w="0" w:type="dxa"/>
        <w:tblLayout w:type="fixed"/>
        <w:tblCellMar>
          <w:top w:w="28" w:type="dxa"/>
          <w:left w:w="28" w:type="dxa"/>
          <w:bottom w:w="28" w:type="dxa"/>
          <w:right w:w="28" w:type="dxa"/>
        </w:tblCellMar>
      </w:tblPr>
      <w:tblGrid>
        <w:gridCol w:w="1008"/>
        <w:gridCol w:w="357"/>
        <w:gridCol w:w="361"/>
        <w:gridCol w:w="109"/>
        <w:gridCol w:w="109"/>
        <w:gridCol w:w="109"/>
        <w:gridCol w:w="211"/>
        <w:gridCol w:w="766"/>
        <w:gridCol w:w="109"/>
        <w:gridCol w:w="109"/>
        <w:gridCol w:w="109"/>
        <w:gridCol w:w="109"/>
        <w:gridCol w:w="211"/>
        <w:gridCol w:w="781"/>
        <w:gridCol w:w="109"/>
        <w:gridCol w:w="109"/>
        <w:gridCol w:w="109"/>
        <w:gridCol w:w="109"/>
        <w:gridCol w:w="109"/>
        <w:gridCol w:w="109"/>
        <w:gridCol w:w="211"/>
        <w:gridCol w:w="871"/>
        <w:gridCol w:w="109"/>
        <w:gridCol w:w="109"/>
        <w:gridCol w:w="109"/>
        <w:gridCol w:w="109"/>
        <w:gridCol w:w="211"/>
        <w:gridCol w:w="766"/>
        <w:gridCol w:w="109"/>
        <w:gridCol w:w="109"/>
        <w:gridCol w:w="109"/>
        <w:gridCol w:w="109"/>
        <w:gridCol w:w="211"/>
        <w:gridCol w:w="781"/>
        <w:gridCol w:w="109"/>
        <w:gridCol w:w="109"/>
        <w:gridCol w:w="109"/>
        <w:gridCol w:w="109"/>
        <w:gridCol w:w="109"/>
        <w:gridCol w:w="109"/>
        <w:gridCol w:w="211"/>
        <w:gridCol w:w="8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781"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Assigned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Assigned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Book</w:t>
              <w:br/>
              <w:t>Value</w:t>
            </w:r>
          </w:p>
        </w:tc>
      </w:tr>
      <w:tr>
        <w:trPr/>
        <w:tc>
          <w:tcPr>
            <w:tcW w:w="1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Clearing firm, market data and other 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Technology-related 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Trading products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17,175.3 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pStyle w:val="TextBody"/>
        <w:bidi w:val="0"/>
        <w:spacing w:lineRule="auto" w:line="288" w:before="0" w:after="0"/>
        <w:jc w:val="left"/>
        <w:rPr/>
      </w:pPr>
      <w:r>
        <w:rPr>
          <w:rFonts w:ascii="Times New Roman;serif" w:hAnsi="Times New Roman;serif"/>
          <w:b w:val="false"/>
          <w:color w:val="000000"/>
          <w:sz w:val="20"/>
        </w:rPr>
        <w:t>Total amortization expense for intangible assets w</w:t>
      </w: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s $56.0 million and $56.2 million for the quarters ended September 30, 2026 and 2025, respectively. Total amortization expense for intangible assets was $168.1 million and $167.5 million for the nine months ended </w:t>
      </w:r>
      <w:r>
        <w:rPr>
          <w:rFonts w:ascii="Times New Roman;serif" w:hAnsi="Times New Roman;serif"/>
          <w:b w:val="false"/>
          <w:color w:val="000000"/>
          <w:sz w:val="20"/>
          <w:shd w:fill="FFFFFF" w:val="clear"/>
        </w:rPr>
        <w:t>September 30, 2026 and 2025</w:t>
      </w:r>
      <w:r>
        <w:rPr>
          <w:rFonts w:ascii="Times New Roman;serif" w:hAnsi="Times New Roman;serif"/>
          <w:b w:val="false"/>
          <w:color w:val="000000"/>
          <w:sz w:val="20"/>
        </w:rPr>
        <w:t xml:space="preserve">, respectively. During the nine months ended </w:t>
      </w:r>
      <w:r>
        <w:rPr>
          <w:rFonts w:ascii="Times New Roman;serif" w:hAnsi="Times New Roman;serif"/>
          <w:b w:val="false"/>
          <w:color w:val="000000"/>
          <w:sz w:val="20"/>
          <w:shd w:fill="FFFFFF" w:val="clear"/>
        </w:rPr>
        <w:t>September 30, 2026, the net book value of amortizable intangible assets includ</w:t>
      </w:r>
      <w:r>
        <w:rPr>
          <w:rFonts w:ascii="Times New Roman;serif" w:hAnsi="Times New Roman;serif"/>
          <w:b w:val="false"/>
          <w:color w:val="000000"/>
          <w:sz w:val="20"/>
        </w:rPr>
        <w:t>ed $2.5 million</w:t>
      </w:r>
      <w:r>
        <w:rPr>
          <w:color w:val="000000"/>
          <w:shd w:fill="FFFFFF" w:val="clear"/>
        </w:rPr>
        <w:t xml:space="preserve"> </w:t>
      </w:r>
      <w:r>
        <w:rPr>
          <w:rFonts w:ascii="Times New Roman;serif" w:hAnsi="Times New Roman;serif"/>
          <w:b w:val="false"/>
          <w:color w:val="000000"/>
          <w:sz w:val="20"/>
          <w:shd w:fill="FFFFFF" w:val="clear"/>
        </w:rPr>
        <w:t xml:space="preserve">of foreign currency translation loss for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future estimated amortization expense related to amortizable intangible assets is expected to be as follows:</w:t>
      </w:r>
    </w:p>
    <w:tbl>
      <w:tblPr>
        <w:tblW w:w="3495" w:type="dxa"/>
        <w:jc w:val="left"/>
        <w:tblInd w:w="0" w:type="dxa"/>
        <w:tblLayout w:type="fixed"/>
        <w:tblCellMar>
          <w:top w:w="28" w:type="dxa"/>
          <w:left w:w="28" w:type="dxa"/>
          <w:bottom w:w="28" w:type="dxa"/>
          <w:right w:w="28" w:type="dxa"/>
        </w:tblCellMar>
      </w:tblPr>
      <w:tblGrid>
        <w:gridCol w:w="608"/>
        <w:gridCol w:w="533"/>
        <w:gridCol w:w="539"/>
        <w:gridCol w:w="436"/>
        <w:gridCol w:w="1058"/>
        <w:gridCol w:w="321"/>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Amortization Expense</w:t>
            </w:r>
          </w:p>
        </w:tc>
      </w:tr>
      <w:tr>
        <w:trPr/>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jc w:val="left"/>
        <w:rPr/>
      </w:pPr>
      <w:r>
        <w:rPr>
          <w:rFonts w:ascii="Times New Roman;serif" w:hAnsi="Times New Roman;serif"/>
          <w:b w:val="false"/>
          <w:color w:val="000000"/>
          <w:sz w:val="20"/>
        </w:rPr>
        <w:t>Goodwill activity consisted of the following for the periods ended September 30, 2026 and December 31, 2025</w:t>
      </w:r>
      <w:r>
        <w:rPr>
          <w:rFonts w:ascii="Times New Roman;serif" w:hAnsi="Times New Roman;serif"/>
          <w:b w:val="false"/>
          <w:color w:val="000000"/>
          <w:sz w:val="18"/>
        </w:rPr>
        <w:t>:</w:t>
      </w:r>
    </w:p>
    <w:tbl>
      <w:tblPr>
        <w:tblW w:w="420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211"/>
        <w:gridCol w:w="871"/>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r>
      <w:tr>
        <w:trPr/>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at September 30, 2026 and December 31, 2025: </w:t>
      </w:r>
    </w:p>
    <w:tbl>
      <w:tblPr>
        <w:tblW w:w="9984" w:type="dxa"/>
        <w:jc w:val="left"/>
        <w:tblInd w:w="0" w:type="dxa"/>
        <w:tblLayout w:type="fixed"/>
        <w:tblCellMar>
          <w:top w:w="28" w:type="dxa"/>
          <w:left w:w="28" w:type="dxa"/>
          <w:bottom w:w="28" w:type="dxa"/>
          <w:right w:w="28" w:type="dxa"/>
        </w:tblCellMar>
      </w:tblPr>
      <w:tblGrid>
        <w:gridCol w:w="2262"/>
        <w:gridCol w:w="1986"/>
        <w:gridCol w:w="1992"/>
        <w:gridCol w:w="109"/>
        <w:gridCol w:w="109"/>
        <w:gridCol w:w="109"/>
        <w:gridCol w:w="300"/>
        <w:gridCol w:w="1090"/>
        <w:gridCol w:w="155"/>
        <w:gridCol w:w="109"/>
        <w:gridCol w:w="109"/>
        <w:gridCol w:w="109"/>
        <w:gridCol w:w="288"/>
        <w:gridCol w:w="1047"/>
        <w:gridCol w:w="210"/>
      </w:tblGrid>
      <w:tr>
        <w:trPr/>
        <w:tc>
          <w:tcPr>
            <w:tcW w:w="226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$500.0 million fixed rate notes due June 2028, stated rate of 3.75%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million fixed rate notes due March 2030, stated rate of 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million fixed rate notes due March 2032, stated rate of 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$750.0 million fixed rate notes due September 2043, stated rate of 5.30%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$700.0 million fixed rate notes due June 2048, stated rate of 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3,422.3 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(1)The company maintained a forward-starting interest rate swap agreement that modified the interest obligation associated with these notes so that the interest payable on the notes effectively became fixed at a rate of 4.73%. </w:t>
      </w:r>
    </w:p>
    <w:p>
      <w:pPr>
        <w:pStyle w:val="TextBody"/>
        <w:bidi w:val="0"/>
        <w:spacing w:lineRule="auto" w:line="240" w:before="100" w:after="100"/>
        <w:jc w:val="left"/>
        <w:rPr/>
      </w:pPr>
      <w:r>
        <w:rPr>
          <w:rFonts w:ascii="Times New Roman;serif" w:hAnsi="Times New Roman;serif"/>
          <w:b w:val="false"/>
          <w:color w:val="000000"/>
          <w:sz w:val="20"/>
        </w:rPr>
        <w:t xml:space="preserve">Long-term debt maturities, at par value, were as follows at September 30, 2026: </w:t>
      </w:r>
      <w:r>
        <w:rPr>
          <w:color w:val="000000"/>
        </w:rPr>
        <w:t> </w:t>
      </w:r>
    </w:p>
    <w:tbl>
      <w:tblPr>
        <w:tblW w:w="1916" w:type="dxa"/>
        <w:jc w:val="left"/>
        <w:tblInd w:w="0" w:type="dxa"/>
        <w:tblLayout w:type="fixed"/>
        <w:tblCellMar>
          <w:top w:w="28" w:type="dxa"/>
          <w:left w:w="28" w:type="dxa"/>
          <w:bottom w:w="28" w:type="dxa"/>
          <w:right w:w="28" w:type="dxa"/>
        </w:tblCellMar>
      </w:tblPr>
      <w:tblGrid>
        <w:gridCol w:w="353"/>
        <w:gridCol w:w="310"/>
        <w:gridCol w:w="311"/>
        <w:gridCol w:w="261"/>
        <w:gridCol w:w="505"/>
        <w:gridCol w:w="176"/>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r>
      <w:tr>
        <w:trPr/>
        <w:tc>
          <w:tcPr>
            <w:tcW w:w="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Contingencies</w:t>
      </w:r>
    </w:p>
    <w:p>
      <w:pPr>
        <w:pStyle w:val="TextBody"/>
        <w:bidi w:val="0"/>
        <w:spacing w:lineRule="auto" w:line="288" w:before="120" w:after="120"/>
        <w:jc w:val="left"/>
        <w:rPr/>
      </w:pPr>
      <w:r>
        <w:rPr>
          <w:rFonts w:ascii="Times New Roman;serif" w:hAnsi="Times New Roman;serif"/>
          <w:b w:val="false"/>
          <w:i/>
          <w:color w:val="000000"/>
          <w:sz w:val="20"/>
        </w:rPr>
        <w:t>Legal and Regulatory Matters.</w:t>
      </w:r>
      <w:r>
        <w:rPr>
          <w:color w:val="000000"/>
        </w:rPr>
        <w:t xml:space="preserve"> </w:t>
      </w:r>
      <w:r>
        <w:rPr>
          <w:rFonts w:ascii="Times New Roman;serif" w:hAnsi="Times New Roman;serif"/>
          <w:b w:val="false"/>
          <w:color w:val="000000"/>
          <w:sz w:val="20"/>
        </w:rPr>
        <w:t xml:space="preserve">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 </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putative class action complaint was filed January 15, 2014 in the Circuit Court of Cook County, Chancery Division, against CME Group Inc. and the Board of Trade of the City of Chicago, Inc. The plaintiffs, certain Class B shareholders of CME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In early 2024, the defendants moved for summary judgment on all claims. On April 16, 2025, the court granted the motion in part and denied the motion in part, and set the remaining claims for a jury trial. After a three week trial, on July 25, 2025, the jury returned a unanimous verdict in favor of the defendants on all counts. On June 15, 2026, the court denied the plaintiffs' post-trial motions. The plaintiffs have filed a notice of appeal. </w:t>
      </w:r>
    </w:p>
    <w:p>
      <w:pPr>
        <w:pStyle w:val="TextBody"/>
        <w:bidi w:val="0"/>
        <w:spacing w:lineRule="auto" w:line="288" w:before="120" w:after="120"/>
        <w:jc w:val="left"/>
        <w:rPr/>
      </w:pPr>
      <w:r>
        <w:rPr>
          <w:rFonts w:ascii="Times New Roman;serif" w:hAnsi="Times New Roman;serif"/>
          <w:b w:val="false"/>
          <w:color w:val="000000"/>
          <w:sz w:val="20"/>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 No accrual was required for contingent legal and regulatory matters as none were probable and estimable as o</w:t>
      </w:r>
      <w:r>
        <w:rPr>
          <w:rFonts w:ascii="Times New Roman;serif" w:hAnsi="Times New Roman;serif"/>
          <w:b w:val="false"/>
          <w:color w:val="000000"/>
          <w:sz w:val="20"/>
          <w:shd w:fill="FFFFFF" w:val="clear"/>
        </w:rPr>
        <w:t>f</w:t>
      </w:r>
      <w:r>
        <w:rPr>
          <w:color w:val="000000"/>
        </w:rPr>
        <w:t xml:space="preserve"> </w:t>
      </w:r>
      <w:r>
        <w:rPr>
          <w:rFonts w:ascii="Times New Roman;serif" w:hAnsi="Times New Roman;serif"/>
          <w:b w:val="false"/>
          <w:color w:val="000000"/>
          <w:sz w:val="20"/>
          <w:shd w:fill="FFFFFF" w:val="clear"/>
        </w:rPr>
        <w:t>September 30, 2026 and December 31, 2025.</w:t>
      </w:r>
    </w:p>
    <w:p>
      <w:pPr>
        <w:pStyle w:val="TextBody"/>
        <w:bidi w:val="0"/>
        <w:spacing w:lineRule="auto" w:line="288" w:before="100" w:after="100"/>
        <w:jc w:val="left"/>
        <w:rPr/>
      </w:pPr>
      <w:r>
        <w:rPr>
          <w:rFonts w:ascii="Times New Roman;serif" w:hAnsi="Times New Roman;serif"/>
          <w:b w:val="false"/>
          <w:i/>
          <w:color w:val="000000"/>
          <w:sz w:val="20"/>
          <w:shd w:fill="FFFFFF" w:val="clear"/>
        </w:rPr>
        <w:t>Intellect</w:t>
      </w:r>
      <w:r>
        <w:rPr>
          <w:rFonts w:ascii="Times New Roman;serif" w:hAnsi="Times New Roman;serif"/>
          <w:b w:val="false"/>
          <w:i/>
          <w:color w:val="000000"/>
          <w:sz w:val="20"/>
        </w:rPr>
        <w:t xml:space="preserve">ual Property Indemnifications. </w:t>
      </w:r>
      <w:r>
        <w:rPr>
          <w:rFonts w:ascii="Times New Roman;serif" w:hAnsi="Times New Roman;serif"/>
          <w:b w:val="false"/>
          <w:color w:val="000000"/>
          <w:sz w:val="20"/>
        </w:rPr>
        <w:t>Certain agreements with customers and other third parties related to accessing the CME Group platforms, utilizing market data services and licensing CME SPAN and SPAN 2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The operating leases have remaining lease terms of up to 12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has one finance lease, which is related to the sale of our data center in 2016. In connection with the sale, the company leased back a portion of the property. The transaction was recognized under the financing method and not as a sale leaseback arrangement.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w:t>
      </w:r>
    </w:p>
    <w:tbl>
      <w:tblPr>
        <w:tblW w:w="9029" w:type="dxa"/>
        <w:jc w:val="left"/>
        <w:tblInd w:w="0" w:type="dxa"/>
        <w:tblLayout w:type="fixed"/>
        <w:tblCellMar>
          <w:top w:w="28" w:type="dxa"/>
          <w:left w:w="28" w:type="dxa"/>
          <w:bottom w:w="28" w:type="dxa"/>
          <w:right w:w="28" w:type="dxa"/>
        </w:tblCellMar>
      </w:tblPr>
      <w:tblGrid>
        <w:gridCol w:w="1695"/>
        <w:gridCol w:w="1490"/>
        <w:gridCol w:w="149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expense included in other expense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revenue included in other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7244" w:type="dxa"/>
        <w:jc w:val="left"/>
        <w:tblInd w:w="0" w:type="dxa"/>
        <w:tblLayout w:type="fixed"/>
        <w:tblCellMar>
          <w:top w:w="28" w:type="dxa"/>
          <w:left w:w="28" w:type="dxa"/>
          <w:bottom w:w="28" w:type="dxa"/>
          <w:right w:w="28" w:type="dxa"/>
        </w:tblCellMar>
      </w:tblPr>
      <w:tblGrid>
        <w:gridCol w:w="1049"/>
        <w:gridCol w:w="921"/>
        <w:gridCol w:w="92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outflows for operating leases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outflows for finance lease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left"/>
        <w:rPr/>
      </w:pPr>
      <w:r>
        <w:rPr/>
      </w:r>
    </w:p>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balance sheet information related to leases was as follows: </w:t>
      </w:r>
    </w:p>
    <w:p>
      <w:pPr>
        <w:pStyle w:val="TextBody"/>
        <w:bidi w:val="0"/>
        <w:spacing w:lineRule="auto" w:line="288" w:before="120" w:after="120"/>
        <w:jc w:val="left"/>
        <w:rPr/>
      </w:pPr>
      <w:r>
        <w:rPr>
          <w:rFonts w:ascii="Times New Roman;serif" w:hAnsi="Times New Roman;serif"/>
          <w:b/>
          <w:i/>
          <w:color w:val="000000"/>
          <w:sz w:val="20"/>
        </w:rPr>
        <w:t>Operating leases</w:t>
      </w:r>
      <w:r>
        <w:rPr>
          <w:color w:val="000000"/>
        </w:rPr>
        <w:t xml:space="preserve"> </w:t>
      </w:r>
    </w:p>
    <w:tbl>
      <w:tblPr>
        <w:tblW w:w="7706" w:type="dxa"/>
        <w:jc w:val="left"/>
        <w:tblInd w:w="0" w:type="dxa"/>
        <w:tblLayout w:type="fixed"/>
        <w:tblCellMar>
          <w:top w:w="28" w:type="dxa"/>
          <w:left w:w="28" w:type="dxa"/>
          <w:bottom w:w="28" w:type="dxa"/>
          <w:right w:w="28" w:type="dxa"/>
        </w:tblCellMar>
      </w:tblPr>
      <w:tblGrid>
        <w:gridCol w:w="1553"/>
        <w:gridCol w:w="1364"/>
        <w:gridCol w:w="1372"/>
        <w:gridCol w:w="297"/>
        <w:gridCol w:w="867"/>
        <w:gridCol w:w="381"/>
        <w:gridCol w:w="109"/>
        <w:gridCol w:w="109"/>
        <w:gridCol w:w="109"/>
        <w:gridCol w:w="285"/>
        <w:gridCol w:w="833"/>
        <w:gridCol w:w="427"/>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months)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120"/>
        <w:jc w:val="left"/>
        <w:rPr/>
      </w:pPr>
      <w:r>
        <w:rPr/>
      </w:r>
    </w:p>
    <w:p>
      <w:pPr>
        <w:pStyle w:val="TextBody"/>
        <w:bidi w:val="0"/>
        <w:spacing w:lineRule="auto" w:line="288" w:before="120" w:after="120"/>
        <w:jc w:val="left"/>
        <w:rPr/>
      </w:pPr>
      <w:r>
        <w:rPr>
          <w:rFonts w:ascii="Times New Roman;serif" w:hAnsi="Times New Roman;serif"/>
          <w:b/>
          <w:i/>
          <w:color w:val="000000"/>
          <w:sz w:val="20"/>
        </w:rPr>
        <w:t>Finance lease</w:t>
      </w:r>
      <w:r>
        <w:rPr>
          <w:color w:val="000000"/>
        </w:rPr>
        <w:t xml:space="preserve"> </w:t>
      </w:r>
    </w:p>
    <w:tbl>
      <w:tblPr>
        <w:tblW w:w="7706" w:type="dxa"/>
        <w:jc w:val="left"/>
        <w:tblInd w:w="0" w:type="dxa"/>
        <w:tblLayout w:type="fixed"/>
        <w:tblCellMar>
          <w:top w:w="28" w:type="dxa"/>
          <w:left w:w="28" w:type="dxa"/>
          <w:bottom w:w="28" w:type="dxa"/>
          <w:right w:w="28" w:type="dxa"/>
        </w:tblCellMar>
      </w:tblPr>
      <w:tblGrid>
        <w:gridCol w:w="1554"/>
        <w:gridCol w:w="1364"/>
        <w:gridCol w:w="1372"/>
        <w:gridCol w:w="328"/>
        <w:gridCol w:w="795"/>
        <w:gridCol w:w="421"/>
        <w:gridCol w:w="109"/>
        <w:gridCol w:w="109"/>
        <w:gridCol w:w="109"/>
        <w:gridCol w:w="314"/>
        <w:gridCol w:w="761"/>
        <w:gridCol w:w="470"/>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months)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were as follows as of September 30, 2026 for operating and finance leases:</w:t>
      </w:r>
    </w:p>
    <w:tbl>
      <w:tblPr>
        <w:tblW w:w="4084" w:type="dxa"/>
        <w:jc w:val="left"/>
        <w:tblInd w:w="0" w:type="dxa"/>
        <w:tblLayout w:type="fixed"/>
        <w:tblCellMar>
          <w:top w:w="28" w:type="dxa"/>
          <w:left w:w="28" w:type="dxa"/>
          <w:bottom w:w="28" w:type="dxa"/>
          <w:right w:w="28" w:type="dxa"/>
        </w:tblCellMar>
      </w:tblPr>
      <w:tblGrid>
        <w:gridCol w:w="928"/>
        <w:gridCol w:w="814"/>
        <w:gridCol w:w="823"/>
        <w:gridCol w:w="109"/>
        <w:gridCol w:w="303"/>
        <w:gridCol w:w="886"/>
        <w:gridCol w:w="221"/>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25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
        <w:jc w:val="left"/>
        <w:rPr>
          <w:color w:val="000000"/>
        </w:rPr>
      </w:pPr>
      <w:r>
        <w:rPr>
          <w:color w:val="000000"/>
        </w:rPr>
        <w:t>    </w:t>
      </w:r>
    </w:p>
    <w:tbl>
      <w:tblPr>
        <w:tblW w:w="3904" w:type="dxa"/>
        <w:jc w:val="center"/>
        <w:tblInd w:w="0" w:type="dxa"/>
        <w:tblLayout w:type="fixed"/>
        <w:tblCellMar>
          <w:top w:w="28" w:type="dxa"/>
          <w:left w:w="28" w:type="dxa"/>
          <w:bottom w:w="28" w:type="dxa"/>
          <w:right w:w="28" w:type="dxa"/>
        </w:tblCellMar>
      </w:tblPr>
      <w:tblGrid>
        <w:gridCol w:w="928"/>
        <w:gridCol w:w="814"/>
        <w:gridCol w:w="823"/>
        <w:gridCol w:w="109"/>
        <w:gridCol w:w="296"/>
        <w:gridCol w:w="718"/>
        <w:gridCol w:w="216"/>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25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Guarantees</w:t>
      </w:r>
    </w:p>
    <w:p>
      <w:pPr>
        <w:pStyle w:val="TextBody"/>
        <w:bidi w:val="0"/>
        <w:spacing w:lineRule="auto" w:line="288" w:before="120" w:after="120"/>
        <w:jc w:val="left"/>
        <w:rPr/>
      </w:pPr>
      <w:r>
        <w:rPr>
          <w:rFonts w:ascii="Times New Roman;serif" w:hAnsi="Times New Roman;serif"/>
          <w:b w:val="false"/>
          <w:i/>
          <w:color w:val="000000"/>
          <w:sz w:val="20"/>
        </w:rPr>
        <w:t xml:space="preserve">Mutual Offset Agreement. </w:t>
      </w:r>
      <w:r>
        <w:rPr>
          <w:rFonts w:ascii="Times New Roman;serif" w:hAnsi="Times New Roman;serif"/>
          <w:b w:val="false"/>
          <w:color w:val="000000"/>
          <w:sz w:val="20"/>
        </w:rPr>
        <w:t xml:space="preserve">CME and Singapore Exchange Limited (SGX) maintain a mutual offset agreement with a current term through April 2027. This agreement enables market participants to open a futures position on one exchange and liquidate it on the other. The term of the agreement will automatically renew for a two-year period after April 2027 unless either party provides advance notice of their intent to terminate. CME can maintain collateral in the form of irrevocable, standby letters of credit. At September 30, 2026, CME was contingently liable to SGX on letters of credit totaling </w:t>
      </w:r>
      <w:r>
        <w:rPr>
          <w:rFonts w:ascii="Times New Roman;serif" w:hAnsi="Times New Roman;serif"/>
          <w:b w:val="false"/>
          <w:color w:val="000000"/>
          <w:sz w:val="20"/>
          <w:shd w:fill="FFFFFF" w:val="clear"/>
        </w:rPr>
        <w:t>$450.0 million</w:t>
      </w:r>
      <w:r>
        <w:rPr>
          <w:rFonts w:ascii="Times New Roman;serif" w:hAnsi="Times New Roman;serif"/>
          <w:b w:val="false"/>
          <w:color w:val="000000"/>
          <w:sz w:val="20"/>
        </w:rPr>
        <w:t xml:space="preserve">. CME also maintains a </w:t>
      </w:r>
      <w:r>
        <w:rPr>
          <w:rFonts w:ascii="Times New Roman;serif" w:hAnsi="Times New Roman;serif"/>
          <w:b w:val="false"/>
          <w:color w:val="000000"/>
          <w:sz w:val="20"/>
          <w:shd w:fill="FFFFFF" w:val="clear"/>
        </w:rPr>
        <w:t>$350.0 million</w:t>
      </w:r>
      <w:r>
        <w:rPr>
          <w:color w:val="000000"/>
        </w:rPr>
        <w:t xml:space="preserve"> </w:t>
      </w:r>
      <w:r>
        <w:rPr>
          <w:rFonts w:ascii="Times New Roman;serif" w:hAnsi="Times New Roman;serif"/>
          <w:b w:val="false"/>
          <w:color w:val="000000"/>
          <w:sz w:val="20"/>
        </w:rPr>
        <w:t>line of cr</w:t>
      </w:r>
      <w:r>
        <w:rPr>
          <w:rFonts w:ascii="Times New Roman;serif" w:hAnsi="Times New Roman;serif"/>
          <w:b w:val="false"/>
          <w:color w:val="000000"/>
          <w:sz w:val="20"/>
          <w:shd w:fill="FFFFFF" w:val="clear"/>
        </w:rPr>
        <w:t>edit to meet any variation margin obligations, as well as an additional $250.0 million line of credit to meet any initial margin obligations under this agreemen</w:t>
      </w:r>
      <w:r>
        <w:rPr>
          <w:rFonts w:ascii="Times New Roman;serif" w:hAnsi="Times New Roman;serif"/>
          <w:b w:val="false"/>
          <w:color w:val="000000"/>
          <w:sz w:val="20"/>
        </w:rPr>
        <w:t>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firm and the estimated probability of potential payouts by the clearing house. Based on the assessment performed, management estimates the guarantee liability to be nominal and therefore has not recorded any liability at September 30, 2026 and December 31, 2025.</w:t>
      </w:r>
    </w:p>
    <w:p>
      <w:pPr>
        <w:pStyle w:val="TextBody"/>
        <w:bidi w:val="0"/>
        <w:spacing w:lineRule="auto" w:line="288" w:before="120" w:after="120"/>
        <w:jc w:val="left"/>
        <w:rPr/>
      </w:pPr>
      <w:r>
        <w:rPr>
          <w:rFonts w:ascii="Times New Roman;serif" w:hAnsi="Times New Roman;serif"/>
          <w:b w:val="false"/>
          <w:i/>
          <w:color w:val="000000"/>
          <w:sz w:val="20"/>
        </w:rPr>
        <w:t xml:space="preserve">Family Farmer and Rancher Protection Fund. </w:t>
      </w:r>
      <w:r>
        <w:rPr>
          <w:rFonts w:ascii="Times New Roman;serif" w:hAnsi="Times New Roman;serif"/>
          <w:b w:val="false"/>
          <w:color w:val="000000"/>
          <w:sz w:val="20"/>
        </w:rPr>
        <w:t>In 2012, the company established the Family Farmer and Rancher Protection Fund (the Fund). The Fund is designed to provide payments, up to certain maximum levels, to family farmers, ranchers and other agricultural industry participants who use the company’s agricultural commodity products and who suffer losses to their segregated account balances due to their CME clearing firm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firms and customers must register with the company in advance and provide certain documentation in order to substantiate their eligibility. The company believes that its guarantee liability is nominal and therefore has not recorded any liability at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10. Accumulated Other Comprehensive Income (Loss)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changes in the accumulated balances for each component of other comprehensive income (loss), including current period other comprehensive income (loss) and reclassifications out of accumulated other comprehensive income (loss):</w:t>
      </w:r>
    </w:p>
    <w:tbl>
      <w:tblPr>
        <w:tblW w:w="10205" w:type="dxa"/>
        <w:jc w:val="left"/>
        <w:tblInd w:w="0" w:type="dxa"/>
        <w:tblLayout w:type="fixed"/>
        <w:tblCellMar>
          <w:top w:w="28" w:type="dxa"/>
          <w:left w:w="28" w:type="dxa"/>
          <w:bottom w:w="28" w:type="dxa"/>
          <w:right w:w="28" w:type="dxa"/>
        </w:tblCellMar>
      </w:tblPr>
      <w:tblGrid>
        <w:gridCol w:w="1430"/>
        <w:gridCol w:w="954"/>
        <w:gridCol w:w="927"/>
        <w:gridCol w:w="319"/>
        <w:gridCol w:w="638"/>
        <w:gridCol w:w="167"/>
        <w:gridCol w:w="109"/>
        <w:gridCol w:w="109"/>
        <w:gridCol w:w="109"/>
        <w:gridCol w:w="279"/>
        <w:gridCol w:w="595"/>
        <w:gridCol w:w="144"/>
        <w:gridCol w:w="109"/>
        <w:gridCol w:w="109"/>
        <w:gridCol w:w="109"/>
        <w:gridCol w:w="306"/>
        <w:gridCol w:w="741"/>
        <w:gridCol w:w="159"/>
        <w:gridCol w:w="109"/>
        <w:gridCol w:w="109"/>
        <w:gridCol w:w="109"/>
        <w:gridCol w:w="344"/>
        <w:gridCol w:w="834"/>
        <w:gridCol w:w="179"/>
        <w:gridCol w:w="109"/>
        <w:gridCol w:w="109"/>
        <w:gridCol w:w="109"/>
        <w:gridCol w:w="211"/>
        <w:gridCol w:w="511"/>
        <w:gridCol w:w="159"/>
      </w:tblGrid>
      <w:tr>
        <w:trPr/>
        <w:tc>
          <w:tcPr>
            <w:tcW w:w="143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income tax benefit (expense)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current period other comprehensive income (loss) </w:t>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89"/>
        <w:gridCol w:w="908"/>
        <w:gridCol w:w="880"/>
        <w:gridCol w:w="315"/>
        <w:gridCol w:w="629"/>
        <w:gridCol w:w="164"/>
        <w:gridCol w:w="109"/>
        <w:gridCol w:w="109"/>
        <w:gridCol w:w="109"/>
        <w:gridCol w:w="260"/>
        <w:gridCol w:w="679"/>
        <w:gridCol w:w="134"/>
        <w:gridCol w:w="109"/>
        <w:gridCol w:w="109"/>
        <w:gridCol w:w="109"/>
        <w:gridCol w:w="302"/>
        <w:gridCol w:w="730"/>
        <w:gridCol w:w="157"/>
        <w:gridCol w:w="109"/>
        <w:gridCol w:w="109"/>
        <w:gridCol w:w="109"/>
        <w:gridCol w:w="287"/>
        <w:gridCol w:w="897"/>
        <w:gridCol w:w="148"/>
        <w:gridCol w:w="109"/>
        <w:gridCol w:w="109"/>
        <w:gridCol w:w="109"/>
        <w:gridCol w:w="211"/>
        <w:gridCol w:w="648"/>
        <w:gridCol w:w="159"/>
      </w:tblGrid>
      <w:tr>
        <w:trPr/>
        <w:tc>
          <w:tcPr>
            <w:tcW w:w="138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income tax benefit (expense)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current period other comprehensive income (loss) </w:t>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a three-level classification hierarchy of fair value measurements for disclosure purposes: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Level 1 inputs, which are considered the most reliable evidence of fair value, consist of quoted prices (unadjusted) for identical assets or liabilities in active markets.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Level 2 inputs consist of observable market data, such as quoted prices for similar assets and liabilities in active markets, or inputs other than quoted prices that are directly observable.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3 inputs consist of unobservable inputs which are derived and cannot be corroborated by market data or other entity-specific inputs.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level 2 assets and liabilities generally consist of long-term debt notes. The fair values of the long-term debt notes were based on quoted market prices in an inactive market.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level 3 assets and liabilities include certain investments that were adjusted to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val="false"/>
          <w:i/>
          <w:color w:val="000000"/>
          <w:sz w:val="20"/>
        </w:rPr>
        <w:t xml:space="preserve">Recurring Fair Value Measurements. </w:t>
      </w:r>
      <w:r>
        <w:rPr>
          <w:rFonts w:ascii="Times New Roman;serif" w:hAnsi="Times New Roman;serif"/>
          <w:b w:val="false"/>
          <w:color w:val="000000"/>
          <w:sz w:val="20"/>
        </w:rPr>
        <w:t>Financial assets and liabilities recorded at fair value on the consolidated balance sheet as of September 30, 2026 were classified in their entirety based on the lowest level of input that was significant to each asset and liability’s fair value measurement. The following table presents financial instruments measured at fair value on a recurring basis:</w:t>
      </w:r>
    </w:p>
    <w:tbl>
      <w:tblPr>
        <w:tblW w:w="7047" w:type="dxa"/>
        <w:jc w:val="left"/>
        <w:tblInd w:w="0" w:type="dxa"/>
        <w:tblLayout w:type="fixed"/>
        <w:tblCellMar>
          <w:top w:w="28" w:type="dxa"/>
          <w:left w:w="28" w:type="dxa"/>
          <w:bottom w:w="28" w:type="dxa"/>
          <w:right w:w="28" w:type="dxa"/>
        </w:tblCellMar>
      </w:tblPr>
      <w:tblGrid>
        <w:gridCol w:w="859"/>
        <w:gridCol w:w="754"/>
        <w:gridCol w:w="757"/>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at 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pPr>
      <w:r>
        <w:rPr>
          <w:rFonts w:ascii="Times New Roman;serif" w:hAnsi="Times New Roman;serif"/>
          <w:b w:val="false"/>
          <w:i/>
          <w:color w:val="000000"/>
          <w:sz w:val="20"/>
          <w:shd w:fill="FFFFFF" w:val="clear"/>
        </w:rPr>
        <w:t xml:space="preserve">Non-Recurring Fair Value Measurements. </w:t>
      </w:r>
      <w:r>
        <w:rPr>
          <w:rFonts w:ascii="Times New Roman;serif" w:hAnsi="Times New Roman;serif"/>
          <w:b w:val="false"/>
          <w:color w:val="000000"/>
          <w:sz w:val="20"/>
          <w:shd w:fill="FFFFFF" w:val="clear"/>
        </w:rPr>
        <w:t>The company recognized impairment charges o</w:t>
      </w:r>
      <w:r>
        <w:rPr>
          <w:rFonts w:ascii="Times New Roman;serif" w:hAnsi="Times New Roman;serif"/>
          <w:b w:val="false"/>
          <w:color w:val="000000"/>
          <w:sz w:val="20"/>
        </w:rPr>
        <w:t>f $28.9 million related to two of its privately-held equity investments during the first nine months of 2026. The fair value of one of the investments was estimated to be zero at the impairment date and the fair value of the other investment was estimated to be $1.6 million at the impairment date. The company also recognized unrealized gains on investments of $7.6 million on equity investments without readily determinable fair values during the first nine months of 2026. The fair values of these investments were estimated to be $27.7 million at September 30, 2026. Thi</w:t>
      </w:r>
      <w:r>
        <w:rPr>
          <w:rFonts w:ascii="Times New Roman;serif" w:hAnsi="Times New Roman;serif"/>
          <w:b w:val="false"/>
          <w:color w:val="000000"/>
          <w:sz w:val="20"/>
          <w:shd w:fill="FFFFFF" w:val="clear"/>
        </w:rPr>
        <w:t xml:space="preserve">s fair value assessment was based on quantitative factors, including observable price changes. The fair value measurement of these investments are considered level 3 and non-recurring. These investments are included in other assets on the consolidated balance sheet. </w:t>
      </w:r>
    </w:p>
    <w:p>
      <w:pPr>
        <w:pStyle w:val="TextBody"/>
        <w:bidi w:val="0"/>
        <w:spacing w:lineRule="auto" w:line="288" w:before="180" w:after="283"/>
        <w:jc w:val="left"/>
        <w:rPr/>
      </w:pPr>
      <w:r>
        <w:rPr>
          <w:rFonts w:ascii="Times New Roman;serif" w:hAnsi="Times New Roman;serif"/>
          <w:b w:val="false"/>
          <w:i/>
          <w:color w:val="000000"/>
          <w:sz w:val="20"/>
          <w:shd w:fill="FFFFFF" w:val="clear"/>
        </w:rPr>
        <w:t xml:space="preserve">Fair Values of Debt Notes. </w:t>
      </w:r>
      <w:r>
        <w:rPr>
          <w:rFonts w:ascii="Times New Roman;serif" w:hAnsi="Times New Roman;serif"/>
          <w:b w:val="false"/>
          <w:color w:val="000000"/>
          <w:sz w:val="20"/>
          <w:shd w:fill="FFFFFF" w:val="clear"/>
        </w:rPr>
        <w:t>The follo</w:t>
      </w:r>
      <w:r>
        <w:rPr>
          <w:rFonts w:ascii="Times New Roman;serif" w:hAnsi="Times New Roman;serif"/>
          <w:b w:val="false"/>
          <w:color w:val="000000"/>
          <w:sz w:val="20"/>
        </w:rPr>
        <w:t xml:space="preserve">wing presents the estimated fair values of long-term debt notes, which are carried at amortized cost on the consolidated balance sheets. The fair values below are classified as level 2 under the fair value hierarchy and were estimated using quoted market prices in inactive markets. </w:t>
      </w:r>
    </w:p>
    <w:p>
      <w:pPr>
        <w:pStyle w:val="TextBody"/>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2026, the fair values were as follows:</w:t>
      </w:r>
    </w:p>
    <w:tbl>
      <w:tblPr>
        <w:tblW w:w="6361" w:type="dxa"/>
        <w:jc w:val="left"/>
        <w:tblInd w:w="0" w:type="dxa"/>
        <w:tblLayout w:type="fixed"/>
        <w:tblCellMar>
          <w:top w:w="28" w:type="dxa"/>
          <w:left w:w="28" w:type="dxa"/>
          <w:bottom w:w="28" w:type="dxa"/>
          <w:right w:w="28" w:type="dxa"/>
        </w:tblCellMar>
      </w:tblPr>
      <w:tblGrid>
        <w:gridCol w:w="1570"/>
        <w:gridCol w:w="1380"/>
        <w:gridCol w:w="1384"/>
        <w:gridCol w:w="211"/>
        <w:gridCol w:w="616"/>
        <w:gridCol w:w="109"/>
        <w:gridCol w:w="109"/>
        <w:gridCol w:w="109"/>
        <w:gridCol w:w="109"/>
        <w:gridCol w:w="222"/>
        <w:gridCol w:w="222"/>
        <w:gridCol w:w="320"/>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$500.0 million fixed rate notes due June 2028</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million fixed rate notes due March 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million fixed rate notes due March 2032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million fixed rate notes due September 2043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$700.0 million fixed rate notes due June 2048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calculates basic earnings per share for the quarter ended September 30, 2026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restricted stock awards were converted into common stock.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the two-class method for calculating basic EPS and the if-converted method for diluted EPS for the nine months ended September 30, 2026. This reflects the Series G preferred stock’s status as participating securities until their 1:1 conversion into 4.6 million Class A common shares on March 5, 2026. The Series G preferred stock designation was eliminated as of September 24, 2026. Under the two-class method, undistributed or overdistributed earnings are allocated to common stock and participating securities according to their respective rights in undistributed or overdistributed earnings, as if all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the shares of the Series G preferred stock have a contractual obligation to share in profits and losses of the company. Diluted earnings per share is computed using the if-converted method for the Series G preferred stock which assumes the conversion of all preferred shares into common shares at the beginning of the period. Accordingly, net income attributable to common shareholders is adjusted to add back the dividends and undistributed or overdistributed earnings previously allocated to the preferred stock, and the weighted average number of common shares outstanding is increased by the number of shares that would have been issued upon conversion of the preferred stock as of the beginning of the period plus potentially dilutive common shares. Anti-dilutive stock awards were as follows for the periods presented:</w:t>
      </w:r>
    </w:p>
    <w:tbl>
      <w:tblPr>
        <w:tblW w:w="4752" w:type="dxa"/>
        <w:jc w:val="center"/>
        <w:tblInd w:w="0" w:type="dxa"/>
        <w:tblLayout w:type="fixed"/>
        <w:tblCellMar>
          <w:top w:w="28" w:type="dxa"/>
          <w:left w:w="28" w:type="dxa"/>
          <w:bottom w:w="28" w:type="dxa"/>
          <w:right w:w="28" w:type="dxa"/>
        </w:tblCellMar>
      </w:tblPr>
      <w:tblGrid>
        <w:gridCol w:w="429"/>
        <w:gridCol w:w="377"/>
        <w:gridCol w:w="378"/>
        <w:gridCol w:w="233"/>
        <w:gridCol w:w="233"/>
        <w:gridCol w:w="156"/>
        <w:gridCol w:w="138"/>
        <w:gridCol w:w="138"/>
        <w:gridCol w:w="138"/>
        <w:gridCol w:w="203"/>
        <w:gridCol w:w="203"/>
        <w:gridCol w:w="156"/>
        <w:gridCol w:w="109"/>
        <w:gridCol w:w="109"/>
        <w:gridCol w:w="109"/>
        <w:gridCol w:w="180"/>
        <w:gridCol w:w="181"/>
        <w:gridCol w:w="170"/>
        <w:gridCol w:w="170"/>
        <w:gridCol w:w="170"/>
        <w:gridCol w:w="170"/>
        <w:gridCol w:w="180"/>
        <w:gridCol w:w="181"/>
        <w:gridCol w:w="241"/>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earnings per share calculation for the periods presented:</w:t>
      </w:r>
    </w:p>
    <w:tbl>
      <w:tblPr>
        <w:tblW w:w="10205" w:type="dxa"/>
        <w:jc w:val="left"/>
        <w:tblInd w:w="0" w:type="dxa"/>
        <w:tblLayout w:type="fixed"/>
        <w:tblCellMar>
          <w:top w:w="28" w:type="dxa"/>
          <w:left w:w="28" w:type="dxa"/>
          <w:bottom w:w="28" w:type="dxa"/>
          <w:right w:w="28" w:type="dxa"/>
        </w:tblCellMar>
      </w:tblPr>
      <w:tblGrid>
        <w:gridCol w:w="1783"/>
        <w:gridCol w:w="1430"/>
        <w:gridCol w:w="1443"/>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78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w:t>
            </w:r>
            <w:r>
              <w:rPr>
                <w:rFonts w:ascii="Times New Roman;serif" w:hAnsi="Times New Roman;serif"/>
                <w:b w:val="false"/>
                <w:i/>
                <w:color w:val="000000"/>
                <w:sz w:val="20"/>
              </w:rPr>
              <w:t>(in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overdistributed earnings allocated to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undistributed earnings allocated to preferred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 of CME Group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overdistributed earnings allocated to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Shareholders of CME Group - Diluted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Number of Common Shares </w:t>
            </w:r>
            <w:r>
              <w:rPr>
                <w:rFonts w:ascii="Times New Roman;serif" w:hAnsi="Times New Roman;serif"/>
                <w:b w:val="false"/>
                <w:i/>
                <w:color w:val="000000"/>
                <w:sz w:val="20"/>
              </w:rPr>
              <w:t>(in thousands)</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restricted stock and performance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convertible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Attributable to Common Shareholders of CME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0"/>
        <w:jc w:val="left"/>
        <w:rPr/>
      </w:pPr>
      <w:r>
        <w:rPr/>
      </w:r>
    </w:p>
    <w:p>
      <w:pPr>
        <w:pStyle w:val="TextBody"/>
        <w:bidi w:val="0"/>
        <w:spacing w:before="12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business is conducted through one reportable business segment, CME Group consolidated. The company has one operating segment as this is the level at which resource allocation and operating decisions regarding company performance are evaluated and determined by the senior leadership team.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chief operating decision maker (CODM) reviews the financial results of CME Group consolidated on an ongoing basis throughout the year. As a single segment, the segment profitability measure is consolidated net income. Consolidated net income informs key operating decisions as made by the CODM, which include bonus allocation, discretionary share-based awards, liquidity and cash needs, new product development, existing product expansion and product discontinuation. Consolidated net income is deemed the best indicator of segment performance. Segment assets are not reported to, or used by, the CODM to allocate resources or to assess performance.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CODM evaluates current period consolidated net income performance as compared to prior periods, budgeted results and forecasts. The CODM reviews consolidated revenues as disaggregated by the following: clearing and transaction fees as a combination of rate per contract and average daily volume for each major asset class, market data fee revenue and other revenue. The significant expense categories are consistent with those presented on the face of the consolidated statements of income. The components of non-operating income are also reviewed by the CODM. It is noted that the level of financial information provided to the CODM is consistent with the financial statement line items as disclosed in our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date the financial statements were issued. The company has determined that there were no subsequent events that met the requirement for recognition or disclosure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2"/>
        <w:gridCol w:w="265"/>
        <w:gridCol w:w="267"/>
        <w:gridCol w:w="2740"/>
        <w:gridCol w:w="2740"/>
        <w:gridCol w:w="3891"/>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is provided as a supplement to, and should be read in conjunction with, the accompanying unaudited consolidated financial statements and notes in this Quarterly Report on Form 10-Q and our Annual Report on Form 10-K for the year ended December 31, 2025, filed with the SEC on February 26, 2026.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summarizes significant changes in our financial performance for the periods presented.</w:t>
      </w:r>
    </w:p>
    <w:tbl>
      <w:tblPr>
        <w:tblW w:w="10205" w:type="dxa"/>
        <w:jc w:val="left"/>
        <w:tblInd w:w="0" w:type="dxa"/>
        <w:tblLayout w:type="fixed"/>
        <w:tblCellMar>
          <w:top w:w="28" w:type="dxa"/>
          <w:left w:w="28" w:type="dxa"/>
          <w:bottom w:w="28" w:type="dxa"/>
          <w:right w:w="28" w:type="dxa"/>
        </w:tblCellMar>
      </w:tblPr>
      <w:tblGrid>
        <w:gridCol w:w="912"/>
        <w:gridCol w:w="413"/>
        <w:gridCol w:w="417"/>
        <w:gridCol w:w="109"/>
        <w:gridCol w:w="109"/>
        <w:gridCol w:w="109"/>
        <w:gridCol w:w="211"/>
        <w:gridCol w:w="766"/>
        <w:gridCol w:w="271"/>
        <w:gridCol w:w="109"/>
        <w:gridCol w:w="109"/>
        <w:gridCol w:w="109"/>
        <w:gridCol w:w="211"/>
        <w:gridCol w:w="766"/>
        <w:gridCol w:w="271"/>
        <w:gridCol w:w="109"/>
        <w:gridCol w:w="109"/>
        <w:gridCol w:w="109"/>
        <w:gridCol w:w="180"/>
        <w:gridCol w:w="181"/>
        <w:gridCol w:w="367"/>
        <w:gridCol w:w="109"/>
        <w:gridCol w:w="109"/>
        <w:gridCol w:w="109"/>
        <w:gridCol w:w="211"/>
        <w:gridCol w:w="766"/>
        <w:gridCol w:w="271"/>
        <w:gridCol w:w="109"/>
        <w:gridCol w:w="109"/>
        <w:gridCol w:w="109"/>
        <w:gridCol w:w="211"/>
        <w:gridCol w:w="766"/>
        <w:gridCol w:w="271"/>
        <w:gridCol w:w="109"/>
        <w:gridCol w:w="109"/>
        <w:gridCol w:w="109"/>
        <w:gridCol w:w="180"/>
        <w:gridCol w:w="181"/>
        <w:gridCol w:w="420"/>
      </w:tblGrid>
      <w:tr>
        <w:trPr/>
        <w:tc>
          <w:tcPr>
            <w:tcW w:w="9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Revenues</w:t>
      </w:r>
    </w:p>
    <w:tbl>
      <w:tblPr>
        <w:tblW w:w="10205" w:type="dxa"/>
        <w:jc w:val="left"/>
        <w:tblInd w:w="0" w:type="dxa"/>
        <w:tblLayout w:type="fixed"/>
        <w:tblCellMar>
          <w:top w:w="28" w:type="dxa"/>
          <w:left w:w="28" w:type="dxa"/>
          <w:bottom w:w="28" w:type="dxa"/>
          <w:right w:w="28" w:type="dxa"/>
        </w:tblCellMar>
      </w:tblPr>
      <w:tblGrid>
        <w:gridCol w:w="944"/>
        <w:gridCol w:w="730"/>
        <w:gridCol w:w="717"/>
        <w:gridCol w:w="109"/>
        <w:gridCol w:w="109"/>
        <w:gridCol w:w="109"/>
        <w:gridCol w:w="211"/>
        <w:gridCol w:w="766"/>
        <w:gridCol w:w="109"/>
        <w:gridCol w:w="109"/>
        <w:gridCol w:w="109"/>
        <w:gridCol w:w="109"/>
        <w:gridCol w:w="211"/>
        <w:gridCol w:w="766"/>
        <w:gridCol w:w="109"/>
        <w:gridCol w:w="109"/>
        <w:gridCol w:w="109"/>
        <w:gridCol w:w="109"/>
        <w:gridCol w:w="180"/>
        <w:gridCol w:w="181"/>
        <w:gridCol w:w="367"/>
        <w:gridCol w:w="109"/>
        <w:gridCol w:w="109"/>
        <w:gridCol w:w="109"/>
        <w:gridCol w:w="211"/>
        <w:gridCol w:w="766"/>
        <w:gridCol w:w="109"/>
        <w:gridCol w:w="109"/>
        <w:gridCol w:w="109"/>
        <w:gridCol w:w="109"/>
        <w:gridCol w:w="211"/>
        <w:gridCol w:w="766"/>
        <w:gridCol w:w="109"/>
        <w:gridCol w:w="109"/>
        <w:gridCol w:w="109"/>
        <w:gridCol w:w="109"/>
        <w:gridCol w:w="180"/>
        <w:gridCol w:w="181"/>
        <w:gridCol w:w="419"/>
      </w:tblGrid>
      <w:tr>
        <w:trPr/>
        <w:tc>
          <w:tcPr>
            <w:tcW w:w="9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Clearing and transaction fees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 and information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erif" w:hAnsi="Times New Roman;serif"/>
          <w:b/>
          <w:color w:val="000000"/>
          <w:sz w:val="20"/>
        </w:rPr>
      </w:pPr>
      <w:r>
        <w:rPr>
          <w:rFonts w:ascii="Times New Roman;serif" w:hAnsi="Times New Roman;serif"/>
          <w:b/>
          <w:color w:val="000000"/>
          <w:sz w:val="20"/>
        </w:rPr>
        <w:t>Clearing and Transaction Fees</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Futures and Options Contracts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event contracts, the cash markets business as well as interest rate swaps. </w:t>
      </w:r>
    </w:p>
    <w:tbl>
      <w:tblPr>
        <w:tblW w:w="10205" w:type="dxa"/>
        <w:jc w:val="left"/>
        <w:tblInd w:w="0" w:type="dxa"/>
        <w:tblLayout w:type="fixed"/>
        <w:tblCellMar>
          <w:top w:w="28" w:type="dxa"/>
          <w:left w:w="28" w:type="dxa"/>
          <w:bottom w:w="28" w:type="dxa"/>
          <w:right w:w="28" w:type="dxa"/>
        </w:tblCellMar>
      </w:tblPr>
      <w:tblGrid>
        <w:gridCol w:w="935"/>
        <w:gridCol w:w="725"/>
        <w:gridCol w:w="731"/>
        <w:gridCol w:w="109"/>
        <w:gridCol w:w="109"/>
        <w:gridCol w:w="109"/>
        <w:gridCol w:w="211"/>
        <w:gridCol w:w="766"/>
        <w:gridCol w:w="109"/>
        <w:gridCol w:w="109"/>
        <w:gridCol w:w="109"/>
        <w:gridCol w:w="109"/>
        <w:gridCol w:w="211"/>
        <w:gridCol w:w="766"/>
        <w:gridCol w:w="109"/>
        <w:gridCol w:w="109"/>
        <w:gridCol w:w="109"/>
        <w:gridCol w:w="109"/>
        <w:gridCol w:w="180"/>
        <w:gridCol w:w="181"/>
        <w:gridCol w:w="367"/>
        <w:gridCol w:w="109"/>
        <w:gridCol w:w="109"/>
        <w:gridCol w:w="109"/>
        <w:gridCol w:w="211"/>
        <w:gridCol w:w="766"/>
        <w:gridCol w:w="109"/>
        <w:gridCol w:w="109"/>
        <w:gridCol w:w="109"/>
        <w:gridCol w:w="109"/>
        <w:gridCol w:w="211"/>
        <w:gridCol w:w="766"/>
        <w:gridCol w:w="109"/>
        <w:gridCol w:w="109"/>
        <w:gridCol w:w="109"/>
        <w:gridCol w:w="109"/>
        <w:gridCol w:w="180"/>
        <w:gridCol w:w="181"/>
        <w:gridCol w:w="419"/>
      </w:tblGrid>
      <w:tr>
        <w:trPr/>
        <w:tc>
          <w:tcPr>
            <w:tcW w:w="93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contract volume </w:t>
            </w:r>
            <w:r>
              <w:rPr>
                <w:rFonts w:ascii="Times New Roman;serif" w:hAnsi="Times New Roman;serif"/>
                <w:b w:val="false"/>
                <w:i/>
                <w:color w:val="000000"/>
                <w:sz w:val="20"/>
              </w:rPr>
              <w:t>(in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Clearing and transaction fees </w:t>
            </w: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rate per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20" w:after="120"/>
        <w:jc w:val="left"/>
        <w:rPr/>
      </w:pPr>
      <w:r>
        <w:rPr>
          <w:rFonts w:ascii="Times New Roman;serif" w:hAnsi="Times New Roman;serif"/>
          <w:b w:val="false"/>
          <w:color w:val="000000"/>
          <w:sz w:val="20"/>
        </w:rPr>
        <w:t>We estimate the following net changes in clearing and transaction fees based on the changes in total contract volumes and the changes in average rate per contract for futures and options during the third quarter and first nine months of 2026 when compared with the same periods in 2025.</w:t>
      </w:r>
      <w:r>
        <w:rPr>
          <w:color w:val="000000"/>
        </w:rPr>
        <w:t> </w:t>
      </w:r>
    </w:p>
    <w:tbl>
      <w:tblPr>
        <w:tblW w:w="7748" w:type="dxa"/>
        <w:jc w:val="left"/>
        <w:tblInd w:w="0" w:type="dxa"/>
        <w:tblLayout w:type="fixed"/>
        <w:tblCellMar>
          <w:top w:w="28" w:type="dxa"/>
          <w:left w:w="28" w:type="dxa"/>
          <w:bottom w:w="28" w:type="dxa"/>
          <w:right w:w="28" w:type="dxa"/>
        </w:tblCellMar>
      </w:tblPr>
      <w:tblGrid>
        <w:gridCol w:w="1571"/>
        <w:gridCol w:w="1380"/>
        <w:gridCol w:w="1384"/>
        <w:gridCol w:w="109"/>
        <w:gridCol w:w="109"/>
        <w:gridCol w:w="109"/>
        <w:gridCol w:w="270"/>
        <w:gridCol w:w="790"/>
        <w:gridCol w:w="139"/>
        <w:gridCol w:w="109"/>
        <w:gridCol w:w="109"/>
        <w:gridCol w:w="109"/>
        <w:gridCol w:w="335"/>
        <w:gridCol w:w="980"/>
        <w:gridCol w:w="245"/>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3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change in total contract volume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due to change in average rate per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clearing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pStyle w:val="TextBody"/>
        <w:bidi w:val="0"/>
        <w:spacing w:lineRule="auto" w:line="288" w:before="100" w:after="1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Contract Volume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average daily contract volume. Contract volume can be influenced by many factors, including political and economic conditions, the regulatory environment and market competition. </w:t>
      </w:r>
    </w:p>
    <w:tbl>
      <w:tblPr>
        <w:tblW w:w="10205" w:type="dxa"/>
        <w:jc w:val="left"/>
        <w:tblInd w:w="0" w:type="dxa"/>
        <w:tblLayout w:type="fixed"/>
        <w:tblCellMar>
          <w:top w:w="28" w:type="dxa"/>
          <w:left w:w="28" w:type="dxa"/>
          <w:bottom w:w="28" w:type="dxa"/>
          <w:right w:w="28" w:type="dxa"/>
        </w:tblCellMar>
      </w:tblPr>
      <w:tblGrid>
        <w:gridCol w:w="1375"/>
        <w:gridCol w:w="1146"/>
        <w:gridCol w:w="1153"/>
        <w:gridCol w:w="109"/>
        <w:gridCol w:w="109"/>
        <w:gridCol w:w="109"/>
        <w:gridCol w:w="180"/>
        <w:gridCol w:w="181"/>
        <w:gridCol w:w="376"/>
        <w:gridCol w:w="109"/>
        <w:gridCol w:w="109"/>
        <w:gridCol w:w="109"/>
        <w:gridCol w:w="180"/>
        <w:gridCol w:w="181"/>
        <w:gridCol w:w="376"/>
        <w:gridCol w:w="109"/>
        <w:gridCol w:w="109"/>
        <w:gridCol w:w="109"/>
        <w:gridCol w:w="210"/>
        <w:gridCol w:w="212"/>
        <w:gridCol w:w="367"/>
        <w:gridCol w:w="109"/>
        <w:gridCol w:w="109"/>
        <w:gridCol w:w="109"/>
        <w:gridCol w:w="180"/>
        <w:gridCol w:w="181"/>
        <w:gridCol w:w="376"/>
        <w:gridCol w:w="125"/>
        <w:gridCol w:w="125"/>
        <w:gridCol w:w="125"/>
        <w:gridCol w:w="180"/>
        <w:gridCol w:w="181"/>
        <w:gridCol w:w="376"/>
        <w:gridCol w:w="109"/>
        <w:gridCol w:w="109"/>
        <w:gridCol w:w="109"/>
        <w:gridCol w:w="180"/>
        <w:gridCol w:w="181"/>
        <w:gridCol w:w="423"/>
      </w:tblGrid>
      <w:tr>
        <w:trPr/>
        <w:tc>
          <w:tcPr>
            <w:tcW w:w="137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Daily Volume by Product Line: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indexes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average daily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Daily Volume by 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CME Globex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outcry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negotiated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average daily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Volume as a Percentage of Total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Overall market volatility remained high in 2026. Interest rate, equity and foreign exchange markets experienced persistent inflationary pressure which we believe resulted in the Federal Reserve raising interest rates for the first time in over three years. In addition, certain equity indices saw increased volatility as a result of skepticism surrounding Artificial Intelligence (AI) spending and its potential ripple effect on the global economy. Also, uncertainty remained high within the energy, agricultural commodities, and metals markets as the geopolitical conflict in the Middle East has continued to cause significant supply disruptions and led market participants to turn to precious metals as a result. We believe these factors contributed to an increase in volumes in the third quarter and first nine months of 2026 when compared with the same periods in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Products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average daily contract volume for our key interest rate products. </w:t>
      </w:r>
    </w:p>
    <w:tbl>
      <w:tblPr>
        <w:tblW w:w="9870"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308"/>
        <w:gridCol w:w="308"/>
        <w:gridCol w:w="156"/>
        <w:gridCol w:w="138"/>
        <w:gridCol w:w="138"/>
        <w:gridCol w:w="138"/>
        <w:gridCol w:w="308"/>
        <w:gridCol w:w="308"/>
        <w:gridCol w:w="156"/>
        <w:gridCol w:w="109"/>
        <w:gridCol w:w="109"/>
        <w:gridCol w:w="109"/>
        <w:gridCol w:w="218"/>
        <w:gridCol w:w="218"/>
        <w:gridCol w:w="367"/>
        <w:gridCol w:w="109"/>
        <w:gridCol w:w="109"/>
        <w:gridCol w:w="109"/>
        <w:gridCol w:w="308"/>
        <w:gridCol w:w="308"/>
        <w:gridCol w:w="173"/>
        <w:gridCol w:w="173"/>
        <w:gridCol w:w="173"/>
        <w:gridCol w:w="173"/>
        <w:gridCol w:w="308"/>
        <w:gridCol w:w="308"/>
        <w:gridCol w:w="173"/>
        <w:gridCol w:w="109"/>
        <w:gridCol w:w="109"/>
        <w:gridCol w:w="109"/>
        <w:gridCol w:w="180"/>
        <w:gridCol w:w="181"/>
        <w:gridCol w:w="418"/>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futures and options: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Futures expiring within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abcf737f5cc14b719c0a378a03bbfbba_4-2-1-"/>
            <w:bookmarkEnd w:id="0"/>
            <w:r>
              <w:rPr>
                <w:rFonts w:ascii="Times New Roman;serif" w:hAnsi="Times New Roman;serif"/>
                <w:b w:val="false"/>
                <w:color w:val="000000"/>
                <w:sz w:val="20"/>
              </w:rPr>
              <w:t>1,277 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Futures expiring beyond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futures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Bond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Ultra 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Ultra T-Bond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Funds futures and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Interest rate contract volumes increased in the third quarter and first nine months of 2026 when compared with the same periods in 2025. This growth was primarily driven by persistent inflationary pressures, which prompted the Federal Reserve to implement its first interest rate hike in over three years. The resulting surge in Treasury yields to multi-year highs generated strong trading activity across our Treasury product suite. We believe these factors contributed to an increase in volumes in the third quarter and first nine months of 2026 when compared with the same periods in 2025. </w:t>
      </w:r>
    </w:p>
    <w:p>
      <w:pPr>
        <w:pStyle w:val="TextBody"/>
        <w:bidi w:val="0"/>
        <w:spacing w:lineRule="auto" w:line="256" w:before="100" w:after="1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Equity Index and Cryptocurrency Products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average daily contract volume for our key equity index and cryptocurrency products. The figures below include Micro E-mini and E-nano contract volumes.</w:t>
      </w:r>
    </w:p>
    <w:tbl>
      <w:tblPr>
        <w:tblW w:w="10205" w:type="dxa"/>
        <w:jc w:val="left"/>
        <w:tblInd w:w="0" w:type="dxa"/>
        <w:tblLayout w:type="fixed"/>
        <w:tblCellMar>
          <w:top w:w="28" w:type="dxa"/>
          <w:left w:w="28" w:type="dxa"/>
          <w:bottom w:w="28" w:type="dxa"/>
          <w:right w:w="28" w:type="dxa"/>
        </w:tblCellMar>
      </w:tblPr>
      <w:tblGrid>
        <w:gridCol w:w="1166"/>
        <w:gridCol w:w="1023"/>
        <w:gridCol w:w="1029"/>
        <w:gridCol w:w="109"/>
        <w:gridCol w:w="109"/>
        <w:gridCol w:w="109"/>
        <w:gridCol w:w="308"/>
        <w:gridCol w:w="308"/>
        <w:gridCol w:w="156"/>
        <w:gridCol w:w="136"/>
        <w:gridCol w:w="136"/>
        <w:gridCol w:w="136"/>
        <w:gridCol w:w="308"/>
        <w:gridCol w:w="308"/>
        <w:gridCol w:w="156"/>
        <w:gridCol w:w="109"/>
        <w:gridCol w:w="109"/>
        <w:gridCol w:w="109"/>
        <w:gridCol w:w="214"/>
        <w:gridCol w:w="217"/>
        <w:gridCol w:w="367"/>
        <w:gridCol w:w="109"/>
        <w:gridCol w:w="109"/>
        <w:gridCol w:w="109"/>
        <w:gridCol w:w="308"/>
        <w:gridCol w:w="308"/>
        <w:gridCol w:w="169"/>
        <w:gridCol w:w="168"/>
        <w:gridCol w:w="168"/>
        <w:gridCol w:w="168"/>
        <w:gridCol w:w="308"/>
        <w:gridCol w:w="308"/>
        <w:gridCol w:w="169"/>
        <w:gridCol w:w="109"/>
        <w:gridCol w:w="109"/>
        <w:gridCol w:w="109"/>
        <w:gridCol w:w="214"/>
        <w:gridCol w:w="217"/>
        <w:gridCol w:w="424"/>
      </w:tblGrid>
      <w:tr>
        <w:trPr/>
        <w:tc>
          <w:tcPr>
            <w:tcW w:w="116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E-mini S&amp;P 500 futures and options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E-mini Nasdaq 100 futures and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E-mini Russell 2000 futures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E-mini Dow futures and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futures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Ether futures and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Equity index contract volumes increased in the third quarter and first nine months of 2026 when compared with the same periods in 2025. We believe these increases were due to market skepticism surrounding AI related spending which resulted in additional volumes within the Nasdaq-100 product suite. In addition, the continued geopolitical conflict in the Middle East has caused significant uncertainty throughout the equity markets as a whole and has led to the broader increase in volumes for our equity product suite. </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cryptocurrency contract volumes decreased in the third quarter of 2026 when compared with the same period in 2025. We believe this decrease was attributed to higher volatility periods in 2025 which generated higher levels of activity compared to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56" w:before="100" w:after="120"/>
        <w:jc w:val="left"/>
        <w:rPr>
          <w:rFonts w:ascii="Times New Roman;serif" w:hAnsi="Times New Roman;serif"/>
          <w:b w:val="false"/>
          <w:i/>
          <w:color w:val="000000"/>
          <w:sz w:val="20"/>
        </w:rPr>
      </w:pPr>
      <w:r>
        <w:rPr>
          <w:rFonts w:ascii="Times New Roman;serif" w:hAnsi="Times New Roman;serif"/>
          <w:b w:val="false"/>
          <w:i/>
          <w:color w:val="000000"/>
          <w:sz w:val="20"/>
        </w:rPr>
        <w:t>Foreign Exchange Products</w:t>
      </w:r>
    </w:p>
    <w:p>
      <w:pPr>
        <w:pStyle w:val="TextBody"/>
        <w:bidi w:val="0"/>
        <w:spacing w:lineRule="auto" w:line="288" w:before="120" w:after="120"/>
        <w:jc w:val="left"/>
        <w:rPr/>
      </w:pPr>
      <w:r>
        <w:rPr>
          <w:rFonts w:ascii="Times New Roman;serif" w:hAnsi="Times New Roman;serif"/>
          <w:b w:val="false"/>
          <w:color w:val="000000"/>
          <w:sz w:val="20"/>
        </w:rPr>
        <w:t>The following table summarizes average daily contract volume for our key foreign exchange products.</w:t>
      </w:r>
      <w:r>
        <w:rPr>
          <w:color w:val="000000"/>
        </w:rPr>
        <w:t> </w:t>
      </w:r>
    </w:p>
    <w:tbl>
      <w:tblPr>
        <w:tblW w:w="8040"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233"/>
        <w:gridCol w:w="233"/>
        <w:gridCol w:w="156"/>
        <w:gridCol w:w="138"/>
        <w:gridCol w:w="138"/>
        <w:gridCol w:w="138"/>
        <w:gridCol w:w="233"/>
        <w:gridCol w:w="233"/>
        <w:gridCol w:w="156"/>
        <w:gridCol w:w="109"/>
        <w:gridCol w:w="109"/>
        <w:gridCol w:w="109"/>
        <w:gridCol w:w="180"/>
        <w:gridCol w:w="181"/>
        <w:gridCol w:w="367"/>
        <w:gridCol w:w="109"/>
        <w:gridCol w:w="109"/>
        <w:gridCol w:w="109"/>
        <w:gridCol w:w="233"/>
        <w:gridCol w:w="233"/>
        <w:gridCol w:w="173"/>
        <w:gridCol w:w="173"/>
        <w:gridCol w:w="173"/>
        <w:gridCol w:w="173"/>
        <w:gridCol w:w="233"/>
        <w:gridCol w:w="233"/>
        <w:gridCol w:w="173"/>
        <w:gridCol w:w="109"/>
        <w:gridCol w:w="109"/>
        <w:gridCol w:w="109"/>
        <w:gridCol w:w="180"/>
        <w:gridCol w:w="181"/>
        <w:gridCol w:w="41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Overall foreign exchange volumes increased in the third quarter and the first nine months of 2026 when compared with the same periods in 2025. We believe these increases were due to monetary policy interventions across major foreign currencies, specifically the Japanese Yen. In addition, despite relatively low foreign exchange volatility, continued adoption of CME foreign exchange products led to overall increases in foreign exchange contract volumes in the third quarter and first nine months of 2026, when compared with the same periods in 2025.</w:t>
      </w:r>
    </w:p>
    <w:p>
      <w:pPr>
        <w:pStyle w:val="TextBody"/>
        <w:bidi w:val="0"/>
        <w:spacing w:lineRule="auto" w:line="288" w:before="100" w:after="1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Energy Products</w:t>
      </w:r>
    </w:p>
    <w:p>
      <w:pPr>
        <w:pStyle w:val="TextBody"/>
        <w:bidi w:val="0"/>
        <w:spacing w:lineRule="auto" w:line="288" w:before="120" w:after="120"/>
        <w:jc w:val="left"/>
        <w:rPr/>
      </w:pPr>
      <w:r>
        <w:rPr>
          <w:rFonts w:ascii="Times New Roman;serif" w:hAnsi="Times New Roman;serif"/>
          <w:b w:val="false"/>
          <w:color w:val="000000"/>
          <w:sz w:val="20"/>
        </w:rPr>
        <w:t>The following table summarizes average daily contract volume for our key energy products.</w:t>
      </w:r>
      <w:r>
        <w:rPr>
          <w:color w:val="000000"/>
        </w:rPr>
        <w:t> </w:t>
      </w:r>
    </w:p>
    <w:tbl>
      <w:tblPr>
        <w:tblW w:w="8640"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308"/>
        <w:gridCol w:w="308"/>
        <w:gridCol w:w="156"/>
        <w:gridCol w:w="138"/>
        <w:gridCol w:w="138"/>
        <w:gridCol w:w="138"/>
        <w:gridCol w:w="308"/>
        <w:gridCol w:w="308"/>
        <w:gridCol w:w="156"/>
        <w:gridCol w:w="109"/>
        <w:gridCol w:w="109"/>
        <w:gridCol w:w="109"/>
        <w:gridCol w:w="180"/>
        <w:gridCol w:w="181"/>
        <w:gridCol w:w="367"/>
        <w:gridCol w:w="109"/>
        <w:gridCol w:w="109"/>
        <w:gridCol w:w="109"/>
        <w:gridCol w:w="308"/>
        <w:gridCol w:w="308"/>
        <w:gridCol w:w="173"/>
        <w:gridCol w:w="173"/>
        <w:gridCol w:w="173"/>
        <w:gridCol w:w="173"/>
        <w:gridCol w:w="308"/>
        <w:gridCol w:w="308"/>
        <w:gridCol w:w="173"/>
        <w:gridCol w:w="109"/>
        <w:gridCol w:w="109"/>
        <w:gridCol w:w="109"/>
        <w:gridCol w:w="180"/>
        <w:gridCol w:w="181"/>
        <w:gridCol w:w="41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WTI crude oil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crude 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Energy contract volumes increased in the third quarter and first nine months of 2026 when compared with the same periods in 2025, which we believe were due to higher overall volatility. The continued geopolitical conflict in the Middle East disrupted crucial supply chain routes and created higher uncertainty within the crude oil markets. We believe this contributed to higher energy volumes in the third quarter and first nine months of 2026 when compared with the same periods in 2025. </w:t>
      </w:r>
    </w:p>
    <w:p>
      <w:pPr>
        <w:pStyle w:val="TextBody"/>
        <w:bidi w:val="0"/>
        <w:spacing w:lineRule="auto" w:line="276" w:before="100" w:after="1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Agricultural Commodity Products</w:t>
      </w:r>
    </w:p>
    <w:p>
      <w:pPr>
        <w:pStyle w:val="TextBody"/>
        <w:bidi w:val="0"/>
        <w:spacing w:lineRule="auto" w:line="288" w:before="120" w:after="120"/>
        <w:jc w:val="left"/>
        <w:rPr/>
      </w:pPr>
      <w:r>
        <w:rPr>
          <w:rFonts w:ascii="Times New Roman;serif" w:hAnsi="Times New Roman;serif"/>
          <w:b w:val="false"/>
          <w:color w:val="000000"/>
          <w:sz w:val="20"/>
        </w:rPr>
        <w:t>The following table summarizes average daily contract volume for our key agricultural commodity products.</w:t>
      </w:r>
      <w:r>
        <w:rPr>
          <w:color w:val="000000"/>
        </w:rPr>
        <w:t> </w:t>
      </w:r>
    </w:p>
    <w:tbl>
      <w:tblPr>
        <w:tblW w:w="8040"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233"/>
        <w:gridCol w:w="233"/>
        <w:gridCol w:w="156"/>
        <w:gridCol w:w="138"/>
        <w:gridCol w:w="138"/>
        <w:gridCol w:w="138"/>
        <w:gridCol w:w="233"/>
        <w:gridCol w:w="233"/>
        <w:gridCol w:w="156"/>
        <w:gridCol w:w="109"/>
        <w:gridCol w:w="109"/>
        <w:gridCol w:w="109"/>
        <w:gridCol w:w="180"/>
        <w:gridCol w:w="181"/>
        <w:gridCol w:w="367"/>
        <w:gridCol w:w="109"/>
        <w:gridCol w:w="109"/>
        <w:gridCol w:w="109"/>
        <w:gridCol w:w="233"/>
        <w:gridCol w:w="233"/>
        <w:gridCol w:w="173"/>
        <w:gridCol w:w="173"/>
        <w:gridCol w:w="173"/>
        <w:gridCol w:w="173"/>
        <w:gridCol w:w="233"/>
        <w:gridCol w:w="233"/>
        <w:gridCol w:w="173"/>
        <w:gridCol w:w="109"/>
        <w:gridCol w:w="109"/>
        <w:gridCol w:w="109"/>
        <w:gridCol w:w="180"/>
        <w:gridCol w:w="181"/>
        <w:gridCol w:w="41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Soybean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Overall commodity contract volumes increased in the third quarter and first nine months of 2026 when compared with the same periods in 2025. We believe these increases were due to the continued geopolitical conflict between Russia and Ukraine, which has caused significant disruptions within the wheat market supply routes. In addition, adverse weather conditions led to lower overall crop yields resulting in higher overall grain volumes. We believe these factors contributed to higher overall commodity volumes in the third quarter and first nine months of 2026 compared with the same periods in 2025.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Metals Products</w:t>
      </w:r>
    </w:p>
    <w:p>
      <w:pPr>
        <w:pStyle w:val="TextBody"/>
        <w:bidi w:val="0"/>
        <w:spacing w:lineRule="auto" w:line="288" w:before="120" w:after="120"/>
        <w:jc w:val="left"/>
        <w:rPr/>
      </w:pPr>
      <w:r>
        <w:rPr>
          <w:rFonts w:ascii="Times New Roman;serif" w:hAnsi="Times New Roman;serif"/>
          <w:b w:val="false"/>
          <w:color w:val="000000"/>
          <w:sz w:val="20"/>
        </w:rPr>
        <w:t xml:space="preserve">The following table summarizes average daily volume for our key metal products. </w:t>
      </w:r>
      <w:r>
        <w:rPr>
          <w:color w:val="000000"/>
        </w:rPr>
        <w:t> </w:t>
      </w:r>
    </w:p>
    <w:tbl>
      <w:tblPr>
        <w:tblW w:w="8145"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233"/>
        <w:gridCol w:w="233"/>
        <w:gridCol w:w="156"/>
        <w:gridCol w:w="138"/>
        <w:gridCol w:w="138"/>
        <w:gridCol w:w="138"/>
        <w:gridCol w:w="233"/>
        <w:gridCol w:w="233"/>
        <w:gridCol w:w="156"/>
        <w:gridCol w:w="109"/>
        <w:gridCol w:w="109"/>
        <w:gridCol w:w="109"/>
        <w:gridCol w:w="180"/>
        <w:gridCol w:w="181"/>
        <w:gridCol w:w="367"/>
        <w:gridCol w:w="109"/>
        <w:gridCol w:w="109"/>
        <w:gridCol w:w="109"/>
        <w:gridCol w:w="233"/>
        <w:gridCol w:w="233"/>
        <w:gridCol w:w="173"/>
        <w:gridCol w:w="173"/>
        <w:gridCol w:w="173"/>
        <w:gridCol w:w="173"/>
        <w:gridCol w:w="233"/>
        <w:gridCol w:w="233"/>
        <w:gridCol w:w="173"/>
        <w:gridCol w:w="109"/>
        <w:gridCol w:w="109"/>
        <w:gridCol w:w="109"/>
        <w:gridCol w:w="232"/>
        <w:gridCol w:w="234"/>
        <w:gridCol w:w="41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Overall metals contract volumes increased during the third quarter and first nine months of 2026, when compared to the same periods in 2025, driven primarily by heightened market volatility in early 2026. Precious metals volume growth was largely driven by ongoing geopolitical tensions across the globe, which drove market participants to the gold and silver markets. While precious metals prices have fallen as a result of rising bond yields, sustained volume growth has been supported by increased adoption of precious metals micro contracts among our retail client base. We believe these factors contributed to higher overall metals volumes in the third quarter and first nine months of 2026 when compared with the same periods in 2025. </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 xml:space="preserve">Average Rate per Contract </w:t>
      </w:r>
    </w:p>
    <w:p>
      <w:pPr>
        <w:pStyle w:val="TextBody"/>
        <w:bidi w:val="0"/>
        <w:spacing w:lineRule="auto" w:line="288" w:before="100" w:after="1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average rate per contract decreased in the third quarter and first nine months of 2026 when compared with the same periods in 2025. The decreases were largely due to increases in micro contract volumes, specifically within equities, energy and metals, which carry a lower overall rate per contract, as well as higher member trading as a percentage of total volume. The decrease was partially offset by a change in product mix. For the fist nine months of 2026, energy contract volume increased by 1 percentage point as a percent of total volume, while interest rate contract volume decreased by 1 percentage point. In general, energy contracts have a higher average rate per contract compared with other product lines. In addition, the overall decrease was partially offset by an increase in certain clearing and transaction fees which went into effect on April 1, 2026.</w:t>
      </w:r>
    </w:p>
    <w:p>
      <w:pPr>
        <w:pStyle w:val="TextBody"/>
        <w:bidi w:val="0"/>
        <w:spacing w:lineRule="auto" w:line="288" w:before="100" w:after="10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Cash Markets Business</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Total clearing and transaction fees revenues in the </w:t>
      </w:r>
      <w:r>
        <w:rPr>
          <w:rFonts w:ascii="Times New Roman;serif" w:hAnsi="Times New Roman;serif"/>
          <w:b w:val="false"/>
          <w:color w:val="000000"/>
          <w:sz w:val="20"/>
        </w:rPr>
        <w:t>third</w:t>
      </w:r>
      <w:r>
        <w:rPr>
          <w:color w:val="000000"/>
          <w:shd w:fill="FFFFFF" w:val="clear"/>
        </w:rPr>
        <w:t xml:space="preserve"> </w:t>
      </w:r>
      <w:r>
        <w:rPr>
          <w:rFonts w:ascii="Times New Roman;serif" w:hAnsi="Times New Roman;serif"/>
          <w:b w:val="false"/>
          <w:color w:val="000000"/>
          <w:sz w:val="20"/>
          <w:shd w:fill="FFFFFF" w:val="clear"/>
        </w:rPr>
        <w:t xml:space="preserve">quarter and </w:t>
      </w:r>
      <w:r>
        <w:rPr>
          <w:rFonts w:ascii="Times New Roman;serif" w:hAnsi="Times New Roman;serif"/>
          <w:b w:val="false"/>
          <w:color w:val="000000"/>
          <w:sz w:val="20"/>
        </w:rPr>
        <w:t>first nine months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include $74.0 million and $224.5 million, respectively, of transaction fees attributable to the cash markets business, compared with $69.8 million and $215.4 million, respectively, in the </w:t>
      </w:r>
      <w:r>
        <w:rPr>
          <w:rFonts w:ascii="Times New Roman;serif" w:hAnsi="Times New Roman;serif"/>
          <w:b w:val="false"/>
          <w:color w:val="000000"/>
          <w:sz w:val="20"/>
        </w:rPr>
        <w:t>third</w:t>
      </w:r>
      <w:r>
        <w:rPr>
          <w:color w:val="000000"/>
          <w:shd w:fill="FFFFFF" w:val="clear"/>
        </w:rPr>
        <w:t xml:space="preserve"> </w:t>
      </w:r>
      <w:r>
        <w:rPr>
          <w:rFonts w:ascii="Times New Roman;serif" w:hAnsi="Times New Roman;serif"/>
          <w:b w:val="false"/>
          <w:color w:val="000000"/>
          <w:sz w:val="20"/>
          <w:shd w:fill="FFFFFF" w:val="clear"/>
        </w:rPr>
        <w:t xml:space="preserve">quarter and </w:t>
      </w:r>
      <w:r>
        <w:rPr>
          <w:rFonts w:ascii="Times New Roman;serif" w:hAnsi="Times New Roman;serif"/>
          <w:b w:val="false"/>
          <w:color w:val="000000"/>
          <w:sz w:val="20"/>
        </w:rPr>
        <w:t>first nine months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2025. This revenue includes BrokerTec Americas LLC's fixed income volume and EBS's foreign exchange volume.</w:t>
      </w:r>
    </w:p>
    <w:tbl>
      <w:tblPr>
        <w:tblW w:w="10205" w:type="dxa"/>
        <w:jc w:val="left"/>
        <w:tblInd w:w="0" w:type="dxa"/>
        <w:tblLayout w:type="fixed"/>
        <w:tblCellMar>
          <w:top w:w="28" w:type="dxa"/>
          <w:left w:w="28" w:type="dxa"/>
          <w:bottom w:w="28" w:type="dxa"/>
          <w:right w:w="28" w:type="dxa"/>
        </w:tblCellMar>
      </w:tblPr>
      <w:tblGrid>
        <w:gridCol w:w="1179"/>
        <w:gridCol w:w="1018"/>
        <w:gridCol w:w="1025"/>
        <w:gridCol w:w="109"/>
        <w:gridCol w:w="109"/>
        <w:gridCol w:w="109"/>
        <w:gridCol w:w="211"/>
        <w:gridCol w:w="511"/>
        <w:gridCol w:w="109"/>
        <w:gridCol w:w="109"/>
        <w:gridCol w:w="109"/>
        <w:gridCol w:w="109"/>
        <w:gridCol w:w="211"/>
        <w:gridCol w:w="511"/>
        <w:gridCol w:w="109"/>
        <w:gridCol w:w="109"/>
        <w:gridCol w:w="109"/>
        <w:gridCol w:w="109"/>
        <w:gridCol w:w="147"/>
        <w:gridCol w:w="147"/>
        <w:gridCol w:w="367"/>
        <w:gridCol w:w="109"/>
        <w:gridCol w:w="109"/>
        <w:gridCol w:w="109"/>
        <w:gridCol w:w="211"/>
        <w:gridCol w:w="616"/>
        <w:gridCol w:w="109"/>
        <w:gridCol w:w="109"/>
        <w:gridCol w:w="109"/>
        <w:gridCol w:w="109"/>
        <w:gridCol w:w="211"/>
        <w:gridCol w:w="616"/>
        <w:gridCol w:w="109"/>
        <w:gridCol w:w="109"/>
        <w:gridCol w:w="109"/>
        <w:gridCol w:w="109"/>
        <w:gridCol w:w="203"/>
        <w:gridCol w:w="203"/>
        <w:gridCol w:w="420"/>
      </w:tblGrid>
      <w:tr>
        <w:trPr/>
        <w:tc>
          <w:tcPr>
            <w:tcW w:w="117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BrokerTec fixed income transaction fees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EBS foreign exchange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jc w:val="left"/>
        <w:rPr/>
      </w:pPr>
      <w:r>
        <w:rPr>
          <w:rFonts w:ascii="Times New Roman;serif" w:hAnsi="Times New Roman;serif"/>
          <w:b w:val="false"/>
          <w:color w:val="000000"/>
          <w:sz w:val="20"/>
        </w:rPr>
        <w:t>The related average daily notional value for the third quarter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first nine months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 and 2025 were as follows:</w:t>
      </w:r>
    </w:p>
    <w:tbl>
      <w:tblPr>
        <w:tblW w:w="9403" w:type="dxa"/>
        <w:jc w:val="center"/>
        <w:tblInd w:w="0" w:type="dxa"/>
        <w:tblLayout w:type="fixed"/>
        <w:tblCellMar>
          <w:top w:w="28" w:type="dxa"/>
          <w:left w:w="28" w:type="dxa"/>
          <w:bottom w:w="28" w:type="dxa"/>
          <w:right w:w="28" w:type="dxa"/>
        </w:tblCellMar>
      </w:tblPr>
      <w:tblGrid>
        <w:gridCol w:w="794"/>
        <w:gridCol w:w="695"/>
        <w:gridCol w:w="701"/>
        <w:gridCol w:w="109"/>
        <w:gridCol w:w="109"/>
        <w:gridCol w:w="109"/>
        <w:gridCol w:w="211"/>
        <w:gridCol w:w="616"/>
        <w:gridCol w:w="109"/>
        <w:gridCol w:w="109"/>
        <w:gridCol w:w="109"/>
        <w:gridCol w:w="109"/>
        <w:gridCol w:w="211"/>
        <w:gridCol w:w="616"/>
        <w:gridCol w:w="109"/>
        <w:gridCol w:w="109"/>
        <w:gridCol w:w="109"/>
        <w:gridCol w:w="109"/>
        <w:gridCol w:w="180"/>
        <w:gridCol w:w="181"/>
        <w:gridCol w:w="367"/>
        <w:gridCol w:w="109"/>
        <w:gridCol w:w="109"/>
        <w:gridCol w:w="109"/>
        <w:gridCol w:w="211"/>
        <w:gridCol w:w="616"/>
        <w:gridCol w:w="109"/>
        <w:gridCol w:w="109"/>
        <w:gridCol w:w="109"/>
        <w:gridCol w:w="109"/>
        <w:gridCol w:w="211"/>
        <w:gridCol w:w="616"/>
        <w:gridCol w:w="109"/>
        <w:gridCol w:w="109"/>
        <w:gridCol w:w="109"/>
        <w:gridCol w:w="109"/>
        <w:gridCol w:w="180"/>
        <w:gridCol w:w="181"/>
        <w:gridCol w:w="418"/>
      </w:tblGrid>
      <w:tr>
        <w:trPr/>
        <w:tc>
          <w:tcPr>
            <w:tcW w:w="79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(amounts 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Repo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Repo (in euros)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 FX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Overall average daily notional values for the cash markets business were higher in the third quarter and first nine months of 2026 when compared with the same periods in 2025 due to higher overall volatility. We believe these increases were due to the continued geopolitical conflict in the Middle East, which caused significant macro-economic uncertainty throughout the global economy. In addition, global monetary policy shifts and uncertainty surrounding future policy decisions led to the overall increases in foreign exchange volumes in the third quarter and first nine months of 2026 when compared with the same periods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2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Concentration of Revenue</w:t>
      </w:r>
    </w:p>
    <w:p>
      <w:pPr>
        <w:pStyle w:val="TextBody"/>
        <w:bidi w:val="0"/>
        <w:spacing w:lineRule="auto" w:line="288" w:before="120" w:after="120"/>
        <w:jc w:val="left"/>
        <w:rPr/>
      </w:pPr>
      <w:r>
        <w:rPr>
          <w:rFonts w:ascii="Times New Roman;serif" w:hAnsi="Times New Roman;serif"/>
          <w:b w:val="false"/>
          <w:color w:val="000000"/>
          <w:sz w:val="20"/>
        </w:rPr>
        <w:t>We bill a substantial portion of our clearing and transaction fees directly to our clearing firms. The majority of clearing and transaction fees received from clearing firms represent charges for trades executed and cleared on behalf of their customers</w:t>
      </w:r>
      <w:r>
        <w:rPr>
          <w:rFonts w:ascii="Times New Roman;serif" w:hAnsi="Times New Roman;serif"/>
          <w:b w:val="false"/>
          <w:color w:val="000000"/>
          <w:sz w:val="20"/>
          <w:shd w:fill="FFFFFF" w:val="clear"/>
        </w:rPr>
        <w:t>. One individual firm represented at least 10% of our clearing and transaction fees in the first nine months of 2026.</w:t>
      </w:r>
      <w:r>
        <w:rPr>
          <w:color w:val="000000"/>
        </w:rPr>
        <w:t xml:space="preserve"> </w:t>
      </w:r>
      <w:r>
        <w:rPr>
          <w:rFonts w:ascii="Times New Roman;serif" w:hAnsi="Times New Roman;serif"/>
          <w:b w:val="false"/>
          <w:color w:val="000000"/>
          <w:sz w:val="20"/>
        </w:rPr>
        <w:t>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Other Sources of Revenue</w:t>
      </w:r>
    </w:p>
    <w:p>
      <w:pPr>
        <w:pStyle w:val="TextBody"/>
        <w:bidi w:val="0"/>
        <w:spacing w:lineRule="auto" w:line="288" w:before="120" w:after="120"/>
        <w:jc w:val="left"/>
        <w:rPr/>
      </w:pPr>
      <w:r>
        <w:rPr>
          <w:rFonts w:ascii="Times New Roman;serif" w:hAnsi="Times New Roman;serif"/>
          <w:b w:val="false"/>
          <w:i/>
          <w:color w:val="000000"/>
          <w:sz w:val="20"/>
        </w:rPr>
        <w:t>Market data and information services</w:t>
      </w:r>
      <w:r>
        <w:rPr>
          <w:rFonts w:ascii="Times New Roman;serif" w:hAnsi="Times New Roman;serif"/>
          <w:b w:val="false"/>
          <w:color w:val="000000"/>
          <w:sz w:val="20"/>
        </w:rPr>
        <w:t xml:space="preserve">. During the third quarter and first nine months of 2026, overall market data and information services revenues increased when compared with the same periods in 2025, largely due to higher usage of certain products, increased demand by new customer segments, and price increases for certain products. </w:t>
      </w:r>
    </w:p>
    <w:p>
      <w:pPr>
        <w:pStyle w:val="TextBody"/>
        <w:bidi w:val="0"/>
        <w:spacing w:lineRule="auto" w:line="288" w:before="120" w:after="120"/>
        <w:jc w:val="left"/>
        <w:rPr/>
      </w:pPr>
      <w:r>
        <w:rPr>
          <w:rFonts w:ascii="Times New Roman;serif" w:hAnsi="Times New Roman;serif"/>
          <w:b w:val="false"/>
          <w:color w:val="000000"/>
          <w:sz w:val="20"/>
        </w:rPr>
        <w:t xml:space="preserve">The two largest resellers of our market data represented approximately </w:t>
      </w:r>
      <w:r>
        <w:rPr>
          <w:rFonts w:ascii="Times New Roman;serif" w:hAnsi="Times New Roman;serif"/>
          <w:b w:val="false"/>
          <w:color w:val="000000"/>
          <w:sz w:val="20"/>
          <w:shd w:fill="FFFFFF" w:val="clear"/>
        </w:rPr>
        <w:t>25%</w:t>
      </w:r>
      <w:r>
        <w:rPr>
          <w:color w:val="000000"/>
        </w:rPr>
        <w:t xml:space="preserve"> </w:t>
      </w:r>
      <w:r>
        <w:rPr>
          <w:rFonts w:ascii="Times New Roman;serif" w:hAnsi="Times New Roman;serif"/>
          <w:b w:val="false"/>
          <w:color w:val="000000"/>
          <w:sz w:val="20"/>
        </w:rPr>
        <w:t>of our market data and information services revenue in the first nine months of 2026.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Expenses</w:t>
      </w:r>
    </w:p>
    <w:tbl>
      <w:tblPr>
        <w:tblW w:w="10205" w:type="dxa"/>
        <w:jc w:val="left"/>
        <w:tblInd w:w="0" w:type="dxa"/>
        <w:tblLayout w:type="fixed"/>
        <w:tblCellMar>
          <w:top w:w="28" w:type="dxa"/>
          <w:left w:w="28" w:type="dxa"/>
          <w:bottom w:w="28" w:type="dxa"/>
          <w:right w:w="28" w:type="dxa"/>
        </w:tblCellMar>
      </w:tblPr>
      <w:tblGrid>
        <w:gridCol w:w="955"/>
        <w:gridCol w:w="836"/>
        <w:gridCol w:w="772"/>
        <w:gridCol w:w="109"/>
        <w:gridCol w:w="109"/>
        <w:gridCol w:w="109"/>
        <w:gridCol w:w="211"/>
        <w:gridCol w:w="616"/>
        <w:gridCol w:w="109"/>
        <w:gridCol w:w="109"/>
        <w:gridCol w:w="109"/>
        <w:gridCol w:w="109"/>
        <w:gridCol w:w="211"/>
        <w:gridCol w:w="616"/>
        <w:gridCol w:w="109"/>
        <w:gridCol w:w="109"/>
        <w:gridCol w:w="109"/>
        <w:gridCol w:w="109"/>
        <w:gridCol w:w="216"/>
        <w:gridCol w:w="208"/>
        <w:gridCol w:w="367"/>
        <w:gridCol w:w="109"/>
        <w:gridCol w:w="109"/>
        <w:gridCol w:w="109"/>
        <w:gridCol w:w="211"/>
        <w:gridCol w:w="766"/>
        <w:gridCol w:w="109"/>
        <w:gridCol w:w="109"/>
        <w:gridCol w:w="109"/>
        <w:gridCol w:w="109"/>
        <w:gridCol w:w="211"/>
        <w:gridCol w:w="766"/>
        <w:gridCol w:w="109"/>
        <w:gridCol w:w="109"/>
        <w:gridCol w:w="109"/>
        <w:gridCol w:w="109"/>
        <w:gridCol w:w="216"/>
        <w:gridCol w:w="208"/>
        <w:gridCol w:w="421"/>
      </w:tblGrid>
      <w:tr>
        <w:trPr/>
        <w:tc>
          <w:tcPr>
            <w:tcW w:w="95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 fee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left"/>
        <w:rPr/>
      </w:pPr>
      <w:r>
        <w:rPr>
          <w:rFonts w:ascii="Times New Roman;serif" w:hAnsi="Times New Roman;serif"/>
          <w:b w:val="false"/>
          <w:color w:val="000000"/>
          <w:sz w:val="20"/>
        </w:rPr>
        <w:t>Operating expen</w:t>
      </w:r>
      <w:r>
        <w:rPr>
          <w:rFonts w:ascii="Times New Roman;serif" w:hAnsi="Times New Roman;serif"/>
          <w:b w:val="false"/>
          <w:color w:val="000000"/>
          <w:sz w:val="20"/>
          <w:shd w:fill="FFFFFF" w:val="clear"/>
        </w:rPr>
        <w:t>ses</w:t>
      </w:r>
      <w:r>
        <w:rPr>
          <w:color w:val="000000"/>
        </w:rPr>
        <w:t xml:space="preserve"> </w:t>
      </w:r>
      <w:r>
        <w:rPr>
          <w:rFonts w:ascii="Times New Roman;serif" w:hAnsi="Times New Roman;serif"/>
          <w:b w:val="false"/>
          <w:color w:val="000000"/>
          <w:sz w:val="20"/>
        </w:rPr>
        <w:t>increased by $30.9 million and $103.4 million in the third quarter and first nine months of 2026 when compared with the same periods in 2025. The following table shows the estimated impacts of key factors resulting in the changes in operating expenses:</w:t>
      </w:r>
      <w:r>
        <w:rPr>
          <w:color w:val="000000"/>
        </w:rPr>
        <w:t> </w:t>
      </w:r>
    </w:p>
    <w:tbl>
      <w:tblPr>
        <w:tblW w:w="8741" w:type="dxa"/>
        <w:jc w:val="left"/>
        <w:tblInd w:w="0" w:type="dxa"/>
        <w:tblLayout w:type="fixed"/>
        <w:tblCellMar>
          <w:top w:w="28" w:type="dxa"/>
          <w:left w:w="28" w:type="dxa"/>
          <w:bottom w:w="28" w:type="dxa"/>
          <w:right w:w="28" w:type="dxa"/>
        </w:tblCellMar>
      </w:tblPr>
      <w:tblGrid>
        <w:gridCol w:w="1143"/>
        <w:gridCol w:w="1001"/>
        <w:gridCol w:w="1006"/>
        <w:gridCol w:w="109"/>
        <w:gridCol w:w="109"/>
        <w:gridCol w:w="109"/>
        <w:gridCol w:w="236"/>
        <w:gridCol w:w="572"/>
        <w:gridCol w:w="122"/>
        <w:gridCol w:w="109"/>
        <w:gridCol w:w="109"/>
        <w:gridCol w:w="109"/>
        <w:gridCol w:w="264"/>
        <w:gridCol w:w="264"/>
        <w:gridCol w:w="658"/>
        <w:gridCol w:w="109"/>
        <w:gridCol w:w="109"/>
        <w:gridCol w:w="109"/>
        <w:gridCol w:w="211"/>
        <w:gridCol w:w="616"/>
        <w:gridCol w:w="109"/>
        <w:gridCol w:w="109"/>
        <w:gridCol w:w="109"/>
        <w:gridCol w:w="109"/>
        <w:gridCol w:w="251"/>
        <w:gridCol w:w="251"/>
        <w:gridCol w:w="729"/>
      </w:tblGrid>
      <w:tr>
        <w:trPr/>
        <w:tc>
          <w:tcPr>
            <w:tcW w:w="11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as  a</w:t>
              <w:br/>
              <w:t>Percentage of</w:t>
              <w:br/>
              <w:t>Total Expenses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as a</w:t>
              <w:br/>
              <w:t>Percentage of</w:t>
              <w:br/>
              <w:t>Total Expenses</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31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fees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support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employer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Non-qualified 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80" w:after="120"/>
        <w:jc w:val="left"/>
        <w:rPr/>
      </w:pPr>
      <w:r>
        <w:rPr/>
      </w:r>
    </w:p>
    <w:p>
      <w:pPr>
        <w:pStyle w:val="TextBody"/>
        <w:bidi w:val="0"/>
        <w:spacing w:before="180" w:after="120"/>
        <w:jc w:val="left"/>
        <w:rPr/>
      </w:pPr>
      <w:r>
        <w:rPr/>
      </w:r>
    </w:p>
    <w:p>
      <w:pPr>
        <w:pStyle w:val="TextBody"/>
        <w:bidi w:val="0"/>
        <w:spacing w:before="18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Increases in operating expenses in the third quarter and first nine months of 2026 when compared with the same periods in 2025 were as follows: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License fees expenses were higher primarily due to higher volumes for certain equity products.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increases in technology support services expenses were primarily driven by increased third party services to support the ongoing Google Cloud transformation project.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Salaries, benefits and employer taxes expenses were higher in the first nine months of 2026 as a result of salary increases that went into effect during the first quarter of 2026 as well as increases in headcount, which were primarily attributable to additional headcount in the company's international locations.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Rent expenses were higher primarily due to gains recognized in the first nine months of 2025 due to a reduction in our leased office space and the commencement of the new data center lease in the second quarter of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Marketing expense increased as a result of higher sponsorships, media campaigns and event costs in the first nine months of 2026.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Decreases in operating expenses in the third quarter and first nine months of 2026 when compared with the same periods in 2025 were as follows: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Legal fees decreased primarily as a result of expenses incurred for the membership class action lawsuit litigation in the second and third quarter of 2025.</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 decrease in our non-qualified deferred compensation liability during the third quarter and nine months ended September 30, 2026, the impact of which does not affect net income because of an equal and offsetting change in investment income, contributed to the changes in compensation and benefits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Non-Operating Income (Expense)</w:t>
      </w:r>
    </w:p>
    <w:tbl>
      <w:tblPr>
        <w:tblW w:w="10205" w:type="dxa"/>
        <w:jc w:val="left"/>
        <w:tblInd w:w="0" w:type="dxa"/>
        <w:tblLayout w:type="fixed"/>
        <w:tblCellMar>
          <w:top w:w="28" w:type="dxa"/>
          <w:left w:w="28" w:type="dxa"/>
          <w:bottom w:w="28" w:type="dxa"/>
          <w:right w:w="28" w:type="dxa"/>
        </w:tblCellMar>
      </w:tblPr>
      <w:tblGrid>
        <w:gridCol w:w="1129"/>
        <w:gridCol w:w="628"/>
        <w:gridCol w:w="599"/>
        <w:gridCol w:w="109"/>
        <w:gridCol w:w="109"/>
        <w:gridCol w:w="109"/>
        <w:gridCol w:w="211"/>
        <w:gridCol w:w="766"/>
        <w:gridCol w:w="109"/>
        <w:gridCol w:w="109"/>
        <w:gridCol w:w="109"/>
        <w:gridCol w:w="109"/>
        <w:gridCol w:w="211"/>
        <w:gridCol w:w="766"/>
        <w:gridCol w:w="109"/>
        <w:gridCol w:w="109"/>
        <w:gridCol w:w="109"/>
        <w:gridCol w:w="109"/>
        <w:gridCol w:w="197"/>
        <w:gridCol w:w="197"/>
        <w:gridCol w:w="367"/>
        <w:gridCol w:w="109"/>
        <w:gridCol w:w="109"/>
        <w:gridCol w:w="109"/>
        <w:gridCol w:w="211"/>
        <w:gridCol w:w="766"/>
        <w:gridCol w:w="109"/>
        <w:gridCol w:w="109"/>
        <w:gridCol w:w="109"/>
        <w:gridCol w:w="109"/>
        <w:gridCol w:w="211"/>
        <w:gridCol w:w="766"/>
        <w:gridCol w:w="109"/>
        <w:gridCol w:w="109"/>
        <w:gridCol w:w="109"/>
        <w:gridCol w:w="109"/>
        <w:gridCol w:w="180"/>
        <w:gridCol w:w="181"/>
        <w:gridCol w:w="421"/>
      </w:tblGrid>
      <w:tr>
        <w:trPr/>
        <w:tc>
          <w:tcPr>
            <w:tcW w:w="112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borrowing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unconsolidated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i/>
          <w:color w:val="000000"/>
          <w:sz w:val="20"/>
          <w:shd w:fill="FFFFFF" w:val="clear"/>
        </w:rPr>
        <w:t>Investment income.</w:t>
      </w:r>
      <w:r>
        <w:rPr>
          <w:color w:val="000000"/>
          <w:shd w:fill="FFFFFF" w:val="clear"/>
        </w:rPr>
        <w:t xml:space="preserve"> </w:t>
      </w:r>
      <w:r>
        <w:rPr>
          <w:rFonts w:ascii="Times New Roman;serif" w:hAnsi="Times New Roman;serif"/>
          <w:b w:val="false"/>
          <w:color w:val="000000"/>
          <w:sz w:val="20"/>
          <w:shd w:fill="FFFFFF" w:val="clear"/>
        </w:rPr>
        <w:t>Earnings from cash performance bond and guaranty fund contributions that are reinvested decreased in the third quarter of 2026 when compared with the same period in 2025. This decrease was mainly due to a lower average rate of return despite higher overall reinvestment balances. In the third quarter 2026, earnings from cash performance bond and guaranty fund contributions were $1,391.7 million compared with $1,514.1 million in the third quarter of 2025.</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Earnings from cash performance bond and guaranty fund contributions that are reinvested increased in the first nine months of 2026 when compared with the same period in 2025. This was mainly due to higher reinvestment balances despite a lower average rate of return on the reinvestment balances. In the first nine months of 2026, earnings from cash performance bond and guaranty fund contributions were $4,151.5 million compared with $3,875.3 million in first nine months of 2025. The increase was partially offset by higher net unrealized losses in the first nine months of 2026.</w:t>
      </w:r>
    </w:p>
    <w:p>
      <w:pPr>
        <w:pStyle w:val="TextBody"/>
        <w:bidi w:val="0"/>
        <w:spacing w:lineRule="auto" w:line="288" w:before="120" w:after="120"/>
        <w:jc w:val="left"/>
        <w:rPr/>
      </w:pPr>
      <w:r>
        <w:rPr>
          <w:rFonts w:ascii="Times New Roman;serif" w:hAnsi="Times New Roman;serif"/>
          <w:b w:val="false"/>
          <w:i/>
          <w:color w:val="000000"/>
          <w:sz w:val="20"/>
          <w:shd w:fill="FFFFFF" w:val="clear"/>
        </w:rPr>
        <w:t>Equity in net earnings (losses) of unconsolidated subsidiaries.</w:t>
      </w:r>
      <w:r>
        <w:rPr>
          <w:color w:val="000000"/>
          <w:shd w:fill="FFFFFF" w:val="clear"/>
        </w:rPr>
        <w:t xml:space="preserve"> </w:t>
      </w:r>
      <w:r>
        <w:rPr>
          <w:rFonts w:ascii="Times New Roman;serif" w:hAnsi="Times New Roman;serif"/>
          <w:b w:val="false"/>
          <w:color w:val="000000"/>
          <w:sz w:val="20"/>
          <w:shd w:fill="FFFFFF" w:val="clear"/>
        </w:rPr>
        <w:t>Higher income generated from our S&amp;P Dow Jones Indices LLC business venture contributed to an increase in equity in net earnings (losses) of unconsolidated subsidiaries in the third quarter and first nine months of 2026 when compared with the same periods in 2025. This was partially offset by lower equity in net earnings (losses) of unconsolidated subsidiaries as a result of the sale of our OSTTRA joint venture which occurred in the fourth quarter of 2025.</w:t>
      </w:r>
    </w:p>
    <w:p>
      <w:pPr>
        <w:pStyle w:val="TextBody"/>
        <w:bidi w:val="0"/>
        <w:spacing w:lineRule="auto" w:line="288" w:before="100" w:after="100"/>
        <w:jc w:val="left"/>
        <w:rPr/>
      </w:pPr>
      <w:r>
        <w:rPr>
          <w:rFonts w:ascii="Times New Roman;serif" w:hAnsi="Times New Roman;serif"/>
          <w:b w:val="false"/>
          <w:i/>
          <w:color w:val="000000"/>
          <w:sz w:val="20"/>
          <w:shd w:fill="FFFFFF" w:val="clear"/>
        </w:rPr>
        <w:t>Other non-operating income (expense).</w:t>
      </w:r>
      <w:r>
        <w:rPr>
          <w:color w:val="000000"/>
          <w:shd w:fill="FFFFFF" w:val="clear"/>
        </w:rPr>
        <w:t xml:space="preserve"> </w:t>
      </w:r>
      <w:r>
        <w:rPr>
          <w:rFonts w:ascii="Times New Roman;serif" w:hAnsi="Times New Roman;serif"/>
          <w:b w:val="false"/>
          <w:color w:val="000000"/>
          <w:sz w:val="20"/>
          <w:shd w:fill="FFFFFF" w:val="clear"/>
        </w:rPr>
        <w:t>We recognized lower expense related to the distribution of interest earned on performance bond collateral reinvestments to the clearing firms during the third quarter of 2026 when compared with the same period in 2025. This decrease was due to lower interest income earned on our reinvestment balances as a result of a lower Federal Funds rate compared with the same period in 2025. In the third quarter of 2026, expense related to the distribution of interest earned on collateral reinvestments was $1,269.0 million compared with $1,399.2 million the third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recognized higher expense related to the distribution of interest earned on performance bond collateral reinvestments to the clearing firms during the first nine months of 2026 when compared with the same period in 2025, mainly due to higher overall cash collateral balances. In the first nine months of 2026, expense related to the distribution of interest earned on collateral reinvestments was $3,783.9 million, compared with $3,578.5 million in the first nine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Income Tax Provision</w:t>
      </w:r>
    </w:p>
    <w:p>
      <w:pPr>
        <w:pStyle w:val="TextBody"/>
        <w:bidi w:val="0"/>
        <w:spacing w:lineRule="auto" w:line="288" w:before="120" w:after="120"/>
        <w:jc w:val="left"/>
        <w:rPr/>
      </w:pPr>
      <w:r>
        <w:rPr>
          <w:rFonts w:ascii="Times New Roman;serif" w:hAnsi="Times New Roman;serif"/>
          <w:b w:val="false"/>
          <w:color w:val="000000"/>
          <w:sz w:val="20"/>
        </w:rPr>
        <w:t>The following table summarizes the effective tax rates for the periods presented:</w:t>
      </w:r>
      <w:r>
        <w:rPr>
          <w:color w:val="000000"/>
        </w:rPr>
        <w:t> </w:t>
      </w:r>
    </w:p>
    <w:tbl>
      <w:tblPr>
        <w:tblW w:w="5113" w:type="dxa"/>
        <w:jc w:val="left"/>
        <w:tblInd w:w="0" w:type="dxa"/>
        <w:tblLayout w:type="fixed"/>
        <w:tblCellMar>
          <w:top w:w="28" w:type="dxa"/>
          <w:left w:w="28" w:type="dxa"/>
          <w:bottom w:w="28" w:type="dxa"/>
          <w:right w:w="28" w:type="dxa"/>
        </w:tblCellMar>
      </w:tblPr>
      <w:tblGrid>
        <w:gridCol w:w="1031"/>
        <w:gridCol w:w="908"/>
        <w:gridCol w:w="911"/>
        <w:gridCol w:w="109"/>
        <w:gridCol w:w="109"/>
        <w:gridCol w:w="109"/>
        <w:gridCol w:w="255"/>
        <w:gridCol w:w="256"/>
        <w:gridCol w:w="271"/>
        <w:gridCol w:w="109"/>
        <w:gridCol w:w="109"/>
        <w:gridCol w:w="109"/>
        <w:gridCol w:w="255"/>
        <w:gridCol w:w="256"/>
        <w:gridCol w:w="316"/>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 ended September 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overall effective tax rate remained relatively consistent in the third quarter and first nine months of 2026 when compared with the same periods in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pPr>
      <w:r>
        <w:rPr>
          <w:rFonts w:ascii="Times New Roman;serif" w:hAnsi="Times New Roman;serif"/>
          <w:b w:val="false"/>
          <w:i/>
          <w:color w:val="000000"/>
          <w:sz w:val="20"/>
          <w:u w:val="single"/>
        </w:rPr>
        <w:t>Sources and Uses of Cash</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Net cash provided by operating activities increased in the first nine months of 2026 when compared with the same period in 2025, which was largely due to an increase in trading volume and higher interest earned on reinvestment of collateral, net of distributions. Cash used in investing activities remained relatively consistent in the first nine months of 2026 when compared with the same period in 2025. Cash used in financing activities was higher during the first nine months of 2026 when compared with the same period in 2025 due to a</w:t>
      </w:r>
      <w:r>
        <w:rPr>
          <w:color w:val="000000"/>
          <w:shd w:fill="FFFFFF" w:val="clear"/>
        </w:rPr>
        <w:t xml:space="preserve"> </w:t>
      </w:r>
      <w:r>
        <w:rPr>
          <w:rFonts w:ascii="Times New Roman;serif" w:hAnsi="Times New Roman;serif"/>
          <w:b w:val="false"/>
          <w:color w:val="000000"/>
          <w:sz w:val="20"/>
          <w:shd w:fill="FFFFFF" w:val="clear"/>
        </w:rPr>
        <w:t xml:space="preserve">decrease in cash performance bonds and guaranty fund contributions as well as an increase in share repurchases. </w:t>
      </w:r>
    </w:p>
    <w:p>
      <w:pPr>
        <w:pStyle w:val="TextBody"/>
        <w:bidi w:val="0"/>
        <w:spacing w:lineRule="auto" w:line="288" w:before="120" w:after="120"/>
        <w:jc w:val="left"/>
        <w:rPr/>
      </w:pPr>
      <w:r>
        <w:rPr>
          <w:rFonts w:ascii="Times New Roman;serif" w:hAnsi="Times New Roman;serif"/>
          <w:b w:val="false"/>
          <w:i/>
          <w:color w:val="000000"/>
          <w:sz w:val="20"/>
          <w:u w:val="single"/>
        </w:rPr>
        <w:t>Debt Instruments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The following table summarizes our debt outstanding at September 30, 2026: </w:t>
      </w:r>
    </w:p>
    <w:tbl>
      <w:tblPr>
        <w:tblW w:w="6021" w:type="dxa"/>
        <w:jc w:val="left"/>
        <w:tblInd w:w="0" w:type="dxa"/>
        <w:tblLayout w:type="fixed"/>
        <w:tblCellMar>
          <w:top w:w="28" w:type="dxa"/>
          <w:left w:w="28" w:type="dxa"/>
          <w:bottom w:w="28" w:type="dxa"/>
          <w:right w:w="28" w:type="dxa"/>
        </w:tblCellMar>
      </w:tblPr>
      <w:tblGrid>
        <w:gridCol w:w="1826"/>
        <w:gridCol w:w="1605"/>
        <w:gridCol w:w="1609"/>
        <w:gridCol w:w="211"/>
        <w:gridCol w:w="616"/>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r>
      <w:tr>
        <w:trPr/>
        <w:tc>
          <w:tcPr>
            <w:tcW w:w="50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notes due June 2028, stated rate of 3.75%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notes due March 2030, stated rate of 4.40%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notes due March 2032, stated rate of 2.65%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rate notes due September 2043, stated rate of 5.30%</w:t>
            </w:r>
            <w:r>
              <w:rPr>
                <w:color w:val="000000"/>
              </w:rPr>
              <w:t xml:space="preserve">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notes due June 2048, stated rate of 4.15%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(1)We maintained a forward-starting interest rate swap agreement that modified the interest obligation associated with these notes so that the interest payable effectively became fixed at a rate of 4.73%.</w:t>
      </w:r>
    </w:p>
    <w:p>
      <w:pPr>
        <w:pStyle w:val="TextBody"/>
        <w:bidi w:val="0"/>
        <w:spacing w:lineRule="auto" w:line="288" w:before="120" w:after="100"/>
        <w:jc w:val="left"/>
        <w:rPr>
          <w:rFonts w:ascii="Times New Roman;serif" w:hAnsi="Times New Roman;serif"/>
          <w:b w:val="false"/>
          <w:color w:val="000000"/>
          <w:sz w:val="20"/>
        </w:rPr>
      </w:pPr>
      <w:r>
        <w:rPr>
          <w:rFonts w:ascii="Times New Roman;serif" w:hAnsi="Times New Roman;serif"/>
          <w:b w:val="false"/>
          <w:color w:val="000000"/>
          <w:sz w:val="20"/>
        </w:rPr>
        <w:t>We maintain a $2.3 billion multi-currency revolving senior credit facility with various financial institutions, which matures in April 2030.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2024, giving effect to share repurchases made and special dividends paid during the term of the agreement (and in no event greater than $2.0 billion in aggregate), multiplied by 0.65. We currently do not have any borrowings outstanding under this facility, but any commercial paper balance if or when outstanding can be backstopped against this facility.</w:t>
      </w:r>
    </w:p>
    <w:p>
      <w:pPr>
        <w:pStyle w:val="TextBody"/>
        <w:bidi w:val="0"/>
        <w:spacing w:lineRule="auto" w:line="288" w:before="120" w:after="120"/>
        <w:jc w:val="left"/>
        <w:rPr/>
      </w:pPr>
      <w:r>
        <w:rPr>
          <w:rFonts w:ascii="Times New Roman;serif" w:hAnsi="Times New Roman;serif"/>
          <w:b w:val="false"/>
          <w:color w:val="000000"/>
          <w:sz w:val="20"/>
        </w:rPr>
        <w:t xml:space="preserve">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the clearing house operated by CME,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w:t>
      </w:r>
      <w:r>
        <w:rPr>
          <w:rFonts w:ascii="Times New Roman;serif" w:hAnsi="Times New Roman;serif"/>
          <w:b w:val="false"/>
          <w:color w:val="000000"/>
          <w:sz w:val="20"/>
          <w:shd w:fill="FFFFFF" w:val="clear"/>
        </w:rPr>
        <w:t>can be used to collateralize the facility. At September 30, 2026, guaranty fund contributions available to collateralize the facility totaled $10.2 billion. W</w:t>
      </w:r>
      <w:r>
        <w:rPr>
          <w:rFonts w:ascii="Times New Roman;serif" w:hAnsi="Times New Roman;serif"/>
          <w:b w:val="false"/>
          <w:color w:val="000000"/>
          <w:sz w:val="20"/>
        </w:rPr>
        <w:t xml:space="preserve">e have the option to increase the line from $7.0 billion to $10.0 billion with the consent of the agent and lenders providing the additional funds. Our 364-day facility contains a requirement that CME remain in compliance with a consolidated tangible net worth test, defined as CME's consolidated shareholder's equity less intangible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assets (as defined in the agreement), of not less than $800.0 million. We currently do not have any borrowings outstanding under this facility.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 </w:t>
      </w:r>
    </w:p>
    <w:p>
      <w:pPr>
        <w:pStyle w:val="TextBody"/>
        <w:bidi w:val="0"/>
        <w:spacing w:lineRule="auto" w:line="288" w:before="120" w:after="120"/>
        <w:jc w:val="left"/>
        <w:rPr/>
      </w:pPr>
      <w:r>
        <w:rPr>
          <w:rFonts w:ascii="Times New Roman;serif" w:hAnsi="Times New Roman;serif"/>
          <w:b w:val="false"/>
          <w:color w:val="000000"/>
          <w:sz w:val="20"/>
        </w:rPr>
        <w:t>At September 30, 2026, we have excess borrowing capacity for general corporate purposes of approximate</w:t>
      </w:r>
      <w:r>
        <w:rPr>
          <w:rFonts w:ascii="Times New Roman;serif" w:hAnsi="Times New Roman;serif"/>
          <w:b w:val="false"/>
          <w:color w:val="000000"/>
          <w:sz w:val="20"/>
          <w:shd w:fill="FFFFFF" w:val="clear"/>
        </w:rPr>
        <w:t>ly $2.3 billion und</w:t>
      </w:r>
      <w:r>
        <w:rPr>
          <w:rFonts w:ascii="Times New Roman;serif" w:hAnsi="Times New Roman;serif"/>
          <w:b w:val="false"/>
          <w:color w:val="000000"/>
          <w:sz w:val="20"/>
        </w:rPr>
        <w:t xml:space="preserve">er our multi-currency revolving senior credit facility.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maintain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We currently do not have any borrowings outstanding under these facilities.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We currently do not have any foreign currency trades outstanding under this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2026, we were in compliance with the various covenant requirements of all our debt facilities.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CME Group, as a holding company, has no operations of its own. Instead, it relies on dividends declared and paid to it by its subsidiaries in order to provide the funds which it uses to pay dividends to its shareholders. </w:t>
      </w:r>
    </w:p>
    <w:p>
      <w:pPr>
        <w:pStyle w:val="TextBody"/>
        <w:bidi w:val="0"/>
        <w:spacing w:lineRule="auto" w:line="288" w:before="100" w:after="100"/>
        <w:jc w:val="left"/>
        <w:rPr/>
      </w:pPr>
      <w:r>
        <w:rPr>
          <w:rFonts w:ascii="Times New Roman;serif" w:hAnsi="Times New Roman;serif"/>
          <w:b w:val="false"/>
          <w:color w:val="000000"/>
          <w:sz w:val="20"/>
          <w:shd w:fill="FFFFFF" w:val="clear"/>
        </w:rPr>
        <w:t>To satisfy our performance bond obligation with Singapore Exchange Limited, we may pledge irrevocable standby letters of credit. At September 30, 2026, the letters of credit totaled $450.0 million. We also maintain a $350.0 million line of credit to meet any variation margin obligations, as well as an additional $250.0 million line of credit to meet any initial margin obligations under this agreemen</w:t>
      </w:r>
      <w:r>
        <w:rPr>
          <w:rFonts w:ascii="Times New Roman;serif" w:hAnsi="Times New Roman;serif"/>
          <w:b w:val="false"/>
          <w:color w:val="000000"/>
          <w:sz w:val="20"/>
        </w:rPr>
        <w:t>t.</w:t>
      </w:r>
    </w:p>
    <w:p>
      <w:pPr>
        <w:pStyle w:val="TextBody"/>
        <w:bidi w:val="0"/>
        <w:spacing w:lineRule="auto" w:line="288" w:before="120" w:after="120"/>
        <w:jc w:val="left"/>
        <w:rPr/>
      </w:pPr>
      <w:r>
        <w:rPr>
          <w:rFonts w:ascii="Times New Roman;serif" w:hAnsi="Times New Roman;serif"/>
          <w:b w:val="false"/>
          <w:color w:val="000000"/>
          <w:sz w:val="20"/>
        </w:rPr>
        <w:t xml:space="preserve">The following table summarizes our credit ratings at September 30, 2026: </w:t>
      </w:r>
      <w:r>
        <w:rPr>
          <w:color w:val="000000"/>
        </w:rPr>
        <w:t> </w:t>
      </w:r>
    </w:p>
    <w:tbl>
      <w:tblPr>
        <w:tblW w:w="6578" w:type="dxa"/>
        <w:jc w:val="left"/>
        <w:tblInd w:w="0" w:type="dxa"/>
        <w:tblLayout w:type="fixed"/>
        <w:tblCellMar>
          <w:top w:w="28" w:type="dxa"/>
          <w:left w:w="28" w:type="dxa"/>
          <w:bottom w:w="28" w:type="dxa"/>
          <w:right w:w="28" w:type="dxa"/>
        </w:tblCellMar>
      </w:tblPr>
      <w:tblGrid>
        <w:gridCol w:w="1035"/>
        <w:gridCol w:w="909"/>
        <w:gridCol w:w="920"/>
        <w:gridCol w:w="109"/>
        <w:gridCol w:w="109"/>
        <w:gridCol w:w="109"/>
        <w:gridCol w:w="329"/>
        <w:gridCol w:w="329"/>
        <w:gridCol w:w="333"/>
        <w:gridCol w:w="109"/>
        <w:gridCol w:w="109"/>
        <w:gridCol w:w="109"/>
        <w:gridCol w:w="329"/>
        <w:gridCol w:w="329"/>
        <w:gridCol w:w="333"/>
        <w:gridCol w:w="109"/>
        <w:gridCol w:w="109"/>
        <w:gridCol w:w="109"/>
        <w:gridCol w:w="220"/>
        <w:gridCol w:w="220"/>
        <w:gridCol w:w="311"/>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Rating Agency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Rating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Rating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r>
      <w:tr>
        <w:trPr/>
        <w:tc>
          <w:tcPr>
            <w:tcW w:w="28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&amp; Poor’s Global Ratings</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A1+</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 Investors Service,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pStyle w:val="TextBody"/>
        <w:bidi w:val="0"/>
        <w:spacing w:lineRule="auto" w:line="288" w:before="120" w:after="120"/>
        <w:jc w:val="left"/>
        <w:rPr/>
      </w:pPr>
      <w:r>
        <w:rPr>
          <w:rFonts w:ascii="Times New Roman;serif" w:hAnsi="Times New Roman;serif"/>
          <w:b w:val="false"/>
          <w:i/>
          <w:color w:val="000000"/>
          <w:sz w:val="20"/>
          <w:u w:val="single"/>
        </w:rPr>
        <w:t>Liquidity and Cash Management</w:t>
      </w:r>
      <w:r>
        <w:rPr>
          <w:rFonts w:ascii="Times New Roman;serif" w:hAnsi="Times New Roman;serif"/>
          <w:b w:val="false"/>
          <w:color w:val="000000"/>
          <w:sz w:val="20"/>
        </w:rPr>
        <w:t>. Cash and cash equivalents, excluding restricted cash and restricted cash equivalents, t</w:t>
      </w:r>
      <w:r>
        <w:rPr>
          <w:rFonts w:ascii="Times New Roman;serif" w:hAnsi="Times New Roman;serif"/>
          <w:b w:val="false"/>
          <w:color w:val="000000"/>
          <w:sz w:val="20"/>
          <w:shd w:fill="FFFFFF" w:val="clear"/>
        </w:rPr>
        <w:t xml:space="preserve">otaled $2.2 billion and $4.4 billion at September 30, 2026 and December 31, 2025, 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cash performance bonds and guaranty fund contributions, other current assets or other assets in the consolidated balance sheets. </w:t>
      </w:r>
      <w:r>
        <w:rPr>
          <w:rFonts w:ascii="Times New Roman;serif" w:hAnsi="Times New Roman;serif"/>
          <w:b w:val="false"/>
          <w:color w:val="000000"/>
          <w:sz w:val="20"/>
        </w:rPr>
        <w:t>Cash performance bonds and guarantee fund contribution assets are deemed to be restricted cash and restricted cash equivalents.</w:t>
      </w:r>
    </w:p>
    <w:p>
      <w:pPr>
        <w:pStyle w:val="TextBody"/>
        <w:bidi w:val="0"/>
        <w:spacing w:lineRule="auto" w:line="288" w:before="120" w:after="120"/>
        <w:jc w:val="left"/>
        <w:rPr/>
      </w:pPr>
      <w:r>
        <w:rPr>
          <w:rFonts w:ascii="Times New Roman;serif" w:hAnsi="Times New Roman;serif"/>
          <w:b w:val="false"/>
          <w:color w:val="000000"/>
          <w:sz w:val="20"/>
          <w:shd w:fill="FFFFFF" w:val="clear"/>
        </w:rPr>
        <w:t>We maintain a shar</w:t>
      </w:r>
      <w:r>
        <w:rPr>
          <w:rFonts w:ascii="Times New Roman;serif" w:hAnsi="Times New Roman;serif"/>
          <w:b w:val="false"/>
          <w:color w:val="000000"/>
          <w:sz w:val="20"/>
        </w:rPr>
        <w:t>e repurchase program under which we are authorized to repurchase up to $3.0 billion of our outstanding Class A common stock, par value $0.01 per share (the common stock), from time to time through open market transactions, block trades, privately negotiated purchase transactions or other purchase techniques and may include purchases effected pursuant to one or more trading plans established pursuant to Rule 10b5-1 under the Exchange Act. The timing of any repurchases and the number of shares repurchased under the share repurchase program are within our discretion and may be affected by various factors, including general market and economic conditions; the market price of the common stock; CME Group’s earnings, financial condition, capital requirements and levels of indebtedness; legal requirements; and other considerations. The share re</w:t>
      </w:r>
      <w:r>
        <w:rPr>
          <w:rFonts w:ascii="Times New Roman;serif" w:hAnsi="Times New Roman;serif"/>
          <w:b w:val="false"/>
          <w:color w:val="000000"/>
          <w:sz w:val="20"/>
          <w:shd w:fill="FFFFFF" w:val="clear"/>
        </w:rPr>
        <w:t xml:space="preserve">purchase program has no expiration date, does not obligate us to acquire any particular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common stock and may be modified, suspended or terminated at any time. As of September 30, 2026, the maximum remaining value of shares to be repurchased was $1.0 billion. </w:t>
      </w:r>
    </w:p>
    <w:p>
      <w:pPr>
        <w:pStyle w:val="TextBody"/>
        <w:bidi w:val="0"/>
        <w:spacing w:lineRule="auto" w:line="288" w:before="120" w:after="120"/>
        <w:jc w:val="left"/>
        <w:rPr/>
      </w:pPr>
      <w:r>
        <w:rPr>
          <w:rFonts w:ascii="Times New Roman;serif" w:hAnsi="Times New Roman;serif"/>
          <w:b w:val="false"/>
          <w:i/>
          <w:color w:val="000000"/>
          <w:sz w:val="20"/>
          <w:u w:val="single"/>
        </w:rPr>
        <w:t>Regulatory Requirements</w:t>
      </w:r>
      <w:r>
        <w:rPr>
          <w:rFonts w:ascii="Times New Roman;serif" w:hAnsi="Times New Roman;serif"/>
          <w:b w:val="false"/>
          <w:i/>
          <w:color w:val="000000"/>
          <w:sz w:val="20"/>
        </w:rPr>
        <w:t xml:space="preserve">. </w:t>
      </w:r>
      <w:r>
        <w:rPr>
          <w:rFonts w:ascii="Times New Roman;serif" w:hAnsi="Times New Roman;serif"/>
          <w:b w:val="false"/>
          <w:color w:val="000000"/>
          <w:sz w:val="20"/>
        </w:rPr>
        <w:t>CME is regulated by the CFTC as a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(k)(2)(i) exemption is not required to lock up customer funds as would otherwise be required under Exchange Act Rule 15c3-3.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34" w:type="dxa"/>
        <w:jc w:val="left"/>
        <w:tblInd w:w="0" w:type="dxa"/>
        <w:tblLayout w:type="fixed"/>
        <w:tblCellMar>
          <w:top w:w="28" w:type="dxa"/>
          <w:left w:w="28" w:type="dxa"/>
          <w:bottom w:w="28" w:type="dxa"/>
          <w:right w:w="28" w:type="dxa"/>
        </w:tblCellMar>
      </w:tblPr>
      <w:tblGrid>
        <w:gridCol w:w="304"/>
        <w:gridCol w:w="267"/>
        <w:gridCol w:w="269"/>
        <w:gridCol w:w="2078"/>
        <w:gridCol w:w="2078"/>
        <w:gridCol w:w="29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market risks, including those caused by changes in interest rates, credit, foreign currency exchange rates and equity prices. There have not been material changes in our exposure to market risk since December 31, 2025. Refer to Item 7A. of CME Group’s Annual Report on Form 10-K for the year ended December 31, 2025, filed with the SEC on February 26, 2026,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5" w:type="dxa"/>
        <w:jc w:val="left"/>
        <w:tblInd w:w="0" w:type="dxa"/>
        <w:tblLayout w:type="fixed"/>
        <w:tblCellMar>
          <w:top w:w="28" w:type="dxa"/>
          <w:left w:w="28" w:type="dxa"/>
          <w:bottom w:w="28" w:type="dxa"/>
          <w:right w:w="28" w:type="dxa"/>
        </w:tblCellMar>
      </w:tblPr>
      <w:tblGrid>
        <w:gridCol w:w="304"/>
        <w:gridCol w:w="267"/>
        <w:gridCol w:w="26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(a) 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September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5" w:type="dxa"/>
        <w:jc w:val="left"/>
        <w:tblInd w:w="0" w:type="dxa"/>
        <w:tblLayout w:type="fixed"/>
        <w:tblCellMar>
          <w:top w:w="28" w:type="dxa"/>
          <w:left w:w="28" w:type="dxa"/>
          <w:bottom w:w="28" w:type="dxa"/>
          <w:right w:w="28" w:type="dxa"/>
        </w:tblCellMar>
      </w:tblPr>
      <w:tblGrid>
        <w:gridCol w:w="304"/>
        <w:gridCol w:w="267"/>
        <w:gridCol w:w="269"/>
        <w:gridCol w:w="672"/>
        <w:gridCol w:w="672"/>
        <w:gridCol w:w="95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disclosure under “Legal and Regulatory Matters” in Note 7.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2025, filed with the SEC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51" w:type="dxa"/>
        <w:jc w:val="left"/>
        <w:tblInd w:w="0" w:type="dxa"/>
        <w:tblLayout w:type="fixed"/>
        <w:tblCellMar>
          <w:top w:w="28" w:type="dxa"/>
          <w:left w:w="28" w:type="dxa"/>
          <w:bottom w:w="28" w:type="dxa"/>
          <w:right w:w="28" w:type="dxa"/>
        </w:tblCellMar>
      </w:tblPr>
      <w:tblGrid>
        <w:gridCol w:w="353"/>
        <w:gridCol w:w="311"/>
        <w:gridCol w:w="312"/>
        <w:gridCol w:w="461"/>
        <w:gridCol w:w="461"/>
        <w:gridCol w:w="653"/>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20" w:after="160"/>
        <w:jc w:val="left"/>
        <w:rPr>
          <w:rFonts w:ascii="Times New Roman;serif" w:hAnsi="Times New Roman;serif"/>
          <w:b w:val="false"/>
          <w:color w:val="333333"/>
          <w:sz w:val="20"/>
        </w:rPr>
      </w:pPr>
      <w:r>
        <w:rPr>
          <w:rFonts w:ascii="Times New Roman;serif" w:hAnsi="Times New Roman;serif"/>
          <w:b w:val="false"/>
          <w:color w:val="333333"/>
          <w:sz w:val="20"/>
        </w:rPr>
        <w:t>There have been no material changes in the company's risk factors from those disclosed in the company's Annual Report on Form 10-K for the year ended December 31, 2025, filed with the SEC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tbl>
      <w:tblPr>
        <w:tblW w:w="7815" w:type="dxa"/>
        <w:jc w:val="left"/>
        <w:tblInd w:w="0" w:type="dxa"/>
        <w:tblLayout w:type="fixed"/>
        <w:tblCellMar>
          <w:top w:w="28" w:type="dxa"/>
          <w:left w:w="28" w:type="dxa"/>
          <w:bottom w:w="28" w:type="dxa"/>
          <w:right w:w="28" w:type="dxa"/>
        </w:tblCellMar>
      </w:tblPr>
      <w:tblGrid>
        <w:gridCol w:w="304"/>
        <w:gridCol w:w="267"/>
        <w:gridCol w:w="269"/>
        <w:gridCol w:w="2040"/>
        <w:gridCol w:w="2040"/>
        <w:gridCol w:w="2895"/>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697"/>
        <w:gridCol w:w="396"/>
        <w:gridCol w:w="401"/>
        <w:gridCol w:w="109"/>
        <w:gridCol w:w="109"/>
        <w:gridCol w:w="109"/>
        <w:gridCol w:w="765"/>
        <w:gridCol w:w="702"/>
        <w:gridCol w:w="703"/>
        <w:gridCol w:w="109"/>
        <w:gridCol w:w="109"/>
        <w:gridCol w:w="109"/>
        <w:gridCol w:w="290"/>
        <w:gridCol w:w="994"/>
        <w:gridCol w:w="151"/>
        <w:gridCol w:w="109"/>
        <w:gridCol w:w="109"/>
        <w:gridCol w:w="109"/>
        <w:gridCol w:w="706"/>
        <w:gridCol w:w="465"/>
        <w:gridCol w:w="467"/>
        <w:gridCol w:w="109"/>
        <w:gridCol w:w="109"/>
        <w:gridCol w:w="109"/>
        <w:gridCol w:w="401"/>
        <w:gridCol w:w="1458"/>
        <w:gridCol w:w="301"/>
      </w:tblGrid>
      <w:tr>
        <w:trPr/>
        <w:tc>
          <w:tcPr>
            <w:tcW w:w="69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(or Units) Purchased </w:t>
            </w:r>
            <w:r>
              <w:rPr>
                <w:rFonts w:ascii="Times New Roman;serif" w:hAnsi="Times New Roman;serif"/>
                <w:b/>
                <w:color w:val="000000"/>
                <w:sz w:val="10"/>
              </w:rPr>
              <w:t>(1)</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(or Units) Purchased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w:t>
            </w:r>
          </w:p>
          <w:p>
            <w:pPr>
              <w:pStyle w:val="TableContents"/>
              <w:bidi w:val="0"/>
              <w:spacing w:lineRule="auto" w:line="240" w:before="0" w:after="0"/>
              <w:jc w:val="center"/>
              <w:rPr/>
            </w:pPr>
            <w:r>
              <w:rPr>
                <w:rFonts w:ascii="Times New Roman;serif" w:hAnsi="Times New Roman;serif"/>
                <w:b/>
                <w:color w:val="000000"/>
                <w:sz w:val="16"/>
              </w:rPr>
              <w:t>Plans or Programs</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Number (or Approximate Dollar Value)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 (or Units) that May Yet Be Purchased Under</w:t>
            </w:r>
          </w:p>
          <w:p>
            <w:pPr>
              <w:pStyle w:val="TableContents"/>
              <w:bidi w:val="0"/>
              <w:spacing w:lineRule="auto" w:line="240" w:before="0" w:after="0"/>
              <w:jc w:val="center"/>
              <w:rPr/>
            </w:pPr>
            <w:r>
              <w:rPr>
                <w:rFonts w:ascii="Times New Roman;serif" w:hAnsi="Times New Roman;serif"/>
                <w:b/>
                <w:color w:val="000000"/>
                <w:sz w:val="16"/>
              </w:rPr>
              <w:t xml:space="preserve">the Plans or Programs (in millions) </w:t>
            </w:r>
            <w:r>
              <w:rPr>
                <w:rFonts w:ascii="Times New Roman;serif" w:hAnsi="Times New Roman;serif"/>
                <w:b/>
                <w:color w:val="000000"/>
                <w:sz w:val="10"/>
              </w:rPr>
              <w:t>(1)</w:t>
            </w:r>
          </w:p>
        </w:tc>
      </w:tr>
      <w:tr>
        <w:trPr/>
        <w:tc>
          <w:tcPr>
            <w:tcW w:w="14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to July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1,135,664 </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243.33 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1,134,275 </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to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515,523 </w:t>
            </w:r>
          </w:p>
        </w:tc>
        <w:tc>
          <w:tcPr>
            <w:tcW w:w="7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w:t>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515,471 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to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478,803 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397,488 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2,129,990 </w:t>
            </w:r>
          </w:p>
        </w:tc>
        <w:tc>
          <w:tcPr>
            <w:tcW w:w="7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2,047,234 </w:t>
            </w:r>
          </w:p>
        </w:tc>
        <w:tc>
          <w:tcPr>
            <w:tcW w:w="4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(1)CME Group maintains a share repurchase program under which CME Group is authorized to repurchase up to $3.0 billion of its outstanding Class A common stock, par value $0.01 per share (the common stock) as announced on December 5, 2024. The share repurchase program has no expiration date.</w:t>
      </w:r>
    </w:p>
    <w:p>
      <w:pPr>
        <w:pStyle w:val="TextBody"/>
        <w:bidi w:val="0"/>
        <w:spacing w:lineRule="auto" w:line="288" w:before="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(2)Includes an aggregate of 1,389 shares of Class A common stock surrendered to satisfy employees' tax obligations upon the vesting of restricted stock.</w:t>
      </w:r>
    </w:p>
    <w:p>
      <w:pPr>
        <w:pStyle w:val="TextBody"/>
        <w:bidi w:val="0"/>
        <w:spacing w:lineRule="auto" w:line="288" w:before="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(3)Includes an aggregate of 52 shares of Class A common stock surrendered to satisfy employee's tax obligations upon the vesting of restricted stock.</w:t>
      </w:r>
    </w:p>
    <w:p>
      <w:pPr>
        <w:pStyle w:val="TextBody"/>
        <w:bidi w:val="0"/>
        <w:spacing w:lineRule="auto" w:line="288" w:before="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(4)Includes an aggregate of 81,315 shares of Class A common stock surrendered to satisfy employee's tax obligations upon the vesting of restricted stock.</w:t>
      </w:r>
    </w:p>
    <w:p>
      <w:pPr>
        <w:pStyle w:val="TextBody"/>
        <w:bidi w:val="0"/>
        <w:spacing w:lineRule="auto" w:line="288" w:before="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(5)Shares purchased includes an aggregate of 82,756 shares of Class A common stock surrendered to satisfy employee tax obligations upon the vesting of restricted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65" w:type="dxa"/>
        <w:jc w:val="left"/>
        <w:tblInd w:w="0" w:type="dxa"/>
        <w:tblLayout w:type="fixed"/>
        <w:tblCellMar>
          <w:top w:w="28" w:type="dxa"/>
          <w:left w:w="28" w:type="dxa"/>
          <w:bottom w:w="28" w:type="dxa"/>
          <w:right w:w="28" w:type="dxa"/>
        </w:tblCellMar>
      </w:tblPr>
      <w:tblGrid>
        <w:gridCol w:w="304"/>
        <w:gridCol w:w="267"/>
        <w:gridCol w:w="269"/>
        <w:gridCol w:w="680"/>
        <w:gridCol w:w="680"/>
        <w:gridCol w:w="965"/>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no director or officer of the company adopted or terminated a "Rule 10b5-1 trading arrangement" or "non-Rule 10b-5 trading arrangement" as such terms are defined in Item 408(a)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tbl>
      <w:tblPr>
        <w:tblW w:w="1936" w:type="dxa"/>
        <w:jc w:val="left"/>
        <w:tblInd w:w="0" w:type="dxa"/>
        <w:tblLayout w:type="fixed"/>
        <w:tblCellMar>
          <w:top w:w="28" w:type="dxa"/>
          <w:left w:w="28" w:type="dxa"/>
          <w:bottom w:w="28" w:type="dxa"/>
          <w:right w:w="28" w:type="dxa"/>
        </w:tblCellMar>
      </w:tblPr>
      <w:tblGrid>
        <w:gridCol w:w="304"/>
        <w:gridCol w:w="267"/>
        <w:gridCol w:w="269"/>
        <w:gridCol w:w="321"/>
        <w:gridCol w:w="321"/>
        <w:gridCol w:w="4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22"/>
        <w:gridCol w:w="173"/>
        <w:gridCol w:w="178"/>
        <w:gridCol w:w="109"/>
        <w:gridCol w:w="109"/>
        <w:gridCol w:w="109"/>
        <w:gridCol w:w="2956"/>
        <w:gridCol w:w="2820"/>
        <w:gridCol w:w="2827"/>
        <w:gridCol w:w="109"/>
        <w:gridCol w:w="109"/>
        <w:gridCol w:w="109"/>
        <w:gridCol w:w="109"/>
        <w:gridCol w:w="109"/>
        <w:gridCol w:w="157"/>
      </w:tblGrid>
      <w:tr>
        <w:trPr/>
        <w:tc>
          <w:tcPr>
            <w:tcW w:w="2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urthamendedandrestatedce.htm">
              <w:r>
                <w:rPr>
                  <w:rStyle w:val="InternetLink"/>
                  <w:rFonts w:ascii="Times New Roman;serif" w:hAnsi="Times New Roman;serif"/>
                  <w:b w:val="false"/>
                  <w:color w:val="0000FF"/>
                  <w:sz w:val="20"/>
                  <w:u w:val="single"/>
                </w:rPr>
                <w:t>Fourth Amended and Restated Certificate of Incorporation of CME Group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Seventeenth Amended and Restated Bylaws of CME Group Inc. (incorporated by reference to Exhibit 3.1 to CME Group Inc.’s Current Report on Form 8-K, filed with the SEC on December 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Elimination of Series G Non-Voting Convertible Preferred Stock of CME Group Inc. (incorporated by reference to Exhibit 3.1 to CME Group Inc.’s Current Report on Form 8-K, filed with the SEC on September 25,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e-202693010qex311.htm">
              <w:r>
                <w:rPr>
                  <w:rStyle w:val="InternetLink"/>
                  <w:rFonts w:ascii="Times New Roman;serif" w:hAnsi="Times New Roman;serif"/>
                  <w:b w:val="false"/>
                  <w:color w:val="0000FF"/>
                  <w:sz w:val="20"/>
                  <w:u w:val="single"/>
                </w:rPr>
                <w:t>Section 302 Certification—Terrence A. Duffy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e-202693010qex312.htm">
              <w:r>
                <w:rPr>
                  <w:rStyle w:val="InternetLink"/>
                  <w:rFonts w:ascii="Times New Roman;serif" w:hAnsi="Times New Roman;serif"/>
                  <w:b w:val="false"/>
                  <w:color w:val="0000FF"/>
                  <w:sz w:val="20"/>
                  <w:u w:val="single"/>
                </w:rPr>
                <w:t>Section 302 Certification—Lynne Fitzpatrick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e-202693010qex321.htm">
              <w:r>
                <w:rPr>
                  <w:rStyle w:val="InternetLink"/>
                  <w:rFonts w:ascii="Times New Roman;serif" w:hAnsi="Times New Roman;serif"/>
                  <w:b w:val="false"/>
                  <w:color w:val="0000FF"/>
                  <w:sz w:val="20"/>
                  <w:u w:val="single"/>
                </w:rPr>
                <w:t>Section 906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CME Group Inc.’s Quarterly Report on Form 10-Q for the quarterly period ended September 30, 2026, formatted in Inline XBRL (Xtensible Business Reporting Language): (i) the Consolidated Balance Sheets, (ii) the Consolidated Statements of Income, (iii) the Consolidated Statements of Comprehensive Income, (iv) the Consolidated Statements of Equity, (v) the Consolidated Statements of Cash Flows and (vi) Notes to Unaudited Consolidated Financial Statements, tagged as blocks of text.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included in the Inline XBRL Document Set for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268660e04f54eaf85a797901aa5fcc9_7">
        <w:r>
          <w:rPr>
            <w:rStyle w:val="InternetLink"/>
            <w:rFonts w:ascii="Times New Roman;serif" w:hAnsi="Times New Roman;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705"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109"/>
        <w:gridCol w:w="109"/>
        <w:gridCol w:w="109"/>
        <w:gridCol w:w="109"/>
        <w:gridCol w:w="109"/>
        <w:gridCol w:w="109"/>
        <w:gridCol w:w="164"/>
        <w:gridCol w:w="164"/>
        <w:gridCol w:w="164"/>
        <w:gridCol w:w="164"/>
        <w:gridCol w:w="164"/>
        <w:gridCol w:w="164"/>
        <w:gridCol w:w="1617"/>
        <w:gridCol w:w="1617"/>
        <w:gridCol w:w="2391"/>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CME Group Inc.</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Lynne Fitzpatrick</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color w:val="000000"/>
                <w:sz w:val="20"/>
              </w:rPr>
              <w:t>Lynne Fitzpatrick</w:t>
              <w:br/>
            </w:r>
            <w:r>
              <w:rPr>
                <w:rFonts w:ascii="Times New Roman;serif" w:hAnsi="Times New Roman;serif"/>
                <w:b/>
                <w:sz w:val="20"/>
              </w:rPr>
              <w:br/>
            </w:r>
            <w:r>
              <w:rPr>
                <w:rFonts w:ascii="Times New Roman;serif" w:hAnsi="Times New Roman;serif"/>
                <w:b/>
                <w:color w:val="000000"/>
                <w:sz w:val="20"/>
              </w:rPr>
              <w:t>Senior Managing Director, President and Chief Financial Officer</w:t>
              <w:br/>
            </w:r>
            <w:r>
              <w:rPr>
                <w:rFonts w:ascii="Times New Roman;serif" w:hAnsi="Times New Roman;serif"/>
                <w:b/>
                <w:sz w:val="20"/>
              </w:rPr>
              <w:br/>
            </w:r>
            <w:r>
              <w:rPr>
                <w:rFonts w:ascii="Times New Roman;serif" w:hAnsi="Times New Roman;serif"/>
                <w:b/>
                <w:color w:val="000000"/>
                <w:sz w:val="20"/>
              </w:rPr>
              <w:t>Principal Financial Offer and</w:t>
              <w:b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tLeast" w:line="229" w:before="100" w:after="100"/>
        <w:jc w:val="right"/>
        <w:rPr>
          <w:rFonts w:ascii="Times New Roman;serif" w:hAnsi="Times New Roman;serif"/>
          <w:b/>
          <w:color w:val="000000"/>
          <w:sz w:val="22"/>
        </w:rPr>
      </w:pPr>
      <w:r>
        <w:rPr>
          <w:rFonts w:ascii="Times New Roman;serif" w:hAnsi="Times New Roman;serif"/>
          <w:b/>
          <w:color w:val="000000"/>
          <w:sz w:val="22"/>
        </w:rPr>
        <w:t xml:space="preserve">Exhibit 3.1 </w:t>
      </w:r>
    </w:p>
    <w:p>
      <w:pPr>
        <w:pStyle w:val="TextBody"/>
        <w:bidi w:val="0"/>
        <w:spacing w:lineRule="atLeast" w:line="229" w:before="17" w:after="283"/>
        <w:jc w:val="center"/>
        <w:rPr>
          <w:rFonts w:ascii="Arial;sans-serif" w:hAnsi="Arial;sans-serif"/>
          <w:b/>
          <w:color w:val="000000"/>
          <w:sz w:val="20"/>
        </w:rPr>
      </w:pPr>
      <w:r>
        <w:rPr>
          <w:rFonts w:ascii="Arial;sans-serif" w:hAnsi="Arial;sans-serif"/>
          <w:b/>
          <w:color w:val="000000"/>
          <w:sz w:val="20"/>
        </w:rPr>
        <w:t xml:space="preserve">FOURTH AMENDED AND RESTATED </w:t>
        <w:br/>
        <w:t xml:space="preserve">CERTIFICATE OF INCORPORATION </w:t>
        <w:br/>
        <w:t xml:space="preserve">OF </w:t>
        <w:br/>
        <w:t>CME GROUP INC.</w:t>
      </w:r>
    </w:p>
    <w:p>
      <w:pPr>
        <w:pStyle w:val="TextBody"/>
        <w:bidi w:val="0"/>
        <w:spacing w:lineRule="atLeast" w:line="229" w:before="281" w:after="283"/>
        <w:jc w:val="left"/>
        <w:rPr/>
      </w:pPr>
      <w:r>
        <w:rPr>
          <w:rFonts w:ascii="Arial;sans-serif" w:hAnsi="Arial;sans-serif"/>
          <w:b w:val="false"/>
          <w:color w:val="000000"/>
          <w:sz w:val="20"/>
        </w:rPr>
        <w:t xml:space="preserve">CME Group Inc. (hereinafter referred to as the </w:t>
      </w:r>
      <w:r>
        <w:rPr>
          <w:color w:val="000000"/>
        </w:rPr>
        <w:t>“</w:t>
      </w:r>
      <w:r>
        <w:rPr>
          <w:rFonts w:ascii="Arial;sans-serif" w:hAnsi="Arial;sans-serif"/>
          <w:b/>
          <w:color w:val="000000"/>
          <w:sz w:val="20"/>
        </w:rPr>
        <w:t>Corporation”</w:t>
      </w:r>
      <w:r>
        <w:rPr>
          <w:rFonts w:ascii="Arial;sans-serif" w:hAnsi="Arial;sans-serif"/>
          <w:b w:val="false"/>
          <w:color w:val="000000"/>
          <w:sz w:val="20"/>
        </w:rPr>
        <w:t>), which was originally incorporated in the State of Delaware on August 2, 2001 under the name Chicago Mercantile Exchange Holdings Inc., hereby certifies that this Fourth Amended and Restated Certificate of Incorporation was duly adopted in accordance with the provisions of Sections 242 and 245 of the General Corporation Law of the State of Delaware. This Fourth Amended and Restated Certificate of Incorporation amends, restates and integrates the provisions of the Corporation’s third amended and restated certificate of incorporation as hereby amended. The text of the third amended and restated certificate of incorporation as heretofore amended is hereby restated to read in its entirety as follows:</w:t>
      </w:r>
    </w:p>
    <w:p>
      <w:pPr>
        <w:pStyle w:val="TextBody"/>
        <w:bidi w:val="0"/>
        <w:spacing w:lineRule="atLeast" w:line="229" w:before="202" w:after="283"/>
        <w:jc w:val="left"/>
        <w:rPr/>
      </w:pPr>
      <w:r>
        <w:rPr>
          <w:rFonts w:ascii="Arial;sans-serif" w:hAnsi="Arial;sans-serif"/>
          <w:b/>
          <w:color w:val="000000"/>
          <w:sz w:val="20"/>
        </w:rPr>
        <w:t xml:space="preserve">ARTICLE ONE: </w:t>
      </w:r>
      <w:r>
        <w:rPr>
          <w:rFonts w:ascii="Arial;sans-serif" w:hAnsi="Arial;sans-serif"/>
          <w:b w:val="false"/>
          <w:color w:val="000000"/>
          <w:sz w:val="20"/>
        </w:rPr>
        <w:t>The name of the corporation is CME Group Inc.</w:t>
      </w:r>
    </w:p>
    <w:p>
      <w:pPr>
        <w:pStyle w:val="TextBody"/>
        <w:bidi w:val="0"/>
        <w:spacing w:lineRule="atLeast" w:line="229" w:before="202" w:after="283"/>
        <w:ind w:left="0" w:right="0" w:firstLine="720"/>
        <w:jc w:val="left"/>
        <w:rPr/>
      </w:pPr>
      <w:r>
        <w:rPr>
          <w:rFonts w:ascii="Arial;sans-serif" w:hAnsi="Arial;sans-serif"/>
          <w:b/>
          <w:color w:val="000000"/>
          <w:sz w:val="20"/>
        </w:rPr>
        <w:t xml:space="preserve">ARTICLE TWO: </w:t>
      </w:r>
      <w:r>
        <w:rPr>
          <w:rFonts w:ascii="Arial;sans-serif" w:hAnsi="Arial;sans-serif"/>
          <w:b w:val="false"/>
          <w:color w:val="000000"/>
          <w:sz w:val="20"/>
        </w:rPr>
        <w:t>The address of the corporation’s registered office in the State of Delaware is 1209 Orange Street, City of Wilmington, County of New Castle, Delaware 19801. The name of the corporation’s registered agent at such address is The Corporation Trust Company.</w:t>
      </w:r>
    </w:p>
    <w:p>
      <w:pPr>
        <w:pStyle w:val="TextBody"/>
        <w:bidi w:val="0"/>
        <w:spacing w:lineRule="atLeast" w:line="229" w:before="202" w:after="283"/>
        <w:jc w:val="left"/>
        <w:rPr/>
      </w:pPr>
      <w:r>
        <w:rPr>
          <w:rFonts w:ascii="Arial;sans-serif" w:hAnsi="Arial;sans-serif"/>
          <w:b/>
          <w:color w:val="000000"/>
          <w:sz w:val="20"/>
        </w:rPr>
        <w:t xml:space="preserve">ARTICLE THREE: </w:t>
      </w:r>
      <w:r>
        <w:rPr>
          <w:rFonts w:ascii="Arial;sans-serif" w:hAnsi="Arial;sans-serif"/>
          <w:b w:val="false"/>
          <w:color w:val="000000"/>
          <w:sz w:val="20"/>
        </w:rPr>
        <w:t>The purpose of the corporation shall be to engage in any lawful act or activity for</w:t>
      </w:r>
    </w:p>
    <w:p>
      <w:pPr>
        <w:pStyle w:val="TextBody"/>
        <w:bidi w:val="0"/>
        <w:spacing w:lineRule="atLeast" w:line="222" w:before="5" w:after="283"/>
        <w:jc w:val="left"/>
        <w:rPr>
          <w:rFonts w:ascii="Arial;sans-serif" w:hAnsi="Arial;sans-serif"/>
          <w:b w:val="false"/>
          <w:color w:val="000000"/>
          <w:sz w:val="20"/>
        </w:rPr>
      </w:pPr>
      <w:r>
        <w:rPr>
          <w:rFonts w:ascii="Arial;sans-serif" w:hAnsi="Arial;sans-serif"/>
          <w:b w:val="false"/>
          <w:color w:val="000000"/>
          <w:sz w:val="20"/>
        </w:rPr>
        <w:t>which corporations may be organized under the General Corporation Law of the State of Delaware, as set forth</w:t>
      </w:r>
    </w:p>
    <w:p>
      <w:pPr>
        <w:pStyle w:val="TextBody"/>
        <w:bidi w:val="0"/>
        <w:spacing w:lineRule="atLeast" w:line="229" w:before="5" w:after="283"/>
        <w:jc w:val="left"/>
        <w:rPr/>
      </w:pPr>
      <w:r>
        <w:rPr>
          <w:rFonts w:ascii="Arial;sans-serif" w:hAnsi="Arial;sans-serif"/>
          <w:b w:val="false"/>
          <w:color w:val="000000"/>
          <w:sz w:val="20"/>
        </w:rPr>
        <w:t xml:space="preserve">in Title 8 of the Delaware Code (the </w:t>
      </w:r>
      <w:r>
        <w:rPr>
          <w:color w:val="000000"/>
        </w:rPr>
        <w:t>“</w:t>
      </w:r>
      <w:r>
        <w:rPr>
          <w:rFonts w:ascii="Arial;sans-serif" w:hAnsi="Arial;sans-serif"/>
          <w:b/>
          <w:color w:val="000000"/>
          <w:sz w:val="20"/>
        </w:rPr>
        <w:t>DGCL”</w:t>
      </w:r>
      <w:r>
        <w:rPr>
          <w:rFonts w:ascii="Arial;sans-serif" w:hAnsi="Arial;sans-serif"/>
          <w:b w:val="false"/>
          <w:color w:val="000000"/>
          <w:sz w:val="20"/>
        </w:rPr>
        <w:t>).</w:t>
      </w:r>
    </w:p>
    <w:p>
      <w:pPr>
        <w:pStyle w:val="TextBody"/>
        <w:bidi w:val="0"/>
        <w:spacing w:lineRule="atLeast" w:line="229" w:before="200" w:after="283"/>
        <w:ind w:left="0" w:right="0" w:firstLine="720"/>
        <w:jc w:val="left"/>
        <w:rPr/>
      </w:pPr>
      <w:r>
        <w:rPr>
          <w:rFonts w:ascii="Arial;sans-serif" w:hAnsi="Arial;sans-serif"/>
          <w:b/>
          <w:color w:val="000000"/>
          <w:sz w:val="20"/>
        </w:rPr>
        <w:t xml:space="preserve">ARTICLE FOUR: </w:t>
      </w:r>
      <w:r>
        <w:rPr>
          <w:rFonts w:ascii="Arial;sans-serif" w:hAnsi="Arial;sans-serif"/>
          <w:b w:val="false"/>
          <w:color w:val="000000"/>
          <w:sz w:val="20"/>
        </w:rPr>
        <w:t>The total number of shares of all classes of capital stock that the corporation is authorized to issue is 1,010,003,138 shares, of which:</w:t>
      </w:r>
    </w:p>
    <w:p>
      <w:pPr>
        <w:pStyle w:val="TextBody"/>
        <w:bidi w:val="0"/>
        <w:spacing w:lineRule="atLeast" w:line="229" w:before="204" w:after="283"/>
        <w:jc w:val="left"/>
        <w:rPr/>
      </w:pPr>
      <w:r>
        <w:rPr>
          <w:rFonts w:ascii="Arial;sans-serif" w:hAnsi="Arial;sans-serif"/>
          <w:b w:val="false"/>
          <w:color w:val="000000"/>
          <w:sz w:val="20"/>
        </w:rPr>
        <w:t xml:space="preserve">10,000,000 shares shall be shares of Preferred Stock, par value $.01 per share (the </w:t>
      </w:r>
      <w:r>
        <w:rPr>
          <w:color w:val="000000"/>
        </w:rPr>
        <w:t>“</w:t>
      </w:r>
      <w:r>
        <w:rPr>
          <w:rFonts w:ascii="Arial;sans-serif" w:hAnsi="Arial;sans-serif"/>
          <w:b/>
          <w:color w:val="000000"/>
          <w:sz w:val="20"/>
        </w:rPr>
        <w:t>Preferred Stock”</w:t>
      </w:r>
      <w:r>
        <w:rPr>
          <w:rFonts w:ascii="Arial;sans-serif" w:hAnsi="Arial;sans-serif"/>
          <w:b w:val="false"/>
          <w:color w:val="000000"/>
          <w:sz w:val="20"/>
        </w:rPr>
        <w:t>);</w:t>
      </w:r>
    </w:p>
    <w:p>
      <w:pPr>
        <w:pStyle w:val="TextBody"/>
        <w:bidi w:val="0"/>
        <w:spacing w:lineRule="atLeast" w:line="229" w:before="200" w:after="283"/>
        <w:jc w:val="left"/>
        <w:rPr/>
      </w:pPr>
      <w:r>
        <w:rPr>
          <w:rFonts w:ascii="Arial;sans-serif" w:hAnsi="Arial;sans-serif"/>
          <w:b w:val="false"/>
          <w:color w:val="000000"/>
          <w:sz w:val="20"/>
        </w:rPr>
        <w:t xml:space="preserve">1,000,000,000 shares shall be shares of Class A Common Stock, par value $.01 per share (the </w:t>
      </w:r>
      <w:r>
        <w:rPr>
          <w:color w:val="000000"/>
        </w:rPr>
        <w:t>“</w:t>
      </w:r>
      <w:r>
        <w:rPr>
          <w:rFonts w:ascii="Arial;sans-serif" w:hAnsi="Arial;sans-serif"/>
          <w:b/>
          <w:color w:val="000000"/>
          <w:sz w:val="20"/>
        </w:rPr>
        <w:t>Class A Common Stock”</w:t>
      </w:r>
      <w:r>
        <w:rPr>
          <w:rFonts w:ascii="Arial;sans-serif" w:hAnsi="Arial;sans-serif"/>
          <w:b w:val="false"/>
          <w:color w:val="000000"/>
          <w:sz w:val="20"/>
        </w:rPr>
        <w:t>);</w:t>
      </w:r>
    </w:p>
    <w:p>
      <w:pPr>
        <w:pStyle w:val="TextBody"/>
        <w:bidi w:val="0"/>
        <w:spacing w:lineRule="atLeast" w:line="229" w:before="204" w:after="283"/>
        <w:jc w:val="both"/>
        <w:rPr/>
      </w:pPr>
      <w:r>
        <w:rPr>
          <w:rFonts w:ascii="Arial;sans-serif" w:hAnsi="Arial;sans-serif"/>
          <w:b w:val="false"/>
          <w:color w:val="000000"/>
          <w:sz w:val="20"/>
        </w:rPr>
        <w:t xml:space="preserve">625 shares shall be shares of Class B-1 Common Stock, par value $.01 per share (the </w:t>
      </w:r>
      <w:r>
        <w:rPr>
          <w:color w:val="000000"/>
        </w:rPr>
        <w:t>“</w:t>
      </w:r>
      <w:r>
        <w:rPr>
          <w:rFonts w:ascii="Arial;sans-serif" w:hAnsi="Arial;sans-serif"/>
          <w:b/>
          <w:color w:val="000000"/>
          <w:sz w:val="20"/>
        </w:rPr>
        <w:t>Class B-1 Common Stock”</w:t>
      </w:r>
      <w:r>
        <w:rPr>
          <w:rFonts w:ascii="Arial;sans-serif" w:hAnsi="Arial;sans-serif"/>
          <w:b w:val="false"/>
          <w:color w:val="000000"/>
          <w:sz w:val="20"/>
        </w:rPr>
        <w:t>);</w:t>
      </w:r>
    </w:p>
    <w:p>
      <w:pPr>
        <w:pStyle w:val="TextBody"/>
        <w:bidi w:val="0"/>
        <w:spacing w:lineRule="atLeast" w:line="229" w:before="200" w:after="283"/>
        <w:jc w:val="both"/>
        <w:rPr/>
      </w:pPr>
      <w:r>
        <w:rPr>
          <w:rFonts w:ascii="Arial;sans-serif" w:hAnsi="Arial;sans-serif"/>
          <w:b w:val="false"/>
          <w:color w:val="000000"/>
          <w:sz w:val="20"/>
        </w:rPr>
        <w:t xml:space="preserve">813 shares shall be shares of Class B-2 Common Stock, par value $.01 per share (the </w:t>
      </w:r>
      <w:r>
        <w:rPr>
          <w:color w:val="000000"/>
        </w:rPr>
        <w:t>“</w:t>
      </w:r>
      <w:r>
        <w:rPr>
          <w:rFonts w:ascii="Arial;sans-serif" w:hAnsi="Arial;sans-serif"/>
          <w:b/>
          <w:color w:val="000000"/>
          <w:sz w:val="20"/>
        </w:rPr>
        <w:t>Class B-2 Common Stock”</w:t>
      </w:r>
      <w:r>
        <w:rPr>
          <w:rFonts w:ascii="Arial;sans-serif" w:hAnsi="Arial;sans-serif"/>
          <w:b w:val="false"/>
          <w:color w:val="000000"/>
          <w:sz w:val="20"/>
        </w:rPr>
        <w:t>);</w:t>
      </w:r>
    </w:p>
    <w:p>
      <w:pPr>
        <w:pStyle w:val="TextBody"/>
        <w:bidi w:val="0"/>
        <w:spacing w:lineRule="atLeast" w:line="229" w:before="204" w:after="283"/>
        <w:jc w:val="left"/>
        <w:rPr/>
      </w:pPr>
      <w:r>
        <w:rPr>
          <w:rFonts w:ascii="Arial;sans-serif" w:hAnsi="Arial;sans-serif"/>
          <w:b w:val="false"/>
          <w:color w:val="000000"/>
          <w:sz w:val="20"/>
        </w:rPr>
        <w:t xml:space="preserve">1,287 shares shall be shares of Class B-3 Common Stock, par value $.01 per share (the </w:t>
      </w:r>
      <w:r>
        <w:rPr>
          <w:color w:val="000000"/>
        </w:rPr>
        <w:t>“</w:t>
      </w:r>
      <w:r>
        <w:rPr>
          <w:rFonts w:ascii="Arial;sans-serif" w:hAnsi="Arial;sans-serif"/>
          <w:b/>
          <w:color w:val="000000"/>
          <w:sz w:val="20"/>
        </w:rPr>
        <w:t>Class B-3 Common Stock”</w:t>
      </w:r>
      <w:r>
        <w:rPr>
          <w:rFonts w:ascii="Arial;sans-serif" w:hAnsi="Arial;sans-serif"/>
          <w:b w:val="false"/>
          <w:color w:val="000000"/>
          <w:sz w:val="20"/>
        </w:rPr>
        <w:t>); and</w:t>
      </w:r>
    </w:p>
    <w:p>
      <w:pPr>
        <w:pStyle w:val="TextBody"/>
        <w:bidi w:val="0"/>
        <w:spacing w:lineRule="atLeast" w:line="229" w:before="200" w:after="283"/>
        <w:jc w:val="both"/>
        <w:rPr/>
      </w:pPr>
      <w:r>
        <w:rPr>
          <w:rFonts w:ascii="Arial;sans-serif" w:hAnsi="Arial;sans-serif"/>
          <w:b w:val="false"/>
          <w:color w:val="000000"/>
          <w:sz w:val="20"/>
        </w:rPr>
        <w:t xml:space="preserve">413 shares shall be shares of Class B-4 Common Stock, par value $.01 per share (the </w:t>
      </w:r>
      <w:r>
        <w:rPr>
          <w:color w:val="000000"/>
        </w:rPr>
        <w:t>“</w:t>
      </w:r>
      <w:r>
        <w:rPr>
          <w:rFonts w:ascii="Arial;sans-serif" w:hAnsi="Arial;sans-serif"/>
          <w:b/>
          <w:color w:val="000000"/>
          <w:sz w:val="20"/>
        </w:rPr>
        <w:t>Class B-4 Common Stock”</w:t>
      </w:r>
      <w:r>
        <w:rPr>
          <w:rFonts w:ascii="Arial;sans-serif" w:hAnsi="Arial;sans-serif"/>
          <w:b w:val="false"/>
          <w:color w:val="000000"/>
          <w:sz w:val="20"/>
        </w:rPr>
        <w:t>).</w:t>
      </w:r>
    </w:p>
    <w:p>
      <w:pPr>
        <w:pStyle w:val="TextBody"/>
        <w:bidi w:val="0"/>
        <w:spacing w:lineRule="atLeast" w:line="229" w:before="204" w:after="283"/>
        <w:jc w:val="left"/>
        <w:rPr/>
      </w:pPr>
      <w:r>
        <w:rPr>
          <w:rFonts w:ascii="Arial;sans-serif" w:hAnsi="Arial;sans-serif"/>
          <w:b w:val="false"/>
          <w:color w:val="000000"/>
          <w:sz w:val="20"/>
        </w:rPr>
        <w:t xml:space="preserve">The term </w:t>
      </w:r>
      <w:r>
        <w:rPr>
          <w:color w:val="000000"/>
        </w:rPr>
        <w:t>“</w:t>
      </w:r>
      <w:r>
        <w:rPr>
          <w:rFonts w:ascii="Arial;sans-serif" w:hAnsi="Arial;sans-serif"/>
          <w:b/>
          <w:color w:val="000000"/>
          <w:sz w:val="20"/>
        </w:rPr>
        <w:t xml:space="preserve">Class B Common Stock” </w:t>
      </w:r>
      <w:r>
        <w:rPr>
          <w:rFonts w:ascii="Arial;sans-serif" w:hAnsi="Arial;sans-serif"/>
          <w:b w:val="false"/>
          <w:color w:val="000000"/>
          <w:sz w:val="20"/>
        </w:rPr>
        <w:t xml:space="preserve">shall mean, collectively, Class B-1 Common Stock, Class B-2 Common Stock, Class B-3 Common Stock and Class B-4 Common Stock. The term </w:t>
      </w:r>
      <w:r>
        <w:rPr>
          <w:color w:val="000000"/>
        </w:rPr>
        <w:t>“</w:t>
      </w:r>
      <w:r>
        <w:rPr>
          <w:rFonts w:ascii="Arial;sans-serif" w:hAnsi="Arial;sans-serif"/>
          <w:b/>
          <w:color w:val="000000"/>
          <w:sz w:val="20"/>
        </w:rPr>
        <w:t xml:space="preserve">Common Stock” </w:t>
      </w:r>
      <w:r>
        <w:rPr>
          <w:rFonts w:ascii="Arial;sans-serif" w:hAnsi="Arial;sans-serif"/>
          <w:b w:val="false"/>
          <w:color w:val="000000"/>
          <w:sz w:val="20"/>
        </w:rPr>
        <w:t>shall mean, collectively, the Class A Common Stock and the Class B Common Stock. The designations, voting powers, optional or other special rights and the qualifications, limitations or restrictions thereof, of the above classes shall be as follows:</w:t>
      </w:r>
    </w:p>
    <w:p>
      <w:pPr>
        <w:pStyle w:val="TextBody"/>
        <w:bidi w:val="0"/>
        <w:spacing w:lineRule="atLeast" w:line="229" w:before="202" w:after="283"/>
        <w:jc w:val="center"/>
        <w:rPr>
          <w:rFonts w:ascii="Arial;sans-serif" w:hAnsi="Arial;sans-serif"/>
          <w:b/>
          <w:color w:val="000000"/>
          <w:sz w:val="20"/>
        </w:rPr>
      </w:pPr>
      <w:r>
        <w:rPr>
          <w:rFonts w:ascii="Arial;sans-serif" w:hAnsi="Arial;sans-serif"/>
          <w:b/>
          <w:color w:val="000000"/>
          <w:sz w:val="20"/>
        </w:rPr>
        <w:t>DIVISION A</w:t>
      </w:r>
    </w:p>
    <w:p>
      <w:pPr>
        <w:pStyle w:val="TextBody"/>
        <w:bidi w:val="0"/>
        <w:spacing w:lineRule="atLeast" w:line="229" w:before="2" w:after="283"/>
        <w:jc w:val="center"/>
        <w:rPr>
          <w:rFonts w:ascii="Arial;sans-serif" w:hAnsi="Arial;sans-serif"/>
          <w:b/>
          <w:color w:val="000000"/>
          <w:sz w:val="20"/>
        </w:rPr>
      </w:pPr>
      <w:r>
        <w:rPr>
          <w:rFonts w:ascii="Arial;sans-serif" w:hAnsi="Arial;sans-serif"/>
          <w:b/>
          <w:color w:val="000000"/>
          <w:sz w:val="20"/>
        </w:rPr>
        <w:t>PREFERRED STOCK</w:t>
      </w:r>
    </w:p>
    <w:p>
      <w:pPr>
        <w:pStyle w:val="TextBody"/>
        <w:bidi w:val="0"/>
        <w:spacing w:lineRule="atLeast" w:line="230" w:before="198" w:after="283"/>
        <w:jc w:val="both"/>
        <w:rPr>
          <w:rFonts w:ascii="Arial;sans-serif" w:hAnsi="Arial;sans-serif"/>
          <w:b w:val="false"/>
          <w:color w:val="000000"/>
          <w:sz w:val="20"/>
        </w:rPr>
      </w:pPr>
      <w:r>
        <w:rPr>
          <w:rFonts w:ascii="Arial;sans-serif" w:hAnsi="Arial;sans-serif"/>
          <w:b w:val="false"/>
          <w:color w:val="000000"/>
          <w:sz w:val="20"/>
        </w:rPr>
        <w:t>The rights, preferences and privileges and qualifications, limitations and restrictions granted to and imposed on the shares of Preferred Stock of the corporation shall be as set forth below in this Division A.</w:t>
      </w:r>
    </w:p>
    <w:p>
      <w:pPr>
        <w:pStyle w:val="TextBody"/>
        <w:bidi w:val="0"/>
        <w:spacing w:lineRule="atLeast" w:line="230" w:before="198" w:after="283"/>
        <w:jc w:val="left"/>
        <w:rPr>
          <w:rFonts w:ascii="Arial;sans-serif" w:hAnsi="Arial;sans-serif"/>
          <w:b w:val="false"/>
          <w:color w:val="000000"/>
          <w:sz w:val="20"/>
        </w:rPr>
      </w:pPr>
      <w:r>
        <w:rPr>
          <w:rFonts w:ascii="Arial;sans-serif" w:hAnsi="Arial;sans-serif"/>
          <w:b w:val="false"/>
          <w:color w:val="000000"/>
          <w:sz w:val="20"/>
        </w:rPr>
        <w:t xml:space="preserve">Shares of Preferred Stock may be issued in one or more series at such time or times, and for such consideration or considerations, as the board of directors shall determine. The board of directors is hereby authorized to fix,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tLeast" w:line="230" w:before="198" w:after="283"/>
        <w:jc w:val="left"/>
        <w:rPr>
          <w:rFonts w:ascii="Arial;sans-serif" w:hAnsi="Arial;sans-serif"/>
          <w:b w:val="false"/>
          <w:color w:val="000000"/>
          <w:sz w:val="20"/>
        </w:rPr>
      </w:pPr>
      <w:r>
        <w:rPr>
          <w:rFonts w:ascii="Arial;sans-serif" w:hAnsi="Arial;sans-serif"/>
          <w:b w:val="false"/>
          <w:color w:val="000000"/>
          <w:sz w:val="20"/>
        </w:rPr>
        <w:t>state and establish, in the resolution or resolutions providing for the issuance of any wholly unissued series of Preferred Stock, the relative powers, rights, designations, preferences, qualifications, limitations and restrictions of such series in relation to any other series of Preferred Stock at the time outstanding. The board of directors is also expressly authorized to fix the number of shares of each such series, but not below the number of shares thereof then outstanding. The authority of the board of directors with respect to each series of Preferred Stock shall include (without limitation) the determination of the following:</w:t>
      </w:r>
    </w:p>
    <w:p>
      <w:pPr>
        <w:pStyle w:val="TextBody"/>
        <w:bidi w:val="0"/>
        <w:spacing w:lineRule="atLeast" w:line="230" w:before="198" w:after="283"/>
        <w:ind w:left="0" w:right="0" w:firstLine="720"/>
        <w:jc w:val="left"/>
        <w:rPr>
          <w:rFonts w:ascii="Arial;sans-serif" w:hAnsi="Arial;sans-serif"/>
          <w:b w:val="false"/>
          <w:color w:val="000000"/>
          <w:sz w:val="20"/>
        </w:rPr>
      </w:pPr>
      <w:r>
        <w:rPr>
          <w:rFonts w:ascii="Arial;sans-serif" w:hAnsi="Arial;sans-serif"/>
          <w:b w:val="false"/>
          <w:color w:val="000000"/>
          <w:sz w:val="20"/>
        </w:rPr>
        <w:t>(a)the dividend rate on the shares of such series, whether dividends shall be cumulative, and, if so, from which date or dates, and the rights of priority, if any, with respect to the payment of dividends on the shares of such series relative to other series of Preferred Stock or classes of stock;</w:t>
      </w:r>
    </w:p>
    <w:p>
      <w:pPr>
        <w:pStyle w:val="TextBody"/>
        <w:bidi w:val="0"/>
        <w:spacing w:lineRule="atLeast" w:line="230" w:before="202" w:after="283"/>
        <w:ind w:left="0" w:right="0" w:firstLine="720"/>
        <w:jc w:val="left"/>
        <w:rPr>
          <w:rFonts w:ascii="Arial;sans-serif" w:hAnsi="Arial;sans-serif"/>
          <w:b w:val="false"/>
          <w:color w:val="000000"/>
          <w:sz w:val="20"/>
        </w:rPr>
      </w:pPr>
      <w:r>
        <w:rPr>
          <w:rFonts w:ascii="Arial;sans-serif" w:hAnsi="Arial;sans-serif"/>
          <w:b w:val="false"/>
          <w:color w:val="000000"/>
          <w:sz w:val="20"/>
        </w:rPr>
        <w:t>(b)whether the shares of such series shall have voting rights (other than the voting rights provided by law) and, if so, the terms and extent of such voting rights;</w:t>
      </w:r>
    </w:p>
    <w:p>
      <w:pPr>
        <w:pStyle w:val="TextBody"/>
        <w:bidi w:val="0"/>
        <w:spacing w:lineRule="atLeast" w:line="223" w:before="204" w:after="283"/>
        <w:ind w:left="0" w:right="0" w:firstLine="720"/>
        <w:jc w:val="left"/>
        <w:rPr>
          <w:rFonts w:ascii="Arial;sans-serif" w:hAnsi="Arial;sans-serif"/>
          <w:b w:val="false"/>
          <w:color w:val="000000"/>
          <w:sz w:val="20"/>
        </w:rPr>
      </w:pPr>
      <w:r>
        <w:rPr>
          <w:rFonts w:ascii="Arial;sans-serif" w:hAnsi="Arial;sans-serif"/>
          <w:b w:val="false"/>
          <w:color w:val="000000"/>
          <w:sz w:val="20"/>
        </w:rPr>
        <w:t>(c)whether the shares of such series shall have conversion privileges, and, if so, the terms and</w:t>
      </w:r>
    </w:p>
    <w:p>
      <w:pPr>
        <w:pStyle w:val="TextBody"/>
        <w:bidi w:val="0"/>
        <w:spacing w:lineRule="atLeast" w:line="223" w:before="8" w:after="283"/>
        <w:jc w:val="left"/>
        <w:rPr>
          <w:rFonts w:ascii="Arial;sans-serif" w:hAnsi="Arial;sans-serif"/>
          <w:b w:val="false"/>
          <w:color w:val="000000"/>
          <w:sz w:val="20"/>
        </w:rPr>
      </w:pPr>
      <w:r>
        <w:rPr>
          <w:rFonts w:ascii="Arial;sans-serif" w:hAnsi="Arial;sans-serif"/>
          <w:b w:val="false"/>
          <w:color w:val="000000"/>
          <w:sz w:val="20"/>
        </w:rPr>
        <w:t>conditions of such conversion, including provision for adjustment of the conversion rate upon the occurrence of</w:t>
      </w:r>
    </w:p>
    <w:p>
      <w:pPr>
        <w:pStyle w:val="TextBody"/>
        <w:bidi w:val="0"/>
        <w:spacing w:lineRule="atLeast" w:line="223" w:before="7" w:after="283"/>
        <w:jc w:val="left"/>
        <w:rPr>
          <w:rFonts w:ascii="Arial;sans-serif" w:hAnsi="Arial;sans-serif"/>
          <w:b w:val="false"/>
          <w:color w:val="000000"/>
          <w:sz w:val="20"/>
        </w:rPr>
      </w:pPr>
      <w:r>
        <w:rPr>
          <w:rFonts w:ascii="Arial;sans-serif" w:hAnsi="Arial;sans-serif"/>
          <w:b w:val="false"/>
          <w:color w:val="000000"/>
          <w:sz w:val="20"/>
        </w:rPr>
        <w:t>such events as the board of directors may prescribe;</w:t>
      </w:r>
    </w:p>
    <w:p>
      <w:pPr>
        <w:pStyle w:val="TextBody"/>
        <w:bidi w:val="0"/>
        <w:spacing w:lineRule="atLeast" w:line="230" w:before="202" w:after="283"/>
        <w:ind w:left="0" w:right="0" w:firstLine="720"/>
        <w:jc w:val="left"/>
        <w:rPr>
          <w:rFonts w:ascii="Arial;sans-serif" w:hAnsi="Arial;sans-serif"/>
          <w:b w:val="false"/>
          <w:color w:val="000000"/>
          <w:sz w:val="20"/>
        </w:rPr>
      </w:pPr>
      <w:r>
        <w:rPr>
          <w:rFonts w:ascii="Arial;sans-serif" w:hAnsi="Arial;sans-serif"/>
          <w:b w:val="false"/>
          <w:color w:val="000000"/>
          <w:sz w:val="20"/>
        </w:rPr>
        <w:t>(d)whether the shares of such series shall be subject to redemption by the corporation or at the request of the holder(s) thereof, and, if so, the terms and conditions of any such redemption;</w:t>
      </w:r>
    </w:p>
    <w:p>
      <w:pPr>
        <w:pStyle w:val="TextBody"/>
        <w:bidi w:val="0"/>
        <w:spacing w:lineRule="atLeast" w:line="223" w:before="205" w:after="283"/>
        <w:ind w:left="0" w:right="0" w:firstLine="720"/>
        <w:jc w:val="left"/>
        <w:rPr>
          <w:rFonts w:ascii="Arial;sans-serif" w:hAnsi="Arial;sans-serif"/>
          <w:b w:val="false"/>
          <w:color w:val="000000"/>
          <w:sz w:val="20"/>
        </w:rPr>
      </w:pPr>
      <w:r>
        <w:rPr>
          <w:rFonts w:ascii="Arial;sans-serif" w:hAnsi="Arial;sans-serif"/>
          <w:b w:val="false"/>
          <w:color w:val="000000"/>
          <w:sz w:val="20"/>
        </w:rPr>
        <w:t>(e)the rights of the shares of such series in the event of voluntary or involuntary liquidation,</w:t>
      </w:r>
    </w:p>
    <w:p>
      <w:pPr>
        <w:pStyle w:val="TextBody"/>
        <w:bidi w:val="0"/>
        <w:spacing w:lineRule="atLeast" w:line="223" w:before="7" w:after="283"/>
        <w:jc w:val="left"/>
        <w:rPr>
          <w:rFonts w:ascii="Arial;sans-serif" w:hAnsi="Arial;sans-serif"/>
          <w:b w:val="false"/>
          <w:color w:val="000000"/>
          <w:sz w:val="20"/>
        </w:rPr>
      </w:pPr>
      <w:r>
        <w:rPr>
          <w:rFonts w:ascii="Arial;sans-serif" w:hAnsi="Arial;sans-serif"/>
          <w:b w:val="false"/>
          <w:color w:val="000000"/>
          <w:sz w:val="20"/>
        </w:rPr>
        <w:t>dissolution or winding up of the corporation, and the rights of priority, if any, with respect to the distribution of</w:t>
      </w:r>
    </w:p>
    <w:p>
      <w:pPr>
        <w:pStyle w:val="TextBody"/>
        <w:bidi w:val="0"/>
        <w:spacing w:lineRule="atLeast" w:line="223" w:before="7" w:after="283"/>
        <w:jc w:val="left"/>
        <w:rPr>
          <w:rFonts w:ascii="Arial;sans-serif" w:hAnsi="Arial;sans-serif"/>
          <w:b w:val="false"/>
          <w:color w:val="000000"/>
          <w:sz w:val="20"/>
        </w:rPr>
      </w:pPr>
      <w:r>
        <w:rPr>
          <w:rFonts w:ascii="Arial;sans-serif" w:hAnsi="Arial;sans-serif"/>
          <w:b w:val="false"/>
          <w:color w:val="000000"/>
          <w:sz w:val="20"/>
        </w:rPr>
        <w:t>assets on the shares of such series relative to other series of Preferred Stock or classes of stock; and</w:t>
      </w:r>
    </w:p>
    <w:p>
      <w:pPr>
        <w:pStyle w:val="TextBody"/>
        <w:bidi w:val="0"/>
        <w:spacing w:lineRule="atLeast" w:line="229" w:before="203" w:after="283"/>
        <w:ind w:left="0" w:right="0" w:firstLine="720"/>
        <w:jc w:val="left"/>
        <w:rPr>
          <w:rFonts w:ascii="Arial;sans-serif" w:hAnsi="Arial;sans-serif"/>
          <w:b w:val="false"/>
          <w:color w:val="000000"/>
          <w:sz w:val="20"/>
        </w:rPr>
      </w:pPr>
      <w:r>
        <w:rPr>
          <w:rFonts w:ascii="Arial;sans-serif" w:hAnsi="Arial;sans-serif"/>
          <w:b w:val="false"/>
          <w:color w:val="000000"/>
          <w:sz w:val="20"/>
        </w:rPr>
        <w:t>(f)any other preferences, privileges and powers, and relative, participating, optional or other special rights, and qualifications, limitations or restrictions of such series, as the board of directors may deem advisable and as shall not be inconsistent with the provisions of this Certificate of Incorporation, as the same may be amended from time to time.</w:t>
      </w:r>
    </w:p>
    <w:p>
      <w:pPr>
        <w:pStyle w:val="TextBody"/>
        <w:bidi w:val="0"/>
        <w:spacing w:lineRule="atLeast" w:line="223" w:before="209" w:after="283"/>
        <w:jc w:val="center"/>
        <w:rPr>
          <w:rFonts w:ascii="Arial;sans-serif" w:hAnsi="Arial;sans-serif"/>
          <w:b w:val="false"/>
          <w:color w:val="000000"/>
          <w:sz w:val="20"/>
        </w:rPr>
      </w:pPr>
      <w:r>
        <w:rPr>
          <w:rFonts w:ascii="Arial;sans-serif" w:hAnsi="Arial;sans-serif"/>
          <w:b w:val="false"/>
          <w:color w:val="000000"/>
          <w:sz w:val="20"/>
        </w:rPr>
        <w:t>* * * *</w:t>
      </w:r>
    </w:p>
    <w:p>
      <w:pPr>
        <w:pStyle w:val="TextBody"/>
        <w:bidi w:val="0"/>
        <w:spacing w:lineRule="atLeast" w:line="226" w:before="185" w:after="283"/>
        <w:jc w:val="center"/>
        <w:rPr>
          <w:rFonts w:ascii="Arial;sans-serif" w:hAnsi="Arial;sans-serif"/>
          <w:b/>
          <w:color w:val="000000"/>
          <w:sz w:val="20"/>
        </w:rPr>
      </w:pPr>
      <w:r>
        <w:rPr>
          <w:rFonts w:ascii="Arial;sans-serif" w:hAnsi="Arial;sans-serif"/>
          <w:b/>
          <w:color w:val="000000"/>
          <w:sz w:val="20"/>
        </w:rPr>
        <w:t>DIVISION B</w:t>
      </w:r>
    </w:p>
    <w:p>
      <w:pPr>
        <w:pStyle w:val="TextBody"/>
        <w:bidi w:val="0"/>
        <w:spacing w:lineRule="atLeast" w:line="226" w:before="4" w:after="283"/>
        <w:jc w:val="center"/>
        <w:rPr>
          <w:rFonts w:ascii="Arial;sans-serif" w:hAnsi="Arial;sans-serif"/>
          <w:b/>
          <w:color w:val="000000"/>
          <w:sz w:val="20"/>
        </w:rPr>
      </w:pPr>
      <w:r>
        <w:rPr>
          <w:rFonts w:ascii="Arial;sans-serif" w:hAnsi="Arial;sans-serif"/>
          <w:b/>
          <w:color w:val="000000"/>
          <w:sz w:val="20"/>
        </w:rPr>
        <w:t>COMMON STOCK</w:t>
      </w:r>
    </w:p>
    <w:p>
      <w:pPr>
        <w:pStyle w:val="TextBody"/>
        <w:bidi w:val="0"/>
        <w:spacing w:lineRule="atLeast" w:line="226" w:before="96" w:after="283"/>
        <w:jc w:val="left"/>
        <w:rPr>
          <w:rFonts w:ascii="Arial;sans-serif" w:hAnsi="Arial;sans-serif"/>
          <w:b/>
          <w:color w:val="000000"/>
          <w:sz w:val="20"/>
        </w:rPr>
      </w:pPr>
      <w:r>
        <w:rPr>
          <w:rFonts w:ascii="Arial;sans-serif" w:hAnsi="Arial;sans-serif"/>
          <w:b/>
          <w:color w:val="000000"/>
          <w:sz w:val="20"/>
        </w:rPr>
        <w:t>SUBDIVISION 1. GENERAL PROVISIONS</w:t>
      </w:r>
    </w:p>
    <w:p>
      <w:pPr>
        <w:pStyle w:val="TextBody"/>
        <w:bidi w:val="0"/>
        <w:spacing w:lineRule="atLeast" w:line="230" w:before="194" w:after="283"/>
        <w:jc w:val="left"/>
        <w:rPr>
          <w:rFonts w:ascii="Arial;sans-serif" w:hAnsi="Arial;sans-serif"/>
          <w:b w:val="false"/>
          <w:color w:val="000000"/>
          <w:sz w:val="20"/>
        </w:rPr>
      </w:pPr>
      <w:r>
        <w:rPr>
          <w:rFonts w:ascii="Arial;sans-serif" w:hAnsi="Arial;sans-serif"/>
          <w:b w:val="false"/>
          <w:color w:val="000000"/>
          <w:sz w:val="20"/>
        </w:rPr>
        <w:t>The rights, preferences and privileges, and qualifications, limitations and restrictions granted to and imposed on the classes of Common Stock shall be as set forth in this Division B.</w:t>
      </w:r>
    </w:p>
    <w:p>
      <w:pPr>
        <w:pStyle w:val="TextBody"/>
        <w:bidi w:val="0"/>
        <w:spacing w:lineRule="atLeast" w:line="226" w:before="209" w:after="283"/>
        <w:jc w:val="left"/>
        <w:rPr>
          <w:rFonts w:ascii="Arial;sans-serif" w:hAnsi="Arial;sans-serif"/>
          <w:b/>
          <w:color w:val="000000"/>
          <w:sz w:val="20"/>
        </w:rPr>
      </w:pPr>
      <w:r>
        <w:rPr>
          <w:rFonts w:ascii="Arial;sans-serif" w:hAnsi="Arial;sans-serif"/>
          <w:b/>
          <w:color w:val="000000"/>
          <w:sz w:val="20"/>
        </w:rPr>
        <w:t>SECTION 1. DEFINITIONS.</w:t>
      </w:r>
    </w:p>
    <w:p>
      <w:pPr>
        <w:pStyle w:val="TextBody"/>
        <w:bidi w:val="0"/>
        <w:spacing w:lineRule="atLeast" w:line="230" w:before="118"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to the terms defined elsewhere, the following terms shall have the respective meanings set forth below:</w:t>
      </w:r>
    </w:p>
    <w:p>
      <w:pPr>
        <w:pStyle w:val="TextBody"/>
        <w:bidi w:val="0"/>
        <w:spacing w:lineRule="atLeast" w:line="230" w:before="199" w:after="283"/>
        <w:ind w:left="0" w:right="0" w:firstLine="720"/>
        <w:jc w:val="left"/>
        <w:rPr/>
      </w:pPr>
      <w:r>
        <w:rPr>
          <w:color w:val="000000"/>
        </w:rPr>
        <w:t>“</w:t>
      </w:r>
      <w:r>
        <w:rPr>
          <w:rFonts w:ascii="Arial;sans-serif" w:hAnsi="Arial;sans-serif"/>
          <w:b/>
          <w:color w:val="000000"/>
          <w:sz w:val="20"/>
        </w:rPr>
        <w:t xml:space="preserve">Core Rights” </w:t>
      </w:r>
      <w:r>
        <w:rPr>
          <w:rFonts w:ascii="Arial;sans-serif" w:hAnsi="Arial;sans-serif"/>
          <w:b w:val="false"/>
          <w:color w:val="000000"/>
          <w:sz w:val="20"/>
        </w:rPr>
        <w:t>shall mean: (1) the divisional product allocation rules applicable to each membership class as set forth in the rules of the Exchange; (2) the trading floor access rights and privileges granted to members of the Exchange; (3) the number of authorized and issued shares of any class of Class B Common Stock; or (4) the eligibility requirements for any Person to exercise any of the trading rights or privileges of members in the Exchange.</w:t>
      </w:r>
    </w:p>
    <w:p>
      <w:pPr>
        <w:pStyle w:val="TextBody"/>
        <w:bidi w:val="0"/>
        <w:spacing w:lineRule="atLeast" w:line="226" w:before="127" w:after="283"/>
        <w:jc w:val="left"/>
        <w:rPr/>
      </w:pPr>
      <w:r>
        <w:rPr>
          <w:color w:val="000000"/>
        </w:rPr>
        <w:t>“</w:t>
      </w:r>
      <w:r>
        <w:rPr>
          <w:rFonts w:ascii="Arial;sans-serif" w:hAnsi="Arial;sans-serif"/>
          <w:b/>
          <w:color w:val="000000"/>
          <w:sz w:val="20"/>
        </w:rPr>
        <w:t xml:space="preserve">Exchange” </w:t>
      </w:r>
      <w:r>
        <w:rPr>
          <w:rFonts w:ascii="Arial;sans-serif" w:hAnsi="Arial;sans-serif"/>
          <w:b w:val="false"/>
          <w:color w:val="000000"/>
          <w:sz w:val="20"/>
        </w:rPr>
        <w:t>shall mean Chicago Mercantile Exchange Inc., a subsidiary of the corporation.</w:t>
      </w:r>
    </w:p>
    <w:p>
      <w:pPr>
        <w:pStyle w:val="TextBody"/>
        <w:bidi w:val="0"/>
        <w:spacing w:lineRule="atLeast" w:line="226" w:before="125" w:after="283"/>
        <w:jc w:val="left"/>
        <w:rPr/>
      </w:pPr>
      <w:r>
        <w:rPr>
          <w:color w:val="000000"/>
        </w:rPr>
        <w:t>“</w:t>
      </w:r>
      <w:r>
        <w:rPr>
          <w:rFonts w:ascii="Arial;sans-serif" w:hAnsi="Arial;sans-serif"/>
          <w:b/>
          <w:color w:val="000000"/>
          <w:sz w:val="20"/>
        </w:rPr>
        <w:t xml:space="preserve">Person” </w:t>
      </w:r>
      <w:r>
        <w:rPr>
          <w:rFonts w:ascii="Arial;sans-serif" w:hAnsi="Arial;sans-serif"/>
          <w:b w:val="false"/>
          <w:color w:val="000000"/>
          <w:sz w:val="20"/>
        </w:rPr>
        <w:t>shall mean any individual, corporation, partnership, trust or other entity.</w:t>
      </w:r>
    </w:p>
    <w:p>
      <w:pPr>
        <w:pStyle w:val="TextBody"/>
        <w:bidi w:val="0"/>
        <w:spacing w:lineRule="atLeast" w:line="226" w:before="124" w:after="283"/>
        <w:jc w:val="left"/>
        <w:rPr/>
      </w:pPr>
      <w:r>
        <w:rPr>
          <w:color w:val="000000"/>
        </w:rPr>
        <w:t>“</w:t>
      </w:r>
      <w:r>
        <w:rPr>
          <w:rFonts w:ascii="Arial;sans-serif" w:hAnsi="Arial;sans-serif"/>
          <w:b/>
          <w:color w:val="000000"/>
          <w:sz w:val="20"/>
        </w:rPr>
        <w:t xml:space="preserve">CBOT” </w:t>
      </w:r>
      <w:r>
        <w:rPr>
          <w:rFonts w:ascii="Arial;sans-serif" w:hAnsi="Arial;sans-serif"/>
          <w:b w:val="false"/>
          <w:color w:val="000000"/>
          <w:sz w:val="20"/>
        </w:rPr>
        <w:t>shall mean Board of Trade of the City of Chicago, Inc., a subsidiary of the corporation.</w:t>
      </w:r>
    </w:p>
    <w:p>
      <w:pPr>
        <w:pStyle w:val="TextBody"/>
        <w:bidi w:val="0"/>
        <w:spacing w:lineRule="atLeast" w:line="230" w:before="118" w:after="1329"/>
        <w:ind w:left="0" w:right="0" w:firstLine="720"/>
        <w:jc w:val="left"/>
        <w:rPr/>
      </w:pPr>
      <w:r>
        <w:rPr>
          <w:rFonts w:ascii="Arial;sans-serif" w:hAnsi="Arial;sans-serif"/>
          <w:b w:val="false"/>
          <w:color w:val="000000"/>
          <w:sz w:val="20"/>
        </w:rPr>
        <w:t xml:space="preserve">A </w:t>
      </w:r>
      <w:r>
        <w:rPr>
          <w:color w:val="000000"/>
        </w:rPr>
        <w:t>“</w:t>
      </w:r>
      <w:r>
        <w:rPr>
          <w:rFonts w:ascii="Arial;sans-serif" w:hAnsi="Arial;sans-serif"/>
          <w:b/>
          <w:color w:val="000000"/>
          <w:sz w:val="20"/>
        </w:rPr>
        <w:t xml:space="preserve">Transfer” </w:t>
      </w:r>
      <w:r>
        <w:rPr>
          <w:rFonts w:ascii="Arial;sans-serif" w:hAnsi="Arial;sans-serif"/>
          <w:b w:val="false"/>
          <w:color w:val="000000"/>
          <w:sz w:val="20"/>
        </w:rPr>
        <w:t xml:space="preserve">(and the related term </w:t>
      </w:r>
      <w:r>
        <w:rPr>
          <w:color w:val="000000"/>
        </w:rPr>
        <w:t>“</w:t>
      </w:r>
      <w:r>
        <w:rPr>
          <w:rFonts w:ascii="Arial;sans-serif" w:hAnsi="Arial;sans-serif"/>
          <w:b/>
          <w:color w:val="000000"/>
          <w:sz w:val="20"/>
        </w:rPr>
        <w:t>Transferred”</w:t>
      </w:r>
      <w:r>
        <w:rPr>
          <w:rFonts w:ascii="Arial;sans-serif" w:hAnsi="Arial;sans-serif"/>
          <w:b w:val="false"/>
          <w:color w:val="000000"/>
          <w:sz w:val="20"/>
        </w:rPr>
        <w:t>) shall mean any sale, pledge, gift, assignment or other transfer of any ownership in any share of Class B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210" w:after="283"/>
        <w:jc w:val="center"/>
        <w:rPr/>
      </w:pPr>
      <w:r>
        <w:rPr/>
      </w:r>
    </w:p>
    <w:p>
      <w:pPr>
        <w:pStyle w:val="TextBody"/>
        <w:bidi w:val="0"/>
        <w:spacing w:lineRule="atLeast" w:line="229" w:before="16" w:after="283"/>
        <w:jc w:val="left"/>
        <w:rPr>
          <w:rFonts w:ascii="Arial;sans-serif" w:hAnsi="Arial;sans-serif"/>
          <w:b/>
          <w:color w:val="000000"/>
          <w:sz w:val="20"/>
        </w:rPr>
      </w:pPr>
      <w:r>
        <w:rPr>
          <w:rFonts w:ascii="Arial;sans-serif" w:hAnsi="Arial;sans-serif"/>
          <w:b/>
          <w:color w:val="000000"/>
          <w:sz w:val="20"/>
        </w:rPr>
        <w:t>SECTION 2. GENERAL.</w:t>
      </w:r>
    </w:p>
    <w:p>
      <w:pPr>
        <w:pStyle w:val="TextBody"/>
        <w:bidi w:val="0"/>
        <w:spacing w:lineRule="atLeast" w:line="230" w:before="114" w:after="283"/>
        <w:jc w:val="left"/>
        <w:rPr>
          <w:rFonts w:ascii="Arial;sans-serif" w:hAnsi="Arial;sans-serif"/>
          <w:b w:val="false"/>
          <w:color w:val="000000"/>
          <w:sz w:val="20"/>
        </w:rPr>
      </w:pPr>
      <w:r>
        <w:rPr>
          <w:rFonts w:ascii="Arial;sans-serif" w:hAnsi="Arial;sans-serif"/>
          <w:b w:val="false"/>
          <w:color w:val="000000"/>
          <w:sz w:val="20"/>
        </w:rPr>
        <w:t>Except as otherwise set forth in this Division B, the relative powers, preferences and participating,</w:t>
      </w:r>
    </w:p>
    <w:p>
      <w:pPr>
        <w:pStyle w:val="TextBody"/>
        <w:bidi w:val="0"/>
        <w:spacing w:lineRule="atLeast" w:line="230" w:before="1" w:after="283"/>
        <w:jc w:val="left"/>
        <w:rPr>
          <w:rFonts w:ascii="Arial;sans-serif" w:hAnsi="Arial;sans-serif"/>
          <w:b w:val="false"/>
          <w:color w:val="000000"/>
          <w:sz w:val="20"/>
        </w:rPr>
      </w:pPr>
      <w:r>
        <w:rPr>
          <w:rFonts w:ascii="Arial;sans-serif" w:hAnsi="Arial;sans-serif"/>
          <w:b w:val="false"/>
          <w:color w:val="000000"/>
          <w:sz w:val="20"/>
        </w:rPr>
        <w:t>optional or other special rights, and the qualifications, limitations or restrictions of each class of Common Stock</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shall be identical in all respects.</w:t>
      </w:r>
    </w:p>
    <w:p>
      <w:pPr>
        <w:pStyle w:val="TextBody"/>
        <w:bidi w:val="0"/>
        <w:spacing w:lineRule="atLeast" w:line="229" w:before="204" w:after="283"/>
        <w:jc w:val="left"/>
        <w:rPr>
          <w:rFonts w:ascii="Arial;sans-serif" w:hAnsi="Arial;sans-serif"/>
          <w:b/>
          <w:color w:val="000000"/>
          <w:sz w:val="20"/>
        </w:rPr>
      </w:pPr>
      <w:r>
        <w:rPr>
          <w:rFonts w:ascii="Arial;sans-serif" w:hAnsi="Arial;sans-serif"/>
          <w:b/>
          <w:color w:val="000000"/>
          <w:sz w:val="20"/>
        </w:rPr>
        <w:t>SECTION 3. DIVIDENDS.</w:t>
      </w:r>
    </w:p>
    <w:p>
      <w:pPr>
        <w:pStyle w:val="TextBody"/>
        <w:bidi w:val="0"/>
        <w:spacing w:lineRule="atLeast" w:line="230" w:before="116" w:after="283"/>
        <w:ind w:left="0" w:right="0" w:firstLine="720"/>
        <w:jc w:val="left"/>
        <w:rPr>
          <w:rFonts w:ascii="Arial;sans-serif" w:hAnsi="Arial;sans-serif"/>
          <w:b w:val="false"/>
          <w:color w:val="000000"/>
          <w:sz w:val="20"/>
        </w:rPr>
      </w:pPr>
      <w:r>
        <w:rPr>
          <w:rFonts w:ascii="Arial;sans-serif" w:hAnsi="Arial;sans-serif"/>
          <w:b w:val="false"/>
          <w:color w:val="000000"/>
          <w:sz w:val="20"/>
        </w:rPr>
        <w:t>Subject to the rights of the holders of Preferred Stock, holders of Common Stock shall be entitled to receive such dividends and other distributions in cash, stock of any corporation or property of the corporation as may be declared thereon by the board of directors from time to time out of assets or funds of the corporation legally available therefore, and shall share equally on a per share basis in all such dividends and other distributions.</w:t>
      </w:r>
    </w:p>
    <w:p>
      <w:pPr>
        <w:pStyle w:val="TextBody"/>
        <w:bidi w:val="0"/>
        <w:spacing w:lineRule="atLeast" w:line="229" w:before="209" w:after="283"/>
        <w:jc w:val="left"/>
        <w:rPr>
          <w:rFonts w:ascii="Arial;sans-serif" w:hAnsi="Arial;sans-serif"/>
          <w:b/>
          <w:color w:val="000000"/>
          <w:sz w:val="20"/>
        </w:rPr>
      </w:pPr>
      <w:r>
        <w:rPr>
          <w:rFonts w:ascii="Arial;sans-serif" w:hAnsi="Arial;sans-serif"/>
          <w:b/>
          <w:color w:val="000000"/>
          <w:sz w:val="20"/>
        </w:rPr>
        <w:t>SECTION 4. VOTING RIGHTS.</w:t>
      </w:r>
    </w:p>
    <w:p>
      <w:pPr>
        <w:pStyle w:val="TextBody"/>
        <w:bidi w:val="0"/>
        <w:spacing w:lineRule="atLeast" w:line="230" w:before="113" w:after="283"/>
        <w:ind w:left="0" w:right="0" w:firstLine="720"/>
        <w:jc w:val="left"/>
        <w:rPr>
          <w:rFonts w:ascii="Arial;sans-serif" w:hAnsi="Arial;sans-serif"/>
          <w:b w:val="false"/>
          <w:color w:val="000000"/>
          <w:sz w:val="20"/>
        </w:rPr>
      </w:pPr>
      <w:r>
        <w:rPr>
          <w:rFonts w:ascii="Arial;sans-serif" w:hAnsi="Arial;sans-serif"/>
          <w:b w:val="false"/>
          <w:color w:val="000000"/>
          <w:sz w:val="20"/>
        </w:rPr>
        <w:t>Subject to the rights of holders of Class B Common Stock set forth in this Division B at every meeting of the shareholders of the corporation in connection with the election of Equity Directors (as defined below) and all other matters submitted to a vote of shareholders, every holder of Common Stock shall be entitled to one vote in person or by proxy for each share of Common Stock registered in his or her name on the transfer books of the corporation. Except as otherwise required by law or by this Division B, the holders of each class of Common Stock shall vote together as a single class, subject to any right that may be conferred upon holders of Preferred Stock to vote together with holders of Common Stock on all matters submitted to a vote of shareholders of the corporation.</w:t>
      </w:r>
    </w:p>
    <w:p>
      <w:pPr>
        <w:pStyle w:val="TextBody"/>
        <w:bidi w:val="0"/>
        <w:spacing w:lineRule="atLeast" w:line="229" w:before="204" w:after="283"/>
        <w:jc w:val="left"/>
        <w:rPr>
          <w:rFonts w:ascii="Arial;sans-serif" w:hAnsi="Arial;sans-serif"/>
          <w:b/>
          <w:color w:val="000000"/>
          <w:sz w:val="20"/>
        </w:rPr>
      </w:pPr>
      <w:r>
        <w:rPr>
          <w:rFonts w:ascii="Arial;sans-serif" w:hAnsi="Arial;sans-serif"/>
          <w:b/>
          <w:color w:val="000000"/>
          <w:sz w:val="20"/>
        </w:rPr>
        <w:t>SECTION 5. LIQUIDATION RIGHTS.</w:t>
      </w:r>
    </w:p>
    <w:p>
      <w:pPr>
        <w:pStyle w:val="TextBody"/>
        <w:bidi w:val="0"/>
        <w:spacing w:lineRule="atLeast" w:line="230" w:before="116" w:after="283"/>
        <w:ind w:left="0" w:right="0" w:firstLine="720"/>
        <w:jc w:val="left"/>
        <w:rPr>
          <w:rFonts w:ascii="Arial;sans-serif" w:hAnsi="Arial;sans-serif"/>
          <w:b w:val="false"/>
          <w:color w:val="000000"/>
          <w:sz w:val="20"/>
        </w:rPr>
      </w:pPr>
      <w:r>
        <w:rPr>
          <w:rFonts w:ascii="Arial;sans-serif" w:hAnsi="Arial;sans-serif"/>
          <w:b w:val="false"/>
          <w:color w:val="000000"/>
          <w:sz w:val="20"/>
        </w:rPr>
        <w:t>Upon the liquidation, dissolution or winding up of the corporation, holders of Common Stock shall be entitled to receive any amounts available for distribution to holders of Common Stock after the payment of, or provision for, obligations of the corporation and any preferential amounts payable to holders of any outstanding shares of Preferred Stock.</w:t>
      </w:r>
    </w:p>
    <w:p>
      <w:pPr>
        <w:pStyle w:val="TextBody"/>
        <w:bidi w:val="0"/>
        <w:spacing w:lineRule="atLeast" w:line="229" w:before="458" w:after="283"/>
        <w:jc w:val="left"/>
        <w:rPr>
          <w:rFonts w:ascii="Arial;sans-serif" w:hAnsi="Arial;sans-serif"/>
          <w:b/>
          <w:color w:val="000000"/>
          <w:sz w:val="20"/>
        </w:rPr>
      </w:pPr>
      <w:r>
        <w:rPr>
          <w:rFonts w:ascii="Arial;sans-serif" w:hAnsi="Arial;sans-serif"/>
          <w:b/>
          <w:color w:val="000000"/>
          <w:sz w:val="20"/>
        </w:rPr>
        <w:t>SUBDIVISION 2. CLASS B COMMON STOCK</w:t>
      </w:r>
    </w:p>
    <w:p>
      <w:pPr>
        <w:pStyle w:val="TextBody"/>
        <w:bidi w:val="0"/>
        <w:spacing w:lineRule="atLeast" w:line="230" w:before="193" w:after="283"/>
        <w:jc w:val="left"/>
        <w:rPr>
          <w:rFonts w:ascii="Arial;sans-serif" w:hAnsi="Arial;sans-serif"/>
          <w:b w:val="false"/>
          <w:color w:val="000000"/>
          <w:sz w:val="20"/>
        </w:rPr>
      </w:pPr>
      <w:r>
        <w:rPr>
          <w:rFonts w:ascii="Arial;sans-serif" w:hAnsi="Arial;sans-serif"/>
          <w:b w:val="false"/>
          <w:color w:val="000000"/>
          <w:sz w:val="20"/>
        </w:rPr>
        <w:t>In addition to the rights, preferences and privileges, and qualifications, limitations and restrictions granted to and imposed on the shares of Class B Common Stock of the corporation as set forth in Subdivision 1 of this Division B, the rights, preferences and privileges, and qualifications, limitations and restrictions granted to and imposed on the shares of Class B Common Stock of the corporation shall be as set forth in this Subdivision 2 of this Division B.</w:t>
      </w:r>
    </w:p>
    <w:p>
      <w:pPr>
        <w:pStyle w:val="TextBody"/>
        <w:bidi w:val="0"/>
        <w:spacing w:lineRule="atLeast" w:line="229" w:before="209" w:after="283"/>
        <w:jc w:val="left"/>
        <w:rPr>
          <w:rFonts w:ascii="Arial;sans-serif" w:hAnsi="Arial;sans-serif"/>
          <w:b/>
          <w:color w:val="000000"/>
          <w:sz w:val="20"/>
        </w:rPr>
      </w:pPr>
      <w:r>
        <w:rPr>
          <w:rFonts w:ascii="Arial;sans-serif" w:hAnsi="Arial;sans-serif"/>
          <w:b/>
          <w:color w:val="000000"/>
          <w:sz w:val="20"/>
        </w:rPr>
        <w:t>SECTION 1. SPECIAL VOTING RIGHTS.</w:t>
      </w:r>
    </w:p>
    <w:p>
      <w:pPr>
        <w:pStyle w:val="TextBody"/>
        <w:bidi w:val="0"/>
        <w:spacing w:lineRule="atLeast" w:line="230" w:before="114" w:after="283"/>
        <w:jc w:val="left"/>
        <w:rPr>
          <w:rFonts w:ascii="Arial;sans-serif" w:hAnsi="Arial;sans-serif"/>
          <w:b w:val="false"/>
          <w:color w:val="000000"/>
          <w:sz w:val="20"/>
        </w:rPr>
      </w:pPr>
      <w:r>
        <w:rPr>
          <w:rFonts w:ascii="Arial;sans-serif" w:hAnsi="Arial;sans-serif"/>
          <w:b w:val="false"/>
          <w:color w:val="000000"/>
          <w:sz w:val="20"/>
        </w:rPr>
        <w:t>In addition to the voting rights set forth in Subdivision 1 of this Division B, the holders of shares of</w:t>
      </w:r>
    </w:p>
    <w:p>
      <w:pPr>
        <w:pStyle w:val="TextBody"/>
        <w:bidi w:val="0"/>
        <w:spacing w:lineRule="atLeast" w:line="230" w:before="1" w:after="283"/>
        <w:jc w:val="left"/>
        <w:rPr>
          <w:rFonts w:ascii="Arial;sans-serif" w:hAnsi="Arial;sans-serif"/>
          <w:b w:val="false"/>
          <w:color w:val="000000"/>
          <w:sz w:val="20"/>
        </w:rPr>
      </w:pPr>
      <w:r>
        <w:rPr>
          <w:rFonts w:ascii="Arial;sans-serif" w:hAnsi="Arial;sans-serif"/>
          <w:b w:val="false"/>
          <w:color w:val="000000"/>
          <w:sz w:val="20"/>
        </w:rPr>
        <w:t>Class B Common Stock shall, subject to Paragraph (c) of this Section 1, have the following additional voting</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rights:</w:t>
      </w:r>
    </w:p>
    <w:p>
      <w:pPr>
        <w:pStyle w:val="TextBody"/>
        <w:bidi w:val="0"/>
        <w:spacing w:lineRule="atLeast" w:line="230" w:before="201" w:after="283"/>
        <w:ind w:left="0" w:right="0" w:firstLine="720"/>
        <w:jc w:val="left"/>
        <w:rPr/>
      </w:pPr>
      <w:r>
        <w:rPr>
          <w:rFonts w:ascii="Arial;sans-serif" w:hAnsi="Arial;sans-serif"/>
          <w:b/>
          <w:color w:val="000000"/>
          <w:sz w:val="20"/>
        </w:rPr>
        <w:t>(a)ELECTION OF CLASS B DIRECTORS</w:t>
      </w:r>
      <w:r>
        <w:rPr>
          <w:rFonts w:ascii="Arial;sans-serif" w:hAnsi="Arial;sans-serif"/>
          <w:b w:val="false"/>
          <w:color w:val="000000"/>
          <w:sz w:val="20"/>
        </w:rPr>
        <w:t xml:space="preserve">. Subject to and in accordance with Article Five, holders of shares of Class B-1 Common Stock shall have the sole right to elect three directors to the corporation’s board of directors (the </w:t>
      </w:r>
      <w:r>
        <w:rPr>
          <w:color w:val="000000"/>
        </w:rPr>
        <w:t>“</w:t>
      </w:r>
      <w:r>
        <w:rPr>
          <w:rFonts w:ascii="Arial;sans-serif" w:hAnsi="Arial;sans-serif"/>
          <w:b/>
          <w:color w:val="000000"/>
          <w:sz w:val="20"/>
        </w:rPr>
        <w:t>Class B-1 Directors”</w:t>
      </w:r>
      <w:r>
        <w:rPr>
          <w:rFonts w:ascii="Arial;sans-serif" w:hAnsi="Arial;sans-serif"/>
          <w:b w:val="false"/>
          <w:color w:val="000000"/>
          <w:sz w:val="20"/>
        </w:rPr>
        <w:t>),and each holder of Class B-1 Common Stock shall have one vote per share in any such election. Holders of shares of Class B-2 Common Stock shall have the sole right to elect two directors to the corporation’s board of directors (the “</w:t>
      </w:r>
      <w:r>
        <w:rPr>
          <w:rFonts w:ascii="Arial;sans-serif" w:hAnsi="Arial;sans-serif"/>
          <w:b/>
          <w:color w:val="000000"/>
          <w:sz w:val="20"/>
        </w:rPr>
        <w:t>Class B-2 Directors</w:t>
      </w:r>
      <w:r>
        <w:rPr>
          <w:color w:val="000000"/>
        </w:rPr>
        <w:t>”</w:t>
      </w:r>
      <w:r>
        <w:rPr>
          <w:rFonts w:ascii="Arial;sans-serif" w:hAnsi="Arial;sans-serif"/>
          <w:b w:val="false"/>
          <w:color w:val="000000"/>
          <w:sz w:val="20"/>
        </w:rPr>
        <w:t>), and each holder of Class B-2 Common Stock shall have one vote per share in any such election. Holders of shares of Class B-3 Common Stock shall have the sole right to elect one director to the corporation’s board of directors (the “</w:t>
      </w:r>
      <w:r>
        <w:rPr>
          <w:rFonts w:ascii="Arial;sans-serif" w:hAnsi="Arial;sans-serif"/>
          <w:b/>
          <w:color w:val="000000"/>
          <w:sz w:val="20"/>
        </w:rPr>
        <w:t>Class B-3 Director</w:t>
      </w:r>
      <w:r>
        <w:rPr>
          <w:color w:val="000000"/>
        </w:rPr>
        <w:t xml:space="preserve">” </w:t>
      </w:r>
      <w:r>
        <w:rPr>
          <w:rFonts w:ascii="Arial;sans-serif" w:hAnsi="Arial;sans-serif"/>
          <w:b w:val="false"/>
          <w:color w:val="000000"/>
          <w:sz w:val="20"/>
        </w:rPr>
        <w:t>and together with the Class B-1 Directors and Class B-2 Directors, the “</w:t>
      </w:r>
      <w:r>
        <w:rPr>
          <w:rFonts w:ascii="Arial;sans-serif" w:hAnsi="Arial;sans-serif"/>
          <w:b/>
          <w:color w:val="000000"/>
          <w:sz w:val="20"/>
        </w:rPr>
        <w:t>Class B Directors</w:t>
      </w:r>
      <w:r>
        <w:rPr>
          <w:color w:val="000000"/>
        </w:rPr>
        <w:t>”</w:t>
      </w:r>
      <w:r>
        <w:rPr>
          <w:rFonts w:ascii="Arial;sans-serif" w:hAnsi="Arial;sans-serif"/>
          <w:b w:val="false"/>
          <w:color w:val="000000"/>
          <w:sz w:val="20"/>
        </w:rPr>
        <w:t>), and each holder of Class B-3 Common Stock shall have one vote per share in any such election.</w:t>
      </w:r>
    </w:p>
    <w:p>
      <w:pPr>
        <w:pStyle w:val="TextBody"/>
        <w:bidi w:val="0"/>
        <w:spacing w:lineRule="atLeast" w:line="230" w:before="198" w:after="283"/>
        <w:ind w:left="0" w:right="0" w:firstLine="720"/>
        <w:jc w:val="both"/>
        <w:rPr/>
      </w:pPr>
      <w:r>
        <w:rPr>
          <w:rFonts w:ascii="Arial;sans-serif" w:hAnsi="Arial;sans-serif"/>
          <w:b/>
          <w:color w:val="000000"/>
          <w:sz w:val="20"/>
        </w:rPr>
        <w:t>(b)CORE RIGHTS</w:t>
      </w:r>
      <w:r>
        <w:rPr>
          <w:rFonts w:ascii="Arial;sans-serif" w:hAnsi="Arial;sans-serif"/>
          <w:b w:val="false"/>
          <w:color w:val="000000"/>
          <w:sz w:val="20"/>
        </w:rPr>
        <w:t xml:space="preserve">. Any change, amendment or modification of the Core Rights or of the terms of Section 3 of this Subdivision 2 shall be submitted to a vote of the holders of the Class B Common Stock for their consideration and approval. In any such vote, holders of Class B-1 Common Stock shall be entitled to six votes for each share of Class B-1 Common Stock held, holders of Class B-2 Common Stock shall be entitled to two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tLeast" w:line="230" w:before="198" w:after="283"/>
        <w:jc w:val="both"/>
        <w:rPr>
          <w:rFonts w:ascii="Arial;sans-serif" w:hAnsi="Arial;sans-serif"/>
          <w:b w:val="false"/>
          <w:color w:val="000000"/>
          <w:sz w:val="20"/>
        </w:rPr>
      </w:pPr>
      <w:r>
        <w:rPr>
          <w:rFonts w:ascii="Arial;sans-serif" w:hAnsi="Arial;sans-serif"/>
          <w:b w:val="false"/>
          <w:color w:val="000000"/>
          <w:sz w:val="20"/>
        </w:rPr>
        <w:t>votes for each share of Class B-2 Common Stock held, holders of Class B-3 Common Stock shall be entitled to one vote for each share of Class B-3 Common Stock held and holders of Class B-4 Common Stock shall be entitled to one-sixth of one vote for each share of Class B-4 Common Stock held. Any such change, amendment or modification must be approved by a majority of the aggregate votes cast by the holders of the Class B Common Stock present (in person or by proxy) and voting at the meeting of holders of Class B Common Stock called for the purpose of voting on the proposed change, amendment or modification; provided that holders of at least a majority of the aggregate number of votes entitled to vote on the matter shall be present, in person or by proxy, at such meeting. The absence of a quorum of the holders of Common Stock shall not effect the exercise by the holders of Class B Common Stock of the voting rights granted pursuant to this Paragraph (b).</w:t>
      </w:r>
    </w:p>
    <w:p>
      <w:pPr>
        <w:pStyle w:val="TextBody"/>
        <w:bidi w:val="0"/>
        <w:spacing w:lineRule="atLeast" w:line="230" w:before="203" w:after="283"/>
        <w:ind w:left="0" w:right="0" w:firstLine="720"/>
        <w:jc w:val="left"/>
        <w:rPr/>
      </w:pPr>
      <w:r>
        <w:rPr>
          <w:rFonts w:ascii="Arial;sans-serif" w:hAnsi="Arial;sans-serif"/>
          <w:b/>
          <w:color w:val="000000"/>
          <w:sz w:val="20"/>
        </w:rPr>
        <w:t>(c)</w:t>
      </w:r>
      <w:r>
        <w:rPr>
          <w:color w:val="000000"/>
        </w:rPr>
        <w:t>    </w:t>
      </w:r>
      <w:r>
        <w:rPr>
          <w:rFonts w:ascii="Arial;sans-serif" w:hAnsi="Arial;sans-serif"/>
          <w:b/>
          <w:color w:val="000000"/>
          <w:sz w:val="20"/>
        </w:rPr>
        <w:t>LIMITATION ON VOTING RIGHTS</w:t>
      </w:r>
      <w:r>
        <w:rPr>
          <w:rFonts w:ascii="Arial;sans-serif" w:hAnsi="Arial;sans-serif"/>
          <w:b w:val="false"/>
          <w:color w:val="000000"/>
          <w:sz w:val="20"/>
        </w:rPr>
        <w:t xml:space="preserve">. Notwithstanding anything to the contrary contained in this Section 1 of this Subdivision 2, for so long as any Person or group of Persons acting in concert beneficially own (as defined below) 15% or more of the outstanding shares of any class of Class B Common Stock, then in any election of directors elected by that class or other exercise of voting rights with respect to Core Rights or with respect to the election or removal of directors elected by that class, such Person or group shall only be entitled to vote (or otherwise exercise voting rights with respect to) a number of shares of that class of Class B Common Stock that constitutes a percentage of the total number of shares of that class of Class B Common Stock then outstanding which is less than or equal to such Person or group’s Entitled Voting Percentage (as defined below). For the purposes hereof, a Person or group’s </w:t>
      </w:r>
      <w:r>
        <w:rPr>
          <w:color w:val="000000"/>
        </w:rPr>
        <w:t>“</w:t>
      </w:r>
      <w:r>
        <w:rPr>
          <w:rFonts w:ascii="Arial;sans-serif" w:hAnsi="Arial;sans-serif"/>
          <w:b/>
          <w:color w:val="000000"/>
          <w:sz w:val="20"/>
        </w:rPr>
        <w:t xml:space="preserve">Entitled Voting Percentage” </w:t>
      </w:r>
      <w:r>
        <w:rPr>
          <w:rFonts w:ascii="Arial;sans-serif" w:hAnsi="Arial;sans-serif"/>
          <w:b w:val="false"/>
          <w:color w:val="000000"/>
          <w:sz w:val="20"/>
        </w:rPr>
        <w:t>at any time shall mean the percentage of the then outstanding shares of Class A Common Stock in the aggregate, beneficially owned by such Person or group at such time. For purposes of this Paragraph (c), a “beneficial owner” of Common Stock includes any Person or group of Persons who, directly or indirectly, including through any contract, arrangement, understanding, relationship or otherwise, written or oral, formal or informal, control the voting power (which includes the power to vote or to direct the voting) of such Common Stock.</w:t>
      </w:r>
    </w:p>
    <w:p>
      <w:pPr>
        <w:pStyle w:val="TextBody"/>
        <w:bidi w:val="0"/>
        <w:spacing w:lineRule="atLeast" w:line="225" w:before="203" w:after="283"/>
        <w:jc w:val="left"/>
        <w:rPr>
          <w:rFonts w:ascii="Arial;sans-serif" w:hAnsi="Arial;sans-serif"/>
          <w:b/>
          <w:color w:val="000000"/>
          <w:sz w:val="20"/>
        </w:rPr>
      </w:pPr>
      <w:r>
        <w:rPr>
          <w:rFonts w:ascii="Arial;sans-serif" w:hAnsi="Arial;sans-serif"/>
          <w:b/>
          <w:color w:val="000000"/>
          <w:sz w:val="20"/>
        </w:rPr>
        <w:t>SECTION 2. LIMITATION ON OWNERSHIP AND TRANSFER RESTRICTIONS.</w:t>
      </w:r>
    </w:p>
    <w:p>
      <w:pPr>
        <w:pStyle w:val="TextBody"/>
        <w:bidi w:val="0"/>
        <w:spacing w:lineRule="atLeast" w:line="230" w:before="120" w:after="283"/>
        <w:ind w:left="0" w:right="0" w:firstLine="576"/>
        <w:jc w:val="left"/>
        <w:rPr>
          <w:rFonts w:ascii="Arial;sans-serif" w:hAnsi="Arial;sans-serif"/>
          <w:b w:val="false"/>
          <w:color w:val="000000"/>
          <w:sz w:val="20"/>
        </w:rPr>
      </w:pPr>
      <w:r>
        <w:rPr>
          <w:rFonts w:ascii="Arial;sans-serif" w:hAnsi="Arial;sans-serif"/>
          <w:b w:val="false"/>
          <w:color w:val="000000"/>
          <w:sz w:val="20"/>
        </w:rPr>
        <w:t>(a)    Shares of Class B Common Stock may not be Transferred at any time except as follows and subject to the following limitations:</w:t>
      </w:r>
    </w:p>
    <w:p>
      <w:pPr>
        <w:pStyle w:val="TextBody"/>
        <w:bidi w:val="0"/>
        <w:spacing w:lineRule="atLeast" w:line="230" w:before="199" w:after="283"/>
        <w:ind w:left="0" w:right="0" w:firstLine="720"/>
        <w:jc w:val="left"/>
        <w:rPr/>
      </w:pPr>
      <w:r>
        <w:rPr>
          <w:rFonts w:ascii="Arial;sans-serif" w:hAnsi="Arial;sans-serif"/>
          <w:b w:val="false"/>
          <w:color w:val="000000"/>
          <w:sz w:val="20"/>
        </w:rPr>
        <w:t>(i)No person may own a share of Class B-1 Common Stock unless that person is recognized on the books and records of the Exchange as the owner of a CME Division membership (</w:t>
      </w:r>
      <w:r>
        <w:rPr>
          <w:color w:val="000000"/>
        </w:rPr>
        <w:t>“</w:t>
      </w:r>
      <w:r>
        <w:rPr>
          <w:rFonts w:ascii="Arial;sans-serif" w:hAnsi="Arial;sans-serif"/>
          <w:b/>
          <w:color w:val="000000"/>
          <w:sz w:val="20"/>
        </w:rPr>
        <w:t>CME Membership”</w:t>
      </w:r>
      <w:r>
        <w:rPr>
          <w:rFonts w:ascii="Arial;sans-serif" w:hAnsi="Arial;sans-serif"/>
          <w:b w:val="false"/>
          <w:color w:val="000000"/>
          <w:sz w:val="20"/>
        </w:rPr>
        <w:t>) in the Exchange as governed by the rules of the Exchange; provided that each holder shall not be permitted to own more than one share of Class B-1 Common Stock for each CME Membership;</w:t>
      </w:r>
    </w:p>
    <w:p>
      <w:pPr>
        <w:pStyle w:val="TextBody"/>
        <w:bidi w:val="0"/>
        <w:spacing w:lineRule="atLeast" w:line="230" w:before="203" w:after="283"/>
        <w:ind w:left="0" w:right="0" w:firstLine="720"/>
        <w:jc w:val="left"/>
        <w:rPr/>
      </w:pPr>
      <w:r>
        <w:rPr>
          <w:rFonts w:ascii="Arial;sans-serif" w:hAnsi="Arial;sans-serif"/>
          <w:b w:val="false"/>
          <w:color w:val="000000"/>
          <w:sz w:val="20"/>
        </w:rPr>
        <w:t>(ii)No person may own a share of Class B-2 Common Stock unless that person is recognized on the books and records of the Exchange as the owner of an International Monetary Market Division membership (</w:t>
      </w:r>
      <w:r>
        <w:rPr>
          <w:color w:val="000000"/>
        </w:rPr>
        <w:t>“</w:t>
      </w:r>
      <w:r>
        <w:rPr>
          <w:rFonts w:ascii="Arial;sans-serif" w:hAnsi="Arial;sans-serif"/>
          <w:b/>
          <w:color w:val="000000"/>
          <w:sz w:val="20"/>
        </w:rPr>
        <w:t>IMM Membership”</w:t>
      </w:r>
      <w:r>
        <w:rPr>
          <w:rFonts w:ascii="Arial;sans-serif" w:hAnsi="Arial;sans-serif"/>
          <w:b w:val="false"/>
          <w:color w:val="000000"/>
          <w:sz w:val="20"/>
        </w:rPr>
        <w:t>) in the Exchange as governed by the rules of the Exchange; provided that each holder shall not be permitted to own more than one share of Class B-2 Common Stock for each IMM Membership;</w:t>
      </w:r>
    </w:p>
    <w:p>
      <w:pPr>
        <w:pStyle w:val="TextBody"/>
        <w:bidi w:val="0"/>
        <w:spacing w:lineRule="atLeast" w:line="230" w:before="199" w:after="283"/>
        <w:ind w:left="0" w:right="0" w:firstLine="720"/>
        <w:jc w:val="left"/>
        <w:rPr/>
      </w:pPr>
      <w:r>
        <w:rPr>
          <w:rFonts w:ascii="Arial;sans-serif" w:hAnsi="Arial;sans-serif"/>
          <w:b w:val="false"/>
          <w:color w:val="000000"/>
          <w:sz w:val="20"/>
        </w:rPr>
        <w:t>(iii)No person may own a share of Class B-3 Common Stock unless that person is recognized on the books and records of the Exchange as the owner of an Index and Option Market Division membership (</w:t>
      </w:r>
      <w:r>
        <w:rPr>
          <w:color w:val="000000"/>
        </w:rPr>
        <w:t>“</w:t>
      </w:r>
      <w:r>
        <w:rPr>
          <w:rFonts w:ascii="Arial;sans-serif" w:hAnsi="Arial;sans-serif"/>
          <w:b/>
          <w:color w:val="000000"/>
          <w:sz w:val="20"/>
        </w:rPr>
        <w:t>IOM Membership”</w:t>
      </w:r>
      <w:r>
        <w:rPr>
          <w:rFonts w:ascii="Arial;sans-serif" w:hAnsi="Arial;sans-serif"/>
          <w:b w:val="false"/>
          <w:color w:val="000000"/>
          <w:sz w:val="20"/>
        </w:rPr>
        <w:t>) in the Exchange as governed by the rules of the Exchange; provided that each holder shall not be permitted to own more than one share of Class B-3 Common Stock for each IOM Membership;</w:t>
      </w:r>
    </w:p>
    <w:p>
      <w:pPr>
        <w:pStyle w:val="TextBody"/>
        <w:bidi w:val="0"/>
        <w:spacing w:lineRule="atLeast" w:line="230" w:before="199" w:after="283"/>
        <w:ind w:left="0" w:right="0" w:firstLine="720"/>
        <w:jc w:val="left"/>
        <w:rPr/>
      </w:pPr>
      <w:r>
        <w:rPr>
          <w:rFonts w:ascii="Arial;sans-serif" w:hAnsi="Arial;sans-serif"/>
          <w:b w:val="false"/>
          <w:color w:val="000000"/>
          <w:sz w:val="20"/>
        </w:rPr>
        <w:t>(iv)No person may own a share of Class B-4 Common Stock unless that person is recognized on the books and records of the Exchange as an owner of a Growth and Emerging Markets Division membership (</w:t>
      </w:r>
      <w:r>
        <w:rPr>
          <w:color w:val="000000"/>
        </w:rPr>
        <w:t>“</w:t>
      </w:r>
      <w:r>
        <w:rPr>
          <w:rFonts w:ascii="Arial;sans-serif" w:hAnsi="Arial;sans-serif"/>
          <w:b/>
          <w:color w:val="000000"/>
          <w:sz w:val="20"/>
        </w:rPr>
        <w:t>GEM Membership”</w:t>
      </w:r>
      <w:r>
        <w:rPr>
          <w:rFonts w:ascii="Arial;sans-serif" w:hAnsi="Arial;sans-serif"/>
          <w:b w:val="false"/>
          <w:color w:val="000000"/>
          <w:sz w:val="20"/>
        </w:rPr>
        <w:t>) as governed by the rules of the Exchange; provided that each holder shall not be permitted to own more than one share of Class B-4 Common Stock for each GEM Membership;</w:t>
      </w:r>
    </w:p>
    <w:p>
      <w:pPr>
        <w:pStyle w:val="TextBody"/>
        <w:bidi w:val="0"/>
        <w:spacing w:lineRule="atLeast" w:line="230" w:before="202" w:after="283"/>
        <w:jc w:val="left"/>
        <w:rPr>
          <w:rFonts w:ascii="Arial;sans-serif" w:hAnsi="Arial;sans-serif"/>
          <w:b w:val="false"/>
          <w:color w:val="000000"/>
          <w:sz w:val="20"/>
        </w:rPr>
      </w:pPr>
      <w:r>
        <w:rPr>
          <w:rFonts w:ascii="Arial;sans-serif" w:hAnsi="Arial;sans-serif"/>
          <w:b w:val="false"/>
          <w:color w:val="000000"/>
          <w:sz w:val="20"/>
        </w:rPr>
        <w:t>(b)    No share of Class B-1 Common Stock may be Transferred other than in connection with the</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Transfer of a CME Membership made in accordance with the rules of the Exchange; provided that no more than</w:t>
      </w:r>
    </w:p>
    <w:p>
      <w:pPr>
        <w:pStyle w:val="TextBody"/>
        <w:bidi w:val="0"/>
        <w:spacing w:lineRule="atLeast" w:line="230" w:before="1" w:after="838"/>
        <w:jc w:val="left"/>
        <w:rPr>
          <w:rFonts w:ascii="Arial;sans-serif" w:hAnsi="Arial;sans-serif"/>
          <w:b w:val="false"/>
          <w:color w:val="000000"/>
          <w:sz w:val="20"/>
        </w:rPr>
      </w:pPr>
      <w:r>
        <w:rPr>
          <w:rFonts w:ascii="Arial;sans-serif" w:hAnsi="Arial;sans-serif"/>
          <w:b w:val="false"/>
          <w:color w:val="000000"/>
          <w:sz w:val="20"/>
        </w:rPr>
        <w:t>one share of Class B-1 Common Stock may be Transferred with a CME Membership;</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tLeast" w:line="223" w:before="16" w:after="283"/>
        <w:ind w:left="0" w:right="0" w:firstLine="720"/>
        <w:jc w:val="left"/>
        <w:rPr>
          <w:rFonts w:ascii="Arial;sans-serif" w:hAnsi="Arial;sans-serif"/>
          <w:b w:val="false"/>
          <w:color w:val="000000"/>
          <w:sz w:val="20"/>
        </w:rPr>
      </w:pPr>
      <w:r>
        <w:rPr>
          <w:rFonts w:ascii="Arial;sans-serif" w:hAnsi="Arial;sans-serif"/>
          <w:b w:val="false"/>
          <w:color w:val="000000"/>
          <w:sz w:val="20"/>
        </w:rPr>
        <w:t>(c)No share of Class B-2 Common Stock may be Transferred other than in connection with the</w:t>
      </w:r>
    </w:p>
    <w:p>
      <w:pPr>
        <w:pStyle w:val="TextBody"/>
        <w:bidi w:val="0"/>
        <w:spacing w:lineRule="atLeast" w:line="223" w:before="7" w:after="283"/>
        <w:jc w:val="left"/>
        <w:rPr>
          <w:rFonts w:ascii="Arial;sans-serif" w:hAnsi="Arial;sans-serif"/>
          <w:b w:val="false"/>
          <w:color w:val="000000"/>
          <w:sz w:val="20"/>
        </w:rPr>
      </w:pPr>
      <w:r>
        <w:rPr>
          <w:rFonts w:ascii="Arial;sans-serif" w:hAnsi="Arial;sans-serif"/>
          <w:b w:val="false"/>
          <w:color w:val="000000"/>
          <w:sz w:val="20"/>
        </w:rPr>
        <w:t>Transfer of an IMM Membership made in accordance with the rules of the Exchange; provided that no more than</w:t>
      </w:r>
    </w:p>
    <w:p>
      <w:pPr>
        <w:pStyle w:val="TextBody"/>
        <w:bidi w:val="0"/>
        <w:spacing w:lineRule="atLeast" w:line="223" w:before="8" w:after="283"/>
        <w:jc w:val="left"/>
        <w:rPr>
          <w:rFonts w:ascii="Arial;sans-serif" w:hAnsi="Arial;sans-serif"/>
          <w:b w:val="false"/>
          <w:color w:val="000000"/>
          <w:sz w:val="20"/>
        </w:rPr>
      </w:pPr>
      <w:r>
        <w:rPr>
          <w:rFonts w:ascii="Arial;sans-serif" w:hAnsi="Arial;sans-serif"/>
          <w:b w:val="false"/>
          <w:color w:val="000000"/>
          <w:sz w:val="20"/>
        </w:rPr>
        <w:t>one share of Class B-2 Common Stock may be Transferred with an IMM Membership;</w:t>
      </w:r>
    </w:p>
    <w:p>
      <w:pPr>
        <w:pStyle w:val="TextBody"/>
        <w:bidi w:val="0"/>
        <w:spacing w:lineRule="atLeast" w:line="223" w:before="204" w:after="283"/>
        <w:ind w:left="0" w:right="0" w:firstLine="720"/>
        <w:jc w:val="left"/>
        <w:rPr>
          <w:rFonts w:ascii="Arial;sans-serif" w:hAnsi="Arial;sans-serif"/>
          <w:b w:val="false"/>
          <w:color w:val="000000"/>
          <w:sz w:val="20"/>
        </w:rPr>
      </w:pPr>
      <w:r>
        <w:rPr>
          <w:rFonts w:ascii="Arial;sans-serif" w:hAnsi="Arial;sans-serif"/>
          <w:b w:val="false"/>
          <w:color w:val="000000"/>
          <w:sz w:val="20"/>
        </w:rPr>
        <w:t>(d)No share of Class B-3 Common Stock may be Transferred other than in connection with the</w:t>
      </w:r>
    </w:p>
    <w:p>
      <w:pPr>
        <w:pStyle w:val="TextBody"/>
        <w:bidi w:val="0"/>
        <w:spacing w:lineRule="atLeast" w:line="223" w:before="7" w:after="283"/>
        <w:jc w:val="left"/>
        <w:rPr>
          <w:rFonts w:ascii="Arial;sans-serif" w:hAnsi="Arial;sans-serif"/>
          <w:b w:val="false"/>
          <w:color w:val="000000"/>
          <w:sz w:val="20"/>
        </w:rPr>
      </w:pPr>
      <w:r>
        <w:rPr>
          <w:rFonts w:ascii="Arial;sans-serif" w:hAnsi="Arial;sans-serif"/>
          <w:b w:val="false"/>
          <w:color w:val="000000"/>
          <w:sz w:val="20"/>
        </w:rPr>
        <w:t>Transfer of an IOM Membership made in accordance with the rules of the Exchange; provided that no more than</w:t>
      </w:r>
    </w:p>
    <w:p>
      <w:pPr>
        <w:pStyle w:val="TextBody"/>
        <w:bidi w:val="0"/>
        <w:spacing w:lineRule="atLeast" w:line="223" w:before="8" w:after="283"/>
        <w:jc w:val="left"/>
        <w:rPr>
          <w:rFonts w:ascii="Arial;sans-serif" w:hAnsi="Arial;sans-serif"/>
          <w:b w:val="false"/>
          <w:color w:val="000000"/>
          <w:sz w:val="20"/>
        </w:rPr>
      </w:pPr>
      <w:r>
        <w:rPr>
          <w:rFonts w:ascii="Arial;sans-serif" w:hAnsi="Arial;sans-serif"/>
          <w:b w:val="false"/>
          <w:color w:val="000000"/>
          <w:sz w:val="20"/>
        </w:rPr>
        <w:t>one share of Class B-3 Common Stock may be Transferred with an IOM Membership;</w:t>
      </w:r>
    </w:p>
    <w:p>
      <w:pPr>
        <w:pStyle w:val="TextBody"/>
        <w:bidi w:val="0"/>
        <w:spacing w:lineRule="atLeast" w:line="223" w:before="209" w:after="283"/>
        <w:ind w:left="0" w:right="0" w:firstLine="720"/>
        <w:jc w:val="left"/>
        <w:rPr>
          <w:rFonts w:ascii="Arial;sans-serif" w:hAnsi="Arial;sans-serif"/>
          <w:b w:val="false"/>
          <w:color w:val="000000"/>
          <w:sz w:val="20"/>
        </w:rPr>
      </w:pPr>
      <w:r>
        <w:rPr>
          <w:rFonts w:ascii="Arial;sans-serif" w:hAnsi="Arial;sans-serif"/>
          <w:b w:val="false"/>
          <w:color w:val="000000"/>
          <w:sz w:val="20"/>
        </w:rPr>
        <w:t>(e)No share of Class B-4 Common Stock may be Transferred other than in connection with the</w:t>
      </w:r>
    </w:p>
    <w:p>
      <w:pPr>
        <w:pStyle w:val="TextBody"/>
        <w:bidi w:val="0"/>
        <w:spacing w:lineRule="atLeast" w:line="223" w:before="7" w:after="283"/>
        <w:jc w:val="left"/>
        <w:rPr>
          <w:rFonts w:ascii="Arial;sans-serif" w:hAnsi="Arial;sans-serif"/>
          <w:b w:val="false"/>
          <w:color w:val="000000"/>
          <w:sz w:val="20"/>
        </w:rPr>
      </w:pPr>
      <w:r>
        <w:rPr>
          <w:rFonts w:ascii="Arial;sans-serif" w:hAnsi="Arial;sans-serif"/>
          <w:b w:val="false"/>
          <w:color w:val="000000"/>
          <w:sz w:val="20"/>
        </w:rPr>
        <w:t>Transfer of a GEM Membership made in accordance with the rules of the Exchange; provided that no more than</w:t>
      </w:r>
    </w:p>
    <w:p>
      <w:pPr>
        <w:pStyle w:val="TextBody"/>
        <w:bidi w:val="0"/>
        <w:spacing w:lineRule="atLeast" w:line="223" w:before="8" w:after="283"/>
        <w:jc w:val="left"/>
        <w:rPr>
          <w:rFonts w:ascii="Arial;sans-serif" w:hAnsi="Arial;sans-serif"/>
          <w:b w:val="false"/>
          <w:color w:val="000000"/>
          <w:sz w:val="20"/>
        </w:rPr>
      </w:pPr>
      <w:r>
        <w:rPr>
          <w:rFonts w:ascii="Arial;sans-serif" w:hAnsi="Arial;sans-serif"/>
          <w:b w:val="false"/>
          <w:color w:val="000000"/>
          <w:sz w:val="20"/>
        </w:rPr>
        <w:t>one share of Class B-4 Common Stock may be Transferred with a GEM Membership;</w:t>
      </w:r>
    </w:p>
    <w:p>
      <w:pPr>
        <w:pStyle w:val="TextBody"/>
        <w:bidi w:val="0"/>
        <w:spacing w:lineRule="atLeast" w:line="230" w:before="197" w:after="283"/>
        <w:ind w:left="0" w:right="0" w:firstLine="720"/>
        <w:jc w:val="left"/>
        <w:rPr>
          <w:rFonts w:ascii="Arial;sans-serif" w:hAnsi="Arial;sans-serif"/>
          <w:b w:val="false"/>
          <w:color w:val="000000"/>
          <w:sz w:val="20"/>
        </w:rPr>
      </w:pPr>
      <w:r>
        <w:rPr>
          <w:rFonts w:ascii="Arial;sans-serif" w:hAnsi="Arial;sans-serif"/>
          <w:b w:val="false"/>
          <w:color w:val="000000"/>
          <w:sz w:val="20"/>
        </w:rPr>
        <w:t>(f)Every certificate for shares of Class B-1 Common Stock, Class B-2 Common Stock, Class B-3 Common Stock and Class B-4 Common Stock shall bear a legend on its face reading as follows:</w:t>
      </w:r>
    </w:p>
    <w:p>
      <w:pPr>
        <w:pStyle w:val="TextBody"/>
        <w:bidi w:val="0"/>
        <w:spacing w:lineRule="atLeast" w:line="229" w:before="208" w:after="283"/>
        <w:jc w:val="left"/>
        <w:rPr>
          <w:color w:val="000000"/>
        </w:rPr>
      </w:pPr>
      <w:r>
        <w:rPr>
          <w:color w:val="000000"/>
        </w:rPr>
        <w:t>“</w:t>
      </w:r>
      <w:r>
        <w:rPr>
          <w:rFonts w:ascii="Arial;sans-serif" w:hAnsi="Arial;sans-serif"/>
          <w:b w:val="false"/>
          <w:color w:val="000000"/>
          <w:sz w:val="20"/>
        </w:rPr>
        <w:t>The shares of Common Stock represented by this certificate may not be Transferred to any person in connection with a Transfer that does not meet the rules of the Exchange or the terms of the Certificate of Incorporation of this corporation until the transfer restrictions applicable to the shares represented by this certificate expire, and no person who receives the shares represented by this certificate in connection with a Transfer that does not satisfy the rules of the Exchange or the terms of the Certificate of Incorporation of this corporation prior to such time is entitled to own or to be registered as the record holder of the shares of Common Stock represented by this certificate. Each holder of this certificate, by accepting the certificate, accepts and agrees to all of the foregoing.”</w:t>
      </w:r>
    </w:p>
    <w:p>
      <w:pPr>
        <w:pStyle w:val="TextBody"/>
        <w:bidi w:val="0"/>
        <w:spacing w:lineRule="atLeast" w:line="223" w:before="209" w:after="283"/>
        <w:ind w:left="0" w:right="0" w:firstLine="720"/>
        <w:jc w:val="left"/>
        <w:rPr>
          <w:rFonts w:ascii="Arial;sans-serif" w:hAnsi="Arial;sans-serif"/>
          <w:b w:val="false"/>
          <w:color w:val="000000"/>
          <w:sz w:val="20"/>
        </w:rPr>
      </w:pPr>
      <w:r>
        <w:rPr>
          <w:rFonts w:ascii="Arial;sans-serif" w:hAnsi="Arial;sans-serif"/>
          <w:b w:val="false"/>
          <w:color w:val="000000"/>
          <w:sz w:val="20"/>
        </w:rPr>
        <w:t>(g)Except as permitted by this Section 2 of this Subdivision 2, any proposed Transfer of shares of</w:t>
      </w:r>
    </w:p>
    <w:p>
      <w:pPr>
        <w:pStyle w:val="TextBody"/>
        <w:bidi w:val="0"/>
        <w:spacing w:lineRule="atLeast" w:line="223" w:before="8" w:after="283"/>
        <w:jc w:val="left"/>
        <w:rPr>
          <w:rFonts w:ascii="Arial;sans-serif" w:hAnsi="Arial;sans-serif"/>
          <w:b w:val="false"/>
          <w:color w:val="000000"/>
          <w:sz w:val="20"/>
        </w:rPr>
      </w:pPr>
      <w:r>
        <w:rPr>
          <w:rFonts w:ascii="Arial;sans-serif" w:hAnsi="Arial;sans-serif"/>
          <w:b w:val="false"/>
          <w:color w:val="000000"/>
          <w:sz w:val="20"/>
        </w:rPr>
        <w:t>Class B-1 Common Stock, Class B-2 Common Stock, Class B-3 Common Stock or Class B-4 Common Stock</w:t>
      </w:r>
    </w:p>
    <w:p>
      <w:pPr>
        <w:pStyle w:val="TextBody"/>
        <w:bidi w:val="0"/>
        <w:spacing w:lineRule="atLeast" w:line="223" w:before="7" w:after="283"/>
        <w:jc w:val="left"/>
        <w:rPr>
          <w:rFonts w:ascii="Arial;sans-serif" w:hAnsi="Arial;sans-serif"/>
          <w:b w:val="false"/>
          <w:color w:val="000000"/>
          <w:sz w:val="20"/>
        </w:rPr>
      </w:pPr>
      <w:r>
        <w:rPr>
          <w:rFonts w:ascii="Arial;sans-serif" w:hAnsi="Arial;sans-serif"/>
          <w:b w:val="false"/>
          <w:color w:val="000000"/>
          <w:sz w:val="20"/>
        </w:rPr>
        <w:t>shall be void.</w:t>
      </w:r>
    </w:p>
    <w:p>
      <w:pPr>
        <w:pStyle w:val="TextBody"/>
        <w:bidi w:val="0"/>
        <w:spacing w:lineRule="atLeast" w:line="229" w:before="204" w:after="283"/>
        <w:jc w:val="left"/>
        <w:rPr>
          <w:rFonts w:ascii="Arial;sans-serif" w:hAnsi="Arial;sans-serif"/>
          <w:b/>
          <w:color w:val="000000"/>
          <w:sz w:val="20"/>
        </w:rPr>
      </w:pPr>
      <w:r>
        <w:rPr>
          <w:rFonts w:ascii="Arial;sans-serif" w:hAnsi="Arial;sans-serif"/>
          <w:b/>
          <w:color w:val="000000"/>
          <w:sz w:val="20"/>
        </w:rPr>
        <w:t>SECTION 3. COMMITMENT TO MAINTAIN FLOOR TRADING.</w:t>
      </w:r>
    </w:p>
    <w:p>
      <w:pPr>
        <w:pStyle w:val="TextBody"/>
        <w:bidi w:val="0"/>
        <w:spacing w:lineRule="atLeast" w:line="229" w:before="204" w:after="283"/>
        <w:ind w:left="0" w:right="0" w:firstLine="720"/>
        <w:jc w:val="left"/>
        <w:rPr>
          <w:rFonts w:ascii="Arial;sans-serif" w:hAnsi="Arial;sans-serif"/>
          <w:b w:val="false"/>
          <w:color w:val="000000"/>
          <w:sz w:val="20"/>
        </w:rPr>
      </w:pPr>
      <w:r>
        <w:rPr>
          <w:rFonts w:ascii="Arial;sans-serif" w:hAnsi="Arial;sans-serif"/>
          <w:b w:val="false"/>
          <w:color w:val="000000"/>
          <w:sz w:val="20"/>
        </w:rPr>
        <w:t>The corporation shall cause the Exchange, (i) as long as an open outcry market is liquid (as defined below), to maintain for such open outcry market a facility for conducting business, for the dissemination of price information, for clearing and delivery and (ii) to provide reasonable financial support (consistent with the calendar year 1999 budget levels established by Chicago Mercantile Exchange, an Illinois not-for-profit corporation, the predecessor of the Exchange) for technology, marketing and research for open outcry markets. If an open outcry market is not liquid, as determined by the board of directors, the board may determine, in its sole discretion, whether such obligations will continue, and for how long, in respect of such market. For purposes of this Section, an open outcry market will be deemed “liquid” if it meets any of the following tests on a quarterly basis:</w:t>
      </w:r>
    </w:p>
    <w:p>
      <w:pPr>
        <w:pStyle w:val="TextBody"/>
        <w:bidi w:val="0"/>
        <w:spacing w:lineRule="atLeast" w:line="228" w:before="206" w:after="283"/>
        <w:ind w:left="0" w:right="0" w:firstLine="720"/>
        <w:jc w:val="left"/>
        <w:rPr>
          <w:rFonts w:ascii="Arial;sans-serif" w:hAnsi="Arial;sans-serif"/>
          <w:b w:val="false"/>
          <w:color w:val="000000"/>
          <w:sz w:val="20"/>
        </w:rPr>
      </w:pPr>
      <w:r>
        <w:rPr>
          <w:rFonts w:ascii="Arial;sans-serif" w:hAnsi="Arial;sans-serif"/>
          <w:b w:val="false"/>
          <w:color w:val="000000"/>
          <w:sz w:val="20"/>
        </w:rPr>
        <w:t>(a)if a comparable exchange-traded product exists, including electronic trading at the Exchange, the Exchange’s open outcry market has maintained at least 30% of the average daily volume of such comparable product (including, for calculation purposes, volume from exchange-for-physical transactions in such open outcry market); or</w:t>
      </w:r>
    </w:p>
    <w:p>
      <w:pPr>
        <w:pStyle w:val="TextBody"/>
        <w:bidi w:val="0"/>
        <w:spacing w:lineRule="atLeast" w:line="223" w:before="209" w:after="283"/>
        <w:ind w:left="0" w:right="0" w:firstLine="720"/>
        <w:jc w:val="left"/>
        <w:rPr>
          <w:rFonts w:ascii="Arial;sans-serif" w:hAnsi="Arial;sans-serif"/>
          <w:b w:val="false"/>
          <w:color w:val="000000"/>
          <w:sz w:val="20"/>
        </w:rPr>
      </w:pPr>
      <w:r>
        <w:rPr>
          <w:rFonts w:ascii="Arial;sans-serif" w:hAnsi="Arial;sans-serif"/>
          <w:b w:val="false"/>
          <w:color w:val="000000"/>
          <w:sz w:val="20"/>
        </w:rPr>
        <w:t>(b)if a comparable exchange-traded product exists and the product trades exclusively by open</w:t>
      </w:r>
    </w:p>
    <w:p>
      <w:pPr>
        <w:pStyle w:val="TextBody"/>
        <w:bidi w:val="0"/>
        <w:spacing w:lineRule="atLeast" w:line="223" w:before="7" w:after="283"/>
        <w:jc w:val="left"/>
        <w:rPr>
          <w:rFonts w:ascii="Arial;sans-serif" w:hAnsi="Arial;sans-serif"/>
          <w:b w:val="false"/>
          <w:color w:val="000000"/>
          <w:sz w:val="20"/>
        </w:rPr>
      </w:pPr>
      <w:r>
        <w:rPr>
          <w:rFonts w:ascii="Arial;sans-serif" w:hAnsi="Arial;sans-serif"/>
          <w:b w:val="false"/>
          <w:color w:val="000000"/>
          <w:sz w:val="20"/>
        </w:rPr>
        <w:t>outcry at the Exchange, the Exchange’s open outcry market has maintained at least 30% of the open interest of</w:t>
      </w:r>
    </w:p>
    <w:p>
      <w:pPr>
        <w:pStyle w:val="TextBody"/>
        <w:bidi w:val="0"/>
        <w:spacing w:lineRule="atLeast" w:line="223" w:before="8" w:after="283"/>
        <w:jc w:val="left"/>
        <w:rPr>
          <w:rFonts w:ascii="Arial;sans-serif" w:hAnsi="Arial;sans-serif"/>
          <w:b w:val="false"/>
          <w:color w:val="000000"/>
          <w:sz w:val="20"/>
        </w:rPr>
      </w:pPr>
      <w:r>
        <w:rPr>
          <w:rFonts w:ascii="Arial;sans-serif" w:hAnsi="Arial;sans-serif"/>
          <w:b w:val="false"/>
          <w:color w:val="000000"/>
          <w:sz w:val="20"/>
        </w:rPr>
        <w:t>such comparable product; or</w:t>
      </w:r>
    </w:p>
    <w:p>
      <w:pPr>
        <w:pStyle w:val="TextBody"/>
        <w:bidi w:val="0"/>
        <w:spacing w:lineRule="atLeast" w:line="230" w:before="198" w:after="283"/>
        <w:ind w:left="0" w:right="0" w:firstLine="720"/>
        <w:jc w:val="left"/>
        <w:rPr>
          <w:rFonts w:ascii="Arial;sans-serif" w:hAnsi="Arial;sans-serif"/>
          <w:b w:val="false"/>
          <w:color w:val="000000"/>
          <w:sz w:val="20"/>
        </w:rPr>
      </w:pPr>
      <w:r>
        <w:rPr>
          <w:rFonts w:ascii="Arial;sans-serif" w:hAnsi="Arial;sans-serif"/>
          <w:b w:val="false"/>
          <w:color w:val="000000"/>
          <w:sz w:val="20"/>
        </w:rPr>
        <w:t>(c)if no comparable exchange-traded product exists, the open outcry market has maintained at least 40% of the average quarterly volume in that market during 1999 at Chicago Mercantile Exchange, an Illinois not-for-profit corporation, the predecessor of the Exchange (including, for calculation purposes, volume from exchange-for-physical transactions in such open outcry market); or</w:t>
      </w:r>
    </w:p>
    <w:p>
      <w:pPr>
        <w:pStyle w:val="TextBody"/>
        <w:bidi w:val="0"/>
        <w:spacing w:lineRule="atLeast" w:line="228" w:before="204" w:after="283"/>
        <w:ind w:left="0" w:right="0" w:firstLine="720"/>
        <w:jc w:val="left"/>
        <w:rPr>
          <w:rFonts w:ascii="Arial;sans-serif" w:hAnsi="Arial;sans-serif"/>
          <w:b w:val="false"/>
          <w:color w:val="000000"/>
          <w:sz w:val="20"/>
        </w:rPr>
      </w:pPr>
      <w:r>
        <w:rPr>
          <w:rFonts w:ascii="Arial;sans-serif" w:hAnsi="Arial;sans-serif"/>
          <w:b w:val="false"/>
          <w:color w:val="000000"/>
          <w:sz w:val="20"/>
        </w:rPr>
        <w:t>(d)if no comparable exchange-traded product exists and the product trades exclusively by open outcry, the open outcry market has maintained at least 40% of the average open interest in that market during 1999 at Chicago Mercantile Exchange, an Illinois not-for-profit corporation, the predecessor of the Exchange.</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tLeast" w:line="226" w:before="200" w:after="283"/>
        <w:jc w:val="left"/>
        <w:rPr>
          <w:rFonts w:ascii="Arial;sans-serif" w:hAnsi="Arial;sans-serif"/>
          <w:b/>
          <w:color w:val="000000"/>
          <w:sz w:val="20"/>
        </w:rPr>
      </w:pPr>
      <w:r>
        <w:rPr>
          <w:rFonts w:ascii="Arial;sans-serif" w:hAnsi="Arial;sans-serif"/>
          <w:b/>
          <w:color w:val="000000"/>
          <w:sz w:val="20"/>
        </w:rPr>
        <w:t>ARTICLE FIVE:</w:t>
      </w:r>
    </w:p>
    <w:p>
      <w:pPr>
        <w:pStyle w:val="TextBody"/>
        <w:bidi w:val="0"/>
        <w:spacing w:lineRule="atLeast" w:line="230" w:before="200" w:after="283"/>
        <w:ind w:left="0" w:right="0" w:firstLine="720"/>
        <w:jc w:val="left"/>
        <w:rPr/>
      </w:pPr>
      <w:r>
        <w:rPr>
          <w:rFonts w:ascii="Arial;sans-serif" w:hAnsi="Arial;sans-serif"/>
          <w:b w:val="false"/>
          <w:color w:val="000000"/>
          <w:sz w:val="20"/>
        </w:rPr>
        <w:t xml:space="preserve">(A)Subject to Article Four, Division B, Subdivision 2, Section 1(a) of this Certificate of Incorporation, the number of directors that shall constitute the whole board of directors of the corporation shall be fixed exclusively by one or more resolutions adopted by the board of directors of the corporation, which number shall be no more than 30. As of the time of acceptance by the Delaware Secretary of State of the filing of this Fourth Amended and Restated Certificate of Incorporation (the </w:t>
      </w:r>
      <w:r>
        <w:rPr>
          <w:color w:val="000000"/>
        </w:rPr>
        <w:t>“</w:t>
      </w:r>
      <w:r>
        <w:rPr>
          <w:rFonts w:ascii="Arial;sans-serif" w:hAnsi="Arial;sans-serif"/>
          <w:b/>
          <w:color w:val="000000"/>
          <w:sz w:val="20"/>
        </w:rPr>
        <w:t>Effective Time”</w:t>
      </w:r>
      <w:r>
        <w:rPr>
          <w:rFonts w:ascii="Arial;sans-serif" w:hAnsi="Arial;sans-serif"/>
          <w:b w:val="false"/>
          <w:color w:val="000000"/>
          <w:sz w:val="20"/>
        </w:rPr>
        <w:t xml:space="preserve">), the board of directors of the corporation shall consist of 30 members, including 24 directors that are not Class B Directors (the </w:t>
      </w:r>
      <w:r>
        <w:rPr>
          <w:color w:val="000000"/>
        </w:rPr>
        <w:t>“</w:t>
      </w:r>
      <w:r>
        <w:rPr>
          <w:rFonts w:ascii="Arial;sans-serif" w:hAnsi="Arial;sans-serif"/>
          <w:b/>
          <w:color w:val="000000"/>
          <w:sz w:val="20"/>
        </w:rPr>
        <w:t>Equity Directors”</w:t>
      </w:r>
      <w:r>
        <w:rPr>
          <w:rFonts w:ascii="Arial;sans-serif" w:hAnsi="Arial;sans-serif"/>
          <w:b w:val="false"/>
          <w:color w:val="000000"/>
          <w:sz w:val="20"/>
        </w:rPr>
        <w:t>), three Class B-1 Directors, two Class B-2 Directors and one Class B-3 Director.</w:t>
      </w:r>
    </w:p>
    <w:p>
      <w:pPr>
        <w:pStyle w:val="TextBody"/>
        <w:bidi w:val="0"/>
        <w:spacing w:lineRule="atLeast" w:line="230" w:before="197" w:after="283"/>
        <w:ind w:left="0" w:right="0" w:firstLine="720"/>
        <w:jc w:val="left"/>
        <w:rPr>
          <w:rFonts w:ascii="Arial;sans-serif" w:hAnsi="Arial;sans-serif"/>
          <w:b w:val="false"/>
          <w:color w:val="000000"/>
          <w:sz w:val="20"/>
        </w:rPr>
      </w:pPr>
      <w:r>
        <w:rPr>
          <w:rFonts w:ascii="Arial;sans-serif" w:hAnsi="Arial;sans-serif"/>
          <w:b w:val="false"/>
          <w:color w:val="000000"/>
          <w:sz w:val="20"/>
        </w:rPr>
        <w:t>(B)The board of directors shall remain classified until the 2014 annual meeting of shareholders. Commencing with the 2012 annual meeting of the shareholders of the Corporation, (i) the directors whose terms expire at the 2012 annual meeting of shareholders shall be elected for a two-year term expiring with the class of directors elected at the 2011 annual meeting of shareholders at the 2014 annual meeting of shareholders, (ii) the directors whose terms expire at the 2013 annual meeting of shareholders shall be elected for a one-year term expiring with the class of directors elected at the 2011 annual meeting of shareholders at the 2014 annual meeting of shareholders and (iii) from and after the 2014 annual meeting of shareholders all directors shall be elected annually for terms expiring at the next succeeding annual meeting.</w:t>
      </w:r>
    </w:p>
    <w:p>
      <w:pPr>
        <w:pStyle w:val="TextBody"/>
        <w:bidi w:val="0"/>
        <w:spacing w:lineRule="atLeast" w:line="230" w:before="202" w:after="283"/>
        <w:ind w:left="0" w:right="0" w:firstLine="720"/>
        <w:jc w:val="left"/>
        <w:rPr>
          <w:rFonts w:ascii="Arial;sans-serif" w:hAnsi="Arial;sans-serif"/>
          <w:b w:val="false"/>
          <w:color w:val="000000"/>
          <w:sz w:val="20"/>
        </w:rPr>
      </w:pPr>
      <w:r>
        <w:rPr>
          <w:rFonts w:ascii="Arial;sans-serif" w:hAnsi="Arial;sans-serif"/>
          <w:b w:val="false"/>
          <w:color w:val="000000"/>
          <w:sz w:val="20"/>
        </w:rPr>
        <w:t>(C)A director shall hold office until his successor shall be elected and qualified, subject, however, to</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prior death, resignation, retirement, disqualification or removal from office. The annual meeting of shareholders</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shall be held each year on a date and at a time designated by the board of directors of the Corporation.</w:t>
      </w:r>
    </w:p>
    <w:p>
      <w:pPr>
        <w:pStyle w:val="TextBody"/>
        <w:bidi w:val="0"/>
        <w:spacing w:lineRule="atLeast" w:line="230"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(D)Any vacancy on the board of directors of the corporation may be filled by a majority of the board of directors then in office and any director elected to fill such a vacancy shall have the same remaining term as that of his or her predecessor; PROVIDED, HOWEVER, that any vacancy occurring with respect to a Class B-1 Director, a Class B-2 Director or a Class B-3 Director shall be filled from the candidates who lost for such position from the most recent election, with the candidates being selected to fill such vacancy in the order of the aggregate number of votes received in such previous election.</w:t>
      </w:r>
    </w:p>
    <w:p>
      <w:pPr>
        <w:pStyle w:val="TextBody"/>
        <w:bidi w:val="0"/>
        <w:spacing w:lineRule="atLeast" w:line="230" w:before="198" w:after="283"/>
        <w:ind w:left="0" w:right="0" w:firstLine="720"/>
        <w:jc w:val="left"/>
        <w:rPr>
          <w:rFonts w:ascii="Arial;sans-serif" w:hAnsi="Arial;sans-serif"/>
          <w:b w:val="false"/>
          <w:color w:val="000000"/>
          <w:sz w:val="20"/>
        </w:rPr>
      </w:pPr>
      <w:r>
        <w:rPr>
          <w:rFonts w:ascii="Arial;sans-serif" w:hAnsi="Arial;sans-serif"/>
          <w:b w:val="false"/>
          <w:color w:val="000000"/>
          <w:sz w:val="20"/>
        </w:rPr>
        <w:t>(E)No person shall be eligible for election as a Class B-1 Director, a Class B-2 Director or a Class B-3 Director unless he or she shall own, or be recognized as the owner for the purposes of the Exchange of, at least one share of the class of Class B Common Stock entitled to elect such director.</w:t>
      </w:r>
    </w:p>
    <w:p>
      <w:pPr>
        <w:pStyle w:val="TextBody"/>
        <w:bidi w:val="0"/>
        <w:spacing w:lineRule="atLeast" w:line="230" w:before="202" w:after="283"/>
        <w:ind w:left="0" w:right="0" w:firstLine="720"/>
        <w:jc w:val="left"/>
        <w:rPr>
          <w:rFonts w:ascii="Arial;sans-serif" w:hAnsi="Arial;sans-serif"/>
          <w:b w:val="false"/>
          <w:color w:val="000000"/>
          <w:sz w:val="20"/>
        </w:rPr>
      </w:pPr>
      <w:r>
        <w:rPr>
          <w:rFonts w:ascii="Arial;sans-serif" w:hAnsi="Arial;sans-serif"/>
          <w:b w:val="false"/>
          <w:color w:val="000000"/>
          <w:sz w:val="20"/>
        </w:rPr>
        <w:t>(F)Until the 2014 annual meeting of shareholders, a director may be removed from office at any</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time, but only for cause and only by the affirmative vote of the holders of at least two-thirds of the voting power</w:t>
      </w:r>
    </w:p>
    <w:p>
      <w:pPr>
        <w:pStyle w:val="TextBody"/>
        <w:bidi w:val="0"/>
        <w:spacing w:lineRule="atLeast" w:line="226" w:before="0" w:after="0"/>
        <w:jc w:val="left"/>
        <w:rPr>
          <w:rFonts w:ascii="Arial;sans-serif" w:hAnsi="Arial;sans-serif"/>
          <w:b w:val="false"/>
          <w:color w:val="000000"/>
          <w:sz w:val="20"/>
        </w:rPr>
      </w:pPr>
      <w:r>
        <w:rPr>
          <w:rFonts w:ascii="Arial;sans-serif" w:hAnsi="Arial;sans-serif"/>
          <w:b w:val="false"/>
          <w:color w:val="000000"/>
          <w:sz w:val="20"/>
        </w:rPr>
        <w:t>of the shares entitled to elect such person as a director.</w:t>
      </w:r>
    </w:p>
    <w:p>
      <w:pPr>
        <w:pStyle w:val="TextBody"/>
        <w:bidi w:val="0"/>
        <w:spacing w:lineRule="atLeast" w:line="230" w:before="204" w:after="283"/>
        <w:ind w:left="0" w:right="0" w:firstLine="720"/>
        <w:jc w:val="left"/>
        <w:rPr/>
      </w:pPr>
      <w:r>
        <w:rPr>
          <w:rFonts w:ascii="Arial;sans-serif" w:hAnsi="Arial;sans-serif"/>
          <w:b/>
          <w:color w:val="000000"/>
          <w:sz w:val="20"/>
        </w:rPr>
        <w:t xml:space="preserve">ARTICLE SIX: </w:t>
      </w:r>
      <w:r>
        <w:rPr>
          <w:rFonts w:ascii="Arial;sans-serif" w:hAnsi="Arial;sans-serif"/>
          <w:b w:val="false"/>
          <w:color w:val="000000"/>
          <w:sz w:val="20"/>
        </w:rPr>
        <w:t>The board of directors is hereby authorized to create and issue, whether or not in connection with the issuance and sale of any of its stock or other securities or property, rights entitling the holders thereof to purchase from the corporation shares of Preferred Stock, Class A Common Stock or securities of any other corporation. The times at which and the terms upon which such rights are to be issued will be determined by the board of directors and set forth in the contracts or instruments that evidence such rights. The authority of the board of directors with respect to such rights shall include, without limitation, determination of the following:</w:t>
      </w:r>
    </w:p>
    <w:p>
      <w:pPr>
        <w:pStyle w:val="TextBody"/>
        <w:bidi w:val="0"/>
        <w:spacing w:lineRule="atLeast" w:line="230" w:before="198" w:after="283"/>
        <w:ind w:left="0" w:right="0" w:firstLine="720"/>
        <w:jc w:val="left"/>
        <w:rPr>
          <w:rFonts w:ascii="Arial;sans-serif" w:hAnsi="Arial;sans-serif"/>
          <w:b w:val="false"/>
          <w:color w:val="000000"/>
          <w:sz w:val="20"/>
        </w:rPr>
      </w:pPr>
      <w:r>
        <w:rPr>
          <w:rFonts w:ascii="Arial;sans-serif" w:hAnsi="Arial;sans-serif"/>
          <w:b w:val="false"/>
          <w:color w:val="000000"/>
          <w:sz w:val="20"/>
        </w:rPr>
        <w:t>(A)The initial purchase price per share or other unit of the stock or other securities or property to be purchased upon exercise of such rights;</w:t>
      </w:r>
    </w:p>
    <w:p>
      <w:pPr>
        <w:pStyle w:val="TextBody"/>
        <w:bidi w:val="0"/>
        <w:spacing w:lineRule="atLeast" w:line="230" w:before="202" w:after="283"/>
        <w:ind w:left="0" w:right="0" w:firstLine="720"/>
        <w:jc w:val="left"/>
        <w:rPr>
          <w:rFonts w:ascii="Arial;sans-serif" w:hAnsi="Arial;sans-serif"/>
          <w:b w:val="false"/>
          <w:color w:val="000000"/>
          <w:sz w:val="20"/>
        </w:rPr>
      </w:pPr>
      <w:r>
        <w:rPr>
          <w:rFonts w:ascii="Arial;sans-serif" w:hAnsi="Arial;sans-serif"/>
          <w:b w:val="false"/>
          <w:color w:val="000000"/>
          <w:sz w:val="20"/>
        </w:rPr>
        <w:t>(B)Provisions relating to the times at which and the circumstances under which such rights may be</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exercised or sold or otherwise transferred, either together with or separately from, any other stock or other</w:t>
      </w:r>
    </w:p>
    <w:p>
      <w:pPr>
        <w:pStyle w:val="TextBody"/>
        <w:bidi w:val="0"/>
        <w:spacing w:lineRule="atLeast" w:line="226" w:before="0" w:after="0"/>
        <w:jc w:val="left"/>
        <w:rPr>
          <w:rFonts w:ascii="Arial;sans-serif" w:hAnsi="Arial;sans-serif"/>
          <w:b w:val="false"/>
          <w:color w:val="000000"/>
          <w:sz w:val="20"/>
        </w:rPr>
      </w:pPr>
      <w:r>
        <w:rPr>
          <w:rFonts w:ascii="Arial;sans-serif" w:hAnsi="Arial;sans-serif"/>
          <w:b w:val="false"/>
          <w:color w:val="000000"/>
          <w:sz w:val="20"/>
        </w:rPr>
        <w:t>securities of the corporation;</w:t>
      </w:r>
    </w:p>
    <w:p>
      <w:pPr>
        <w:pStyle w:val="TextBody"/>
        <w:bidi w:val="0"/>
        <w:spacing w:lineRule="atLeast" w:line="230" w:before="203"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(C)Provisions which adjust the number or exercise price of such rights or amount or nature of the stock or other securities or property receivable upon exercise of such rights in the event of a combination, split or recapitalization of any stock of the corporation, a change in ownership of the corporation’s stock or other securities or a reorganization, merger, consolidation, sale of assets or other occurrence relating to the corporation or any stock of the corporation, and provisions restricting the ability of the corporation to enter into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any such transaction absent an assumption by the other party or parties thereto of the obligations of the corporation under such rights;</w:t>
      </w:r>
    </w:p>
    <w:p>
      <w:pPr>
        <w:pStyle w:val="TextBody"/>
        <w:bidi w:val="0"/>
        <w:spacing w:lineRule="atLeast" w:line="230" w:before="202" w:after="283"/>
        <w:ind w:left="0" w:right="0" w:firstLine="720"/>
        <w:jc w:val="left"/>
        <w:rPr>
          <w:rFonts w:ascii="Arial;sans-serif" w:hAnsi="Arial;sans-serif"/>
          <w:b w:val="false"/>
          <w:color w:val="000000"/>
          <w:sz w:val="20"/>
        </w:rPr>
      </w:pPr>
      <w:r>
        <w:rPr>
          <w:rFonts w:ascii="Arial;sans-serif" w:hAnsi="Arial;sans-serif"/>
          <w:b w:val="false"/>
          <w:color w:val="000000"/>
          <w:sz w:val="20"/>
        </w:rPr>
        <w:t>(D)Provisions which deny the holder of a specified percentage of the outstanding stock or other</w:t>
      </w:r>
    </w:p>
    <w:p>
      <w:pPr>
        <w:pStyle w:val="TextBody"/>
        <w:bidi w:val="0"/>
        <w:spacing w:lineRule="atLeast" w:line="226" w:before="0" w:after="0"/>
        <w:jc w:val="left"/>
        <w:rPr>
          <w:rFonts w:ascii="Arial;sans-serif" w:hAnsi="Arial;sans-serif"/>
          <w:b w:val="false"/>
          <w:color w:val="000000"/>
          <w:sz w:val="20"/>
        </w:rPr>
      </w:pPr>
      <w:r>
        <w:rPr>
          <w:rFonts w:ascii="Arial;sans-serif" w:hAnsi="Arial;sans-serif"/>
          <w:b w:val="false"/>
          <w:color w:val="000000"/>
          <w:sz w:val="20"/>
        </w:rPr>
        <w:t>securities of the corporation the right to exercise such rights and/or cause the rights held by such holder to</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become void;</w:t>
      </w:r>
    </w:p>
    <w:p>
      <w:pPr>
        <w:pStyle w:val="TextBody"/>
        <w:bidi w:val="0"/>
        <w:spacing w:lineRule="atLeast" w:line="230" w:before="202" w:after="283"/>
        <w:ind w:left="0" w:right="0" w:firstLine="720"/>
        <w:jc w:val="left"/>
        <w:rPr>
          <w:rFonts w:ascii="Arial;sans-serif" w:hAnsi="Arial;sans-serif"/>
          <w:b w:val="false"/>
          <w:color w:val="000000"/>
          <w:sz w:val="20"/>
        </w:rPr>
      </w:pPr>
      <w:r>
        <w:rPr>
          <w:rFonts w:ascii="Arial;sans-serif" w:hAnsi="Arial;sans-serif"/>
          <w:b w:val="false"/>
          <w:color w:val="000000"/>
          <w:sz w:val="20"/>
        </w:rPr>
        <w:t>(E)Provisions which permit the corporation to redeem or to exchange such rights; and</w:t>
      </w:r>
    </w:p>
    <w:p>
      <w:pPr>
        <w:pStyle w:val="TextBody"/>
        <w:bidi w:val="0"/>
        <w:spacing w:lineRule="atLeast" w:line="230" w:before="202" w:after="283"/>
        <w:ind w:left="0" w:right="0" w:firstLine="720"/>
        <w:jc w:val="left"/>
        <w:rPr>
          <w:rFonts w:ascii="Arial;sans-serif" w:hAnsi="Arial;sans-serif"/>
          <w:b w:val="false"/>
          <w:color w:val="000000"/>
          <w:sz w:val="20"/>
        </w:rPr>
      </w:pPr>
      <w:r>
        <w:rPr>
          <w:rFonts w:ascii="Arial;sans-serif" w:hAnsi="Arial;sans-serif"/>
          <w:b w:val="false"/>
          <w:color w:val="000000"/>
          <w:sz w:val="20"/>
        </w:rPr>
        <w:t>(F)The appointment of a rights agent with respect to such rights.</w:t>
      </w:r>
    </w:p>
    <w:p>
      <w:pPr>
        <w:pStyle w:val="TextBody"/>
        <w:bidi w:val="0"/>
        <w:spacing w:lineRule="atLeast" w:line="229" w:before="204" w:after="283"/>
        <w:jc w:val="left"/>
        <w:rPr>
          <w:rFonts w:ascii="Arial;sans-serif" w:hAnsi="Arial;sans-serif"/>
          <w:b/>
          <w:color w:val="000000"/>
          <w:sz w:val="20"/>
        </w:rPr>
      </w:pPr>
      <w:r>
        <w:rPr>
          <w:rFonts w:ascii="Arial;sans-serif" w:hAnsi="Arial;sans-serif"/>
          <w:b/>
          <w:color w:val="000000"/>
          <w:sz w:val="20"/>
        </w:rPr>
        <w:t>ARTICLE SEVEN:</w:t>
      </w:r>
    </w:p>
    <w:p>
      <w:pPr>
        <w:pStyle w:val="TextBody"/>
        <w:bidi w:val="0"/>
        <w:spacing w:lineRule="atLeast" w:line="230" w:before="193" w:after="283"/>
        <w:ind w:left="0" w:right="0" w:firstLine="720"/>
        <w:jc w:val="left"/>
        <w:rPr>
          <w:rFonts w:ascii="Arial;sans-serif" w:hAnsi="Arial;sans-serif"/>
          <w:b w:val="false"/>
          <w:color w:val="000000"/>
          <w:sz w:val="20"/>
        </w:rPr>
      </w:pPr>
      <w:r>
        <w:rPr>
          <w:rFonts w:ascii="Arial;sans-serif" w:hAnsi="Arial;sans-serif"/>
          <w:b w:val="false"/>
          <w:color w:val="000000"/>
          <w:sz w:val="20"/>
        </w:rPr>
        <w:t>(A)In furtherance of and not in limitation of the powers conferred by law, the board of directors is expressly authorized and empowered to adopt, amend or repeal the bylaws; PROVIDED, HOWEVER, that the bylaws may also be altered, amended or repealed by the affirmative vote of the holders of two-thirds of the voting power of the then outstanding Common Stock, voting together as a single class.</w:t>
      </w:r>
    </w:p>
    <w:p>
      <w:pPr>
        <w:pStyle w:val="TextBody"/>
        <w:bidi w:val="0"/>
        <w:spacing w:lineRule="atLeast" w:line="230" w:before="202" w:after="283"/>
        <w:ind w:left="0" w:right="0" w:firstLine="720"/>
        <w:jc w:val="left"/>
        <w:rPr>
          <w:rFonts w:ascii="Arial;sans-serif" w:hAnsi="Arial;sans-serif"/>
          <w:b w:val="false"/>
          <w:color w:val="000000"/>
          <w:sz w:val="20"/>
        </w:rPr>
      </w:pPr>
      <w:r>
        <w:rPr>
          <w:rFonts w:ascii="Arial;sans-serif" w:hAnsi="Arial;sans-serif"/>
          <w:b w:val="false"/>
          <w:color w:val="000000"/>
          <w:sz w:val="20"/>
        </w:rPr>
        <w:t>(B)Unless and except to the extent that the bylaws of the corporation shall so require, the election of directors of the corporation need not be by written ballot.</w:t>
      </w:r>
    </w:p>
    <w:p>
      <w:pPr>
        <w:pStyle w:val="TextBody"/>
        <w:bidi w:val="0"/>
        <w:spacing w:lineRule="atLeast" w:line="230" w:before="198" w:after="283"/>
        <w:ind w:left="0" w:right="0" w:firstLine="720"/>
        <w:jc w:val="left"/>
        <w:rPr/>
      </w:pPr>
      <w:r>
        <w:rPr>
          <w:rFonts w:ascii="Arial;sans-serif" w:hAnsi="Arial;sans-serif"/>
          <w:b/>
          <w:color w:val="000000"/>
          <w:sz w:val="20"/>
        </w:rPr>
        <w:t xml:space="preserve">ARTICLE EIGHT: </w:t>
      </w:r>
      <w:r>
        <w:rPr>
          <w:rFonts w:ascii="Arial;sans-serif" w:hAnsi="Arial;sans-serif"/>
          <w:b w:val="false"/>
          <w:color w:val="000000"/>
          <w:sz w:val="20"/>
        </w:rPr>
        <w:t>No shareholder shall have any preemptive right to subscribe to an additional issue of any class or series of the corporation’s capital stock or to any securities of the corporation convertible into such stock.</w:t>
      </w:r>
    </w:p>
    <w:p>
      <w:pPr>
        <w:pStyle w:val="TextBody"/>
        <w:bidi w:val="0"/>
        <w:spacing w:lineRule="atLeast" w:line="230" w:before="204" w:after="283"/>
        <w:ind w:left="0" w:right="0" w:firstLine="720"/>
        <w:jc w:val="left"/>
        <w:rPr/>
      </w:pPr>
      <w:r>
        <w:rPr>
          <w:rFonts w:ascii="Arial;sans-serif" w:hAnsi="Arial;sans-serif"/>
          <w:b/>
          <w:color w:val="000000"/>
          <w:sz w:val="20"/>
        </w:rPr>
        <w:t xml:space="preserve">ARTICLE NINE: </w:t>
      </w:r>
      <w:r>
        <w:rPr>
          <w:rFonts w:ascii="Arial;sans-serif" w:hAnsi="Arial;sans-serif"/>
          <w:b w:val="false"/>
          <w:color w:val="000000"/>
          <w:sz w:val="20"/>
        </w:rPr>
        <w:t>Notwithstanding anything contained in this Certificate of Incorporation to the contrary, the affirmative vote of at least two-thirds of the voting power of the then outstanding Common Stock, voting together as a single class, shall be required to amend, repeal or adopt any provisions inconsistent with Paragraph (F) of Article Five or Articles Six, Nine, Ten, Eleven, Twelve, Thirteen, Fourteen or Fifteen of this Certificate of Incorporation.</w:t>
      </w:r>
    </w:p>
    <w:p>
      <w:pPr>
        <w:pStyle w:val="TextBody"/>
        <w:bidi w:val="0"/>
        <w:spacing w:lineRule="atLeast" w:line="230" w:before="200" w:after="283"/>
        <w:ind w:left="0" w:right="0" w:firstLine="720"/>
        <w:jc w:val="left"/>
        <w:rPr/>
      </w:pPr>
      <w:r>
        <w:rPr>
          <w:rFonts w:ascii="Arial;sans-serif" w:hAnsi="Arial;sans-serif"/>
          <w:b/>
          <w:color w:val="000000"/>
          <w:sz w:val="20"/>
        </w:rPr>
        <w:t xml:space="preserve">ARTICLE TEN: </w:t>
      </w:r>
      <w:r>
        <w:rPr>
          <w:rFonts w:ascii="Arial;sans-serif" w:hAnsi="Arial;sans-serif"/>
          <w:b w:val="false"/>
          <w:color w:val="000000"/>
          <w:sz w:val="20"/>
        </w:rPr>
        <w:t>No director of the corporation shall be personally liable to the corporation or its shareholders for monetary damages for breach of fiduciary duty as a director, except for liability (i) for any breach of the director’s duty of loyalty to the corporation or its shareholders, (ii) for acts or omissions not in good faith or which involve intentional misconduct or a knowing violation of law, (iii) under Section 174 of the DGCL, or (iv) for any transaction from which the director derived an improper personal benefit. Any amendment or repeal of this Article by the shareholders shall not adversely affect any right or protection of a director of the corporation existing hereunder in respect of any act or omission occurring prior to such amendment or repeal.</w:t>
      </w:r>
    </w:p>
    <w:p>
      <w:pPr>
        <w:pStyle w:val="TextBody"/>
        <w:bidi w:val="0"/>
        <w:spacing w:lineRule="atLeast" w:line="230" w:before="196" w:after="283"/>
        <w:ind w:left="0" w:right="0" w:firstLine="720"/>
        <w:jc w:val="left"/>
        <w:rPr/>
      </w:pPr>
      <w:r>
        <w:rPr>
          <w:rFonts w:ascii="Arial;sans-serif" w:hAnsi="Arial;sans-serif"/>
          <w:b/>
          <w:color w:val="000000"/>
          <w:sz w:val="20"/>
        </w:rPr>
        <w:t xml:space="preserve">ARTICLE ELEVEN: </w:t>
      </w:r>
      <w:r>
        <w:rPr>
          <w:rFonts w:ascii="Arial;sans-serif" w:hAnsi="Arial;sans-serif"/>
          <w:b w:val="false"/>
          <w:color w:val="000000"/>
          <w:sz w:val="20"/>
        </w:rPr>
        <w:t>The corporation shall indemnify its directors and officers to the fullest extent authorized or permitted by law, as now or hereafter in effect, and such right to indemnification shall continue as to a person who has ceased to be a director or officer of the corporation and shall inure to the benefit of his or her heirs, executors and personal and legal representatives; PROVIDED, HOWEVER,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Eleven shall include the right to be paid by the corporation the expenses incurred in defending or otherwise participating in any proceeding in advance of its final disposition.</w:t>
      </w:r>
    </w:p>
    <w:p>
      <w:pPr>
        <w:pStyle w:val="TextBody"/>
        <w:bidi w:val="0"/>
        <w:spacing w:lineRule="atLeast" w:line="230" w:before="202" w:after="283"/>
        <w:jc w:val="left"/>
        <w:rPr>
          <w:rFonts w:ascii="Arial;sans-serif" w:hAnsi="Arial;sans-serif"/>
          <w:b w:val="false"/>
          <w:color w:val="000000"/>
          <w:sz w:val="20"/>
        </w:rPr>
      </w:pPr>
      <w:r>
        <w:rPr>
          <w:rFonts w:ascii="Arial;sans-serif" w:hAnsi="Arial;sans-serif"/>
          <w:b w:val="false"/>
          <w:color w:val="000000"/>
          <w:sz w:val="20"/>
        </w:rPr>
        <w:t>The corporation may, to the extent authorized from time to time by the board of directors, provide rights</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to indemnification and to the advancement of expenses to employees and agents of the corporation similar to</w:t>
      </w:r>
    </w:p>
    <w:p>
      <w:pPr>
        <w:pStyle w:val="TextBody"/>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those conferred in this Article Eleven to directors and officers of the corporation.</w:t>
      </w:r>
    </w:p>
    <w:p>
      <w:pPr>
        <w:pStyle w:val="TextBody"/>
        <w:bidi w:val="0"/>
        <w:spacing w:lineRule="atLeast" w:line="230" w:before="199" w:after="283"/>
        <w:ind w:left="0" w:right="0" w:firstLine="720"/>
        <w:jc w:val="left"/>
        <w:rPr>
          <w:rFonts w:ascii="Arial;sans-serif" w:hAnsi="Arial;sans-serif"/>
          <w:b w:val="false"/>
          <w:color w:val="000000"/>
          <w:sz w:val="20"/>
        </w:rPr>
      </w:pPr>
      <w:r>
        <w:rPr>
          <w:rFonts w:ascii="Arial;sans-serif" w:hAnsi="Arial;sans-serif"/>
          <w:b w:val="false"/>
          <w:color w:val="000000"/>
          <w:sz w:val="20"/>
        </w:rPr>
        <w:t>The rights to indemnification and to the advance of expenses conferred in this Article Eleven shall not be exclusive of any other right which any person may have or hereafter acquire under this Certificate of Incorporation, the bylaws of the corporation, any statute, agreement, vote of shareholders or disinterested directors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tLeast" w:line="230"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Any repeal or modification of this Article Eleven by the shareholders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pStyle w:val="TextBody"/>
        <w:bidi w:val="0"/>
        <w:spacing w:lineRule="atLeast" w:line="230" w:before="199" w:after="283"/>
        <w:ind w:left="0" w:right="0" w:firstLine="720"/>
        <w:jc w:val="left"/>
        <w:rPr/>
      </w:pPr>
      <w:r>
        <w:rPr>
          <w:rFonts w:ascii="Arial;sans-serif" w:hAnsi="Arial;sans-serif"/>
          <w:b/>
          <w:color w:val="000000"/>
          <w:sz w:val="20"/>
        </w:rPr>
        <w:t>ARTICLE TWELVE</w:t>
      </w:r>
      <w:r>
        <w:rPr>
          <w:rFonts w:ascii="Arial;sans-serif" w:hAnsi="Arial;sans-serif"/>
          <w:b w:val="false"/>
          <w:color w:val="000000"/>
          <w:sz w:val="20"/>
        </w:rPr>
        <w:t>: In furtherance and not in limitation of the powers conferred by law or in this Certificate of Incorporation, the board of directors (and any committee of the board of directors) is expressly authorized, to the extent permitted by law, to take such action or actions as the board of directors or such committee may determine to be reasonably necessary or desirable to (A) encourage any person to enter into negotiations with the board of directors and management of the corporation with respect to any transaction which may result in a change in control of the corporation which is proposed or initiated by such Person or (B) contest or oppose any such transaction which the board of directors or such committee determines to be unfair, abusive or otherwise undesirable with respect to the corporation and its business, assets or properties or the shareholders of the corporation, including, without limitation, the adoption of such plans or the issuance of such rights, options, capital stock, notes, debentures or other evidences of indebtedness or other securities of the corporation, which rights, options, capital stock, notes, debentures or other evidences of indebtedness and other securities (i) may be exchangeable for or convertible into cash or other securities on such terms and conditions as may be determined by the board of directors or such committee and (ii) may provide for the treatment of any holder or class of holders thereof designated by the board of directors or any such committee in respect of the terms, conditions, provisions and rights of such securities which is different from, and unequal to, the terms, conditions, provisions and rights applicable to all other holders thereof.</w:t>
      </w:r>
    </w:p>
    <w:p>
      <w:pPr>
        <w:pStyle w:val="TextBody"/>
        <w:bidi w:val="0"/>
        <w:spacing w:lineRule="atLeast" w:line="230" w:before="198" w:after="283"/>
        <w:ind w:left="0" w:right="0" w:firstLine="720"/>
        <w:jc w:val="left"/>
        <w:rPr/>
      </w:pPr>
      <w:r>
        <w:rPr>
          <w:rFonts w:ascii="Arial;sans-serif" w:hAnsi="Arial;sans-serif"/>
          <w:b/>
          <w:color w:val="000000"/>
          <w:sz w:val="20"/>
        </w:rPr>
        <w:t xml:space="preserve">ARTICLE THIRTEEN: </w:t>
      </w:r>
      <w:r>
        <w:rPr>
          <w:rFonts w:ascii="Arial;sans-serif" w:hAnsi="Arial;sans-serif"/>
          <w:b w:val="false"/>
          <w:color w:val="000000"/>
          <w:sz w:val="20"/>
        </w:rPr>
        <w:t>No action required to, or which may, be taken at an annual or special meeting of shareholders of the corporation may be taken without a meeting, and the power of the shareholders of the corporation to act by written consent, whether pursuant to Section 228 of the DGCL or otherwise, is specifically denied.</w:t>
      </w:r>
    </w:p>
    <w:p>
      <w:pPr>
        <w:pStyle w:val="TextBody"/>
        <w:bidi w:val="0"/>
        <w:spacing w:lineRule="atLeast" w:line="230" w:before="204" w:after="283"/>
        <w:ind w:left="0" w:right="0" w:firstLine="720"/>
        <w:jc w:val="both"/>
        <w:rPr/>
      </w:pPr>
      <w:r>
        <w:rPr>
          <w:rFonts w:ascii="Arial;sans-serif" w:hAnsi="Arial;sans-serif"/>
          <w:b/>
          <w:color w:val="000000"/>
          <w:sz w:val="20"/>
        </w:rPr>
        <w:t xml:space="preserve">ARTICLE FOURTEEN: </w:t>
      </w:r>
      <w:r>
        <w:rPr>
          <w:rFonts w:ascii="Arial;sans-serif" w:hAnsi="Arial;sans-serif"/>
          <w:b w:val="false"/>
          <w:color w:val="000000"/>
          <w:sz w:val="20"/>
        </w:rPr>
        <w:t>Special meetings of the shareholders, for any purpose or purposes, unless otherwise prescribed by statute or by this Certificate of Incorporation, may be called by the Chairman of the Board, in his discretion, and shall be called by the Chairman of the Board or the Secretary at the request in writing of a majority of the directors then holding office. Any such written request shall state the purpose or purposes of the proposed meeting.</w:t>
      </w:r>
    </w:p>
    <w:p>
      <w:pPr>
        <w:pStyle w:val="TextBody"/>
        <w:bidi w:val="0"/>
        <w:spacing w:lineRule="atLeast" w:line="230" w:before="199" w:after="2020"/>
        <w:ind w:left="0" w:right="0" w:firstLine="720"/>
        <w:jc w:val="left"/>
        <w:rPr/>
      </w:pPr>
      <w:r>
        <w:rPr>
          <w:rFonts w:ascii="Arial;sans-serif" w:hAnsi="Arial;sans-serif"/>
          <w:b/>
          <w:color w:val="000000"/>
          <w:sz w:val="20"/>
        </w:rPr>
        <w:t xml:space="preserve">ARTICLE FIFTEEN: </w:t>
      </w:r>
      <w:r>
        <w:rPr>
          <w:rFonts w:ascii="Arial;sans-serif" w:hAnsi="Arial;sans-serif"/>
          <w:b w:val="false"/>
          <w:color w:val="000000"/>
          <w:sz w:val="20"/>
        </w:rPr>
        <w:t xml:space="preserve">The corporation shall, and shall cause each of the Exchange and CBOT and their respective successors and successors-in-interest to, (i) grant to each holder of a CME Membership and each holder of a Series B-1 membership in CBOT all trading rights and privileges for all new products first made available after the effective time of the merger of CBOT Holdings, Inc. with and into the corporation, pursuant to that certain Agreement and Plan of Merger, dated as of October 17, 2006, as amended, among the corporation, CBOT Holdings, Inc. and the CBOT (the </w:t>
      </w:r>
      <w:r>
        <w:rPr>
          <w:color w:val="000000"/>
        </w:rPr>
        <w:t>“</w:t>
      </w:r>
      <w:r>
        <w:rPr>
          <w:rFonts w:ascii="Arial;sans-serif" w:hAnsi="Arial;sans-serif"/>
          <w:b/>
          <w:color w:val="000000"/>
          <w:sz w:val="20"/>
        </w:rPr>
        <w:t>Merger Effective Time”</w:t>
      </w:r>
      <w:r>
        <w:rPr>
          <w:rFonts w:ascii="Arial;sans-serif" w:hAnsi="Arial;sans-serif"/>
          <w:b w:val="false"/>
          <w:color w:val="000000"/>
          <w:sz w:val="20"/>
        </w:rPr>
        <w:t>) and traded on the open outcry exchange system of the Exchange or CBOT or any electronic trading system maintained by the Exchange or CBOT or any of their respective successors or successors-in-interest; (ii) prohibit the Exchange and any of its successors or successors-in-interest from trading products that, as of the Merger Effective Time, were traded on CBOT’s open outcry exchange system or any electronic trading system maintained by CBOT; and (iii) prohibit CBOT and any of its successors or successors-in-interest from trading products that, as of the Merger Effective Time, were traded on the Exchange’s open outcry exchange system or any electronic trading system maintained by the Exchange. The board of directors of the corporation shall, and shall cause the Exchange and CBOT to, enforce these requirements. Other members of CBOT shall have such trading rights and privileges for new products first made available after the Merger Effective Time and traded on the open outcry exchange system of the Exchange or CBOT or any electronic trading system maintained by the Exchange or CBOT or any of their respective successors or successors-in-interests as determined by the board of directors of the corporation in its sole discretion.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Terrence A. Duffy, certify that: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1. I have reviewed this report on Form 10-Q of CME Group Inc.;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tbl>
      <w:tblPr>
        <w:tblW w:w="5006" w:type="dxa"/>
        <w:jc w:val="center"/>
        <w:tblInd w:w="0" w:type="dxa"/>
        <w:tblLayout w:type="fixed"/>
        <w:tblCellMar>
          <w:top w:w="28" w:type="dxa"/>
          <w:left w:w="28" w:type="dxa"/>
          <w:bottom w:w="28" w:type="dxa"/>
          <w:right w:w="28" w:type="dxa"/>
        </w:tblCellMar>
      </w:tblPr>
      <w:tblGrid>
        <w:gridCol w:w="765"/>
        <w:gridCol w:w="672"/>
        <w:gridCol w:w="678"/>
        <w:gridCol w:w="109"/>
        <w:gridCol w:w="109"/>
        <w:gridCol w:w="109"/>
        <w:gridCol w:w="749"/>
        <w:gridCol w:w="749"/>
        <w:gridCol w:w="1066"/>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Terrence A. Duffy</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Terrence A. Duffy</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Lynne Fitzpatrick, certify that: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1. I have reviewed this report on Form 10-Q of CME Group Inc.;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tbl>
      <w:tblPr>
        <w:tblW w:w="6414" w:type="dxa"/>
        <w:jc w:val="center"/>
        <w:tblInd w:w="0" w:type="dxa"/>
        <w:tblLayout w:type="fixed"/>
        <w:tblCellMar>
          <w:top w:w="28" w:type="dxa"/>
          <w:left w:w="28" w:type="dxa"/>
          <w:bottom w:w="28" w:type="dxa"/>
          <w:right w:w="28" w:type="dxa"/>
        </w:tblCellMar>
      </w:tblPr>
      <w:tblGrid>
        <w:gridCol w:w="765"/>
        <w:gridCol w:w="672"/>
        <w:gridCol w:w="678"/>
        <w:gridCol w:w="109"/>
        <w:gridCol w:w="109"/>
        <w:gridCol w:w="109"/>
        <w:gridCol w:w="109"/>
        <w:gridCol w:w="109"/>
        <w:gridCol w:w="109"/>
        <w:gridCol w:w="1066"/>
        <w:gridCol w:w="1066"/>
        <w:gridCol w:w="1513"/>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Lynne Fitzpatrick</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Lynne Fitzpatrick</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CEO and CFO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In connection with the Quarterly Report on Form 10-Q of CME Group Inc. (the “Company”) for the quarter ended September 30, 2026 as filed with the Securities and Exchange Commission on the date hereof (the “Report”), Terrence A. Duffy, as Chief Executive Officer of the Company, and Lynne Fitzpatrick, as President and Chief Financial Officer of the Company, each hereby certifies, pursuant to 18 U.S.C. § 1350, as adopted pursuant to § 906 of the Sarbanes-Oxley Act of 2002, that, to the best of his knowledge: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tbl>
      <w:tblPr>
        <w:tblW w:w="2906" w:type="dxa"/>
        <w:jc w:val="center"/>
        <w:tblInd w:w="0" w:type="dxa"/>
        <w:tblLayout w:type="fixed"/>
        <w:tblCellMar>
          <w:top w:w="28" w:type="dxa"/>
          <w:left w:w="28" w:type="dxa"/>
          <w:bottom w:w="28" w:type="dxa"/>
          <w:right w:w="28" w:type="dxa"/>
        </w:tblCellMar>
      </w:tblPr>
      <w:tblGrid>
        <w:gridCol w:w="917"/>
        <w:gridCol w:w="804"/>
        <w:gridCol w:w="813"/>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Terrence A. Duffy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Terrence A. Duffy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Dated: October 23, 2026 </w:t>
      </w:r>
    </w:p>
    <w:tbl>
      <w:tblPr>
        <w:tblW w:w="3986" w:type="dxa"/>
        <w:jc w:val="center"/>
        <w:tblInd w:w="0" w:type="dxa"/>
        <w:tblLayout w:type="fixed"/>
        <w:tblCellMar>
          <w:top w:w="28" w:type="dxa"/>
          <w:left w:w="28" w:type="dxa"/>
          <w:bottom w:w="28" w:type="dxa"/>
          <w:right w:w="28" w:type="dxa"/>
        </w:tblCellMar>
      </w:tblPr>
      <w:tblGrid>
        <w:gridCol w:w="1308"/>
        <w:gridCol w:w="1150"/>
        <w:gridCol w:w="1156"/>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Lynne Fitzpatrick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Lynne Fitzpatrick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Dated: October 23, 2026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This certification accompanies the Report pursuant to § 906 of the Sarbanes-Oxley Act of 2002 and shall not, except to the extent required by the Sarbanes-Oxley Act of 2002, be deemed filed by the Company for purposes of §18 of the Securities Exchange Act of 1934, as amended.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A signed original of this written statement required by § 906 of the Sarbanes-Oxley Act of 2002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56375/000119312522301477/d412380dex31.htm" TargetMode="External"/><Relationship Id="rId3" Type="http://schemas.openxmlformats.org/officeDocument/2006/relationships/hyperlink" Target="https://www.sec.gov/Archives/edgar/data/1156375/000115637526000060/certificateofelimination-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22883</Words>
  <Characters>123152</Characters>
  <CharactersWithSpaces>144708</CharactersWithSpaces>
  <Paragraphs>3014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