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51"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OR -</w:t>
      </w:r>
    </w:p>
    <w:p>
      <w:pPr>
        <w:spacing w:after="0" w:line="176"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001-31553</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300"/>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31"/>
        </w:trPr>
        <w:tc>
          <w:tcPr>
            <w:tcW w:w="6520" w:type="dxa"/>
            <w:vAlign w:val="bottom"/>
          </w:tcPr>
          <w:p>
            <w:pPr>
              <w:jc w:val="center"/>
              <w:ind w:right="3300"/>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3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right"/>
              <w:ind w:right="1400"/>
              <w:spacing w:after="0"/>
              <w:rPr>
                <w:sz w:val="20"/>
                <w:szCs w:val="20"/>
                <w:color w:val="auto"/>
              </w:rPr>
            </w:pPr>
            <w:r>
              <w:rPr>
                <w:rFonts w:ascii="Arial" w:cs="Arial" w:eastAsia="Arial" w:hAnsi="Arial"/>
                <w:sz w:val="18"/>
                <w:szCs w:val="18"/>
                <w:b w:val="1"/>
                <w:bCs w:val="1"/>
                <w:color w:val="auto"/>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bl>
    <w:p>
      <w:pPr>
        <w:spacing w:after="0" w:line="124"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64" w:lineRule="exact"/>
        <w:rPr>
          <w:sz w:val="24"/>
          <w:szCs w:val="24"/>
          <w:color w:val="auto"/>
        </w:rPr>
      </w:pPr>
    </w:p>
    <w:p>
      <w:pPr>
        <w:ind w:left="1180"/>
        <w:spacing w:after="0"/>
        <w:tabs>
          <w:tab w:leader="none" w:pos="7780" w:val="left"/>
          <w:tab w:leader="none" w:pos="892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w:t>
        <w:tab/>
        <w:t>o</w:t>
      </w:r>
    </w:p>
    <w:p>
      <w:pPr>
        <w:spacing w:after="0" w:line="231" w:lineRule="exact"/>
        <w:rPr>
          <w:sz w:val="24"/>
          <w:szCs w:val="24"/>
          <w:color w:val="auto"/>
        </w:rPr>
      </w:pPr>
    </w:p>
    <w:p>
      <w:pPr>
        <w:ind w:left="1180"/>
        <w:spacing w:after="0"/>
        <w:tabs>
          <w:tab w:leader="none" w:pos="2520" w:val="left"/>
          <w:tab w:leader="none" w:pos="7780" w:val="left"/>
        </w:tabs>
        <w:rPr>
          <w:sz w:val="20"/>
          <w:szCs w:val="20"/>
          <w:color w:val="auto"/>
        </w:rPr>
      </w:pPr>
      <w:r>
        <w:rPr>
          <w:rFonts w:ascii="Arial" w:cs="Arial" w:eastAsia="Arial" w:hAnsi="Arial"/>
          <w:sz w:val="14"/>
          <w:szCs w:val="14"/>
          <w:color w:val="auto"/>
        </w:rPr>
        <w:t>Non-accelerated filer</w:t>
        <w:tab/>
        <w:t>o (Do not check if a smaller reporting company)</w:t>
      </w:r>
      <w:r>
        <w:rPr>
          <w:sz w:val="20"/>
          <w:szCs w:val="20"/>
          <w:color w:val="auto"/>
        </w:rPr>
        <w:tab/>
      </w:r>
      <w:r>
        <w:rPr>
          <w:rFonts w:ascii="Arial" w:cs="Arial" w:eastAsia="Arial" w:hAnsi="Arial"/>
          <w:sz w:val="13"/>
          <w:szCs w:val="13"/>
          <w:color w:val="auto"/>
        </w:rPr>
        <w:t>Smaller reporting company o</w:t>
      </w:r>
    </w:p>
    <w:p>
      <w:pPr>
        <w:spacing w:after="0" w:line="94" w:lineRule="exact"/>
        <w:rPr>
          <w:sz w:val="24"/>
          <w:szCs w:val="24"/>
          <w:color w:val="auto"/>
        </w:rPr>
      </w:pPr>
    </w:p>
    <w:p>
      <w:pPr>
        <w:ind w:left="40"/>
        <w:spacing w:after="0" w:line="207" w:lineRule="exact"/>
        <w:tabs>
          <w:tab w:leader="none" w:pos="838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80"/>
        <w:spacing w:after="0" w:line="312" w:lineRule="auto"/>
        <w:rPr>
          <w:sz w:val="20"/>
          <w:szCs w:val="20"/>
          <w:color w:val="auto"/>
        </w:rPr>
      </w:pPr>
      <w:r>
        <w:rPr>
          <w:rFonts w:ascii="Arial" w:cs="Arial" w:eastAsia="Arial" w:hAnsi="Arial"/>
          <w:sz w:val="16"/>
          <w:szCs w:val="16"/>
          <w:color w:val="auto"/>
        </w:rPr>
        <w:t>The number of shares outstanding of each of the registrant’s classes of common stock as of October 17, 2012 was as follows: 333,384,469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FF"/>
            </w:tcBorders>
            <w:gridSpan w:val="9"/>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 FINANCIAL INFORMATION</w:t>
              </w:r>
            </w:hyperlink>
          </w:p>
        </w:tc>
        <w:tc>
          <w:tcPr>
            <w:tcW w:w="8060" w:type="dxa"/>
            <w:vAlign w:val="bottom"/>
            <w:gridSpan w:val="10"/>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900" w:type="dxa"/>
            <w:vAlign w:val="bottom"/>
            <w:gridSpan w:val="18"/>
          </w:tcPr>
          <w:p>
            <w:pPr>
              <w:spacing w:after="0"/>
              <w:rPr>
                <w:rFonts w:ascii="Arial" w:cs="Arial" w:eastAsia="Arial" w:hAnsi="Arial"/>
                <w:sz w:val="16"/>
                <w:szCs w:val="16"/>
                <w:b w:val="1"/>
                <w:bCs w:val="1"/>
                <w:color w:val="0000FF"/>
              </w:rPr>
            </w:pPr>
            <w:hyperlink w:anchor="page4">
              <w:r>
                <w:rPr>
                  <w:rFonts w:ascii="Arial" w:cs="Arial" w:eastAsia="Arial" w:hAnsi="Arial"/>
                  <w:sz w:val="16"/>
                  <w:szCs w:val="16"/>
                  <w:b w:val="1"/>
                  <w:bCs w:val="1"/>
                  <w:color w:val="0000FF"/>
                </w:rPr>
                <w:t>Financial Statements</w:t>
              </w:r>
            </w:hyperlink>
          </w:p>
        </w:tc>
        <w:tc>
          <w:tcPr>
            <w:tcW w:w="5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960" w:type="dxa"/>
            <w:vAlign w:val="bottom"/>
            <w:tcBorders>
              <w:bottom w:val="single" w:sz="8" w:color="0000FF"/>
            </w:tcBorders>
            <w:gridSpan w:val="12"/>
          </w:tcPr>
          <w:p>
            <w:pPr>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Consolidated Balance Sheets at September 30, 2012 and December 31, 2011</w:t>
              </w:r>
            </w:hyperlink>
          </w:p>
        </w:tc>
        <w:tc>
          <w:tcPr>
            <w:tcW w:w="4940" w:type="dxa"/>
            <w:vAlign w:val="bottom"/>
            <w:gridSpan w:val="6"/>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Consolidated Statements of Income for the Quarters and Nine Months Ended September 30, 2012 and 2011</w:t>
              </w:r>
            </w:hyperlink>
          </w:p>
        </w:tc>
        <w:tc>
          <w:tcPr>
            <w:tcW w:w="5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Consolidated Statements of Comprehensive Income for the Quarters and Nine Months Ended September 30, 2012 and 2011</w:t>
              </w:r>
            </w:hyperlink>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6980" w:type="dxa"/>
            <w:vAlign w:val="bottom"/>
            <w:tcBorders>
              <w:top w:val="single" w:sz="8" w:color="0000FF"/>
              <w:bottom w:val="single" w:sz="8" w:color="0000FF"/>
            </w:tcBorders>
            <w:gridSpan w:val="16"/>
          </w:tcPr>
          <w:p>
            <w:pPr>
              <w:spacing w:after="0"/>
              <w:rPr>
                <w:rFonts w:ascii="Arial" w:cs="Arial" w:eastAsia="Arial" w:hAnsi="Arial"/>
                <w:sz w:val="16"/>
                <w:szCs w:val="16"/>
                <w:color w:val="0000FF"/>
                <w:w w:val="91"/>
              </w:rPr>
            </w:pPr>
            <w:hyperlink w:anchor="page7">
              <w:r>
                <w:rPr>
                  <w:rFonts w:ascii="Arial" w:cs="Arial" w:eastAsia="Arial" w:hAnsi="Arial"/>
                  <w:sz w:val="16"/>
                  <w:szCs w:val="16"/>
                  <w:color w:val="0000FF"/>
                  <w:w w:val="91"/>
                </w:rPr>
                <w:t>Consolidated Statements of Shareholders’ Equity for the Nine Months Ended September 30, 2012 and 2011</w:t>
              </w:r>
            </w:hyperlink>
          </w:p>
        </w:tc>
        <w:tc>
          <w:tcPr>
            <w:tcW w:w="104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Consolidated Statements of Cash Flows for the Nine Months Ended September 30, 2012 and 2011</w:t>
              </w:r>
            </w:hyperlink>
          </w:p>
        </w:tc>
        <w:tc>
          <w:tcPr>
            <w:tcW w:w="56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6360" w:type="dxa"/>
            <w:vAlign w:val="bottom"/>
            <w:tcBorders>
              <w:top w:val="single" w:sz="8" w:color="0000FF"/>
            </w:tcBorders>
            <w:gridSpan w:val="14"/>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Notes to Unaudited Consolidated Financial Statements</w:t>
              </w:r>
            </w:hyperlink>
          </w:p>
        </w:tc>
        <w:tc>
          <w:tcPr>
            <w:tcW w:w="3540" w:type="dxa"/>
            <w:vAlign w:val="bottom"/>
            <w:gridSpan w:val="4"/>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900" w:type="dxa"/>
            <w:vAlign w:val="bottom"/>
            <w:gridSpan w:val="18"/>
          </w:tcPr>
          <w:p>
            <w:pPr>
              <w:spacing w:after="0"/>
              <w:rPr>
                <w:rFonts w:ascii="Arial" w:cs="Arial" w:eastAsia="Arial" w:hAnsi="Arial"/>
                <w:sz w:val="16"/>
                <w:szCs w:val="16"/>
                <w:b w:val="1"/>
                <w:bCs w:val="1"/>
                <w:color w:val="0000FF"/>
              </w:rPr>
            </w:pPr>
            <w:hyperlink w:anchor="page20">
              <w:r>
                <w:rPr>
                  <w:rFonts w:ascii="Arial" w:cs="Arial" w:eastAsia="Arial" w:hAnsi="Arial"/>
                  <w:sz w:val="16"/>
                  <w:szCs w:val="16"/>
                  <w:b w:val="1"/>
                  <w:bCs w:val="1"/>
                  <w:color w:val="0000FF"/>
                </w:rPr>
                <w:t>Management’s Discussion and Analysis of Financial Condition and Results of Operations</w:t>
              </w:r>
            </w:hyperlink>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160" w:type="dxa"/>
            <w:vAlign w:val="bottom"/>
            <w:tcBorders>
              <w:top w:val="single" w:sz="8" w:color="0000FF"/>
              <w:bottom w:val="single" w:sz="8" w:color="0000FF"/>
            </w:tcBorders>
            <w:gridSpan w:val="11"/>
          </w:tcPr>
          <w:p>
            <w:pPr>
              <w:spacing w:after="0"/>
              <w:rPr>
                <w:rFonts w:ascii="Arial" w:cs="Arial" w:eastAsia="Arial" w:hAnsi="Arial"/>
                <w:sz w:val="16"/>
                <w:szCs w:val="16"/>
                <w:b w:val="1"/>
                <w:bCs w:val="1"/>
                <w:color w:val="0000FF"/>
                <w:w w:val="92"/>
              </w:rPr>
            </w:pPr>
            <w:hyperlink w:anchor="page31">
              <w:r>
                <w:rPr>
                  <w:rFonts w:ascii="Arial" w:cs="Arial" w:eastAsia="Arial" w:hAnsi="Arial"/>
                  <w:sz w:val="16"/>
                  <w:szCs w:val="16"/>
                  <w:b w:val="1"/>
                  <w:bCs w:val="1"/>
                  <w:color w:val="0000FF"/>
                  <w:w w:val="92"/>
                </w:rPr>
                <w:t>Quantitative and Qualitative Disclosures about Market Risk</w:t>
              </w:r>
            </w:hyperlink>
          </w:p>
        </w:tc>
        <w:tc>
          <w:tcPr>
            <w:tcW w:w="1980" w:type="dxa"/>
            <w:vAlign w:val="bottom"/>
            <w:tcBorders>
              <w:top w:val="single" w:sz="8" w:color="0000FF"/>
            </w:tcBorders>
            <w:gridSpan w:val="2"/>
          </w:tcPr>
          <w:p>
            <w:pPr>
              <w:spacing w:after="0"/>
              <w:rPr>
                <w:sz w:val="24"/>
                <w:szCs w:val="24"/>
                <w:color w:val="auto"/>
              </w:rPr>
            </w:pPr>
          </w:p>
        </w:tc>
        <w:tc>
          <w:tcPr>
            <w:tcW w:w="3760" w:type="dxa"/>
            <w:vAlign w:val="bottom"/>
            <w:gridSpan w:val="5"/>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FF"/>
            </w:tcBorders>
            <w:gridSpan w:val="7"/>
          </w:tcPr>
          <w:p>
            <w:pPr>
              <w:spacing w:after="0"/>
              <w:rPr>
                <w:rFonts w:ascii="Arial" w:cs="Arial" w:eastAsia="Arial" w:hAnsi="Arial"/>
                <w:sz w:val="16"/>
                <w:szCs w:val="16"/>
                <w:b w:val="1"/>
                <w:bCs w:val="1"/>
                <w:color w:val="0000FF"/>
                <w:w w:val="88"/>
              </w:rPr>
            </w:pPr>
            <w:hyperlink w:anchor="page31">
              <w:r>
                <w:rPr>
                  <w:rFonts w:ascii="Arial" w:cs="Arial" w:eastAsia="Arial" w:hAnsi="Arial"/>
                  <w:sz w:val="16"/>
                  <w:szCs w:val="16"/>
                  <w:b w:val="1"/>
                  <w:bCs w:val="1"/>
                  <w:color w:val="0000FF"/>
                  <w:w w:val="88"/>
                </w:rPr>
                <w:t>Controls and Procedures</w:t>
              </w:r>
            </w:hyperlink>
          </w:p>
        </w:tc>
        <w:tc>
          <w:tcPr>
            <w:tcW w:w="8180" w:type="dxa"/>
            <w:vAlign w:val="bottom"/>
            <w:gridSpan w:val="11"/>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58"/>
        </w:trPr>
        <w:tc>
          <w:tcPr>
            <w:tcW w:w="10820" w:type="dxa"/>
            <w:vAlign w:val="bottom"/>
            <w:gridSpan w:val="19"/>
          </w:tcPr>
          <w:p>
            <w:pPr>
              <w:spacing w:after="0"/>
              <w:rPr>
                <w:rFonts w:ascii="Arial" w:cs="Arial" w:eastAsia="Arial" w:hAnsi="Arial"/>
                <w:sz w:val="16"/>
                <w:szCs w:val="16"/>
                <w:b w:val="1"/>
                <w:bCs w:val="1"/>
                <w:color w:val="0000FF"/>
              </w:rPr>
            </w:pPr>
            <w:hyperlink w:anchor="page31">
              <w:r>
                <w:rPr>
                  <w:rFonts w:ascii="Arial" w:cs="Arial" w:eastAsia="Arial" w:hAnsi="Arial"/>
                  <w:sz w:val="16"/>
                  <w:szCs w:val="16"/>
                  <w:b w:val="1"/>
                  <w:bCs w:val="1"/>
                  <w:color w:val="0000FF"/>
                </w:rPr>
                <w:t>PART II. OTHER INFORMATION</w:t>
              </w:r>
            </w:hyperlink>
          </w:p>
        </w:tc>
        <w:tc>
          <w:tcPr>
            <w:tcW w:w="5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FF"/>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FF"/>
              <w:bottom w:val="single" w:sz="8" w:color="0000FF"/>
            </w:tcBorders>
            <w:gridSpan w:val="4"/>
          </w:tcPr>
          <w:p>
            <w:pPr>
              <w:spacing w:after="0"/>
              <w:rPr>
                <w:rFonts w:ascii="Arial" w:cs="Arial" w:eastAsia="Arial" w:hAnsi="Arial"/>
                <w:sz w:val="16"/>
                <w:szCs w:val="16"/>
                <w:b w:val="1"/>
                <w:bCs w:val="1"/>
                <w:color w:val="0000FF"/>
                <w:w w:val="87"/>
              </w:rPr>
            </w:pPr>
            <w:hyperlink w:anchor="page31">
              <w:r>
                <w:rPr>
                  <w:rFonts w:ascii="Arial" w:cs="Arial" w:eastAsia="Arial" w:hAnsi="Arial"/>
                  <w:sz w:val="16"/>
                  <w:szCs w:val="16"/>
                  <w:b w:val="1"/>
                  <w:bCs w:val="1"/>
                  <w:color w:val="0000FF"/>
                  <w:w w:val="87"/>
                </w:rPr>
                <w:t>Legal Proceedings</w:t>
              </w:r>
            </w:hyperlink>
          </w:p>
        </w:tc>
        <w:tc>
          <w:tcPr>
            <w:tcW w:w="300" w:type="dxa"/>
            <w:vAlign w:val="bottom"/>
            <w:tcBorders>
              <w:top w:val="single" w:sz="8" w:color="0000FF"/>
            </w:tcBorders>
            <w:gridSpan w:val="2"/>
          </w:tcPr>
          <w:p>
            <w:pPr>
              <w:spacing w:after="0"/>
              <w:rPr>
                <w:sz w:val="24"/>
                <w:szCs w:val="24"/>
                <w:color w:val="auto"/>
              </w:rPr>
            </w:pPr>
          </w:p>
        </w:tc>
        <w:tc>
          <w:tcPr>
            <w:tcW w:w="8340" w:type="dxa"/>
            <w:vAlign w:val="bottom"/>
            <w:gridSpan w:val="12"/>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FF"/>
            </w:tcBorders>
            <w:gridSpan w:val="3"/>
          </w:tcPr>
          <w:p>
            <w:pPr>
              <w:spacing w:after="0"/>
              <w:rPr>
                <w:rFonts w:ascii="Arial" w:cs="Arial" w:eastAsia="Arial" w:hAnsi="Arial"/>
                <w:sz w:val="16"/>
                <w:szCs w:val="16"/>
                <w:b w:val="1"/>
                <w:bCs w:val="1"/>
                <w:color w:val="0000FF"/>
                <w:w w:val="89"/>
              </w:rPr>
            </w:pPr>
            <w:hyperlink w:anchor="page31">
              <w:r>
                <w:rPr>
                  <w:rFonts w:ascii="Arial" w:cs="Arial" w:eastAsia="Arial" w:hAnsi="Arial"/>
                  <w:sz w:val="16"/>
                  <w:szCs w:val="16"/>
                  <w:b w:val="1"/>
                  <w:bCs w:val="1"/>
                  <w:color w:val="0000FF"/>
                  <w:w w:val="89"/>
                </w:rPr>
                <w:t>Risk Factors</w:t>
              </w:r>
            </w:hyperlink>
          </w:p>
        </w:tc>
        <w:tc>
          <w:tcPr>
            <w:tcW w:w="9020" w:type="dxa"/>
            <w:vAlign w:val="bottom"/>
            <w:gridSpan w:val="15"/>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900" w:type="dxa"/>
            <w:vAlign w:val="bottom"/>
            <w:gridSpan w:val="18"/>
          </w:tcPr>
          <w:p>
            <w:pPr>
              <w:spacing w:after="0"/>
              <w:rPr>
                <w:rFonts w:ascii="Arial" w:cs="Arial" w:eastAsia="Arial" w:hAnsi="Arial"/>
                <w:sz w:val="16"/>
                <w:szCs w:val="16"/>
                <w:b w:val="1"/>
                <w:bCs w:val="1"/>
                <w:color w:val="0000FF"/>
              </w:rPr>
            </w:pPr>
            <w:hyperlink w:anchor="page32">
              <w:r>
                <w:rPr>
                  <w:rFonts w:ascii="Arial" w:cs="Arial" w:eastAsia="Arial" w:hAnsi="Arial"/>
                  <w:sz w:val="16"/>
                  <w:szCs w:val="16"/>
                  <w:b w:val="1"/>
                  <w:bCs w:val="1"/>
                  <w:color w:val="0000FF"/>
                </w:rPr>
                <w:t>Unregistered Sales of Equity Securities and Use of Proceeds</w:t>
              </w:r>
            </w:hyperlink>
          </w:p>
        </w:tc>
        <w:tc>
          <w:tcPr>
            <w:tcW w:w="5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4100" w:type="dxa"/>
            <w:vAlign w:val="bottom"/>
            <w:tcBorders>
              <w:top w:val="single" w:sz="8" w:color="0000FF"/>
            </w:tcBorders>
            <w:gridSpan w:val="10"/>
          </w:tcPr>
          <w:p>
            <w:pPr>
              <w:spacing w:after="0"/>
              <w:rPr>
                <w:rFonts w:ascii="Arial" w:cs="Arial" w:eastAsia="Arial" w:hAnsi="Arial"/>
                <w:sz w:val="16"/>
                <w:szCs w:val="16"/>
                <w:b w:val="1"/>
                <w:bCs w:val="1"/>
                <w:color w:val="0000FF"/>
              </w:rPr>
            </w:pPr>
            <w:hyperlink w:anchor="page33">
              <w:r>
                <w:rPr>
                  <w:rFonts w:ascii="Arial" w:cs="Arial" w:eastAsia="Arial" w:hAnsi="Arial"/>
                  <w:sz w:val="16"/>
                  <w:szCs w:val="16"/>
                  <w:b w:val="1"/>
                  <w:bCs w:val="1"/>
                  <w:color w:val="0000FF"/>
                </w:rPr>
                <w:t>Exhibits</w:t>
              </w:r>
            </w:hyperlink>
          </w:p>
        </w:tc>
        <w:tc>
          <w:tcPr>
            <w:tcW w:w="5800" w:type="dxa"/>
            <w:vAlign w:val="bottom"/>
            <w:gridSpan w:val="8"/>
          </w:tcPr>
          <w:p>
            <w:pPr>
              <w:spacing w:after="0"/>
              <w:rPr>
                <w:sz w:val="24"/>
                <w:szCs w:val="24"/>
                <w:color w:val="auto"/>
              </w:rPr>
            </w:pPr>
          </w:p>
        </w:tc>
        <w:tc>
          <w:tcPr>
            <w:tcW w:w="5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340" w:type="dxa"/>
            <w:vAlign w:val="bottom"/>
            <w:gridSpan w:val="16"/>
          </w:tcPr>
          <w:p>
            <w:pPr>
              <w:spacing w:after="0" w:line="20" w:lineRule="exact"/>
              <w:rPr>
                <w:sz w:val="1"/>
                <w:szCs w:val="1"/>
                <w:color w:val="auto"/>
              </w:rPr>
            </w:pPr>
          </w:p>
        </w:tc>
        <w:tc>
          <w:tcPr>
            <w:tcW w:w="560" w:type="dxa"/>
            <w:vAlign w:val="bottom"/>
            <w:vMerge w:val="restart"/>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FF"/>
            </w:tcBorders>
            <w:gridSpan w:val="2"/>
          </w:tcPr>
          <w:p>
            <w:pPr>
              <w:spacing w:after="0"/>
              <w:rPr>
                <w:rFonts w:ascii="Arial" w:cs="Arial" w:eastAsia="Arial" w:hAnsi="Arial"/>
                <w:sz w:val="16"/>
                <w:szCs w:val="16"/>
                <w:b w:val="1"/>
                <w:bCs w:val="1"/>
                <w:color w:val="0000FF"/>
                <w:w w:val="97"/>
              </w:rPr>
            </w:pPr>
            <w:hyperlink w:anchor="page34">
              <w:r>
                <w:rPr>
                  <w:rFonts w:ascii="Arial" w:cs="Arial" w:eastAsia="Arial" w:hAnsi="Arial"/>
                  <w:sz w:val="16"/>
                  <w:szCs w:val="16"/>
                  <w:b w:val="1"/>
                  <w:bCs w:val="1"/>
                  <w:color w:val="0000FF"/>
                  <w:w w:val="97"/>
                </w:rPr>
                <w:t>SIGNATURES</w:t>
              </w:r>
            </w:hyperlink>
          </w:p>
        </w:tc>
        <w:tc>
          <w:tcPr>
            <w:tcW w:w="9780" w:type="dxa"/>
            <w:vAlign w:val="bottom"/>
            <w:gridSpan w:val="17"/>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4960" w:type="dxa"/>
            <w:vAlign w:val="bottom"/>
            <w:gridSpan w:val="12"/>
          </w:tcPr>
          <w:p>
            <w:pPr>
              <w:ind w:left="470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Unless otherwise indicated, references to CME Group Inc. (CME Group) products include references to products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 Further information about CME Group and its products can be found at http://www.cmegroup.com. Information made available on our Web site does not constitute a part of this Quarterly Report on Form 10-Q.</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Disclosed amounts of contract volume and average rate per contract exclude our TRAKRS, credit default swaps, interest rate swaps and CME Clearing Europe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Green Exchange, The Green Exchange and Design, and GreenX are trademarks of Green Exchange LLC. All other trademarks are the property of their respective owners.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247" w:lineRule="exact"/>
        <w:rPr>
          <w:sz w:val="20"/>
          <w:szCs w:val="20"/>
          <w:color w:val="auto"/>
        </w:rPr>
      </w:pPr>
    </w:p>
    <w:p>
      <w:pPr>
        <w:ind w:left="660" w:right="2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w:t>
      </w:r>
    </w:p>
    <w:p>
      <w:pPr>
        <w:jc w:val="both"/>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over-the-counter market;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non-U.S. regulations;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and changes as a result of legislation stemming from the implementation of the Dodd-Frank Act;</w:t>
      </w: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ind w:left="660" w:right="3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average rate per contract due to shifts in the mix of the products traded, the trading venue and the mix of customers (whether the customer receives member or non-member fees or participates in one of our various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incentive programs) and the impact of our tiered pricing structure;</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 w:lineRule="exact"/>
        <w:rPr>
          <w:rFonts w:ascii="Arial" w:cs="Arial" w:eastAsia="Arial" w:hAnsi="Arial"/>
          <w:sz w:val="18"/>
          <w:szCs w:val="18"/>
          <w:color w:val="auto"/>
        </w:rPr>
      </w:pPr>
    </w:p>
    <w:p>
      <w:pPr>
        <w:ind w:left="660" w:right="10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ind w:left="660" w:right="7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price levels and volatility in the derivatives markets and in underlying fixed income, equity, foreign exchange, interest rate and commodities markets;</w:t>
      </w:r>
    </w:p>
    <w:p>
      <w:pPr>
        <w:ind w:left="660" w:right="2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economic, political and market conditions, including the volatility of the capital and credit markets and the impact of economic conditions on the trading activity of our current and potential customers stemming from the continued uncertainty in the financial markets;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trading and clearing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5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27, 2012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25" w:right="2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CME GROUP INC. AND SUBSIDIARIES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(unaudited)</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250"/>
        </w:trPr>
        <w:tc>
          <w:tcPr>
            <w:tcW w:w="1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$1.7 and $1.3</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$40.0 in restricted cash)</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9,333.9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10,016.8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10,945.8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$611.5 and $576.3</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17,040.5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17,040.5</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3,312.8</w:t>
            </w: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7,538.3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7,984.0</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$20.5 in restricted cash)</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39,858.0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40,758.7</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9,333.9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8,389.5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9,615.2</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Long-term debt</w:t>
            </w:r>
          </w:p>
        </w:tc>
        <w:tc>
          <w:tcPr>
            <w:tcW w:w="6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7,319.8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7,226.8</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liabilities</w:t>
            </w:r>
          </w:p>
        </w:tc>
        <w:tc>
          <w:tcPr>
            <w:tcW w:w="68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color w:val="auto"/>
                <w:w w:val="99"/>
              </w:rPr>
              <w:t>Total Liabilities</w:t>
            </w:r>
          </w:p>
        </w:tc>
        <w:tc>
          <w:tcPr>
            <w:tcW w:w="6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18,069.8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19,136.4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40" w:type="dxa"/>
            <w:vAlign w:val="bottom"/>
            <w:shd w:val="clear" w:color="auto" w:fill="CCEEFF"/>
          </w:tcPr>
          <w:p>
            <w:pPr>
              <w:spacing w:after="0"/>
              <w:rPr>
                <w:sz w:val="19"/>
                <w:szCs w:val="19"/>
                <w:color w:val="auto"/>
              </w:rPr>
            </w:pPr>
          </w:p>
        </w:tc>
        <w:tc>
          <w:tcPr>
            <w:tcW w:w="6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Redeemable non-controlling interest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Preferred stock, $0.01 par value, 10,000 and 9,860 shares authorized as of September 30, 2012 and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2011, respectively; none issued or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Series A junior participating preferred stock, $0.01 par value, 0 and 140 shares authorized as of</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September 30, 2012 and December 31, 2011, respectively; none issued or outstanding</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Class A common stock, $0.01 par value, 1,000,000 shares authorized; 331,686 and 330,653 shares issued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and outstanding as of September 30, 2012 and December 31, 2011,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4,408.6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4,324.6</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21,708.8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39,858.0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40,758.7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3"/>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2011</w:t>
            </w:r>
          </w:p>
        </w:tc>
      </w:tr>
      <w:tr>
        <w:trPr>
          <w:trHeight w:val="230"/>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1"/>
        </w:trPr>
        <w:tc>
          <w:tcPr>
            <w:tcW w:w="6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2,111.8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321.9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75.6</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2,544.1</w:t>
            </w:r>
          </w:p>
        </w:tc>
      </w:tr>
      <w:tr>
        <w:trPr>
          <w:trHeight w:val="22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41"/>
        </w:trPr>
        <w:tc>
          <w:tcPr>
            <w:tcW w:w="6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31.7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90.4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95.1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64.7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913.4</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1,630.7</w:t>
            </w:r>
          </w:p>
        </w:tc>
      </w:tr>
      <w:tr>
        <w:trPr>
          <w:trHeight w:val="122"/>
        </w:trPr>
        <w:tc>
          <w:tcPr>
            <w:tcW w:w="6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gains (losses) of unconsolidated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395.8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1,339.9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1,566.8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499.1</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1,067.7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redeemable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729.5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1,066.4</w:t>
            </w: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10"/>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331,377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332,289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331,091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333,449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332,458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333,337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332,147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2"/>
              </w:rPr>
              <w:t>334,507</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122.6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113.5</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7"/>
              </w:rPr>
              <w:t>Amortization of net actuarial (gains) losses included in pension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Amortization of effective portion of loss on cash flow hedges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instruments,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96.1</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Reclassification adjustment for loss included in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196.0</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1,263.7</w:t>
            </w: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w w:val="97"/>
              </w:rPr>
              <w:t>Less: comprehensive income (loss) attributable to redeemable non-controlling</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1,262.4</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Stock and</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1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330,653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729.5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attributable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CME Group</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6"/>
              </w:rPr>
              <w:t>Dividends on common stock of $1.94 per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color w:val="auto"/>
              </w:rPr>
              <w:t>share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9"/>
        </w:trPr>
        <w:tc>
          <w:tcPr>
            <w:tcW w:w="3220" w:type="dxa"/>
            <w:vAlign w:val="bottom"/>
          </w:tcPr>
          <w:p>
            <w:pPr>
              <w:ind w:left="40"/>
              <w:spacing w:after="0"/>
              <w:rPr>
                <w:sz w:val="20"/>
                <w:szCs w:val="20"/>
                <w:color w:val="auto"/>
              </w:rPr>
            </w:pPr>
            <w:r>
              <w:rPr>
                <w:rFonts w:ascii="Arial" w:cs="Arial" w:eastAsia="Arial" w:hAnsi="Arial"/>
                <w:sz w:val="18"/>
                <w:szCs w:val="18"/>
                <w:color w:val="auto"/>
                <w:w w:val="95"/>
              </w:rPr>
              <w:t>Excess tax benefits from option exercises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40"/>
              <w:spacing w:after="0"/>
              <w:rPr>
                <w:sz w:val="20"/>
                <w:szCs w:val="20"/>
                <w:color w:val="auto"/>
              </w:rPr>
            </w:pPr>
            <w:r>
              <w:rPr>
                <w:rFonts w:ascii="Arial" w:cs="Arial" w:eastAsia="Arial" w:hAnsi="Arial"/>
                <w:sz w:val="18"/>
                <w:szCs w:val="18"/>
                <w:color w:val="auto"/>
              </w:rPr>
              <w:t>and restricted stock vesting</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Shares issued to Board of Directors</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under Employee Stock</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Plan</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2012</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331,686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17,180.5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4,408.6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21,708.8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2840"/>
        <w:spacing w:after="0" w:line="263"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 except per share data; shares in thousands) (unaudited)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2010</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income attributable to CME Group</w:t>
      </w:r>
    </w:p>
    <w:p>
      <w:pPr>
        <w:spacing w:after="0" w:line="75"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Other comprehensive income attributable to CME Group</w:t>
      </w:r>
    </w:p>
    <w:p>
      <w:pPr>
        <w:spacing w:after="0" w:line="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Dividends on common stock of $0.56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4"/>
                <w:szCs w:val="14"/>
                <w:color w:val="auto"/>
              </w:rPr>
            </w:pPr>
          </w:p>
        </w:tc>
      </w:tr>
      <w:tr>
        <w:trPr>
          <w:trHeight w:val="149"/>
        </w:trPr>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r>
      <w:tr>
        <w:trPr>
          <w:trHeight w:val="149"/>
        </w:trPr>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r>
      <w:tr>
        <w:trPr>
          <w:trHeight w:val="192"/>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r>
      <w:tr>
        <w:trPr>
          <w:trHeight w:val="243"/>
        </w:trPr>
        <w:tc>
          <w:tcPr>
            <w:tcW w:w="1160" w:type="dxa"/>
            <w:vAlign w:val="bottom"/>
            <w:tcBorders>
              <w:top w:val="single" w:sz="8" w:color="auto"/>
            </w:tcBorders>
          </w:tcPr>
          <w:p>
            <w:pPr>
              <w:jc w:val="right"/>
              <w:ind w:right="44"/>
              <w:spacing w:after="0"/>
              <w:rPr>
                <w:sz w:val="20"/>
                <w:szCs w:val="20"/>
                <w:color w:val="auto"/>
              </w:rPr>
            </w:pPr>
            <w:r>
              <w:rPr>
                <w:rFonts w:ascii="Arial" w:cs="Arial" w:eastAsia="Arial" w:hAnsi="Arial"/>
                <w:sz w:val="18"/>
                <w:szCs w:val="18"/>
                <w:color w:val="auto"/>
              </w:rPr>
              <w:t>334,245</w:t>
            </w:r>
          </w:p>
        </w:tc>
        <w:tc>
          <w:tcPr>
            <w:tcW w:w="120" w:type="dxa"/>
            <w:vAlign w:val="bottom"/>
          </w:tcPr>
          <w:p>
            <w:pPr>
              <w:spacing w:after="0"/>
              <w:rPr>
                <w:sz w:val="21"/>
                <w:szCs w:val="21"/>
                <w:color w:val="auto"/>
              </w:rPr>
            </w:pPr>
          </w:p>
        </w:tc>
        <w:tc>
          <w:tcPr>
            <w:tcW w:w="114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188595</wp:posOffset>
            </wp:positionV>
            <wp:extent cx="72466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806450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-162560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ind w:right="385"/>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2"/>
              </w:rPr>
              <w:t>Stock and</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2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center"/>
              <w:ind w:right="385"/>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1120" w:type="dxa"/>
            <w:vAlign w:val="bottom"/>
          </w:tcPr>
          <w:p>
            <w:pPr>
              <w:jc w:val="center"/>
              <w:ind w:right="385"/>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1120" w:type="dxa"/>
            <w:vAlign w:val="bottom"/>
          </w:tcPr>
          <w:p>
            <w:pPr>
              <w:jc w:val="right"/>
              <w:ind w:right="145"/>
              <w:spacing w:after="0"/>
              <w:rPr>
                <w:sz w:val="20"/>
                <w:szCs w:val="20"/>
                <w:color w:val="auto"/>
              </w:rPr>
            </w:pPr>
            <w:r>
              <w:rPr>
                <w:rFonts w:ascii="Arial" w:cs="Arial" w:eastAsia="Arial" w:hAnsi="Arial"/>
                <w:sz w:val="18"/>
                <w:szCs w:val="18"/>
                <w:color w:val="auto"/>
              </w:rPr>
              <w:t>17,278.4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2,885.8</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20,060.1</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1,066.4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486"/>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2"/>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486"/>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900" w:h="16838" w:orient="portrait"/>
          <w:cols w:equalWidth="0" w:num="3">
            <w:col w:w="3020" w:space="200"/>
            <w:col w:w="2640" w:space="240"/>
            <w:col w:w="532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1160" w:type="dxa"/>
            <w:vAlign w:val="bottom"/>
          </w:tcPr>
          <w:p>
            <w:pPr>
              <w:jc w:val="right"/>
              <w:spacing w:after="0"/>
              <w:rPr>
                <w:sz w:val="20"/>
                <w:szCs w:val="20"/>
                <w:color w:val="auto"/>
              </w:rPr>
            </w:pPr>
            <w:r>
              <w:rPr>
                <w:rFonts w:ascii="Arial" w:cs="Arial" w:eastAsia="Arial" w:hAnsi="Arial"/>
                <w:sz w:val="18"/>
                <w:szCs w:val="18"/>
                <w:color w:val="auto"/>
              </w:rPr>
              <w:t>(4,048)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w w:val="95"/>
              </w:rPr>
              <w:t>Excess tax benefits from option exercises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and restricted stock vesting</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rPr>
              <w:t>Vesting of issued restricted Class A</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common stock</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Arial" w:cs="Arial" w:eastAsia="Arial" w:hAnsi="Arial"/>
                <w:sz w:val="18"/>
                <w:szCs w:val="18"/>
                <w:color w:val="auto"/>
              </w:rPr>
              <w:t>Shares issued under Employee Stock</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Purchase Plan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rPr>
              <w:t>Balance at September 30, 2011</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vMerge w:val="continue"/>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330,607</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-1474470</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(220.4)</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(220.4)</w:t>
            </w:r>
          </w:p>
        </w:tc>
      </w:tr>
      <w:tr>
        <w:trPr>
          <w:trHeight w:val="270"/>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486"/>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48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486"/>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0"/>
        </w:trPr>
        <w:tc>
          <w:tcPr>
            <w:tcW w:w="840" w:type="dxa"/>
            <w:vAlign w:val="bottom"/>
          </w:tcPr>
          <w:p>
            <w:pPr>
              <w:jc w:val="right"/>
              <w:ind w:right="130"/>
              <w:spacing w:after="0"/>
              <w:rPr>
                <w:sz w:val="20"/>
                <w:szCs w:val="20"/>
                <w:color w:val="auto"/>
              </w:rPr>
            </w:pPr>
            <w:r>
              <w:rPr>
                <w:rFonts w:ascii="Arial" w:cs="Arial" w:eastAsia="Arial" w:hAnsi="Arial"/>
                <w:sz w:val="18"/>
                <w:szCs w:val="18"/>
                <w:color w:val="auto"/>
              </w:rPr>
              <w:t>37.5</w:t>
            </w: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8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130"/>
              <w:spacing w:after="0"/>
              <w:rPr>
                <w:sz w:val="20"/>
                <w:szCs w:val="20"/>
                <w:color w:val="auto"/>
              </w:rPr>
            </w:pPr>
            <w:r>
              <w:rPr>
                <w:rFonts w:ascii="Arial" w:cs="Arial" w:eastAsia="Arial" w:hAnsi="Arial"/>
                <w:sz w:val="18"/>
                <w:szCs w:val="18"/>
                <w:color w:val="auto"/>
                <w:w w:val="85"/>
              </w:rPr>
              <w:t>17,100.8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3,671.6</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20,864.3</w:t>
            </w:r>
          </w:p>
        </w:tc>
      </w:tr>
      <w:tr>
        <w:trPr>
          <w:trHeight w:val="27"/>
        </w:trPr>
        <w:tc>
          <w:tcPr>
            <w:tcW w:w="8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-25400</wp:posOffset>
            </wp:positionV>
            <wp:extent cx="866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-8255</wp:posOffset>
            </wp:positionV>
            <wp:extent cx="866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-205105</wp:posOffset>
            </wp:positionV>
            <wp:extent cx="866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5860" w:space="520"/>
            <w:col w:w="5040"/>
          </w:cols>
          <w:pgMar w:left="240" w:top="125"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13335</wp:posOffset>
            </wp:positionV>
            <wp:extent cx="18008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2011</w:t>
            </w: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1,067.7</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debt financing costs and discount accretion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Gain on sale of Index Services assets</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contribution of Dow Jones Index asset group</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Loss on sale of Credit Market Analysis Ltd.</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 net (gains) losses of unconsolidated subsidiaries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999.8</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8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Purchases of available-for-sale marketable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Proceeds from sale of building property</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Credit Market Analysis Ltd., net of cash sold with business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Investments in business ventures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 of derivative related to debt issuance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Proceeds from sale of Index Services assets</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Proceeds from other borrowings, net of issuance costs</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 of other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Cash dividends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Class A common stock, including costs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(914.7)</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855.2</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829.3</w:t>
            </w:r>
          </w:p>
        </w:tc>
      </w:tr>
      <w:tr>
        <w:trPr>
          <w:trHeight w:val="67"/>
        </w:trPr>
        <w:tc>
          <w:tcPr>
            <w:tcW w:w="8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85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612.1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Non-cash 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S&amp;P/Dow Jones Indices LLC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Change in net unrealized securities gains</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net unrealized derivative gains (losses)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bl>
    <w:p>
      <w:pPr>
        <w:sectPr>
          <w:pgSz w:w="11900" w:h="16900" w:orient="portrait"/>
          <w:cols w:equalWidth="0" w:num="1">
            <w:col w:w="11380"/>
          </w:cols>
          <w:pgMar w:left="260" w:top="121" w:right="259" w:bottom="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166370</wp:posOffset>
            </wp:positionH>
            <wp:positionV relativeFrom="page">
              <wp:posOffset>88900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t>See accompanying notes to unaudited consolidated financial statements.</w:t>
      </w:r>
    </w:p>
    <w:p>
      <w:pPr>
        <w:spacing w:after="0" w:line="23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598" w:right="1440"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the Board of Trade of the City of Chicago, Inc. (CBOT), New York Mercantile Exchange, Inc. (NYMEX) and their respective subsidiaries (collectively, the exchange).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September 30, 2012 and December 31, 2011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June 2012, the company contributed certain Dow Jones Index assets and liabilities (DJI asset group) owned by CME Group Index Services LLC (Index Services) to a new business venture with The McGraw-Hill Companies Inc. (McGraw). Index Services was initially formed in March 2010 and Dow Jones &amp; Company (Dow Jones) retains a 10% non-controlling interest in Index Services. As part of the agreement, the company also sold Credit Market Analysis Ltd. (CMA) to McGraw. Assets and liabilities contributed or sold as part of this transaction are excluded from the company's consolidated financial statements and accompanying notes beginning June 30, 2012.</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2011, filed with the Securities and Exchange Commission (SEC) on February 27,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Formation of S&amp;P/DJI Indices LLC</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On June 29, 2012, CME Group, Index Services and McGraw completed the formation of a new index business venture, S&amp;P/Dow Jones Indices LLC (the venture) and contributed the DJI asset group to the venture. On a consolidated basis, CME Group has a total interest of 27.0% in the venture. Excluding the ownership interest attributable to Dow Jones through its non-controlling interest in Index Services, CME Group has a 24.4% interest in the venture. As a result of its contribution, Index Services derecognized the DJI asset group and recorded a $79.8 million gain included in other non-operating income on the consolidated statements of income. At September 30, 2012, the carrying value of the investment was $940.8 million and is recorded in other assets in the consolidated balance sheet as an equity method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Credit Market Analysis Ltd.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June 29, 2012, the company sold CMA to McGraw for $45.9 million in conjunction with the formation of the venture. As a result, the company recognized a $19.9 million loss, which was included in other non-operating expense in the consolidated statements of income. The loss includes a previously unrecognized foreign currency translation adjustment of $18.4 million.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 and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2012 and December 31, 2011:</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2,838.7</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2,395.3</w:t>
            </w: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3,071.9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2,671.5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Lease-related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2,925.1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2,429.5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2,925.1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2,429.5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3,214.1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2,735.2</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3,312.8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Trading products</w:t>
            </w:r>
            <w:r>
              <w:rPr>
                <w:rFonts w:ascii="Arial" w:cs="Arial" w:eastAsia="Arial" w:hAnsi="Arial"/>
                <w:sz w:val="25"/>
                <w:szCs w:val="25"/>
                <w:color w:val="auto"/>
                <w:vertAlign w:val="superscript"/>
              </w:rPr>
              <w:t>(2)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17,040.5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17,040.5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 September 30, 2012, other amortizable intangible assets consisted of market maker agreements and a definite-lived trade name. At December 31, 2011, other amortizable intangible assets consisted of service and market maker agreements and a definite-lived trade name.</w:t>
      </w:r>
    </w:p>
    <w:p>
      <w:pPr>
        <w:spacing w:after="0" w:line="146" w:lineRule="exact"/>
        <w:rPr>
          <w:rFonts w:ascii="Arial" w:cs="Arial" w:eastAsia="Arial" w:hAnsi="Arial"/>
          <w:sz w:val="17"/>
          <w:szCs w:val="17"/>
          <w:color w:val="auto"/>
        </w:rPr>
      </w:pPr>
    </w:p>
    <w:p>
      <w:pPr>
        <w:ind w:left="660" w:right="320" w:hanging="328"/>
        <w:spacing w:after="0" w:line="28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Inc. (CBOT Holdings) and NYMEX Holdings, Inc. (NYMEX Holdings). Clearing and transaction fees revenues are generated through the trading of these products. These trading products, most of which have traded for decades, require authorization from the Commodity and Futures Trading Commission (CFTC).</w:t>
      </w:r>
    </w:p>
    <w:p>
      <w:pPr>
        <w:ind w:left="660"/>
        <w:spacing w:after="0"/>
        <w:rPr>
          <w:rFonts w:ascii="Arial" w:cs="Arial" w:eastAsia="Arial" w:hAnsi="Arial"/>
          <w:sz w:val="16"/>
          <w:szCs w:val="16"/>
          <w:color w:val="auto"/>
        </w:rPr>
      </w:pPr>
      <w:r>
        <w:rPr>
          <w:rFonts w:ascii="Arial" w:cs="Arial" w:eastAsia="Arial" w:hAnsi="Arial"/>
          <w:sz w:val="18"/>
          <w:szCs w:val="18"/>
          <w:color w:val="auto"/>
        </w:rPr>
        <w:t>Product authorizations from the CFTC have no term limits.</w:t>
      </w:r>
    </w:p>
    <w:p>
      <w:pPr>
        <w:spacing w:after="0" w:line="211" w:lineRule="exact"/>
        <w:rPr>
          <w:sz w:val="20"/>
          <w:szCs w:val="20"/>
          <w:color w:val="auto"/>
        </w:rPr>
      </w:pPr>
    </w:p>
    <w:p>
      <w:pPr>
        <w:ind w:left="60" w:right="200"/>
        <w:spacing w:after="0" w:line="312" w:lineRule="auto"/>
        <w:rPr>
          <w:sz w:val="20"/>
          <w:szCs w:val="20"/>
          <w:color w:val="auto"/>
        </w:rPr>
      </w:pPr>
      <w:r>
        <w:rPr>
          <w:rFonts w:ascii="Arial" w:cs="Arial" w:eastAsia="Arial" w:hAnsi="Arial"/>
          <w:sz w:val="16"/>
          <w:szCs w:val="16"/>
          <w:color w:val="auto"/>
        </w:rPr>
        <w:t>As part of its sale of the CBOT building, the company sold the rights to lease agreements with tenants in the north and south towers. The lease agreements, which are included in lease-related intangibles, had a net book value of $14.4 million on the date of sale. The decrease was offset by an increase of $17.0 million of intangible assets related to the acquisition of Pivot Inc., including customer relationships and technology-related intellectual property.</w:t>
      </w:r>
    </w:p>
    <w:p>
      <w:pPr>
        <w:spacing w:after="0" w:line="147" w:lineRule="exact"/>
        <w:rPr>
          <w:sz w:val="20"/>
          <w:szCs w:val="20"/>
          <w:color w:val="auto"/>
        </w:rPr>
      </w:pPr>
    </w:p>
    <w:p>
      <w:pPr>
        <w:jc w:val="both"/>
        <w:ind w:left="60" w:right="60"/>
        <w:spacing w:after="0" w:line="264" w:lineRule="auto"/>
        <w:rPr>
          <w:sz w:val="20"/>
          <w:szCs w:val="20"/>
          <w:color w:val="auto"/>
        </w:rPr>
      </w:pPr>
      <w:r>
        <w:rPr>
          <w:rFonts w:ascii="Arial" w:cs="Arial" w:eastAsia="Arial" w:hAnsi="Arial"/>
          <w:sz w:val="18"/>
          <w:szCs w:val="18"/>
          <w:color w:val="auto"/>
        </w:rPr>
        <w:t>In the second quarter of 2012, the company contributed the DJI asset group to its new venture with McGraw. Contributed intangible assets with an aggregate net book value of $336.3 million included rights to customer agreements, technology-related intellectual property and trade names. In addition, the company sold CMA-related intangible assets with a net book value of $9.4 million.</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Total amortization expense for intangible assets was $26.2 million and $33.0 million for the quarters ended September 30, 2012 and 2011, respectively. Total amortization expense for intangible assets was $90.3 million and $99.2 million for the first nine months of 2012 and 2011, respectively. As of September 30, 2012, the future estimated amortization expense related to amortizable intangible assets is expected to be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2012</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2013</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102.8</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2015</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101.3</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2017</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97.3</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1,902.9</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nine months ended September 30, 2012 and the year ended December 31, 2011: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Business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152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Balance at</w:t>
            </w:r>
          </w:p>
        </w:tc>
      </w:tr>
      <w:tr>
        <w:trPr>
          <w:trHeight w:val="27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 2011</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Combinations</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Divestitures</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8"/>
              </w:rPr>
              <w:t>Activity</w:t>
            </w:r>
            <w:r>
              <w:rPr>
                <w:rFonts w:ascii="Arial" w:cs="Arial" w:eastAsia="Arial" w:hAnsi="Arial"/>
                <w:sz w:val="12"/>
                <w:szCs w:val="12"/>
                <w:b w:val="1"/>
                <w:bCs w:val="1"/>
                <w:color w:val="auto"/>
                <w:w w:val="98"/>
              </w:rPr>
              <w:t>(3)</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1"/>
              </w:rPr>
              <w:t>September 30, 2012</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5,035.7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5,035.7</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2,462.2</w:t>
            </w:r>
          </w:p>
        </w:tc>
      </w:tr>
      <w:tr>
        <w:trPr>
          <w:trHeight w:val="27"/>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Index Services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40.4</w:t>
            </w:r>
          </w:p>
        </w:tc>
      </w:tr>
      <w:tr>
        <w:trPr>
          <w:trHeight w:val="27"/>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7,984.0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7,538.3</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563"/>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24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Business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24"/>
                <w:szCs w:val="24"/>
                <w:color w:val="auto"/>
              </w:rPr>
            </w:pPr>
          </w:p>
        </w:tc>
        <w:tc>
          <w:tcPr>
            <w:tcW w:w="152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Balance At</w:t>
            </w:r>
          </w:p>
        </w:tc>
      </w:tr>
      <w:tr>
        <w:trPr>
          <w:trHeight w:val="27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2010</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Combinations</w:t>
            </w: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Divestitures</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8"/>
              </w:rPr>
              <w:t>Activity</w:t>
            </w:r>
            <w:r>
              <w:rPr>
                <w:rFonts w:ascii="Arial" w:cs="Arial" w:eastAsia="Arial" w:hAnsi="Arial"/>
                <w:sz w:val="12"/>
                <w:szCs w:val="12"/>
                <w:b w:val="1"/>
                <w:bCs w:val="1"/>
                <w:color w:val="auto"/>
                <w:w w:val="98"/>
              </w:rPr>
              <w:t>(3)</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December 31, 2011</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5,035.7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5,035.7</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2,462.3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2,462.2</w:t>
            </w:r>
          </w:p>
        </w:tc>
      </w:tr>
      <w:tr>
        <w:trPr>
          <w:trHeight w:val="27"/>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Index Services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434.5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51.6</w:t>
            </w:r>
          </w:p>
        </w:tc>
      </w:tr>
      <w:tr>
        <w:trPr>
          <w:trHeight w:val="27"/>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7,983.6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7,984.0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activity includes adjustments to tax contingencies, the recognition of excess tax benefits upon exercise of stock options and foreign currency translation adjustments.</w:t>
      </w:r>
    </w:p>
    <w:p>
      <w:pPr>
        <w:spacing w:after="0" w:line="170" w:lineRule="exact"/>
        <w:rPr>
          <w:sz w:val="20"/>
          <w:szCs w:val="20"/>
          <w:color w:val="auto"/>
        </w:rPr>
      </w:pPr>
    </w:p>
    <w:p>
      <w:pPr>
        <w:ind w:left="60" w:right="380"/>
        <w:spacing w:after="0" w:line="277" w:lineRule="auto"/>
        <w:rPr>
          <w:sz w:val="20"/>
          <w:szCs w:val="20"/>
          <w:color w:val="auto"/>
        </w:rPr>
      </w:pPr>
      <w:r>
        <w:rPr>
          <w:rFonts w:ascii="Arial" w:cs="Arial" w:eastAsia="Arial" w:hAnsi="Arial"/>
          <w:sz w:val="18"/>
          <w:szCs w:val="18"/>
          <w:color w:val="auto"/>
        </w:rPr>
        <w:t>In conjunction with the formation of the index business venture with McGraw, the company divested the goodwill allocated to Index Services and CMA reporting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September 10, 2012, the company completed an offering of $750.0 million of 3.00% fixed rate notes due September 2022. The company intends to use the net proceeds from the offering, together with cash on hand, to retire its outstanding 5.40% notes due August 2013 upon maturity.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consisted of the following at September 30, 2012 and December 31, 2011:</w:t>
      </w:r>
    </w:p>
    <w:p>
      <w:pPr>
        <w:spacing w:after="0" w:line="200" w:lineRule="exact"/>
        <w:rPr>
          <w:sz w:val="20"/>
          <w:szCs w:val="20"/>
          <w:color w:val="auto"/>
        </w:rPr>
      </w:pP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4"/>
              </w:rPr>
              <w:t>September 30, 2012</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December 31, 2011</w:t>
            </w: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August 2013, interest equal to 5.40%</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7"/>
        </w:trPr>
        <w:tc>
          <w:tcPr>
            <w:tcW w:w="6380" w:type="dxa"/>
            <w:vAlign w:val="bottom"/>
          </w:tcPr>
          <w:p>
            <w:pPr>
              <w:ind w:left="20"/>
              <w:spacing w:after="0"/>
              <w:rPr>
                <w:sz w:val="20"/>
                <w:szCs w:val="20"/>
                <w:color w:val="auto"/>
              </w:rPr>
            </w:pPr>
            <w:r>
              <w:rPr>
                <w:rFonts w:ascii="Arial" w:cs="Arial" w:eastAsia="Arial" w:hAnsi="Arial"/>
                <w:sz w:val="18"/>
                <w:szCs w:val="18"/>
                <w:color w:val="auto"/>
              </w:rPr>
              <w:t>Total short-term debt</w:t>
            </w: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6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September 30, 2012 and December 31, 2011: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5"/>
              </w:rPr>
              <w:t>December 31, 2011</w:t>
            </w: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 interest equal to 5.40%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749.2</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 interest equal to 5.75%</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748.0</w:t>
            </w:r>
          </w:p>
        </w:tc>
      </w:tr>
      <w:tr>
        <w:trPr>
          <w:trHeight w:val="27"/>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interest equal to 4.40%</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609.6</w:t>
            </w:r>
          </w:p>
        </w:tc>
      </w:tr>
      <w:tr>
        <w:trPr>
          <w:trHeight w:val="270"/>
        </w:trPr>
        <w:tc>
          <w:tcPr>
            <w:tcW w:w="8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interest equal to 3.00% </w:t>
            </w:r>
            <w:r>
              <w:rPr>
                <w:rFonts w:ascii="Arial" w:cs="Arial" w:eastAsia="Arial" w:hAnsi="Arial"/>
                <w:sz w:val="25"/>
                <w:szCs w:val="25"/>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747.7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2,106.8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3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February 2010, the company entered into a forward-starting interest rate swap agreement that modified the interest obligation associated with these notes so that the interest payable effectively became fixed at a rate of 4.46% at issuance on March 18, 2010.</w:t>
      </w:r>
    </w:p>
    <w:p>
      <w:pPr>
        <w:spacing w:after="0" w:line="146" w:lineRule="exact"/>
        <w:rPr>
          <w:rFonts w:ascii="Arial" w:cs="Arial" w:eastAsia="Arial" w:hAnsi="Arial"/>
          <w:sz w:val="17"/>
          <w:szCs w:val="17"/>
          <w:color w:val="auto"/>
        </w:rPr>
      </w:pPr>
    </w:p>
    <w:p>
      <w:pPr>
        <w:ind w:left="660" w:right="10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August 2012, the company entered into a forward-starting interest rate swap agreement that modified the interest obligation associated with these notes so that the interest payable effectively became fixed at a rate of 3.32% at issuance on September 10, 2012.</w:t>
      </w:r>
    </w:p>
    <w:p>
      <w:pPr>
        <w:spacing w:after="0" w:line="14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maintain a commercial paper program under our senior credit facility. There was no commercial paper outstanding at September 30, 2012 or December 31, 2011. As of September 30, 2012, the most recent commercial paper issuance was in March 2011. During the first nine months of 2011, the weighted average balance, at par value, of commercial paper outstanding was $41.0 million. In the first nine months of 2011, the maximum month-end balance for commercial paper was $200.0 million</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 January.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September 30,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8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4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2014</w:t>
            </w:r>
          </w:p>
        </w:tc>
        <w:tc>
          <w:tcPr>
            <w:tcW w:w="48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750.0</w:t>
            </w:r>
          </w:p>
        </w:tc>
      </w:tr>
      <w:tr>
        <w:trPr>
          <w:trHeight w:val="27"/>
        </w:trPr>
        <w:tc>
          <w:tcPr>
            <w:tcW w:w="5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2016</w:t>
            </w:r>
          </w:p>
        </w:tc>
        <w:tc>
          <w:tcPr>
            <w:tcW w:w="48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1,362.5</w:t>
            </w:r>
          </w:p>
        </w:tc>
      </w:tr>
    </w:tbl>
    <w:p>
      <w:pPr>
        <w:spacing w:after="0" w:line="28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fair values of the fixed rate notes due 2013, 2014 and 2022 were estimated using quoted market prices and are considered level 2 liabilities under the classification hierarchy for fair value measurements. The fair value of the fixed rate notes due 2018, which is considered a level 3 liability, was derived using a standard valuation model with market-based observable inputs including U.S. Treasury yields and interest rate spreads. For further information on the three-level classification hierarchy of fair value measurements, see note 8. At September 30, 2012, the fair values of the fixed rate notes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w:t>
            </w:r>
          </w:p>
        </w:tc>
        <w:tc>
          <w:tcPr>
            <w:tcW w:w="3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w:t>
            </w:r>
          </w:p>
        </w:tc>
        <w:tc>
          <w:tcPr>
            <w:tcW w:w="3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803.7</w:t>
            </w:r>
          </w:p>
        </w:tc>
      </w:tr>
      <w:tr>
        <w:trPr>
          <w:trHeight w:val="27"/>
        </w:trPr>
        <w:tc>
          <w:tcPr>
            <w:tcW w:w="69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$612.5 million fixed rate notes due March 2018</w:t>
            </w:r>
          </w:p>
        </w:tc>
        <w:tc>
          <w:tcPr>
            <w:tcW w:w="3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690.6</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$750.0 million fixed rate notes due September 2022</w:t>
            </w:r>
          </w:p>
        </w:tc>
        <w:tc>
          <w:tcPr>
            <w:tcW w:w="3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759.4</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 mitigates certain financial exposures to interest rate risk through the use of derivative financial instruments as part of its risk management program. The company does not use derivative instruments for trading purposes. All derivatives have been designated as cash flow hedges.</w:t>
      </w:r>
    </w:p>
    <w:p>
      <w:pPr>
        <w:spacing w:after="0" w:line="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August 2012, the company entered into two forward-starting interest rate swap contracts, with an aggregate notional value of $1.5 billion, to hedge the risk of changes in underlying benchmark interest rates associated with the expected issuances of fixed-rate debt. One of these swap contracts was settled in conjunction with the issuance of fixed-rate debt in September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and location of outstanding derivative instruments in the consolidated balance sheet as of September 30, 2012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7"/>
                <w:szCs w:val="17"/>
                <w:color w:val="auto"/>
              </w:rPr>
            </w:pP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Fair Value</w:t>
            </w: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Interest rate contract</w:t>
            </w: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30.1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 instruments outstanding at December 31, 2011.</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effect of derivative instruments on the consolidated statements of income as well as accumulated other comprehensive income (OCI) within the consolidated statements of comprehensive income and consolidated statements of shareholders' equity for the nine months ended September 30, 2012 and 2011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left="26"/>
              <w:spacing w:after="0"/>
              <w:rPr>
                <w:sz w:val="20"/>
                <w:szCs w:val="20"/>
                <w:color w:val="auto"/>
              </w:rPr>
            </w:pPr>
            <w:r>
              <w:rPr>
                <w:rFonts w:ascii="Arial" w:cs="Arial" w:eastAsia="Arial" w:hAnsi="Arial"/>
                <w:sz w:val="14"/>
                <w:szCs w:val="14"/>
                <w:b w:val="1"/>
                <w:bCs w:val="1"/>
                <w:color w:val="auto"/>
                <w:w w:val="87"/>
              </w:rPr>
              <w:t>Gains (Losses)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5"/>
          </w:tcPr>
          <w:p>
            <w:pPr>
              <w:jc w:val="center"/>
              <w:ind w:left="623"/>
              <w:spacing w:after="0"/>
              <w:rPr>
                <w:sz w:val="20"/>
                <w:szCs w:val="20"/>
                <w:color w:val="auto"/>
              </w:rPr>
            </w:pPr>
            <w:r>
              <w:rPr>
                <w:rFonts w:ascii="Arial" w:cs="Arial" w:eastAsia="Arial" w:hAnsi="Arial"/>
                <w:sz w:val="14"/>
                <w:szCs w:val="14"/>
                <w:b w:val="1"/>
                <w:bCs w:val="1"/>
                <w:color w:val="auto"/>
                <w:w w:val="90"/>
              </w:rPr>
              <w:t>Gains (Losses) Reclassified from</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89"/>
              </w:rPr>
              <w:t>Gains (Losses)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left="66"/>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40" w:type="dxa"/>
            <w:vAlign w:val="bottom"/>
            <w:gridSpan w:val="4"/>
          </w:tcPr>
          <w:p>
            <w:pPr>
              <w:jc w:val="center"/>
              <w:ind w:right="423"/>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4"/>
                <w:szCs w:val="14"/>
                <w:b w:val="1"/>
                <w:bCs w:val="1"/>
                <w:color w:val="auto"/>
                <w:w w:val="94"/>
              </w:rPr>
              <w:t>(Effective Portion)</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403"/>
              <w:spacing w:after="0"/>
              <w:rPr>
                <w:sz w:val="20"/>
                <w:szCs w:val="20"/>
                <w:color w:val="auto"/>
              </w:rPr>
            </w:pPr>
            <w:r>
              <w:rPr>
                <w:rFonts w:ascii="Arial" w:cs="Arial" w:eastAsia="Arial" w:hAnsi="Arial"/>
                <w:sz w:val="14"/>
                <w:szCs w:val="14"/>
                <w:b w:val="1"/>
                <w:bCs w:val="1"/>
                <w:color w:val="auto"/>
                <w:w w:val="94"/>
              </w:rPr>
              <w:t>(Effective Portion)</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4"/>
                <w:szCs w:val="14"/>
                <w:b w:val="1"/>
                <w:bCs w:val="1"/>
                <w:color w:val="auto"/>
                <w:w w:val="94"/>
              </w:rPr>
              <w:t>(Ineffective Portion)</w:t>
            </w: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Location</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13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Location</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2011</w:t>
            </w:r>
          </w:p>
        </w:tc>
      </w:tr>
      <w:tr>
        <w:trPr>
          <w:trHeight w:val="219"/>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auto"/>
                <w:w w:val="92"/>
              </w:rPr>
              <w:t>Interest and other</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4"/>
          </w:tcPr>
          <w:p>
            <w:pPr>
              <w:ind w:left="20"/>
              <w:spacing w:after="0"/>
              <w:rPr>
                <w:sz w:val="20"/>
                <w:szCs w:val="20"/>
                <w:color w:val="auto"/>
              </w:rPr>
            </w:pPr>
            <w:r>
              <w:rPr>
                <w:rFonts w:ascii="Arial" w:cs="Arial" w:eastAsia="Arial" w:hAnsi="Arial"/>
                <w:sz w:val="16"/>
                <w:szCs w:val="16"/>
                <w:color w:val="auto"/>
              </w:rPr>
              <w:t>Gains (losses) on derivative</w:t>
            </w: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6"/>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Interest rate contracts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26"/>
              <w:spacing w:after="0"/>
              <w:rPr>
                <w:sz w:val="20"/>
                <w:szCs w:val="20"/>
                <w:color w:val="auto"/>
              </w:rPr>
            </w:pPr>
            <w:r>
              <w:rPr>
                <w:rFonts w:ascii="Arial" w:cs="Arial" w:eastAsia="Arial" w:hAnsi="Arial"/>
                <w:sz w:val="16"/>
                <w:szCs w:val="16"/>
                <w:color w:val="auto"/>
              </w:rPr>
              <w:t>(54.4)</w:t>
            </w:r>
          </w:p>
        </w:tc>
        <w:tc>
          <w:tcPr>
            <w:tcW w:w="500" w:type="dxa"/>
            <w:vAlign w:val="bottom"/>
          </w:tcPr>
          <w:p>
            <w:pPr>
              <w:spacing w:after="0"/>
              <w:rPr>
                <w:sz w:val="17"/>
                <w:szCs w:val="17"/>
                <w:color w:val="auto"/>
              </w:rPr>
            </w:pPr>
          </w:p>
        </w:tc>
        <w:tc>
          <w:tcPr>
            <w:tcW w:w="4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ind w:left="20"/>
              <w:spacing w:after="0"/>
              <w:rPr>
                <w:sz w:val="20"/>
                <w:szCs w:val="20"/>
                <w:color w:val="auto"/>
              </w:rPr>
            </w:pPr>
            <w:r>
              <w:rPr>
                <w:rFonts w:ascii="Arial" w:cs="Arial" w:eastAsia="Arial" w:hAnsi="Arial"/>
                <w:sz w:val="16"/>
                <w:szCs w:val="16"/>
                <w:color w:val="auto"/>
              </w:rPr>
              <w:t>borrowing costs</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83"/>
              <w:spacing w:after="0"/>
              <w:rPr>
                <w:sz w:val="20"/>
                <w:szCs w:val="20"/>
                <w:color w:val="auto"/>
              </w:rPr>
            </w:pPr>
            <w:r>
              <w:rPr>
                <w:rFonts w:ascii="Arial" w:cs="Arial" w:eastAsia="Arial" w:hAnsi="Arial"/>
                <w:sz w:val="16"/>
                <w:szCs w:val="16"/>
                <w:color w:val="auto"/>
              </w:rPr>
              <w:t>(0.4)</w:t>
            </w:r>
          </w:p>
        </w:tc>
        <w:tc>
          <w:tcPr>
            <w:tcW w:w="7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7"/>
                <w:szCs w:val="17"/>
                <w:color w:val="auto"/>
              </w:rPr>
            </w:pPr>
          </w:p>
        </w:tc>
        <w:tc>
          <w:tcPr>
            <w:tcW w:w="130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460" w:type="dxa"/>
            <w:vAlign w:val="bottom"/>
            <w:gridSpan w:val="3"/>
          </w:tcPr>
          <w:p>
            <w:pPr>
              <w:jc w:val="right"/>
              <w:ind w:right="428"/>
              <w:spacing w:after="0"/>
              <w:rPr>
                <w:sz w:val="20"/>
                <w:szCs w:val="20"/>
                <w:color w:val="auto"/>
              </w:rPr>
            </w:pPr>
            <w:r>
              <w:rPr>
                <w:rFonts w:ascii="Arial" w:cs="Arial" w:eastAsia="Arial" w:hAnsi="Arial"/>
                <w:sz w:val="16"/>
                <w:szCs w:val="16"/>
                <w:color w:val="auto"/>
              </w:rPr>
              <w:t>$</w:t>
            </w:r>
          </w:p>
        </w:tc>
        <w:tc>
          <w:tcPr>
            <w:tcW w:w="500" w:type="dxa"/>
            <w:vAlign w:val="bottom"/>
          </w:tcPr>
          <w:p>
            <w:pPr>
              <w:ind w:left="2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23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September 30, 2012, the company expects to reclassify $2.8 million of net gains (losses) on derivative instruments from accumulated other comprehensive income to net income as additional interest expense during the next twelve months due to the payment of interest associated with the issuance of fixed-rate debt.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Contingencies</w:t>
      </w:r>
    </w:p>
    <w:p>
      <w:pPr>
        <w:spacing w:after="0" w:line="243"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i w:val="1"/>
          <w:iCs w:val="1"/>
          <w:color w:val="auto"/>
        </w:rPr>
        <w:t xml:space="preserve">Legal and Regulatory Matters. </w:t>
      </w:r>
      <w:r>
        <w:rPr>
          <w:rFonts w:ascii="Arial" w:cs="Arial" w:eastAsia="Arial" w:hAnsi="Arial"/>
          <w:sz w:val="16"/>
          <w:szCs w:val="16"/>
          <w:color w:val="auto"/>
        </w:rPr>
        <w:t>In 2008, Fifth Market, Inc. (Fifth Market) filed a complaint against CME Group and CME seeking a permanent injunction</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CME's Globex system and unquantified enhanced damages for what the plaintiff alleges is willful infringement of two U.S. patents, in addition to costs, expenses and attorneys' fee</w:t>
      </w:r>
      <w:r>
        <w:rPr>
          <w:rFonts w:ascii="Arial" w:cs="Arial" w:eastAsia="Arial" w:hAnsi="Arial"/>
          <w:sz w:val="17"/>
          <w:szCs w:val="17"/>
          <w:color w:val="auto"/>
        </w:rPr>
        <w:t>s.</w:t>
      </w:r>
      <w:r>
        <w:rPr>
          <w:rFonts w:ascii="Arial" w:cs="Arial" w:eastAsia="Arial" w:hAnsi="Arial"/>
          <w:sz w:val="16"/>
          <w:szCs w:val="16"/>
          <w:color w:val="auto"/>
        </w:rPr>
        <w:t xml:space="preserve"> In March 2012, the U.S. Patent and Trademark Office (USPTO) issued an Office Action that rejected all of the claims in the first patent in a reexamination proceeding. Fifth Market replied to the rejection and may appeal the decision from the USPTO. CME initiated a second reexamination against the second asserted patent. The USPTO confirmed some claims and rejected others. Based on its investigation to date and advice from legal counsel, the company believes this suit is without merit and intends to defend itself vigorously against these charges.</w:t>
      </w:r>
    </w:p>
    <w:p>
      <w:pPr>
        <w:spacing w:after="0" w:line="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2009, CME and CBOT filed a complaint against Howard Garber seeking a declaratory judgment that neither CME nor CBOT infringed Mr. Garber's patent and that his patent is invalid and unenforceable. The case is stayed pending the outcome of the reexamination of his patent at the USPTO. In response to CME's reexamination request, the USPTO issued a Final Office Action that rejected all of the claims in the patent in October 2012. Mr. Garber may appeal this decision with the Board of Patent Appeals and Interferences. Based on its investigation to date and advice from legal counsel, the company believes this suit is without merit and intends to defend itself vigorously against these charges.</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2009, Realtime Data LLC (Realtime) filed a complaint against CME Group and other exchanges alleging willful infringement of four patents which was later amended to add CBOT and NYMEX as defendants. Subsequently, two additional lawsuits have been filed each adding a claim for the infringement of an additional patent. Both of these lawsuits have been consolidated with the original action. Realtime is seeking a permanent injunction, enhanced damages, attorneys' fees and costs. Three of the six asserted patents in this case have been dismissed due in part to the rejections of the patents in the reexaminations by the USPTO. In July 2012, the USPTO rejected all the claims in a fourth of the six patents. In September 2012, the federal court in the Southern District of New York ruled in the company's favor on a number of grounds of non-infringement relating to the Realtime Data patents. We expect that Realtime Data will appeal this decision. The USPTO will continue to review the patents in parallel. Based on its investigation to date and advice from legal counsel, the company believes this suit is without merit and intends to defend itself vigorously against these charges.</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legal matters involve alleged infringements of intellectual property, which due to their nature involve potential liability that is uncertain, difficult to quantify and involve a wide range of potential outcomes. The company believes that the matters are without merit and intends to defend itself vigorously against the claims. The USPTO's determination of validity of the patents in the Fifth Market, Realtime, and Garber matters may have an impact on the merits of the cases.</w:t>
      </w:r>
    </w:p>
    <w:p>
      <w:pPr>
        <w:spacing w:after="0" w:line="14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number of lawsuits were filed in federal court in New York on behalf of all commodity account holders or customers of MF Global who had not received a return of 100% of their funds. These matters have been consolidated into a single action in federal court in New York, and a consolidated amended class action complaint was filed on November 5, 2012. The class action complaint alleges that CME violated the Commodity Exchange Act (CEA), aided and abetted violations of the CEA by other defendants, and aided and abetted a breach of fiduciary duty by certain officers and directors of MF Global. The class complaint also alleges that CME Group aided and abetted CME's violation of the CEA. The complaint does not allege the amount of damages sought, but rather seeks compensatory and exemplary damages to be determined at trial. Based on the initial analysis of the class complaint, the company believes that they have strong legal and factual defenses to the claims. In addition to the class complaint, the company is aware of two plaintiffs who intend to pursue their claims individually. Given that these matters are in the very early stage, at this time the company is unable to estimate the reasonably possible loss or range of reasonably possible loss in the unlikely event it were found to be liable in these matters.</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normal course of business, the company discusses matters with its regulators that either arise during regulatory examinations or are otherwise subject to the regulator's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 At September 30, 2012 and December 31, 2011, the company had accrued $13.3 million and $12.8 million, respectively, for legal and regulatory matters that were probable and estimable.</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Globex platform, the CME</w:t>
      </w:r>
      <w:r>
        <w:rPr>
          <w:rFonts w:ascii="Arial" w:cs="Arial" w:eastAsia="Arial" w:hAnsi="Arial"/>
          <w:sz w:val="18"/>
          <w:szCs w:val="18"/>
          <w:i w:val="1"/>
          <w:iCs w:val="1"/>
          <w:color w:val="auto"/>
        </w:rPr>
        <w:t xml:space="preserve"> </w:t>
      </w:r>
      <w:r>
        <w:rPr>
          <w:rFonts w:ascii="Arial" w:cs="Arial" w:eastAsia="Arial" w:hAnsi="Arial"/>
          <w:sz w:val="18"/>
          <w:szCs w:val="18"/>
          <w:color w:val="auto"/>
        </w:rPr>
        <w:t>ClearPort platform, and/or the Clearing 21 platform; utilizing market data services; licensing CME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SPAN software; and calculating indexes as a service provider and licensing indexes as the basis of financial 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Guarantees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Clearing House Contract Settlement. </w:t>
      </w:r>
      <w:r>
        <w:rPr>
          <w:rFonts w:ascii="Arial" w:cs="Arial" w:eastAsia="Arial" w:hAnsi="Arial"/>
          <w:sz w:val="16"/>
          <w:szCs w:val="16"/>
          <w:color w:val="auto"/>
        </w:rPr>
        <w:t>CME and CME Clearing Europe (CMECE) mark-to-market open positions for most products at least twice a day.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values derived from the mark-to-market process, CME and CMECE require payment from clearing firms whose positions have lost value and make payments to clearing firms whose positions have gained value. For select cleared-only markets, positions are marked-to-market once daily, with the capability to mark-to-market more frequently as market conditions warrant. Under the extremely unlikely scenario of simultaneous default by every clearing firm who has open positions with unrealized losses, the maximum exposure related to CME and CMECE’s guarantee would be one half day of changes in fair value of all open positions, before considering CME and CMECE’s ability to access defaulting clearing firms’ performance bond and guaranty fund balances as well as other available resources. During the first nine months of 2012, CME and CMECE transferred an average of approximately $2.5 billion a day through their clearing systems for settlement from clearing firms whose positions had lost value to clearing firms whose positions had gained value. CME and CMECE reduce the guarantee exposure through initial and maintenance performance bond requirements and mandatory guaranty fund contributions. The company believes that its guarantee liability is immaterial and therefore has not recorded any liability at September 30, 2012.</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with a current term through October 2013.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agreement will automatically renew for a one-year period unless either party provides advance notice of their intent to terminate. CME can maintain collateral in the form of U.S. Treasury securities or irrevocable letters of credit. At September 30, 2012, CME was contingently liable to SGX on irrevocable letters of credit totaling $196.0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Cross-Margin Agreements. </w:t>
      </w:r>
      <w:r>
        <w:rPr>
          <w:rFonts w:ascii="Arial" w:cs="Arial" w:eastAsia="Arial" w:hAnsi="Arial"/>
          <w:sz w:val="18"/>
          <w:szCs w:val="18"/>
          <w:color w:val="auto"/>
        </w:rPr>
        <w:t>CME and The Options Clearing Corporation (OCC) have a cross-margin arrangement, whereby a common clearing firm may</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cross-margin agreement exists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w:t>
      </w:r>
    </w:p>
    <w:p>
      <w:pPr>
        <w:spacing w:after="0" w:line="1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MF Global Bankruptcy Guarantee. </w:t>
      </w:r>
      <w:r>
        <w:rPr>
          <w:rFonts w:ascii="Arial" w:cs="Arial" w:eastAsia="Arial" w:hAnsi="Arial"/>
          <w:sz w:val="18"/>
          <w:szCs w:val="18"/>
          <w:color w:val="auto"/>
        </w:rPr>
        <w:t>The company has provided a $550.0 million financial guarantee to the bankruptcy trustee of MF Global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 the distribution of funds to MF Global customers. In the event that the trustee distributed more property than was permitted by the Bankruptcy Code and CFTC regulations to any former MF Global customer on or after November 16, 2011, the company will make a cash payment for the amount of the erroneous distribution up to $550.0 million to the trustee. A payment will only be made after the trustee makes reasonable efforts to collect the property erroneously distributed to the customer. If a payment is made by the company, the company may have the right to seek reimbursement of the erroneously distributed property from the applicable customer. The guarantee only applies to the second and third bulk distributions that were facilitated by the company. The guarantee does not cover future distributions made directly by the trustee to customers. The company believes that the likelihood of payment to the trustee is remote given the process in place to validate customer distributions. As a result, the guarantee liability is estimated to be immaterial at September 30, 2012.</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Family Farmer and Rancher Protection Fund. </w:t>
      </w:r>
      <w:r>
        <w:rPr>
          <w:rFonts w:ascii="Arial" w:cs="Arial" w:eastAsia="Arial" w:hAnsi="Arial"/>
          <w:sz w:val="18"/>
          <w:szCs w:val="18"/>
          <w:color w:val="auto"/>
        </w:rPr>
        <w:t>In April 2012, the company established the Family Farmer and Rancher Protection Fund (the Fund). The Fund</w:t>
      </w:r>
      <w:r>
        <w:rPr>
          <w:rFonts w:ascii="Arial" w:cs="Arial" w:eastAsia="Arial" w:hAnsi="Arial"/>
          <w:sz w:val="18"/>
          <w:szCs w:val="18"/>
          <w:i w:val="1"/>
          <w:iCs w:val="1"/>
          <w:color w:val="auto"/>
        </w:rPr>
        <w:t xml:space="preserve"> </w:t>
      </w:r>
      <w:r>
        <w:rPr>
          <w:rFonts w:ascii="Arial" w:cs="Arial" w:eastAsia="Arial" w:hAnsi="Arial"/>
          <w:sz w:val="18"/>
          <w:szCs w:val="18"/>
          <w:color w:val="auto"/>
        </w:rPr>
        <w:t>is designed to provide payments, up to certain maximum levels, to family farmers, ranchers and other agricultural industry participants who use CME Group agricultural products and who suffer losses to their</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segregated account balances when their CME clearing member becomes insolvent. Under the terms of the Fund, farmers and ranchers are eligible for up to $25,000 per participant. Farming and ranching cooperatives are eligible for up to $100,000 per cooperative. The Fund has an aggregate maximum payment amount of $100.0 million. If payments to participants were to exceed this amount, payments would be pro-rated. Clearing members and customers must register in advance with the company and provide certain documentation in order to substantiate their eligibility.</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Peregrine Financial Group, Inc. (PFG) filed for bankruptcy protection on July 10, 2012. PFG was not a CME clearing member and its customers had not registered for the Fund. Accordingly, they were not technically eligible for payments. However, because the Fund was newly implemented and because PFG's customers included many agricultural industry participants for whom the program was designed, the company decided to waive certain terms and conditions of the Fund, solely in connection with the PFG bankruptcy, so that otherwise eligible family farmers, ranchers and agricultural cooperatives could apply for and receive benefits from CME. Based on the number of such PFG customers who applied and the estimated size of their claims, the company has recorded a liability in the amount of $2.2 million at September 30,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general, the company uses quoted prices in active markets for identical assets to determine the fair value of marketable securities and equity investments. Level 1 assets generally include U.S. Treasury securities and exchange-traded mutual funds. If quoted prices are not available to determine fair value, the company uses other inputs that are observable either directly or indirectly.</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Assets included in level 2 generally consist of asset-backed securities and interest rate swap contracts. Asset-backed securities were measured at fair value based on matrix pricing using prices of similar securities with similar inputs such as maturity dates, interest rates and credit ratings. The company determined the fair value of its interest rate swap contracts using standard valuation models with market-based observable inputs including forward and spot exchange rates and interest rate curves.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probability of payout ranging from 86% to 100%. Significant increases or decreases in any of those inputs in isolation would result in a significantly higher or lower fair value.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assets and liabilities recorded in the consolidated balance sheet as of September 30, 2012 were classified in their entirety based on the lowest level of input that was significant to each asset or liability's fair value measurement.</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September 30, 2012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62.0</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695.3</w:t>
            </w: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56"/>
        </w:trPr>
        <w:tc>
          <w:tcPr>
            <w:tcW w:w="5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12.7</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transfers of assets between level 1 and level 2 during the first nine months of 2012. The following is a reconciliation of assets and liabilities valued at fair value on a recurring basis using significant unobservable inputs (level 3) during the first nine months of 2012.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Contingent obligation arising from acquisition</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changes in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280"/>
              <w:spacing w:after="0"/>
              <w:rPr>
                <w:sz w:val="20"/>
                <w:szCs w:val="20"/>
                <w:color w:val="auto"/>
              </w:rPr>
            </w:pPr>
            <w:r>
              <w:rPr>
                <w:rFonts w:ascii="Arial" w:cs="Arial" w:eastAsia="Arial" w:hAnsi="Arial"/>
                <w:sz w:val="18"/>
                <w:szCs w:val="18"/>
                <w:color w:val="auto"/>
              </w:rPr>
              <w:t>Included in operating expense</w:t>
            </w:r>
          </w:p>
        </w:tc>
        <w:tc>
          <w:tcPr>
            <w:tcW w:w="22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September 30, 2012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of approximately 4,855,000 and 4,922,000 were anti-dilutive for the quarter and nine months ended September 30, 2012, respectively. Outstanding stock options of approximately 5,420,000 and 4,705,000 were anti-dilutive for the quarter and nine months ended September 30, 2011. There were approximately 838,000 and 850,000 anti-dilutive restricted stock awards for the quarter and nine months ended September 30, 2012, respectively. There were no anti-dilutive restricted stock awards for the quarter and nine months ended September 30, 2011.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1,066.4</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331,377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332,289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331,091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333,449</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Effect of stock options and restricted stock awards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332,458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333,337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332,147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334,507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 except for the following: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October 2012, the company entered into a definitive agreement to acquire the Kansas City Board of Trade. The transaction is subject to regulatory approval and customary closing conditions.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in our Annual Report on Form 10-K for the year ended December 31, 2011.</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2"/>
        </w:trPr>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9"/>
              </w:rPr>
              <w:t>2011</w:t>
            </w: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89"/>
              </w:rPr>
              <w:t>2011</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683.2</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874.2</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2,253.7</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9"/>
              </w:rPr>
              <w:t>2,544.1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1"/>
                <w:szCs w:val="21"/>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287.2</w:t>
            </w:r>
          </w:p>
        </w:tc>
        <w:tc>
          <w:tcPr>
            <w:tcW w:w="480" w:type="dxa"/>
            <w:vAlign w:val="bottom"/>
          </w:tcPr>
          <w:p>
            <w:pPr>
              <w:spacing w:after="0"/>
              <w:rPr>
                <w:sz w:val="21"/>
                <w:szCs w:val="21"/>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302.1</w:t>
            </w: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937.3</w:t>
            </w:r>
          </w:p>
        </w:tc>
        <w:tc>
          <w:tcPr>
            <w:tcW w:w="50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913.4</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3</w:t>
            </w: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(0.2)</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(26.2)</w:t>
            </w: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(99)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23.5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(63.9)</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(137)</w:t>
            </w: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218.0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316.1</w:t>
            </w: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(31)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729.5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w w:val="89"/>
              </w:rPr>
              <w:t>1,066.4</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(32)</w:t>
            </w: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Diluted earnings per common share attributable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CME Group</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0.66</w:t>
            </w: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0.95</w:t>
            </w:r>
          </w:p>
        </w:tc>
        <w:tc>
          <w:tcPr>
            <w:tcW w:w="146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2.20</w:t>
            </w:r>
          </w:p>
        </w:tc>
        <w:tc>
          <w:tcPr>
            <w:tcW w:w="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3.19</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897.2</w:t>
            </w:r>
          </w:p>
        </w:tc>
        <w:tc>
          <w:tcPr>
            <w:tcW w:w="500" w:type="dxa"/>
            <w:vAlign w:val="bottom"/>
          </w:tcPr>
          <w:p>
            <w:pPr>
              <w:spacing w:after="0"/>
              <w:rPr>
                <w:sz w:val="21"/>
                <w:szCs w:val="21"/>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999.8</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(10)</w:t>
            </w:r>
          </w:p>
        </w:tc>
      </w:tr>
    </w:tbl>
    <w:p>
      <w:pPr>
        <w:spacing w:after="0" w:line="121" w:lineRule="exact"/>
        <w:rPr>
          <w:sz w:val="20"/>
          <w:szCs w:val="20"/>
          <w:color w:val="auto"/>
        </w:rPr>
      </w:pPr>
    </w:p>
    <w:p>
      <w:pPr>
        <w:ind w:left="660" w:right="2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third quarter and first nine months of 2012, when compared with the same periods in 2011, the decreases in total revenues were attributable largely to declines in clearing and transaction fees revenue resulting from lower contract volumes.</w:t>
      </w:r>
    </w:p>
    <w:p>
      <w:pPr>
        <w:spacing w:after="0" w:line="170" w:lineRule="exact"/>
        <w:rPr>
          <w:rFonts w:ascii="Arial" w:cs="Arial" w:eastAsia="Arial" w:hAnsi="Arial"/>
          <w:sz w:val="18"/>
          <w:szCs w:val="18"/>
          <w:color w:val="auto"/>
        </w:rPr>
      </w:pPr>
    </w:p>
    <w:p>
      <w:pPr>
        <w:ind w:left="660" w:right="80" w:hanging="328"/>
        <w:spacing w:after="0" w:line="28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expenses decreased in the third quarter of 2012 when compared with the same period in 2011 due to a decrease in amortization of purchased intangibles as a result of the contribution of certain Dow Jones Index assets and liabilities (the DJI asset group) to a new venture with The McGraw Hill Companies Inc. (McGraw) and to the sale of Credit Market Analysis Ltd (CMA). There was also a decline in compensation and benefits expense due to lower accrued bonuses and a decrease in average headcount. The decrease in average headcount was attributable to the contribution of the DJI asset group and the sale of CMA. The declines in bonus expense and average headcount were partially offset by annual salary increases and rising healthcare costs. The increase in total expenses in the first nine months of 2012 compared with the same period in 2011 was due to higher compensation and benefits expense resulting from additional stock-based compensation and employee separation costs, partially offset by a decline in accrued bonus expense. Expenses associated with S&amp;P/Dow Jones Indices LLC (the McGraw venture), our new venture with McGraw, also contributed to the rise in total year-to-date expenses. The impact of these increases on total year-to-date expenses was partially offset by a decrease in expense from the amortization of purchased intangibles.</w:t>
      </w:r>
    </w:p>
    <w:p>
      <w:pPr>
        <w:spacing w:after="0" w:line="169" w:lineRule="exact"/>
        <w:rPr>
          <w:rFonts w:ascii="Arial" w:cs="Arial" w:eastAsia="Arial" w:hAnsi="Arial"/>
          <w:sz w:val="16"/>
          <w:szCs w:val="16"/>
          <w:color w:val="auto"/>
        </w:rPr>
      </w:pPr>
    </w:p>
    <w:p>
      <w:pPr>
        <w:jc w:val="both"/>
        <w:ind w:left="660" w:right="2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recognized a gain of $59.9 million resulting from the contribution of the DJI asset group to the McGraw venture and the sale of CMA, and a gain relating to a recovery of an impairment loss on a corporate debt security, which resulted in an increase in non-operating income (expense) in the first nine months of 2012 when compared with the same period in 2011.</w:t>
      </w:r>
    </w:p>
    <w:p>
      <w:pPr>
        <w:spacing w:after="0" w:line="181"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third quarter of 2012 when compared with the same period in 2011, the increase in the effective tax rate was attributable to adjustments to the deferred tax liabilities associated with the McGraw venture. The increase in the effective tax rate in the first nine months of 2012 was due to the establishment of deferred tax liabilities associated with the McGraw venture. The increase was partially offset by non-recurring reductions to tax expense related to the McGraw venture and the sale of CMA in the first nine months of 2012 as well as a change in the state tax apportionment in the first nine months of 2011.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3"/>
              </w:rPr>
              <w:t>2011</w:t>
            </w: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3"/>
              </w:rPr>
              <w:t>2011</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732.7</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6"/>
              </w:rPr>
              <w:t>2,111.8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107.0</w:t>
            </w:r>
          </w:p>
        </w:tc>
        <w:tc>
          <w:tcPr>
            <w:tcW w:w="1480" w:type="dxa"/>
            <w:vAlign w:val="bottom"/>
          </w:tcPr>
          <w:p>
            <w:pPr>
              <w:jc w:val="right"/>
              <w:ind w:right="213"/>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321.9</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1480" w:type="dxa"/>
            <w:vAlign w:val="bottom"/>
          </w:tcPr>
          <w:p>
            <w:pPr>
              <w:jc w:val="right"/>
              <w:ind w:right="213"/>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75.6</w:t>
            </w: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683.2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874.2</w:t>
            </w:r>
          </w:p>
        </w:tc>
        <w:tc>
          <w:tcPr>
            <w:tcW w:w="14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2,253.7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6"/>
              </w:rPr>
              <w:t>2,544.1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Total contract volume includes contracts that are traded on our exchange and cleared through our clearing house. Contract volume also includes cleared-only CME ClearPort contracts. Volume is measured in round turns, which is considered a completed transaction that involves a purchase and an offsetting sale of a contract. Average rate per contract is determined by dividing total clearing and transaction fee revenues by total contract volume. All amounts exclude our TRAKRS, credit default swap, interest rate swap and CME Clearing Europe contracts.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2011</w:t>
            </w:r>
          </w:p>
        </w:tc>
        <w:tc>
          <w:tcPr>
            <w:tcW w:w="14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2011</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682.8</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940.9</w:t>
            </w: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2,238.1</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6"/>
              </w:rPr>
              <w:t>2,648.4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561.3</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732.7</w:t>
            </w:r>
          </w:p>
        </w:tc>
        <w:tc>
          <w:tcPr>
            <w:tcW w:w="1480" w:type="dxa"/>
            <w:vAlign w:val="bottom"/>
          </w:tcPr>
          <w:p>
            <w:pPr>
              <w:jc w:val="right"/>
              <w:ind w:right="214"/>
              <w:spacing w:after="0"/>
              <w:rPr>
                <w:sz w:val="20"/>
                <w:szCs w:val="20"/>
                <w:color w:val="auto"/>
              </w:rPr>
            </w:pPr>
            <w:r>
              <w:rPr>
                <w:rFonts w:ascii="Arial" w:cs="Arial" w:eastAsia="Arial" w:hAnsi="Arial"/>
                <w:sz w:val="18"/>
                <w:szCs w:val="18"/>
                <w:color w:val="auto"/>
              </w:rPr>
              <w:t>(23)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1,823.9</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w w:val="96"/>
              </w:rPr>
              <w:t>2,111.8</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0.822</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0.779</w:t>
            </w:r>
          </w:p>
        </w:tc>
        <w:tc>
          <w:tcPr>
            <w:tcW w:w="14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0.815</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0.797</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r>
      <w:tr>
        <w:trPr>
          <w:trHeight w:val="27"/>
        </w:trPr>
        <w:tc>
          <w:tcPr>
            <w:tcW w:w="3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estimate the following decreases in clearing and transaction fees based on change in total contract volume and change in average rate per contract during the third quarter and first nine months of 2012 when compared with the same periods in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due to change in total contract volume</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Increase due to change in average rate per contract</w:t>
            </w: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clearing and transaction fees</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volume, the change in revenues attributable to changes in each is only an approximation.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40" w:type="dxa"/>
            <w:vAlign w:val="bottom"/>
            <w:gridSpan w:val="3"/>
          </w:tcPr>
          <w:p>
            <w:pPr>
              <w:jc w:val="center"/>
              <w:ind w:left="613"/>
              <w:spacing w:after="0"/>
              <w:rPr>
                <w:sz w:val="20"/>
                <w:szCs w:val="20"/>
                <w:color w:val="auto"/>
              </w:rPr>
            </w:pPr>
            <w:r>
              <w:rPr>
                <w:rFonts w:ascii="Arial" w:cs="Arial" w:eastAsia="Arial" w:hAnsi="Arial"/>
                <w:sz w:val="14"/>
                <w:szCs w:val="14"/>
                <w:b w:val="1"/>
                <w:bCs w:val="1"/>
                <w:color w:val="auto"/>
                <w:w w:val="96"/>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260" w:type="dxa"/>
            <w:vAlign w:val="bottom"/>
          </w:tcPr>
          <w:p>
            <w:pPr>
              <w:spacing w:after="0"/>
              <w:rPr>
                <w:sz w:val="14"/>
                <w:szCs w:val="14"/>
                <w:color w:val="auto"/>
              </w:rPr>
            </w:pPr>
          </w:p>
        </w:tc>
      </w:tr>
      <w:tr>
        <w:trPr>
          <w:trHeight w:val="192"/>
        </w:trPr>
        <w:tc>
          <w:tcPr>
            <w:tcW w:w="3780" w:type="dxa"/>
            <w:vAlign w:val="bottom"/>
          </w:tcPr>
          <w:p>
            <w:pPr>
              <w:spacing w:after="0"/>
              <w:rPr>
                <w:sz w:val="16"/>
                <w:szCs w:val="16"/>
                <w:color w:val="auto"/>
              </w:rPr>
            </w:pPr>
          </w:p>
        </w:tc>
        <w:tc>
          <w:tcPr>
            <w:tcW w:w="1640" w:type="dxa"/>
            <w:vAlign w:val="bottom"/>
            <w:tcBorders>
              <w:bottom w:val="single" w:sz="8" w:color="auto"/>
            </w:tcBorders>
            <w:gridSpan w:val="3"/>
          </w:tcPr>
          <w:p>
            <w:pPr>
              <w:jc w:val="center"/>
              <w:ind w:left="633"/>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3"/>
              </w:rPr>
              <w:t>2011</w:t>
            </w: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2011</w:t>
            </w:r>
          </w:p>
        </w:tc>
        <w:tc>
          <w:tcPr>
            <w:tcW w:w="12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4,514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6,518</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6,464</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4,040</w:t>
            </w:r>
          </w:p>
        </w:tc>
        <w:tc>
          <w:tcPr>
            <w:tcW w:w="14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(41)</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3,269</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988</w:t>
            </w:r>
          </w:p>
        </w:tc>
        <w:tc>
          <w:tcPr>
            <w:tcW w:w="1460" w:type="dxa"/>
            <w:vAlign w:val="bottom"/>
          </w:tcPr>
          <w:p>
            <w:pPr>
              <w:jc w:val="right"/>
              <w:ind w:right="211"/>
              <w:spacing w:after="0"/>
              <w:rPr>
                <w:sz w:val="20"/>
                <w:szCs w:val="20"/>
                <w:color w:val="auto"/>
              </w:rPr>
            </w:pPr>
            <w:r>
              <w:rPr>
                <w:rFonts w:ascii="Arial" w:cs="Arial" w:eastAsia="Arial" w:hAnsi="Arial"/>
                <w:sz w:val="18"/>
                <w:szCs w:val="18"/>
                <w:color w:val="auto"/>
              </w:rPr>
              <w:t>(14)</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956</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(9)</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w:t>
            </w:r>
          </w:p>
        </w:tc>
        <w:tc>
          <w:tcPr>
            <w:tcW w:w="146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1,673</w:t>
            </w:r>
          </w:p>
        </w:tc>
        <w:tc>
          <w:tcPr>
            <w:tcW w:w="1460" w:type="dxa"/>
            <w:vAlign w:val="bottom"/>
          </w:tcPr>
          <w:p>
            <w:pPr>
              <w:jc w:val="right"/>
              <w:ind w:right="211"/>
              <w:spacing w:after="0"/>
              <w:rPr>
                <w:sz w:val="20"/>
                <w:szCs w:val="20"/>
                <w:color w:val="auto"/>
              </w:rPr>
            </w:pPr>
            <w:r>
              <w:rPr>
                <w:rFonts w:ascii="Arial" w:cs="Arial" w:eastAsia="Arial" w:hAnsi="Arial"/>
                <w:sz w:val="18"/>
                <w:szCs w:val="18"/>
                <w:color w:val="auto"/>
              </w:rPr>
              <w:t>(5)</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1,801</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14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10,839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14,702</w:t>
            </w:r>
          </w:p>
        </w:tc>
        <w:tc>
          <w:tcPr>
            <w:tcW w:w="1460" w:type="dxa"/>
            <w:vAlign w:val="bottom"/>
          </w:tcPr>
          <w:p>
            <w:pPr>
              <w:jc w:val="right"/>
              <w:ind w:right="211"/>
              <w:spacing w:after="0"/>
              <w:rPr>
                <w:sz w:val="20"/>
                <w:szCs w:val="20"/>
                <w:color w:val="auto"/>
              </w:rPr>
            </w:pPr>
            <w:r>
              <w:rPr>
                <w:rFonts w:ascii="Arial" w:cs="Arial" w:eastAsia="Arial" w:hAnsi="Arial"/>
                <w:sz w:val="18"/>
                <w:szCs w:val="18"/>
                <w:color w:val="auto"/>
              </w:rPr>
              <w:t>(26)</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11,841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14,013</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(15)</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9,293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12,462</w:t>
            </w:r>
          </w:p>
        </w:tc>
        <w:tc>
          <w:tcPr>
            <w:tcW w:w="1460" w:type="dxa"/>
            <w:vAlign w:val="bottom"/>
          </w:tcPr>
          <w:p>
            <w:pPr>
              <w:jc w:val="right"/>
              <w:ind w:right="211"/>
              <w:spacing w:after="0"/>
              <w:rPr>
                <w:sz w:val="20"/>
                <w:szCs w:val="20"/>
                <w:color w:val="auto"/>
              </w:rPr>
            </w:pPr>
            <w:r>
              <w:rPr>
                <w:rFonts w:ascii="Arial" w:cs="Arial" w:eastAsia="Arial" w:hAnsi="Arial"/>
                <w:sz w:val="18"/>
                <w:szCs w:val="18"/>
                <w:color w:val="auto"/>
              </w:rPr>
              <w:t>(25)</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10,024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11,845</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(15)</w:t>
            </w:r>
          </w:p>
        </w:tc>
      </w:tr>
      <w:tr>
        <w:trPr>
          <w:trHeight w:val="27"/>
        </w:trPr>
        <w:tc>
          <w:tcPr>
            <w:tcW w:w="3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1,557</w:t>
            </w:r>
          </w:p>
        </w:tc>
        <w:tc>
          <w:tcPr>
            <w:tcW w:w="14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(37)</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1,473</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1460" w:type="dxa"/>
            <w:vAlign w:val="bottom"/>
          </w:tcPr>
          <w:p>
            <w:pPr>
              <w:jc w:val="right"/>
              <w:ind w:right="211"/>
              <w:spacing w:after="0"/>
              <w:rPr>
                <w:sz w:val="20"/>
                <w:szCs w:val="20"/>
                <w:color w:val="auto"/>
              </w:rPr>
            </w:pPr>
            <w:r>
              <w:rPr>
                <w:rFonts w:ascii="Arial" w:cs="Arial" w:eastAsia="Arial" w:hAnsi="Arial"/>
                <w:sz w:val="18"/>
                <w:szCs w:val="18"/>
                <w:color w:val="auto"/>
              </w:rPr>
              <w:t>(19)</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(7)</w:t>
            </w: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exchange-traded volume</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14,276</w:t>
            </w:r>
          </w:p>
        </w:tc>
        <w:tc>
          <w:tcPr>
            <w:tcW w:w="14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(27)</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13,559</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Total CME ClearPort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426</w:t>
            </w:r>
          </w:p>
        </w:tc>
        <w:tc>
          <w:tcPr>
            <w:tcW w:w="1460" w:type="dxa"/>
            <w:vAlign w:val="bottom"/>
          </w:tcPr>
          <w:p>
            <w:pPr>
              <w:jc w:val="right"/>
              <w:ind w:right="211"/>
              <w:spacing w:after="0"/>
              <w:rPr>
                <w:sz w:val="20"/>
                <w:szCs w:val="20"/>
                <w:color w:val="auto"/>
              </w:rPr>
            </w:pPr>
            <w:r>
              <w:rPr>
                <w:rFonts w:ascii="Arial" w:cs="Arial" w:eastAsia="Arial" w:hAnsi="Arial"/>
                <w:sz w:val="18"/>
                <w:szCs w:val="18"/>
                <w:color w:val="auto"/>
              </w:rPr>
              <w:t>(16)</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454</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w:t>
            </w:r>
          </w:p>
        </w:tc>
      </w:tr>
      <w:tr>
        <w:trPr>
          <w:trHeight w:val="27"/>
        </w:trPr>
        <w:tc>
          <w:tcPr>
            <w:tcW w:w="37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10,839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14,702</w:t>
            </w:r>
          </w:p>
        </w:tc>
        <w:tc>
          <w:tcPr>
            <w:tcW w:w="14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11,841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14,013</w:t>
            </w: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w:t>
            </w:r>
          </w:p>
        </w:tc>
      </w:tr>
      <w:tr>
        <w:trPr>
          <w:trHeight w:val="27"/>
        </w:trPr>
        <w:tc>
          <w:tcPr>
            <w:tcW w:w="37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contracts include contracts expiring within two years. Eurodollar back 32 contracts include contracts expiring within three to ten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2011</w:t>
            </w: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2011</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1,020</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1,686</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1,187</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1,892</w:t>
            </w: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554</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598</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592</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w:t>
            </w: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364</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908</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(60)</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453</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810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(44)</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10-Year</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1,156</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1,603</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(28)</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1,308</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1,544</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(15)</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529</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773</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(32)</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575</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404</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475</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436</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426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243</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(18)</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235</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Overall interest rate contract volume decreased in the third quarter and first nine months of 2012 when compared with the same periods in 2011 due to low interest rate volatility as a result of the Federal Reserve’s continued intent to maintain its zero interest rate policy through mid-2015. The increase in volume in the long-term interest rate products, including the Eurodollar back 32 futures and the Treasury bond futures and options contracts, in the first nine months of 2012 when compared with the same period in 2011 was attributable to periods of higher long-term interest rate volatility in early 2012. The Federal Reserve's announcement in January 2012 to extend its zero interest rate policy shifted market expectations regarding long-term interest rates, which resulted in periods of higher volatility in early 2012.</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6"/>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2011</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2011</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futures and options</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1,887</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3,284</w:t>
            </w:r>
          </w:p>
        </w:tc>
        <w:tc>
          <w:tcPr>
            <w:tcW w:w="14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(43)%</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2,036</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2,621</w:t>
            </w: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5"/>
              </w:rPr>
              <w:t>(22)%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E-mini NASDAQ futures and options</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231</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351</w:t>
            </w:r>
          </w:p>
        </w:tc>
        <w:tc>
          <w:tcPr>
            <w:tcW w:w="1460" w:type="dxa"/>
            <w:vAlign w:val="bottom"/>
          </w:tcPr>
          <w:p>
            <w:pPr>
              <w:ind w:left="880"/>
              <w:spacing w:after="0"/>
              <w:rPr>
                <w:sz w:val="20"/>
                <w:szCs w:val="20"/>
                <w:color w:val="auto"/>
              </w:rPr>
            </w:pPr>
            <w:r>
              <w:rPr>
                <w:rFonts w:ascii="Arial" w:cs="Arial" w:eastAsia="Arial" w:hAnsi="Arial"/>
                <w:sz w:val="18"/>
                <w:szCs w:val="18"/>
                <w:color w:val="auto"/>
              </w:rPr>
              <w:t>(34)</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249</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309</w:t>
            </w:r>
          </w:p>
        </w:tc>
        <w:tc>
          <w:tcPr>
            <w:tcW w:w="1360" w:type="dxa"/>
            <w:vAlign w:val="bottom"/>
          </w:tcPr>
          <w:p>
            <w:pPr>
              <w:ind w:left="880"/>
              <w:spacing w:after="0"/>
              <w:rPr>
                <w:sz w:val="20"/>
                <w:szCs w:val="20"/>
                <w:color w:val="auto"/>
              </w:rPr>
            </w:pPr>
            <w:r>
              <w:rPr>
                <w:rFonts w:ascii="Arial" w:cs="Arial" w:eastAsia="Arial" w:hAnsi="Arial"/>
                <w:sz w:val="18"/>
                <w:szCs w:val="18"/>
                <w:color w:val="auto"/>
              </w:rPr>
              <w:t>(19)</w:t>
            </w: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third quarter and first nine months of 2012, when compared with the same periods in 2011, the decreases in equity contract volume were due to declines in equity market volatility, as measured by the CBOE Volatility Index. The declines in volatility in the third quarter and first nine months of 2012, when compared with the same periods in 2011, were the result of unchanged economic conditions within the United States and European markets. In addition, we experienced periods of high volatility within the equity markets during 2011, which we believe were attributable to events in Asia and the Middle East as well as the downgrade of the United States credit rating.</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overall decrease in volume for the first nine months of 2012 when compared with the same period in 2011 was partially offset by an increase in equity contract volume in the second quarter of 2012 due primarily to financial and political uncertainty in the European Union.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2011</w:t>
            </w:r>
          </w:p>
        </w:tc>
        <w:tc>
          <w:tcPr>
            <w:tcW w:w="14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2011</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283</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303</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139</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(1)</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141</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122</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16</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110</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146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(5)</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108</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99</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107</w:t>
            </w:r>
          </w:p>
        </w:tc>
        <w:tc>
          <w:tcPr>
            <w:tcW w:w="1460" w:type="dxa"/>
            <w:vAlign w:val="bottom"/>
          </w:tcPr>
          <w:p>
            <w:pPr>
              <w:jc w:val="right"/>
              <w:ind w:right="193"/>
              <w:spacing w:after="0"/>
              <w:rPr>
                <w:sz w:val="20"/>
                <w:szCs w:val="20"/>
                <w:color w:val="auto"/>
              </w:rPr>
            </w:pPr>
            <w:r>
              <w:rPr>
                <w:rFonts w:ascii="Arial" w:cs="Arial" w:eastAsia="Arial" w:hAnsi="Arial"/>
                <w:sz w:val="18"/>
                <w:szCs w:val="18"/>
                <w:color w:val="auto"/>
              </w:rPr>
              <w:t>(7)</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99</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4</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Japanese yen</w:t>
            </w:r>
          </w:p>
        </w:tc>
        <w:tc>
          <w:tcPr>
            <w:tcW w:w="16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89</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14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w:t>
            </w:r>
          </w:p>
        </w:tc>
        <w:tc>
          <w:tcPr>
            <w:tcW w:w="16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94</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overall decreases in foreign exchange contract volume in the third quarter and first nine months of 2012, when compared with the same periods in 2011, were primarily attributable to declines in euro contract volume. We believe trading activity in euro contracts has been impacted by the lack of a directional trend due to uncertainty related to the health of the European Union and concern over the possibility that the Federal Reserve will provide additional economic stimulus in the United States. The lack of a trend has reduced trading in euro contracts among customers who trade based on medium- to long-term expectations. We believe that intervention by the Japanese central bank to control the yen foreign exchange rate beginning in mid-2011 caused market participants to reduce their trading in Japanese yen contracts and to focus on higher yielding currencies, such as the Australian and Canadian dollars. We believe the decline in the British pound contract volume was due to lower volatility in the third quarter and first nine months of 2012 when compared with the same periods in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ind w:left="700"/>
              <w:spacing w:after="0"/>
              <w:rPr>
                <w:sz w:val="20"/>
                <w:szCs w:val="20"/>
                <w:color w:val="auto"/>
              </w:rPr>
            </w:pPr>
            <w:r>
              <w:rPr>
                <w:rFonts w:ascii="Arial" w:cs="Arial" w:eastAsia="Arial" w:hAnsi="Arial"/>
                <w:sz w:val="14"/>
                <w:szCs w:val="14"/>
                <w:b w:val="1"/>
                <w:bCs w:val="1"/>
                <w:color w:val="auto"/>
                <w:w w:val="94"/>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ind w:left="56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2011</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2011</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396</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421</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Soybean</w:t>
            </w:r>
          </w:p>
        </w:tc>
        <w:tc>
          <w:tcPr>
            <w:tcW w:w="1640" w:type="dxa"/>
            <w:vAlign w:val="bottom"/>
          </w:tcPr>
          <w:p>
            <w:pPr>
              <w:ind w:left="740"/>
              <w:spacing w:after="0"/>
              <w:rPr>
                <w:sz w:val="20"/>
                <w:szCs w:val="20"/>
                <w:color w:val="auto"/>
              </w:rPr>
            </w:pPr>
            <w:r>
              <w:rPr>
                <w:rFonts w:ascii="Arial" w:cs="Arial" w:eastAsia="Arial" w:hAnsi="Arial"/>
                <w:sz w:val="18"/>
                <w:szCs w:val="18"/>
                <w:color w:val="auto"/>
              </w:rPr>
              <w:t>301</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219</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37</w:t>
            </w:r>
          </w:p>
        </w:tc>
        <w:tc>
          <w:tcPr>
            <w:tcW w:w="1640" w:type="dxa"/>
            <w:vAlign w:val="bottom"/>
          </w:tcPr>
          <w:p>
            <w:pPr>
              <w:ind w:left="740"/>
              <w:spacing w:after="0"/>
              <w:rPr>
                <w:sz w:val="20"/>
                <w:szCs w:val="20"/>
                <w:color w:val="auto"/>
              </w:rPr>
            </w:pPr>
            <w:r>
              <w:rPr>
                <w:rFonts w:ascii="Arial" w:cs="Arial" w:eastAsia="Arial" w:hAnsi="Arial"/>
                <w:sz w:val="18"/>
                <w:szCs w:val="18"/>
                <w:color w:val="auto"/>
              </w:rPr>
              <w:t>287</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228</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26</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125</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24</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135</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w:t>
            </w: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1640" w:type="dxa"/>
            <w:vAlign w:val="bottom"/>
          </w:tcPr>
          <w:p>
            <w:pPr>
              <w:ind w:left="760"/>
              <w:spacing w:after="0"/>
              <w:rPr>
                <w:sz w:val="20"/>
                <w:szCs w:val="20"/>
                <w:color w:val="auto"/>
              </w:rPr>
            </w:pPr>
            <w:r>
              <w:rPr>
                <w:rFonts w:ascii="Arial" w:cs="Arial" w:eastAsia="Arial" w:hAnsi="Arial"/>
                <w:sz w:val="18"/>
                <w:szCs w:val="18"/>
                <w:color w:val="auto"/>
              </w:rPr>
              <w:t>115</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20</w:t>
            </w:r>
          </w:p>
        </w:tc>
        <w:tc>
          <w:tcPr>
            <w:tcW w:w="1640" w:type="dxa"/>
            <w:vAlign w:val="bottom"/>
          </w:tcPr>
          <w:p>
            <w:pPr>
              <w:ind w:left="760"/>
              <w:spacing w:after="0"/>
              <w:rPr>
                <w:sz w:val="20"/>
                <w:szCs w:val="20"/>
                <w:color w:val="auto"/>
              </w:rPr>
            </w:pPr>
            <w:r>
              <w:rPr>
                <w:rFonts w:ascii="Arial" w:cs="Arial" w:eastAsia="Arial" w:hAnsi="Arial"/>
                <w:sz w:val="18"/>
                <w:szCs w:val="18"/>
                <w:color w:val="auto"/>
              </w:rPr>
              <w:t>117</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10</w:t>
            </w:r>
          </w:p>
        </w:tc>
      </w:tr>
    </w:tbl>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increases in agricultural commodity contract volume in the third quarter and first nine months of 2012 when compared with the same periods in 2011 were attributable to higher volatility resulting from severe drought conditions in the Midwest in the second and third quarters of 2012. We believe the increased volatility was the result of supply constraint concerns for soybean and wheat supplies. Corn volumes remained relatively flat in the third quarter and first nine months of 2012 when compared with the same periods in 2011. Early market expectations of excess supply in 2012 dampened corn price volatility in early 2012, which kept trading volumes relatively flat compared with 2011.</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ind w:left="700"/>
              <w:spacing w:after="0"/>
              <w:rPr>
                <w:sz w:val="20"/>
                <w:szCs w:val="20"/>
                <w:color w:val="auto"/>
              </w:rPr>
            </w:pPr>
            <w:r>
              <w:rPr>
                <w:rFonts w:ascii="Arial" w:cs="Arial" w:eastAsia="Arial" w:hAnsi="Arial"/>
                <w:sz w:val="14"/>
                <w:szCs w:val="14"/>
                <w:b w:val="1"/>
                <w:bCs w:val="1"/>
                <w:color w:val="auto"/>
                <w:w w:val="94"/>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ind w:left="56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2011</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2011</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699</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w:t>
            </w:r>
          </w:p>
        </w:tc>
        <w:tc>
          <w:tcPr>
            <w:tcW w:w="16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761</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40" w:type="dxa"/>
            <w:vAlign w:val="bottom"/>
          </w:tcPr>
          <w:p>
            <w:pPr>
              <w:ind w:left="740"/>
              <w:spacing w:after="0"/>
              <w:rPr>
                <w:sz w:val="20"/>
                <w:szCs w:val="20"/>
                <w:color w:val="auto"/>
              </w:rPr>
            </w:pPr>
            <w:r>
              <w:rPr>
                <w:rFonts w:ascii="Arial" w:cs="Arial" w:eastAsia="Arial" w:hAnsi="Arial"/>
                <w:sz w:val="18"/>
                <w:szCs w:val="18"/>
                <w:color w:val="auto"/>
              </w:rPr>
              <w:t>547</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492</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11</w:t>
            </w:r>
          </w:p>
        </w:tc>
        <w:tc>
          <w:tcPr>
            <w:tcW w:w="1640" w:type="dxa"/>
            <w:vAlign w:val="bottom"/>
          </w:tcPr>
          <w:p>
            <w:pPr>
              <w:ind w:left="740"/>
              <w:spacing w:after="0"/>
              <w:rPr>
                <w:sz w:val="20"/>
                <w:szCs w:val="20"/>
                <w:color w:val="auto"/>
              </w:rPr>
            </w:pPr>
            <w:r>
              <w:rPr>
                <w:rFonts w:ascii="Arial" w:cs="Arial" w:eastAsia="Arial" w:hAnsi="Arial"/>
                <w:sz w:val="18"/>
                <w:szCs w:val="18"/>
                <w:color w:val="auto"/>
              </w:rPr>
              <w:t>635</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530</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20</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306</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15</w:t>
            </w:r>
          </w:p>
        </w:tc>
        <w:tc>
          <w:tcPr>
            <w:tcW w:w="16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319</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271</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Energy contract volume decreased slightly in the third quarter and first nine months of 2012 when compared with the same periods in 2011. Declines in crude oil contract volume contributed to overall decreases in energy products volume. We believe the declines in crude oil contract volume were attributable to lower price volatility in 2012 compared with 2011. Political unrest in the Middle East in the first quarter of 2011 resulted in changes in global supply, which contributed to higher price volatility in early 2011. Additionally, lower crude oil contract volume was attributable to oversupply in Cushing, Oklahoma. We believe that these supply constraints have eased due to the reversal of the Seaway Pipeline in the second quarter of 2012, which is expected to increase in the coming months. However, uncertainty remains over the impact it will have on the overall crude oil market. The decreases in crude oil contract volume were partially offset by increases in natural gas contract volume. The increases in natural gas contract volume were attributable to higher volatility resulting from weather-related events, which caused rising natural gas consumption.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2011</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2011</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194</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218</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Copper</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59</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460" w:type="dxa"/>
            <w:vAlign w:val="bottom"/>
          </w:tcPr>
          <w:p>
            <w:pPr>
              <w:jc w:val="right"/>
              <w:ind w:right="254"/>
              <w:spacing w:after="0"/>
              <w:rPr>
                <w:sz w:val="20"/>
                <w:szCs w:val="20"/>
                <w:color w:val="auto"/>
              </w:rPr>
            </w:pPr>
            <w:r>
              <w:rPr>
                <w:rFonts w:ascii="Arial" w:cs="Arial" w:eastAsia="Arial" w:hAnsi="Arial"/>
                <w:sz w:val="18"/>
                <w:szCs w:val="18"/>
                <w:color w:val="auto"/>
              </w:rPr>
              <w:t>17</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67</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38</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56</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(29)</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61</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overall decreases in metal products volume in the third quarter and first nine months of 2012 when compared with the same periods in 2011 were attributable to lower volatility in the precious metals markets in 2012 when compared with 2011. We believe the August 2011 announcement of the Federal Reserve's intent to maintain its zero interest rate policy and deepening Eurozone worries, which caused high volatility within other financial markets, resulted in an increased interest in precious metals as an asset class. This increased interest resulted in relative decreases in gold and silver contract volume in the third quarter and first nine months of 2012 when compared with the same periods in 2011. This decrease was partially offset by an increase in volume for copper contracts as a result of economic growth in Asia as well as global supply constraints.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average rate per contract increased in the third quarter and the first nine months of 2012 when compared with the same periods in 2011 due to a shift in the relative mix of product volume. In the third quarter of 2012, agricultural commodity and energy product volumes, when measured as a percentage of total volume, increased by 4% and 3%, respectively, while interest rate and equity product volumes decreased by 3% and 5%, respectively. In the first nine months of 2012, agricultural commodity and energy product volumes both increased by 2% while interest rate and equity product volumes decreased 3% and 2%, respectively. Agricultural commodity and energy products have higher fees compared with interest rate and equity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Two firms each represented 12% of our clearing and transaction fees revenue in the first nine months of 2012.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decreases in market data and information services revenue in the third quarter and first nine months of 2012, when</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compared with the same periods in 2011, were attributable to decreases in market data and information services revenue from Index Services. In the second quarter of 2012, the DJI asset group, including assets which generated market data and information services revenue, was contributed to the McGraw venture. In addition, the decreases in revenue were due to declines in basic device counts in the third quarter and first nine months of 2012 due to cost-cutting initiatives at customer firms. The decreases in market data and information services were partially offset by an increase in our basic device service fee from $61 per month to $70 per month for each device effective January 2012.</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two largest resellers of our market data represented approximately 45% of our market data and information services revenue in the first nine months of 2012.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launched our co-location program in the first quarter of 2012, which generated $14.0 million and $37.6 million of access and communication revenue in the third quarter and first nine months of 2012, respectively. These increases in revenue were partially offset by decreases in revenue generated from other network connections due to the migration of customers to the co-location program.</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April 2012, we sold two buildings in Chicago, which resulted in decreases in rental income of $6.1 million and $10.6 million in the third quarter and first nine months of 2012, respectively, when compared with the same periods in 2011. In addition, the initial phase to develop a new multi-asset class electronic platform for BM&amp;FBOVESPA S.A. (BM&amp;FBOVESPA) was completed in the third quarter of 2011, which resulted in decreases in other revenues in the third quarter and first nine months of 2012 when compared with the same periods in 2011. This agreement with BM&amp;FBOVESPA generated $1.9 million and $6.1 million in the third quarter and first nine months of 2011, respectively. Additional revenue related to the development of the electronic platform will not be recognized until future phases are delivered. In the second quarter of 2011, we recognized a $9.8 million gain on the sale of certain Index Services assets related to one of its service offerings, which contributed to a decrease in other revenues in the first nine months of 2012 when compared with the same period in 2011.</w:t>
      </w:r>
    </w:p>
    <w:p>
      <w:pPr>
        <w:spacing w:after="0" w:line="19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decreases in other revenues were partially offset by increases of $1.6 million and $4.5 million in processing services revenue generated from various strategic relationships in the third quarter and first nine months of 2012, respectively, when compared with the same periods in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3"/>
              </w:rPr>
              <w:t>2011</w:t>
            </w:r>
          </w:p>
        </w:tc>
        <w:tc>
          <w:tcPr>
            <w:tcW w:w="14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2011</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c>
          <w:tcPr>
            <w:tcW w:w="1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31.7</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48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90.4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48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95.1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64.7</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302.1</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913.4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554"/>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ind w:right="351"/>
              <w:spacing w:after="0"/>
              <w:rPr>
                <w:sz w:val="20"/>
                <w:szCs w:val="20"/>
                <w:color w:val="auto"/>
              </w:rPr>
            </w:pPr>
            <w:r>
              <w:rPr>
                <w:rFonts w:ascii="Arial" w:cs="Arial" w:eastAsia="Arial" w:hAnsi="Arial"/>
                <w:sz w:val="18"/>
                <w:szCs w:val="18"/>
                <w:color w:val="auto"/>
              </w:rPr>
              <w:t>25</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Operating expenses decreased by $14.9 million in the third quarter of 2012, while increasing $23.9 million in the first nine months of 2012 when compared with the same periods in 2011. The following table shows the estimated impact of key factors resulting in the change in operating expenses: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ind w:left="68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252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79"/>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Change as a</w:t>
            </w: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4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Total Expenses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Professional fees associated with McGraw transaction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Employee separation costs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Non-qualified deferred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License and other fee agreements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for possible litigation settlements and associated legal fees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currency fluctuation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Total increase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Salary increases and rising healthcare costs contributed to an increase in salaries, benefits and employer taxes in the first nine months of 2012 when compared with the same period in 2011. The decrease in the third quarter of 2012, when compared with the same period in 2011, was due to a decrease in average headcount as a result of the contribution of the DJI asset group to the McGraw venture and the sale of CMA in the second quarter of 2012. This decrease was partially offset by annual salary increases and rising healthcare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 related to the McGraw venture contributed to the overall increase in operating expenses in the first nine months of 2012.</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Stock-based compensation increased in the first nine months of 2012 due to accelerated vesting of stock-based compensation associated with our recent CEO transition. This expense would have been recognized by the end of 2012. The increase in year-to-date stock-based compensation expense was also due to the expense impact related to the September 2011 and 2012 grants.</w:t>
      </w:r>
    </w:p>
    <w:p>
      <w:pPr>
        <w:spacing w:after="0" w:line="181"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Additional employee separation costs contributed to the rise in overall expenses in the first nine months of 2012. The employee separation costs included our voluntary exit incentive plan announced in the second quarter of 2012.</w:t>
      </w:r>
    </w:p>
    <w:p>
      <w:pPr>
        <w:spacing w:after="0" w:line="17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An increase in our non-qualified deferred compensation liability, the impact of which does not affect net income because of an equal and offsetting change in investment income, contributed to an increase in compensation and benefits expense.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decreases in license and other fee agreements expenses in the third quarter and first nine months of 2012 were largely due to lower contract volume.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 additional fees paid to S&amp;P/DJI Indices LLC in connection with a new licensing agreement.</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the third quarter of 2012 when compared with the same period in 2011, the decrease in expense was partially offset by an increase in the accrual for possible litigation settlements and associated legal fees due to ongoing litigation activity.</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Operating expenses also decreased in the third quarter and first nine months of 2012, when compared with the same periods in 2011, due to decreases in currency fluctuation losses resulting from favorable changes in exchange rates on certain foreign cash balances.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Amortization of purchased intangibles declined as a result of the contribution of the DJI asset group, the sale of CMA and the expiration of certain lease-related intangible assets in the second quarter of 2012.</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Bonus expense decreased due to performance relative to our 2012 cash earnings target when compared with 2011 performance relative to our 2011 cash earnings target.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Quarter Ended</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4"/>
                <w:szCs w:val="14"/>
                <w:color w:val="auto"/>
              </w:rPr>
            </w:pPr>
          </w:p>
        </w:tc>
      </w:tr>
      <w:tr>
        <w:trPr>
          <w:trHeight w:val="192"/>
        </w:trPr>
        <w:tc>
          <w:tcPr>
            <w:tcW w:w="4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16"/>
                <w:szCs w:val="16"/>
                <w:color w:val="auto"/>
              </w:rPr>
            </w:pP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(100)</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w w:val="98"/>
              </w:rPr>
              <w:t>Equity in net gains (losses) of unconsolidated subsidiaries</w:t>
            </w:r>
          </w:p>
        </w:tc>
        <w:tc>
          <w:tcPr>
            <w:tcW w:w="2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n.m.</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(137)</w:t>
            </w: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52"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The increases in investment income during the third quarter and first nine months of 2012, when compared with the same periods in 2011, were attributable to increases in gains on marketable securities related to our non-qualified deferred compensation of $6.5 million and $7.4 million in the third quarter and first nine months of 2012, respectively. Gains and losses from these non-qualified deferred compensation plan securities are offset by an equal amount of compensation and benefits expense. Dividend income also increased by $2.1 million in the third quarter of 2012 when compared with the same period in 2011 due largely to higher dividends from our investment in IMAREX ASA in the third quarter of 2012 when compared with the same period in 2011. The increase in investment income was partially offset by a decrease in dividend income of $4.6 million in the first nine months of 2012 compared with the same period in 2011 due largely to a decrease in dividends from our investment in BM&amp;FBOVESPA in the first nine months of 2012 when compared with the same period in 2011.</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10, 2012, we issued $750.0 million of 3.0% fixed rate notes due September 2022, which contributed to the increase in the weighted average borrowings outstanding and decreases in weighted average effective yield and total cost of borrowings in the third quarter of 2012 when compared with the same period in 2011. Interest expense remained flat in the first nine months of 2012 when compared with the same period in 2011 because additional expense related to the issuance of fixed rate notes in September 2012 was offset by the accelerated amortization of debt issue costs related to the $420.5 million term loan that was paid off in January 2011.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left="379"/>
              <w:spacing w:after="0"/>
              <w:rPr>
                <w:sz w:val="20"/>
                <w:szCs w:val="20"/>
                <w:color w:val="auto"/>
              </w:rPr>
            </w:pPr>
            <w:r>
              <w:rPr>
                <w:rFonts w:ascii="Arial" w:cs="Arial" w:eastAsia="Arial" w:hAnsi="Arial"/>
                <w:sz w:val="14"/>
                <w:szCs w:val="14"/>
                <w:b w:val="1"/>
                <w:bCs w:val="1"/>
                <w:color w:val="auto"/>
                <w:w w:val="96"/>
              </w:rPr>
              <w:t>Quarter Ended</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jc w:val="center"/>
              <w:ind w:right="194"/>
              <w:spacing w:after="0"/>
              <w:rPr>
                <w:sz w:val="20"/>
                <w:szCs w:val="20"/>
                <w:color w:val="auto"/>
              </w:rPr>
            </w:pPr>
            <w:r>
              <w:rPr>
                <w:rFonts w:ascii="Arial" w:cs="Arial" w:eastAsia="Arial" w:hAnsi="Arial"/>
                <w:sz w:val="14"/>
                <w:szCs w:val="14"/>
                <w:b w:val="1"/>
                <w:bCs w:val="1"/>
                <w:color w:val="auto"/>
                <w:w w:val="94"/>
              </w:rPr>
              <w:t>Nine Months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2011</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2011</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2,283.7</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3"/>
              </w:rPr>
              <w:t>2,112.5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171.2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2,170.0</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3"/>
              </w:rPr>
              <w:t>2,153.5</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16.5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28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5.06%</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5.21%</w:t>
            </w:r>
          </w:p>
        </w:tc>
        <w:tc>
          <w:tcPr>
            <w:tcW w:w="3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5.21%</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cost of borrowings (1)</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5.28</w:t>
            </w: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5.45</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5.43</w:t>
            </w: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5.51</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(0.08)</w:t>
            </w:r>
          </w:p>
        </w:tc>
      </w:tr>
      <w:tr>
        <w:trPr>
          <w:trHeight w:val="27"/>
        </w:trPr>
        <w:tc>
          <w:tcPr>
            <w:tcW w:w="3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3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cost of borrowings includes interest, the effective portion of interest rate hedges, commitment fees, discount accretion and debt issuance costs.</w:t>
      </w:r>
    </w:p>
    <w:p>
      <w:pPr>
        <w:spacing w:after="0" w:line="170" w:lineRule="exact"/>
        <w:rPr>
          <w:sz w:val="20"/>
          <w:szCs w:val="20"/>
          <w:color w:val="auto"/>
        </w:rPr>
      </w:pPr>
    </w:p>
    <w:p>
      <w:pPr>
        <w:ind w:left="60" w:right="100"/>
        <w:spacing w:after="0" w:line="342" w:lineRule="auto"/>
        <w:rPr>
          <w:sz w:val="20"/>
          <w:szCs w:val="20"/>
          <w:color w:val="auto"/>
        </w:rPr>
      </w:pPr>
      <w:r>
        <w:rPr>
          <w:rFonts w:ascii="Arial" w:cs="Arial" w:eastAsia="Arial" w:hAnsi="Arial"/>
          <w:sz w:val="16"/>
          <w:szCs w:val="16"/>
          <w:color w:val="auto"/>
        </w:rPr>
        <w:t>In the third quarter of 2012, we recognized income from our investment in the McGraw venture of $17.4 million, which contributed to increases in equity in net gains (losses) of unconsolidated subsidiaries in the third quarter and first nine months of 2012 when compared with the same periods in 2011.</w:t>
      </w:r>
    </w:p>
    <w:p>
      <w:pPr>
        <w:spacing w:after="0" w:line="124" w:lineRule="exact"/>
        <w:rPr>
          <w:sz w:val="20"/>
          <w:szCs w:val="20"/>
          <w:color w:val="auto"/>
        </w:rPr>
      </w:pPr>
    </w:p>
    <w:p>
      <w:pPr>
        <w:ind w:left="60" w:right="20"/>
        <w:spacing w:after="0" w:line="264" w:lineRule="auto"/>
        <w:rPr>
          <w:sz w:val="20"/>
          <w:szCs w:val="20"/>
          <w:color w:val="auto"/>
        </w:rPr>
      </w:pPr>
      <w:r>
        <w:rPr>
          <w:rFonts w:ascii="Arial" w:cs="Arial" w:eastAsia="Arial" w:hAnsi="Arial"/>
          <w:sz w:val="18"/>
          <w:szCs w:val="18"/>
          <w:color w:val="auto"/>
        </w:rPr>
        <w:t>In the first nine months of 2012, we recognized a net gain of $59.9 million related to the contribution of the DJI asset group and the sale of CMA. In the third quarter of 2012, we recognized a gain of $5.7 million related to the recovery of a 2008 impairment loss on a corporate debt security held in the NYMEX securities lending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Arial" w:cs="Arial" w:eastAsia="Arial" w:hAnsi="Arial"/>
                <w:sz w:val="14"/>
                <w:szCs w:val="14"/>
                <w:b w:val="1"/>
                <w:bCs w:val="1"/>
                <w:color w:val="auto"/>
              </w:rPr>
              <w:t>Change</w:t>
            </w:r>
          </w:p>
        </w:tc>
      </w:tr>
      <w:tr>
        <w:trPr>
          <w:trHeight w:val="250"/>
        </w:trPr>
        <w:tc>
          <w:tcPr>
            <w:tcW w:w="6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840" w:type="dxa"/>
            <w:vAlign w:val="bottom"/>
            <w:gridSpan w:val="2"/>
          </w:tcPr>
          <w:p>
            <w:pPr>
              <w:ind w:left="40"/>
              <w:spacing w:after="0"/>
              <w:rPr>
                <w:sz w:val="20"/>
                <w:szCs w:val="20"/>
                <w:color w:val="auto"/>
              </w:rPr>
            </w:pPr>
            <w:r>
              <w:rPr>
                <w:rFonts w:ascii="Arial" w:cs="Arial" w:eastAsia="Arial" w:hAnsi="Arial"/>
                <w:sz w:val="18"/>
                <w:szCs w:val="18"/>
                <w:color w:val="auto"/>
              </w:rPr>
              <w:t>Nine Months Ended September 30</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44.9%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2012 when compared with the same period in 2011, the effective tax rate was higher due to additional</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income tax expense of $15.7 million related to increases in deferred tax liabilities associated with the McGraw venture as well as the establishment of deferred tax liabilities related to our acquisition of Pivot Inc.</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the second quarter of 2012, we established deferred tax liabilities associated with the McGraw venture resulting in a $132.0 million non-cash increase in our income tax provision. This increase in the income tax provision contributed to a higher effective tax rate in the first nine months of 2012 when compared with the same period in 2011.The increase in the effective tax rate in the first nine months of 2012 when compared with the same period in 2011 was also attributable to a change in state tax apportionment in the first quarter of 2011. This change resulted in a $118.1 million reduction in our income tax provision in the first nine months of 2011, which was due largely to a revaluation of our existing deferred tax liabilities. Additionally, in the first quarter of 2011, we began marking-to-market our investment in BM&amp;FBOVESPA, which resulted in a $48.8 million reduction in our income tax provision in the first nine months of 2011 due to the release of valuation allowances on other unrealized capital losses previously reserved.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was lower in the first nine months of 2012 when compared with the same period in 2011</w:t>
      </w:r>
      <w:r>
        <w:rPr>
          <w:rFonts w:ascii="Arial" w:cs="Arial" w:eastAsia="Arial" w:hAnsi="Arial"/>
          <w:sz w:val="17"/>
          <w:szCs w:val="17"/>
          <w:i w:val="1"/>
          <w:iCs w:val="1"/>
          <w:color w:val="auto"/>
        </w:rPr>
        <w:t xml:space="preserve"> </w:t>
      </w:r>
      <w:r>
        <w:rPr>
          <w:rFonts w:ascii="Arial" w:cs="Arial" w:eastAsia="Arial" w:hAnsi="Arial"/>
          <w:sz w:val="17"/>
          <w:szCs w:val="17"/>
          <w:color w:val="auto"/>
        </w:rPr>
        <w:t>due primarily to a decrease in trading volume. Cash used in investing activities in the first nine months of 2012 was lower than cash used in the same period of 2011 due to the receipt of proceeds from the sale of the CBOT building. Cash provided by financing activities was higher in the first nine months of 2012 when compared with the same period in 2011. The increase was attributable to the receipt of $747.7 million in proceeds from debt issued in September 2012 in contrast with repayments of $420.5 million of debt in the first quarter of 2011. In addition, we repurchased $220.4 million of Class A common stock in the first nine months of 2011. The net increase attributable to debt issuances and repayments was partially offset by a $363.7 million increase in cash dividends paid in the first nine months of 2012 when compared with the same period in 2011.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as of September 30, 2012:</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notes due August 2013, interest equal to 5.40%</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Fixed rate notes due February 2014, interest equal to 5.75%</w:t>
            </w:r>
          </w:p>
        </w:tc>
        <w:tc>
          <w:tcPr>
            <w:tcW w:w="29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
        </w:trPr>
        <w:tc>
          <w:tcPr>
            <w:tcW w:w="74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interest equal to 4.40% </w:t>
            </w:r>
            <w:r>
              <w:rPr>
                <w:rFonts w:ascii="Arial" w:cs="Arial" w:eastAsia="Arial" w:hAnsi="Arial"/>
                <w:sz w:val="25"/>
                <w:szCs w:val="25"/>
                <w:color w:val="auto"/>
                <w:vertAlign w:val="superscript"/>
              </w:rPr>
              <w:t>(1)</w:t>
            </w:r>
          </w:p>
        </w:tc>
        <w:tc>
          <w:tcPr>
            <w:tcW w:w="29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r>
      <w:tr>
        <w:trPr>
          <w:trHeight w:val="341"/>
        </w:trPr>
        <w:tc>
          <w:tcPr>
            <w:tcW w:w="7480" w:type="dxa"/>
            <w:vAlign w:val="bottom"/>
          </w:tcPr>
          <w:p>
            <w:pPr>
              <w:ind w:left="40"/>
              <w:spacing w:after="0"/>
              <w:rPr>
                <w:sz w:val="20"/>
                <w:szCs w:val="20"/>
                <w:color w:val="auto"/>
              </w:rPr>
            </w:pPr>
            <w:r>
              <w:rPr>
                <w:rFonts w:ascii="Arial" w:cs="Arial" w:eastAsia="Arial" w:hAnsi="Arial"/>
                <w:sz w:val="18"/>
                <w:szCs w:val="18"/>
                <w:color w:val="auto"/>
              </w:rPr>
              <w:t xml:space="preserve">Fixed rate notes due September 2022, interest equal to 3.00% </w:t>
            </w:r>
            <w:r>
              <w:rPr>
                <w:rFonts w:ascii="Arial" w:cs="Arial" w:eastAsia="Arial" w:hAnsi="Arial"/>
                <w:sz w:val="25"/>
                <w:szCs w:val="25"/>
                <w:color w:val="auto"/>
                <w:vertAlign w:val="superscript"/>
              </w:rPr>
              <w:t>(2)</w:t>
            </w:r>
          </w:p>
        </w:tc>
        <w:tc>
          <w:tcPr>
            <w:tcW w:w="296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130" w:lineRule="exact"/>
        <w:rPr>
          <w:sz w:val="20"/>
          <w:szCs w:val="20"/>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February 2010, we entered into a forward-starting interest rate swap agreement that modified the interest obligation associated with these notes so that the interest payable on the notes effectively became fixed at a rate of 4.46% beginning with the interest accrued after March 18, 2010.</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 at issuance on September 10, 2012.</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maintain a $1.0 billion multi-currency revolving senior credit facility with various financial institutions. The proceeds from the revolving senior credit facility can be used for general corporate purposes, which includes providing liquidity for our CME clearing house in certain circumstances at CME Group's discretion and, if necessary, for maturities of commercial paper. As long as we are not in default under the new senior credit facility, we have the option to increase the facility up to $1.8 billion with the consent of the agent and lenders providing the additional funds. The senior credit facility matures in January 2014 and is voluntarily prepayable from time to time without premium or penalty. Under our credit facility, we are required to remain in compliance with a consolidated net worth test, which is defined as our consolidated shareholders' equity as of September 30, 2010, giving effect to share repurchases made and special dividends paid during the term of the agreement (and in no event greater than $2.0 billion in aggregate), multiplied by 0.65. We currently do not have any borrowings under this credit facility.</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maintain a 364-day fully secured, committed line of credit with a consortium of domestic and international banks to be used in certain situations by our CME or CMECE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U.S. Treasury securities, U.S. Government agency securities or money market mutual funds as well as the performance bond assets of a defaulting firm can be used to collateralize the facility. The line of credit provides for borrowings of up to $3.0 billion. At September 30, 2012, guaranty funds available to collateralize the facility totaled $4.5 billion. We have the option to request an increase in the line from $3.0 billion to $5.0 billion. In addition to the 364-day fully secured, committed line of</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credit, we also have the option to use the $1.0 billion multi-currency revolving senior credit facility to provide liquidity for our clearing house in the unlikely event of default in certain circumstances.</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our 364-day fully secured, committed revolving line of credit contains a requirement that CME remain in compliance with a consolidated tangible net worth test, defined as CME consolidated shareholder's equity less intangible assets (as defined in the agreement), of not less than $375.0 million. In the event that CME elects to increase the facility, the minimum consolidated tangible net worth test would increase ratably up to $625.0 million.</w:t>
      </w:r>
    </w:p>
    <w:p>
      <w:pPr>
        <w:spacing w:after="0" w:line="14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indentures governing our fixed rate notes, our $1.0 billion multi-currency revolving senior credit facility and our 364-day fully secured, committed revolving line of credit for $3.0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September 30, 2012, we have excess borrowing capacity for general corporate purposes of approximately $1.0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we were in compliance with the various covenant requirements of all our debt facilities.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substantial portion of the funds which it uses to pay dividends to its shareholders.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September 30, 2012, the letters of credit totaled $196.0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September 30, 2012: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960" w:type="dxa"/>
            <w:vAlign w:val="bottom"/>
            <w:gridSpan w:val="2"/>
          </w:tcPr>
          <w:p>
            <w:pPr>
              <w:ind w:left="560"/>
              <w:spacing w:after="0"/>
              <w:rPr>
                <w:sz w:val="20"/>
                <w:szCs w:val="20"/>
                <w:color w:val="auto"/>
              </w:rPr>
            </w:pPr>
            <w:r>
              <w:rPr>
                <w:rFonts w:ascii="Arial" w:cs="Arial" w:eastAsia="Arial" w:hAnsi="Arial"/>
                <w:sz w:val="14"/>
                <w:szCs w:val="14"/>
                <w:b w:val="1"/>
                <w:bCs w:val="1"/>
                <w:color w:val="auto"/>
              </w:rPr>
              <w:t>Short-Term</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Long-Term</w:t>
            </w:r>
          </w:p>
        </w:tc>
        <w:tc>
          <w:tcPr>
            <w:tcW w:w="1820" w:type="dxa"/>
            <w:vAlign w:val="bottom"/>
          </w:tcPr>
          <w:p>
            <w:pPr>
              <w:spacing w:after="0"/>
              <w:rPr>
                <w:sz w:val="16"/>
                <w:szCs w:val="16"/>
                <w:color w:val="auto"/>
              </w:rPr>
            </w:pPr>
          </w:p>
        </w:tc>
      </w:tr>
      <w:tr>
        <w:trPr>
          <w:trHeight w:val="209"/>
        </w:trPr>
        <w:tc>
          <w:tcPr>
            <w:tcW w:w="5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Debt Rating</w:t>
            </w:r>
          </w:p>
        </w:tc>
        <w:tc>
          <w:tcPr>
            <w:tcW w:w="1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A1+</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AA-</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Negative</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81"/>
              </w:rPr>
              <w:t>P1</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Aa3</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12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Given our cash flow generation, our ability to pay down debt levels and our ability to refinance existing debt facilities if necessary, we expect to maintain an investment grade rating. As provided in trust indenture documents, if our ratings are downgraded below investment grade due to a change of control, we are required to make an offer to repurchase our fixed rate notes at a price equal to 101% of the principal amount, plus accrued and unpaid interest.</w:t>
      </w:r>
    </w:p>
    <w:p>
      <w:pPr>
        <w:spacing w:after="0" w:line="14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color w:val="auto"/>
        </w:rPr>
        <w:t>. Cash and cash equivalents totaled $2.0 billion at September 30, 2012 and $1.0 billion at December 31, 2011.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risk is minimal given the nature of the investments. Cash that is not available for general corporate purposes because of regulatory requirements or other restrictions is classified as restricted cash and is included in other current assets or other assets on the consolidated balance sheets.</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November 7, 2012, CME Group’s board of directors declared a regular quarterly dividend of $0.45 per share payable on December 26, 2012 to the shareholders of record as of December 10, 2012. The total dividend payment will be approximately $150.0 million.</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current deferred tax assets of $32.0 million are included in other current assets at both September 30, 2012 and December 31, 2011. Total net current deferred tax assets are attributable to unrealized losses, stock-based compensation and accrued expenses.</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Net long-term deferred tax liabilities were $7.3 billion and $7.2 billion at September 30, 2012 and December 31, 2011, respectively. Net deferred tax liabilities are principally the result of purchase accounting for intangible assets in our various mergers including CBOT Holdings and NYMEX Holdings.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Valuation allowances of $29.8 million have been provided for domestic and foreign net operating losses in various jurisdictions for which we do not believe that we currently meet the more-likely-than-not-threshold for recognition.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u w:val="single" w:color="auto"/>
          <w:color w:val="auto"/>
        </w:rPr>
        <w:t>Regulatory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CME is regulated by the Commodity Futures Trading Commission (CFTC) as a U.S. Derivatives Clearing Organization (DCO).</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in May 2012, DCOs are required to maintain capital as defined by the CFTC in an amount at least equal to one year of projected operating expenses as well as cash, liquid securities, or a committed line of credit at least equal to six months of projected operating expenses. CME is in compliance with the DCO financial requirements.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CME, CBOT, NYMEX and Commodity Exchange, Inc. (COMEX) are regulated by the CFTC as Designated Contract Markets (DCM). Beginning in October 2012, DCMs are also required to maintain capital as defined by the CFTC in an amount at least equal to one year of projected operating expenses as well as cash, liquid securities, or a committed line of credit at least equal to six months of projected operating expenses. Our DCMs are in compliance with the DCM financial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December 2011, the Financial Accounting Standards Board (FASB) issued an Accounting Standards Update (ASU) for Balance Sheet Offsetting Disclosure Requirements. The ASU requires entities to disclose both gross and net information about instruments and transactions eligible for offset in the financial statements, as well as instruments and transactions subject to an agreement similar to a master netting arrangement. The ASU is effective for annual reporting periods beginning on or after January 1, 2013, and interim periods therein, with retrospective application required. We are currently assessing the impact of this guidance on our future disclosures.</w:t>
      </w:r>
    </w:p>
    <w:p>
      <w:pPr>
        <w:spacing w:after="0" w:line="23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2011. Refer to Item 7A. of CME Group’s Annual Report on Form 10-K for the year ended December 31, 2011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79"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40" w:firstLine="8"/>
        <w:spacing w:after="0" w:line="273"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is an update to the legal proceedings disclosure included in the company’s Annual Report on Form 10-K, filed with the SEC on February 27, 2012 and the Quarterly Report, filed with the SEC on August 8, 2012.</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“Legal Matters” in Note 6. Contingencies to the Consolidated Financial Statements for updates to CME Group’s existing legal proceedings disclosure which is incorporated herein by reference.</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4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27, 2012.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25"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7880" w:type="dxa"/>
            <w:vAlign w:val="bottom"/>
            <w:gridSpan w:val="6"/>
          </w:tcPr>
          <w:p>
            <w:pPr>
              <w:ind w:left="4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00" w:type="dxa"/>
            <w:vAlign w:val="bottom"/>
            <w:gridSpan w:val="2"/>
          </w:tcPr>
          <w:p>
            <w:pPr>
              <w:spacing w:after="0"/>
              <w:rPr>
                <w:sz w:val="20"/>
                <w:szCs w:val="20"/>
                <w:color w:val="auto"/>
              </w:rPr>
            </w:pPr>
            <w:r>
              <w:rPr>
                <w:rFonts w:ascii="Arial" w:cs="Arial" w:eastAsia="Arial" w:hAnsi="Arial"/>
                <w:sz w:val="18"/>
                <w:szCs w:val="18"/>
                <w:color w:val="auto"/>
                <w:w w:val="95"/>
              </w:rPr>
              <w:t>(c) Issuer Purchases of Equity Securities</w:t>
            </w: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1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 (2)</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July 1 to July 31</w:t>
            </w:r>
          </w:p>
        </w:tc>
        <w:tc>
          <w:tcPr>
            <w:tcW w:w="18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52.70</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August 1 to August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53.68</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to September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105,647</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58.89</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26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106,100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58.87</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purchased consist of an aggregate of 106,100 shares of Class A common stock surrendered in the third quarter of 2012 to satisfy employees’ tax obligations upon the vesting of restricted stock.</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c>
          <w:tcPr>
            <w:tcW w:w="8860" w:type="dxa"/>
            <w:vAlign w:val="bottom"/>
          </w:tcPr>
          <w:p>
            <w:pPr>
              <w:spacing w:after="0"/>
              <w:rPr>
                <w:sz w:val="20"/>
                <w:szCs w:val="20"/>
                <w:color w:val="auto"/>
              </w:rPr>
            </w:pPr>
          </w:p>
        </w:tc>
      </w:tr>
      <w:tr>
        <w:trPr>
          <w:trHeight w:val="607"/>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10380" w:type="dxa"/>
            <w:vAlign w:val="bottom"/>
            <w:gridSpan w:val="2"/>
          </w:tcPr>
          <w:p>
            <w:pPr>
              <w:ind w:left="640"/>
              <w:spacing w:after="0"/>
              <w:rPr>
                <w:sz w:val="20"/>
                <w:szCs w:val="20"/>
                <w:color w:val="auto"/>
              </w:rPr>
            </w:pPr>
            <w:r>
              <w:rPr>
                <w:rFonts w:ascii="Arial" w:cs="Arial" w:eastAsia="Arial" w:hAnsi="Arial"/>
                <w:sz w:val="18"/>
                <w:szCs w:val="18"/>
                <w:color w:val="auto"/>
                <w:w w:val="91"/>
              </w:rPr>
              <w:t>Fifth Supplemental Indenture (including the form of 3.00% note due 2022), dated September 10, 2012, between CME Group Inc. and</w:t>
            </w:r>
          </w:p>
        </w:tc>
      </w:tr>
      <w:tr>
        <w:trPr>
          <w:trHeight w:val="216"/>
        </w:trPr>
        <w:tc>
          <w:tcPr>
            <w:tcW w:w="960" w:type="dxa"/>
            <w:vAlign w:val="bottom"/>
          </w:tcPr>
          <w:p>
            <w:pPr>
              <w:spacing w:after="0"/>
              <w:rPr>
                <w:sz w:val="18"/>
                <w:szCs w:val="18"/>
                <w:color w:val="auto"/>
              </w:rPr>
            </w:pPr>
          </w:p>
        </w:tc>
        <w:tc>
          <w:tcPr>
            <w:tcW w:w="10380" w:type="dxa"/>
            <w:vAlign w:val="bottom"/>
            <w:gridSpan w:val="2"/>
          </w:tcPr>
          <w:p>
            <w:pPr>
              <w:ind w:left="640"/>
              <w:spacing w:after="0"/>
              <w:rPr>
                <w:sz w:val="20"/>
                <w:szCs w:val="20"/>
                <w:color w:val="auto"/>
              </w:rPr>
            </w:pPr>
            <w:r>
              <w:rPr>
                <w:rFonts w:ascii="Arial" w:cs="Arial" w:eastAsia="Arial" w:hAnsi="Arial"/>
                <w:sz w:val="18"/>
                <w:szCs w:val="18"/>
                <w:color w:val="auto"/>
                <w:w w:val="92"/>
              </w:rPr>
              <w:t>U.S. Bank National Association (incorporated by reference to Exhibit 4.2 to CME Group Inc.'s Current Report on Form 8-K, filed with</w:t>
            </w:r>
          </w:p>
        </w:tc>
      </w:tr>
      <w:tr>
        <w:trPr>
          <w:trHeight w:val="230"/>
        </w:trPr>
        <w:tc>
          <w:tcPr>
            <w:tcW w:w="960" w:type="dxa"/>
            <w:vAlign w:val="bottom"/>
          </w:tcPr>
          <w:p>
            <w:pPr>
              <w:spacing w:after="0"/>
              <w:rPr>
                <w:sz w:val="20"/>
                <w:szCs w:val="20"/>
                <w:color w:val="auto"/>
              </w:rPr>
            </w:pPr>
          </w:p>
        </w:tc>
        <w:tc>
          <w:tcPr>
            <w:tcW w:w="10380" w:type="dxa"/>
            <w:vAlign w:val="bottom"/>
            <w:gridSpan w:val="2"/>
          </w:tcPr>
          <w:p>
            <w:pPr>
              <w:ind w:left="640"/>
              <w:spacing w:after="0"/>
              <w:rPr>
                <w:sz w:val="20"/>
                <w:szCs w:val="20"/>
                <w:color w:val="auto"/>
              </w:rPr>
            </w:pPr>
            <w:r>
              <w:rPr>
                <w:rFonts w:ascii="Arial" w:cs="Arial" w:eastAsia="Arial" w:hAnsi="Arial"/>
                <w:sz w:val="18"/>
                <w:szCs w:val="18"/>
                <w:color w:val="auto"/>
              </w:rPr>
              <w:t>the SEC on September 10, 2012.</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520" w:type="dxa"/>
            <w:vAlign w:val="bottom"/>
          </w:tcPr>
          <w:p>
            <w:pPr>
              <w:ind w:left="640"/>
              <w:spacing w:after="0"/>
              <w:rPr>
                <w:sz w:val="20"/>
                <w:szCs w:val="20"/>
                <w:color w:val="auto"/>
              </w:rPr>
            </w:pPr>
            <w:r>
              <w:rPr>
                <w:rFonts w:ascii="Arial" w:cs="Arial" w:eastAsia="Arial" w:hAnsi="Arial"/>
                <w:sz w:val="18"/>
                <w:szCs w:val="18"/>
                <w:color w:val="auto"/>
                <w:w w:val="90"/>
              </w:rPr>
              <w:t>Section 302</w:t>
            </w:r>
          </w:p>
        </w:tc>
        <w:tc>
          <w:tcPr>
            <w:tcW w:w="8860" w:type="dxa"/>
            <w:vAlign w:val="bottom"/>
          </w:tcPr>
          <w:p>
            <w:pPr>
              <w:ind w:left="20"/>
              <w:spacing w:after="0"/>
              <w:rPr>
                <w:sz w:val="20"/>
                <w:szCs w:val="20"/>
                <w:color w:val="auto"/>
              </w:rPr>
            </w:pPr>
            <w:r>
              <w:rPr>
                <w:rFonts w:ascii="Arial" w:cs="Arial" w:eastAsia="Arial" w:hAnsi="Arial"/>
                <w:sz w:val="18"/>
                <w:szCs w:val="18"/>
                <w:color w:val="auto"/>
              </w:rPr>
              <w:t>Certification—Phupinder S. Gill</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520" w:type="dxa"/>
            <w:vAlign w:val="bottom"/>
          </w:tcPr>
          <w:p>
            <w:pPr>
              <w:ind w:left="640"/>
              <w:spacing w:after="0"/>
              <w:rPr>
                <w:sz w:val="20"/>
                <w:szCs w:val="20"/>
                <w:color w:val="auto"/>
              </w:rPr>
            </w:pPr>
            <w:r>
              <w:rPr>
                <w:rFonts w:ascii="Arial" w:cs="Arial" w:eastAsia="Arial" w:hAnsi="Arial"/>
                <w:sz w:val="18"/>
                <w:szCs w:val="18"/>
                <w:color w:val="auto"/>
                <w:w w:val="90"/>
              </w:rPr>
              <w:t>Section 302</w:t>
            </w:r>
          </w:p>
        </w:tc>
        <w:tc>
          <w:tcPr>
            <w:tcW w:w="8860" w:type="dxa"/>
            <w:vAlign w:val="bottom"/>
          </w:tcPr>
          <w:p>
            <w:pPr>
              <w:ind w:left="20"/>
              <w:spacing w:after="0"/>
              <w:rPr>
                <w:sz w:val="20"/>
                <w:szCs w:val="20"/>
                <w:color w:val="auto"/>
              </w:rPr>
            </w:pPr>
            <w:r>
              <w:rPr>
                <w:rFonts w:ascii="Arial" w:cs="Arial" w:eastAsia="Arial" w:hAnsi="Arial"/>
                <w:sz w:val="18"/>
                <w:szCs w:val="18"/>
                <w:color w:val="auto"/>
              </w:rPr>
              <w:t>Certification—James E. Parisi</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520" w:type="dxa"/>
            <w:vAlign w:val="bottom"/>
          </w:tcPr>
          <w:p>
            <w:pPr>
              <w:ind w:left="640"/>
              <w:spacing w:after="0"/>
              <w:rPr>
                <w:sz w:val="20"/>
                <w:szCs w:val="20"/>
                <w:color w:val="auto"/>
              </w:rPr>
            </w:pPr>
            <w:r>
              <w:rPr>
                <w:rFonts w:ascii="Arial" w:cs="Arial" w:eastAsia="Arial" w:hAnsi="Arial"/>
                <w:sz w:val="18"/>
                <w:szCs w:val="18"/>
                <w:color w:val="auto"/>
                <w:w w:val="90"/>
              </w:rPr>
              <w:t>Section 906</w:t>
            </w:r>
          </w:p>
        </w:tc>
        <w:tc>
          <w:tcPr>
            <w:tcW w:w="886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2"/>
          </w:tcPr>
          <w:p>
            <w:pPr>
              <w:ind w:left="640"/>
              <w:spacing w:after="0"/>
              <w:rPr>
                <w:sz w:val="20"/>
                <w:szCs w:val="20"/>
                <w:color w:val="auto"/>
              </w:rPr>
            </w:pPr>
            <w:r>
              <w:rPr>
                <w:rFonts w:ascii="Arial" w:cs="Arial" w:eastAsia="Arial" w:hAnsi="Arial"/>
                <w:sz w:val="18"/>
                <w:szCs w:val="18"/>
                <w:color w:val="auto"/>
              </w:rPr>
              <w:t>XBRL Instance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2"/>
          </w:tcPr>
          <w:p>
            <w:pPr>
              <w:ind w:left="6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2"/>
          </w:tcPr>
          <w:p>
            <w:pPr>
              <w:ind w:left="6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2"/>
          </w:tcPr>
          <w:p>
            <w:pPr>
              <w:ind w:left="64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2"/>
          </w:tcPr>
          <w:p>
            <w:pPr>
              <w:ind w:left="6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2"/>
          </w:tcPr>
          <w:p>
            <w:pPr>
              <w:ind w:left="6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8060" w:val="left"/>
        </w:tabs>
        <w:rPr>
          <w:sz w:val="20"/>
          <w:szCs w:val="20"/>
          <w:color w:val="auto"/>
        </w:rPr>
      </w:pPr>
      <w:r>
        <w:rPr>
          <w:rFonts w:ascii="Arial" w:cs="Arial" w:eastAsia="Arial" w:hAnsi="Arial"/>
          <w:sz w:val="18"/>
          <w:szCs w:val="18"/>
          <w:color w:val="auto"/>
        </w:rPr>
        <w:t>Dated: November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and Corporate Development</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125"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8, 2012</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November 8, 2012</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2012 as filed with the Securities and Exchange Commission on the date hereof (the “Report”), Phupinder S. Gill,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2019-12-09T15:48:20Z</dcterms:created>
  <dcterms:modified xsi:type="dcterms:W3CDTF">2019-12-09T15:48:20Z</dcterms:modified>
</cp:coreProperties>
</file>