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4020" w:right="2040" w:hanging="4012"/>
        <w:spacing w:after="0" w:line="431" w:lineRule="auto"/>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2011</w:t>
      </w:r>
    </w:p>
    <w:p>
      <w:pPr>
        <w:ind w:left="5580" w:hanging="100"/>
        <w:spacing w:after="0"/>
        <w:tabs>
          <w:tab w:leader="none" w:pos="5580"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OR -</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6640" w:type="dxa"/>
            <w:vAlign w:val="bottom"/>
          </w:tcPr>
          <w:p>
            <w:pPr>
              <w:ind w:left="3920"/>
              <w:spacing w:after="0"/>
              <w:rPr>
                <w:sz w:val="20"/>
                <w:szCs w:val="20"/>
                <w:color w:val="auto"/>
              </w:rPr>
            </w:pPr>
            <w:r>
              <w:rPr>
                <w:rFonts w:ascii="Arial" w:cs="Arial" w:eastAsia="Arial" w:hAnsi="Arial"/>
                <w:sz w:val="18"/>
                <w:szCs w:val="18"/>
                <w:b w:val="1"/>
                <w:bCs w:val="1"/>
                <w:color w:val="auto"/>
              </w:rPr>
              <w:t>For the transition period from</w:t>
            </w:r>
          </w:p>
        </w:tc>
        <w:tc>
          <w:tcPr>
            <w:tcW w:w="4780" w:type="dxa"/>
            <w:vAlign w:val="bottom"/>
          </w:tcPr>
          <w:p>
            <w:pPr>
              <w:ind w:left="160"/>
              <w:spacing w:after="0"/>
              <w:rPr>
                <w:sz w:val="20"/>
                <w:szCs w:val="20"/>
                <w:color w:val="auto"/>
              </w:rPr>
            </w:pPr>
            <w:r>
              <w:rPr>
                <w:rFonts w:ascii="Arial" w:cs="Arial" w:eastAsia="Arial" w:hAnsi="Arial"/>
                <w:sz w:val="18"/>
                <w:szCs w:val="18"/>
                <w:b w:val="1"/>
                <w:bCs w:val="1"/>
                <w:color w:val="auto"/>
              </w:rPr>
              <w:t>to</w:t>
            </w:r>
          </w:p>
        </w:tc>
      </w:tr>
      <w:tr>
        <w:trPr>
          <w:trHeight w:val="378"/>
        </w:trPr>
        <w:tc>
          <w:tcPr>
            <w:tcW w:w="11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Commission file number 001-31553</w:t>
            </w:r>
          </w:p>
        </w:tc>
      </w:tr>
      <w:tr>
        <w:trPr>
          <w:trHeight w:val="313"/>
        </w:trPr>
        <w:tc>
          <w:tcPr>
            <w:tcW w:w="664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r>
        <w:trPr>
          <w:trHeight w:val="276"/>
        </w:trPr>
        <w:tc>
          <w:tcPr>
            <w:tcW w:w="6640" w:type="dxa"/>
            <w:vAlign w:val="bottom"/>
          </w:tcPr>
          <w:p>
            <w:pPr>
              <w:jc w:val="center"/>
              <w:ind w:left="4692"/>
              <w:spacing w:after="0"/>
              <w:rPr>
                <w:sz w:val="20"/>
                <w:szCs w:val="20"/>
                <w:color w:val="auto"/>
              </w:rPr>
            </w:pPr>
            <w:r>
              <w:rPr>
                <w:rFonts w:ascii="Arial" w:cs="Arial" w:eastAsia="Arial" w:hAnsi="Arial"/>
                <w:sz w:val="18"/>
                <w:szCs w:val="18"/>
                <w:b w:val="1"/>
                <w:bCs w:val="1"/>
                <w:color w:val="auto"/>
                <w:w w:val="98"/>
              </w:rPr>
              <w:t>CME GROUP INC.</w:t>
            </w:r>
          </w:p>
        </w:tc>
        <w:tc>
          <w:tcPr>
            <w:tcW w:w="4780" w:type="dxa"/>
            <w:vAlign w:val="bottom"/>
          </w:tcPr>
          <w:p>
            <w:pPr>
              <w:spacing w:after="0"/>
              <w:rPr>
                <w:sz w:val="24"/>
                <w:szCs w:val="24"/>
                <w:color w:val="auto"/>
              </w:rPr>
            </w:pPr>
          </w:p>
        </w:tc>
      </w:tr>
      <w:tr>
        <w:trPr>
          <w:trHeight w:val="228"/>
        </w:trPr>
        <w:tc>
          <w:tcPr>
            <w:tcW w:w="11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(Exact name of registrant as specified in its charter)</w:t>
            </w:r>
          </w:p>
        </w:tc>
      </w:tr>
      <w:tr>
        <w:trPr>
          <w:trHeight w:val="299"/>
        </w:trPr>
        <w:tc>
          <w:tcPr>
            <w:tcW w:w="664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r>
        <w:trPr>
          <w:trHeight w:val="425"/>
        </w:trPr>
        <w:tc>
          <w:tcPr>
            <w:tcW w:w="6640" w:type="dxa"/>
            <w:vAlign w:val="bottom"/>
          </w:tcPr>
          <w:p>
            <w:pPr>
              <w:jc w:val="center"/>
              <w:ind w:right="812"/>
              <w:spacing w:after="0"/>
              <w:rPr>
                <w:sz w:val="20"/>
                <w:szCs w:val="20"/>
                <w:color w:val="auto"/>
              </w:rPr>
            </w:pPr>
            <w:r>
              <w:rPr>
                <w:rFonts w:ascii="Arial" w:cs="Arial" w:eastAsia="Arial" w:hAnsi="Arial"/>
                <w:sz w:val="18"/>
                <w:szCs w:val="18"/>
                <w:b w:val="1"/>
                <w:bCs w:val="1"/>
                <w:color w:val="auto"/>
                <w:w w:val="88"/>
              </w:rPr>
              <w:t>Delaware</w:t>
            </w:r>
          </w:p>
        </w:tc>
        <w:tc>
          <w:tcPr>
            <w:tcW w:w="4780" w:type="dxa"/>
            <w:vAlign w:val="bottom"/>
          </w:tcPr>
          <w:p>
            <w:pPr>
              <w:jc w:val="right"/>
              <w:ind w:right="2232"/>
              <w:spacing w:after="0"/>
              <w:rPr>
                <w:sz w:val="20"/>
                <w:szCs w:val="20"/>
                <w:color w:val="auto"/>
              </w:rPr>
            </w:pPr>
            <w:r>
              <w:rPr>
                <w:rFonts w:ascii="Arial" w:cs="Arial" w:eastAsia="Arial" w:hAnsi="Arial"/>
                <w:sz w:val="18"/>
                <w:szCs w:val="18"/>
                <w:b w:val="1"/>
                <w:bCs w:val="1"/>
                <w:color w:val="auto"/>
              </w:rPr>
              <w:t>36-4459170</w:t>
            </w:r>
          </w:p>
        </w:tc>
      </w:tr>
      <w:tr>
        <w:trPr>
          <w:trHeight w:val="216"/>
        </w:trPr>
        <w:tc>
          <w:tcPr>
            <w:tcW w:w="6640" w:type="dxa"/>
            <w:vAlign w:val="bottom"/>
          </w:tcPr>
          <w:p>
            <w:pPr>
              <w:jc w:val="center"/>
              <w:ind w:right="832"/>
              <w:spacing w:after="0"/>
              <w:rPr>
                <w:sz w:val="20"/>
                <w:szCs w:val="20"/>
                <w:color w:val="auto"/>
              </w:rPr>
            </w:pPr>
            <w:r>
              <w:rPr>
                <w:rFonts w:ascii="Arial" w:cs="Arial" w:eastAsia="Arial" w:hAnsi="Arial"/>
                <w:sz w:val="18"/>
                <w:szCs w:val="18"/>
                <w:b w:val="1"/>
                <w:bCs w:val="1"/>
                <w:color w:val="auto"/>
                <w:w w:val="89"/>
              </w:rPr>
              <w:t>(State or other jurisdiction of</w:t>
            </w:r>
          </w:p>
        </w:tc>
        <w:tc>
          <w:tcPr>
            <w:tcW w:w="4780" w:type="dxa"/>
            <w:vAlign w:val="bottom"/>
          </w:tcPr>
          <w:p>
            <w:pPr>
              <w:jc w:val="center"/>
              <w:ind w:right="592"/>
              <w:spacing w:after="0"/>
              <w:rPr>
                <w:sz w:val="20"/>
                <w:szCs w:val="20"/>
                <w:color w:val="auto"/>
              </w:rPr>
            </w:pPr>
            <w:r>
              <w:rPr>
                <w:rFonts w:ascii="Arial" w:cs="Arial" w:eastAsia="Arial" w:hAnsi="Arial"/>
                <w:sz w:val="18"/>
                <w:szCs w:val="18"/>
                <w:b w:val="1"/>
                <w:bCs w:val="1"/>
                <w:color w:val="auto"/>
                <w:w w:val="91"/>
              </w:rPr>
              <w:t>(I.R.S. Employer</w:t>
            </w:r>
          </w:p>
        </w:tc>
      </w:tr>
      <w:tr>
        <w:trPr>
          <w:trHeight w:val="228"/>
        </w:trPr>
        <w:tc>
          <w:tcPr>
            <w:tcW w:w="6640" w:type="dxa"/>
            <w:vAlign w:val="bottom"/>
          </w:tcPr>
          <w:p>
            <w:pPr>
              <w:jc w:val="center"/>
              <w:ind w:right="812"/>
              <w:spacing w:after="0"/>
              <w:rPr>
                <w:sz w:val="20"/>
                <w:szCs w:val="20"/>
                <w:color w:val="auto"/>
              </w:rPr>
            </w:pPr>
            <w:r>
              <w:rPr>
                <w:rFonts w:ascii="Arial" w:cs="Arial" w:eastAsia="Arial" w:hAnsi="Arial"/>
                <w:sz w:val="18"/>
                <w:szCs w:val="18"/>
                <w:b w:val="1"/>
                <w:bCs w:val="1"/>
                <w:color w:val="auto"/>
                <w:w w:val="89"/>
              </w:rPr>
              <w:t>incorporation or organization)</w:t>
            </w:r>
          </w:p>
        </w:tc>
        <w:tc>
          <w:tcPr>
            <w:tcW w:w="4780" w:type="dxa"/>
            <w:vAlign w:val="bottom"/>
          </w:tcPr>
          <w:p>
            <w:pPr>
              <w:jc w:val="center"/>
              <w:ind w:right="592"/>
              <w:spacing w:after="0"/>
              <w:rPr>
                <w:sz w:val="20"/>
                <w:szCs w:val="20"/>
                <w:color w:val="auto"/>
              </w:rPr>
            </w:pPr>
            <w:r>
              <w:rPr>
                <w:rFonts w:ascii="Arial" w:cs="Arial" w:eastAsia="Arial" w:hAnsi="Arial"/>
                <w:sz w:val="18"/>
                <w:szCs w:val="18"/>
                <w:b w:val="1"/>
                <w:bCs w:val="1"/>
                <w:color w:val="auto"/>
                <w:w w:val="91"/>
              </w:rPr>
              <w:t>Identification Number)</w:t>
            </w:r>
          </w:p>
        </w:tc>
      </w:tr>
      <w:tr>
        <w:trPr>
          <w:trHeight w:val="501"/>
        </w:trPr>
        <w:tc>
          <w:tcPr>
            <w:tcW w:w="6640" w:type="dxa"/>
            <w:vAlign w:val="bottom"/>
          </w:tcPr>
          <w:p>
            <w:pPr>
              <w:jc w:val="center"/>
              <w:ind w:right="812"/>
              <w:spacing w:after="0"/>
              <w:rPr>
                <w:sz w:val="20"/>
                <w:szCs w:val="20"/>
                <w:color w:val="auto"/>
              </w:rPr>
            </w:pPr>
            <w:r>
              <w:rPr>
                <w:rFonts w:ascii="Arial" w:cs="Arial" w:eastAsia="Arial" w:hAnsi="Arial"/>
                <w:sz w:val="18"/>
                <w:szCs w:val="18"/>
                <w:b w:val="1"/>
                <w:bCs w:val="1"/>
                <w:color w:val="auto"/>
                <w:w w:val="89"/>
              </w:rPr>
              <w:t>20 South Wacker Drive, Chicago, Illinois</w:t>
            </w:r>
          </w:p>
        </w:tc>
        <w:tc>
          <w:tcPr>
            <w:tcW w:w="4780" w:type="dxa"/>
            <w:vAlign w:val="bottom"/>
          </w:tcPr>
          <w:p>
            <w:pPr>
              <w:jc w:val="right"/>
              <w:ind w:right="2432"/>
              <w:spacing w:after="0"/>
              <w:rPr>
                <w:sz w:val="20"/>
                <w:szCs w:val="20"/>
                <w:color w:val="auto"/>
              </w:rPr>
            </w:pPr>
            <w:r>
              <w:rPr>
                <w:rFonts w:ascii="Arial" w:cs="Arial" w:eastAsia="Arial" w:hAnsi="Arial"/>
                <w:sz w:val="18"/>
                <w:szCs w:val="18"/>
                <w:b w:val="1"/>
                <w:bCs w:val="1"/>
                <w:color w:val="auto"/>
              </w:rPr>
              <w:t>60606</w:t>
            </w:r>
          </w:p>
        </w:tc>
      </w:tr>
      <w:tr>
        <w:trPr>
          <w:trHeight w:val="228"/>
        </w:trPr>
        <w:tc>
          <w:tcPr>
            <w:tcW w:w="6640" w:type="dxa"/>
            <w:vAlign w:val="bottom"/>
          </w:tcPr>
          <w:p>
            <w:pPr>
              <w:jc w:val="center"/>
              <w:ind w:right="812"/>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4780" w:type="dxa"/>
            <w:vAlign w:val="bottom"/>
          </w:tcPr>
          <w:p>
            <w:pPr>
              <w:jc w:val="center"/>
              <w:ind w:right="592"/>
              <w:spacing w:after="0"/>
              <w:rPr>
                <w:sz w:val="20"/>
                <w:szCs w:val="20"/>
                <w:color w:val="auto"/>
              </w:rPr>
            </w:pPr>
            <w:r>
              <w:rPr>
                <w:rFonts w:ascii="Arial" w:cs="Arial" w:eastAsia="Arial" w:hAnsi="Arial"/>
                <w:sz w:val="18"/>
                <w:szCs w:val="18"/>
                <w:b w:val="1"/>
                <w:bCs w:val="1"/>
                <w:color w:val="auto"/>
                <w:w w:val="92"/>
              </w:rPr>
              <w:t>(Zip Code)</w:t>
            </w:r>
          </w:p>
        </w:tc>
      </w:tr>
      <w:tr>
        <w:trPr>
          <w:trHeight w:val="378"/>
        </w:trPr>
        <w:tc>
          <w:tcPr>
            <w:tcW w:w="6640" w:type="dxa"/>
            <w:vAlign w:val="bottom"/>
          </w:tcPr>
          <w:p>
            <w:pPr>
              <w:jc w:val="center"/>
              <w:ind w:left="4692"/>
              <w:spacing w:after="0"/>
              <w:rPr>
                <w:sz w:val="20"/>
                <w:szCs w:val="20"/>
                <w:color w:val="auto"/>
              </w:rPr>
            </w:pPr>
            <w:r>
              <w:rPr>
                <w:rFonts w:ascii="Arial" w:cs="Arial" w:eastAsia="Arial" w:hAnsi="Arial"/>
                <w:sz w:val="18"/>
                <w:szCs w:val="18"/>
                <w:b w:val="1"/>
                <w:bCs w:val="1"/>
                <w:color w:val="auto"/>
                <w:w w:val="89"/>
              </w:rPr>
              <w:t>(312) 930-1000</w:t>
            </w:r>
          </w:p>
        </w:tc>
        <w:tc>
          <w:tcPr>
            <w:tcW w:w="4780" w:type="dxa"/>
            <w:vAlign w:val="bottom"/>
          </w:tcPr>
          <w:p>
            <w:pPr>
              <w:spacing w:after="0"/>
              <w:rPr>
                <w:sz w:val="24"/>
                <w:szCs w:val="24"/>
                <w:color w:val="auto"/>
              </w:rPr>
            </w:pPr>
          </w:p>
        </w:tc>
      </w:tr>
    </w:tbl>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3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7" w:lineRule="exact"/>
        <w:rPr>
          <w:sz w:val="24"/>
          <w:szCs w:val="24"/>
          <w:color w:val="auto"/>
        </w:rPr>
      </w:pPr>
    </w:p>
    <w:p>
      <w:pPr>
        <w:jc w:val="both"/>
        <w:ind w:right="18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6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line="370" w:lineRule="auto"/>
        <w:rPr>
          <w:sz w:val="20"/>
          <w:szCs w:val="20"/>
          <w:color w:val="auto"/>
        </w:rPr>
      </w:pPr>
      <w:r>
        <w:rPr>
          <w:rFonts w:ascii="Arial" w:cs="Arial" w:eastAsia="Arial" w:hAnsi="Arial"/>
          <w:sz w:val="15"/>
          <w:szCs w:val="15"/>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83"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78" w:lineRule="exact"/>
        <w:rPr>
          <w:sz w:val="24"/>
          <w:szCs w:val="24"/>
          <w:color w:val="auto"/>
        </w:rPr>
      </w:pPr>
    </w:p>
    <w:p>
      <w:pPr>
        <w:sectPr>
          <w:pgSz w:w="11900" w:h="16838" w:orient="portrait"/>
          <w:cols w:equalWidth="0" w:num="4">
            <w:col w:w="1580" w:space="500"/>
            <w:col w:w="5900" w:space="720"/>
            <w:col w:w="1920" w:space="580"/>
            <w:col w:w="22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4">
            <w:col w:w="7980" w:space="160"/>
            <w:col w:w="260" w:space="80"/>
            <w:col w:w="160" w:space="180"/>
            <w:col w:w="2600"/>
          </w:cols>
          <w:pgMar w:left="240" w:top="230" w:right="239" w:bottom="1440" w:gutter="0" w:footer="0" w:header="0"/>
          <w:type w:val="continuous"/>
        </w:sectPr>
      </w:pPr>
    </w:p>
    <w:p>
      <w:pPr>
        <w:spacing w:after="0" w:line="6" w:lineRule="exact"/>
        <w:rPr>
          <w:sz w:val="24"/>
          <w:szCs w:val="24"/>
          <w:color w:val="auto"/>
        </w:rPr>
      </w:pPr>
    </w:p>
    <w:p>
      <w:pPr>
        <w:jc w:val="both"/>
        <w:ind w:right="100"/>
        <w:spacing w:after="0" w:line="306" w:lineRule="auto"/>
        <w:rPr>
          <w:sz w:val="20"/>
          <w:szCs w:val="20"/>
          <w:color w:val="auto"/>
        </w:rPr>
      </w:pPr>
      <w:r>
        <w:rPr>
          <w:rFonts w:ascii="Arial" w:cs="Arial" w:eastAsia="Arial" w:hAnsi="Arial"/>
          <w:sz w:val="16"/>
          <w:szCs w:val="16"/>
          <w:color w:val="auto"/>
        </w:rPr>
        <w:t>The number of shares outstanding of each of the registrant’s classes of common stock as of July 20, 2011 was as follows: 66,862,797 shares of Class A common stock, $0.01 par value; 625 shares of Class B common stock, Class B-1, $0.01 par value; 813 shares of Class B common stock, Class B-2, $0.01 par value; 1,287 shares of Class B common stock, Class B-3, $0.01 par value; and 413 shares of Class B common stock, Class B-4,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236220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CME GROUP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000" w:type="dxa"/>
            <w:vAlign w:val="bottom"/>
            <w:gridSpan w:val="9"/>
            <w:vMerge w:val="restart"/>
          </w:tcPr>
          <w:p>
            <w:pPr>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FINANCIAL INFORMATION</w:t>
              </w:r>
            </w:hyperlink>
          </w:p>
        </w:tc>
        <w:tc>
          <w:tcPr>
            <w:tcW w:w="7960" w:type="dxa"/>
            <w:vAlign w:val="bottom"/>
            <w:gridSpan w:val="9"/>
            <w:vMerge w:val="restart"/>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8"/>
              </w:rPr>
              <w:t>Page</w:t>
            </w:r>
          </w:p>
        </w:tc>
        <w:tc>
          <w:tcPr>
            <w:tcW w:w="0" w:type="dxa"/>
            <w:vAlign w:val="bottom"/>
          </w:tcPr>
          <w:p>
            <w:pPr>
              <w:spacing w:after="0"/>
              <w:rPr>
                <w:sz w:val="1"/>
                <w:szCs w:val="1"/>
                <w:color w:val="auto"/>
              </w:rPr>
            </w:pPr>
          </w:p>
        </w:tc>
      </w:tr>
      <w:tr>
        <w:trPr>
          <w:trHeight w:val="162"/>
        </w:trPr>
        <w:tc>
          <w:tcPr>
            <w:tcW w:w="3000" w:type="dxa"/>
            <w:vAlign w:val="bottom"/>
            <w:tcBorders>
              <w:bottom w:val="single" w:sz="8" w:color="0000EE"/>
            </w:tcBorders>
            <w:gridSpan w:val="9"/>
            <w:vMerge w:val="continue"/>
          </w:tcPr>
          <w:p>
            <w:pPr>
              <w:spacing w:after="0"/>
              <w:rPr>
                <w:sz w:val="13"/>
                <w:szCs w:val="13"/>
                <w:color w:val="auto"/>
              </w:rPr>
            </w:pPr>
          </w:p>
        </w:tc>
        <w:tc>
          <w:tcPr>
            <w:tcW w:w="7960" w:type="dxa"/>
            <w:vAlign w:val="bottom"/>
            <w:gridSpan w:val="9"/>
            <w:vMerge w:val="continue"/>
          </w:tcPr>
          <w:p>
            <w:pPr>
              <w:spacing w:after="0"/>
              <w:rPr>
                <w:sz w:val="13"/>
                <w:szCs w:val="13"/>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18"/>
        </w:trPr>
        <w:tc>
          <w:tcPr>
            <w:tcW w:w="10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960" w:type="dxa"/>
            <w:vAlign w:val="bottom"/>
            <w:gridSpan w:val="17"/>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Financial Statements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spacing w:after="0"/>
              <w:rPr>
                <w:sz w:val="24"/>
                <w:szCs w:val="24"/>
                <w:color w:val="auto"/>
              </w:rPr>
            </w:pPr>
          </w:p>
        </w:tc>
        <w:tc>
          <w:tcPr>
            <w:tcW w:w="4960" w:type="dxa"/>
            <w:vAlign w:val="bottom"/>
            <w:tcBorders>
              <w:bottom w:val="single" w:sz="8" w:color="0000EE"/>
            </w:tcBorders>
            <w:gridSpan w:val="12"/>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Consolidated Balance Sheets at June 30, 2011 and December 31, 2010</w:t>
              </w:r>
            </w:hyperlink>
          </w:p>
        </w:tc>
        <w:tc>
          <w:tcPr>
            <w:tcW w:w="5000" w:type="dxa"/>
            <w:vAlign w:val="bottom"/>
            <w:gridSpan w:val="5"/>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4"/>
                <w:szCs w:val="24"/>
                <w:color w:val="auto"/>
              </w:rPr>
            </w:pPr>
          </w:p>
        </w:tc>
        <w:tc>
          <w:tcPr>
            <w:tcW w:w="996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Income for the Quarters and Six Months Ended June 30, 2011 and 2010</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spacing w:after="0"/>
              <w:rPr>
                <w:sz w:val="24"/>
                <w:szCs w:val="24"/>
                <w:color w:val="auto"/>
              </w:rPr>
            </w:pPr>
          </w:p>
        </w:tc>
        <w:tc>
          <w:tcPr>
            <w:tcW w:w="7040" w:type="dxa"/>
            <w:vAlign w:val="bottom"/>
            <w:tcBorders>
              <w:bottom w:val="single" w:sz="8" w:color="0000EE"/>
            </w:tcBorders>
            <w:gridSpan w:val="16"/>
          </w:tcPr>
          <w:p>
            <w:pPr>
              <w:spacing w:after="0"/>
              <w:rPr>
                <w:rFonts w:ascii="Arial" w:cs="Arial" w:eastAsia="Arial" w:hAnsi="Arial"/>
                <w:sz w:val="18"/>
                <w:szCs w:val="18"/>
                <w:color w:val="0000EE"/>
                <w:w w:val="87"/>
              </w:rPr>
            </w:pPr>
            <w:hyperlink w:anchor="page8">
              <w:r>
                <w:rPr>
                  <w:rFonts w:ascii="Arial" w:cs="Arial" w:eastAsia="Arial" w:hAnsi="Arial"/>
                  <w:sz w:val="18"/>
                  <w:szCs w:val="18"/>
                  <w:color w:val="0000EE"/>
                  <w:w w:val="87"/>
                </w:rPr>
                <w:t>Consolidated Statements of Shareholders’ Equity for the Six Months Ended June 30, 2011 and 2010</w:t>
              </w:r>
            </w:hyperlink>
          </w:p>
        </w:tc>
        <w:tc>
          <w:tcPr>
            <w:tcW w:w="29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4"/>
                <w:szCs w:val="24"/>
                <w:color w:val="auto"/>
              </w:rPr>
            </w:pPr>
          </w:p>
        </w:tc>
        <w:tc>
          <w:tcPr>
            <w:tcW w:w="638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10">
              <w:r>
                <w:rPr>
                  <w:rFonts w:ascii="Arial" w:cs="Arial" w:eastAsia="Arial" w:hAnsi="Arial"/>
                  <w:sz w:val="18"/>
                  <w:szCs w:val="18"/>
                  <w:color w:val="0000EE"/>
                  <w:w w:val="87"/>
                </w:rPr>
                <w:t>Consolidated Statements of Cash Flows for the Six Months Ended June 30, 2011 and 2010</w:t>
              </w:r>
            </w:hyperlink>
          </w:p>
        </w:tc>
        <w:tc>
          <w:tcPr>
            <w:tcW w:w="3580" w:type="dxa"/>
            <w:vAlign w:val="bottom"/>
            <w:gridSpan w:val="4"/>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4"/>
                <w:szCs w:val="24"/>
                <w:color w:val="auto"/>
              </w:rPr>
            </w:pPr>
          </w:p>
        </w:tc>
        <w:tc>
          <w:tcPr>
            <w:tcW w:w="386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11">
              <w:r>
                <w:rPr>
                  <w:rFonts w:ascii="Arial" w:cs="Arial" w:eastAsia="Arial" w:hAnsi="Arial"/>
                  <w:sz w:val="18"/>
                  <w:szCs w:val="18"/>
                  <w:color w:val="0000EE"/>
                  <w:w w:val="87"/>
                </w:rPr>
                <w:t>Notes to Unaudited Consolidated Financial Statements</w:t>
              </w:r>
            </w:hyperlink>
          </w:p>
        </w:tc>
        <w:tc>
          <w:tcPr>
            <w:tcW w:w="6100" w:type="dxa"/>
            <w:vAlign w:val="bottom"/>
            <w:gridSpan w:val="8"/>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680" w:type="dxa"/>
            <w:vAlign w:val="bottom"/>
            <w:tcBorders>
              <w:bottom w:val="single" w:sz="8" w:color="0000EE"/>
            </w:tcBorders>
            <w:gridSpan w:val="14"/>
          </w:tcPr>
          <w:p>
            <w:pPr>
              <w:spacing w:after="0"/>
              <w:rPr>
                <w:rFonts w:ascii="Arial" w:cs="Arial" w:eastAsia="Arial" w:hAnsi="Arial"/>
                <w:sz w:val="18"/>
                <w:szCs w:val="18"/>
                <w:b w:val="1"/>
                <w:bCs w:val="1"/>
                <w:color w:val="0000EE"/>
                <w:w w:val="87"/>
              </w:rPr>
            </w:pPr>
            <w:hyperlink w:anchor="page20">
              <w:r>
                <w:rPr>
                  <w:rFonts w:ascii="Arial" w:cs="Arial" w:eastAsia="Arial" w:hAnsi="Arial"/>
                  <w:sz w:val="18"/>
                  <w:szCs w:val="18"/>
                  <w:b w:val="1"/>
                  <w:bCs w:val="1"/>
                  <w:color w:val="0000EE"/>
                  <w:w w:val="87"/>
                </w:rPr>
                <w:t>Management’s Discussion and Analysis of Financial Condition and Results of Operations</w:t>
              </w:r>
            </w:hyperlink>
          </w:p>
        </w:tc>
        <w:tc>
          <w:tcPr>
            <w:tcW w:w="3280" w:type="dxa"/>
            <w:vAlign w:val="bottom"/>
            <w:gridSpan w:val="3"/>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960" w:type="dxa"/>
            <w:vAlign w:val="bottom"/>
            <w:gridSpan w:val="17"/>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Quantitative and Qualitative Disclosures about Market Risk</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880" w:type="dxa"/>
            <w:vAlign w:val="bottom"/>
            <w:tcBorders>
              <w:top w:val="single" w:sz="8" w:color="0000EE"/>
              <w:bottom w:val="single" w:sz="8" w:color="0000EE"/>
            </w:tcBorders>
            <w:gridSpan w:val="7"/>
          </w:tcPr>
          <w:p>
            <w:pPr>
              <w:spacing w:after="0"/>
              <w:rPr>
                <w:rFonts w:ascii="Arial" w:cs="Arial" w:eastAsia="Arial" w:hAnsi="Arial"/>
                <w:sz w:val="18"/>
                <w:szCs w:val="18"/>
                <w:b w:val="1"/>
                <w:bCs w:val="1"/>
                <w:color w:val="0000EE"/>
                <w:w w:val="86"/>
              </w:rPr>
            </w:pPr>
            <w:hyperlink w:anchor="page30">
              <w:r>
                <w:rPr>
                  <w:rFonts w:ascii="Arial" w:cs="Arial" w:eastAsia="Arial" w:hAnsi="Arial"/>
                  <w:sz w:val="18"/>
                  <w:szCs w:val="18"/>
                  <w:b w:val="1"/>
                  <w:bCs w:val="1"/>
                  <w:color w:val="0000EE"/>
                  <w:w w:val="86"/>
                </w:rPr>
                <w:t>Controls and Procedures</w:t>
              </w:r>
            </w:hyperlink>
          </w:p>
        </w:tc>
        <w:tc>
          <w:tcPr>
            <w:tcW w:w="2640" w:type="dxa"/>
            <w:vAlign w:val="bottom"/>
            <w:tcBorders>
              <w:top w:val="single" w:sz="8" w:color="0000EE"/>
            </w:tcBorders>
            <w:gridSpan w:val="4"/>
          </w:tcPr>
          <w:p>
            <w:pPr>
              <w:spacing w:after="0"/>
              <w:rPr>
                <w:sz w:val="24"/>
                <w:szCs w:val="24"/>
                <w:color w:val="auto"/>
              </w:rPr>
            </w:pPr>
          </w:p>
        </w:tc>
        <w:tc>
          <w:tcPr>
            <w:tcW w:w="5440" w:type="dxa"/>
            <w:vAlign w:val="bottom"/>
            <w:gridSpan w:val="6"/>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10960" w:type="dxa"/>
            <w:vAlign w:val="bottom"/>
            <w:gridSpan w:val="18"/>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PART II. OTHER INFORMATION</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100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Item 1.</w:t>
            </w:r>
          </w:p>
        </w:tc>
        <w:tc>
          <w:tcPr>
            <w:tcW w:w="1380" w:type="dxa"/>
            <w:vAlign w:val="bottom"/>
            <w:tcBorders>
              <w:top w:val="single" w:sz="8" w:color="0000EE"/>
              <w:bottom w:val="single" w:sz="8" w:color="0000EE"/>
            </w:tcBorders>
            <w:gridSpan w:val="4"/>
          </w:tcPr>
          <w:p>
            <w:pPr>
              <w:spacing w:after="0"/>
              <w:rPr>
                <w:rFonts w:ascii="Arial" w:cs="Arial" w:eastAsia="Arial" w:hAnsi="Arial"/>
                <w:sz w:val="18"/>
                <w:szCs w:val="18"/>
                <w:b w:val="1"/>
                <w:bCs w:val="1"/>
                <w:color w:val="0000EE"/>
                <w:w w:val="84"/>
              </w:rPr>
            </w:pPr>
            <w:hyperlink w:anchor="page30">
              <w:r>
                <w:rPr>
                  <w:rFonts w:ascii="Arial" w:cs="Arial" w:eastAsia="Arial" w:hAnsi="Arial"/>
                  <w:sz w:val="18"/>
                  <w:szCs w:val="18"/>
                  <w:b w:val="1"/>
                  <w:bCs w:val="1"/>
                  <w:color w:val="0000EE"/>
                  <w:w w:val="84"/>
                </w:rPr>
                <w:t>Legal Proceedings</w:t>
              </w:r>
            </w:hyperlink>
          </w:p>
        </w:tc>
        <w:tc>
          <w:tcPr>
            <w:tcW w:w="320" w:type="dxa"/>
            <w:vAlign w:val="bottom"/>
            <w:tcBorders>
              <w:top w:val="single" w:sz="8" w:color="0000EE"/>
            </w:tcBorders>
            <w:gridSpan w:val="2"/>
          </w:tcPr>
          <w:p>
            <w:pPr>
              <w:spacing w:after="0"/>
              <w:rPr>
                <w:sz w:val="24"/>
                <w:szCs w:val="24"/>
                <w:color w:val="auto"/>
              </w:rPr>
            </w:pPr>
          </w:p>
        </w:tc>
        <w:tc>
          <w:tcPr>
            <w:tcW w:w="8260" w:type="dxa"/>
            <w:vAlign w:val="bottom"/>
            <w:gridSpan w:val="11"/>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60" w:type="dxa"/>
            <w:vAlign w:val="bottom"/>
            <w:tcBorders>
              <w:bottom w:val="single" w:sz="8" w:color="0000EE"/>
            </w:tcBorders>
            <w:gridSpan w:val="3"/>
          </w:tcPr>
          <w:p>
            <w:pPr>
              <w:spacing w:after="0"/>
              <w:rPr>
                <w:rFonts w:ascii="Arial" w:cs="Arial" w:eastAsia="Arial" w:hAnsi="Arial"/>
                <w:sz w:val="18"/>
                <w:szCs w:val="18"/>
                <w:b w:val="1"/>
                <w:bCs w:val="1"/>
                <w:color w:val="0000EE"/>
                <w:w w:val="86"/>
              </w:rPr>
            </w:pPr>
            <w:hyperlink w:anchor="page30">
              <w:r>
                <w:rPr>
                  <w:rFonts w:ascii="Arial" w:cs="Arial" w:eastAsia="Arial" w:hAnsi="Arial"/>
                  <w:sz w:val="18"/>
                  <w:szCs w:val="18"/>
                  <w:b w:val="1"/>
                  <w:bCs w:val="1"/>
                  <w:color w:val="0000EE"/>
                  <w:w w:val="86"/>
                </w:rPr>
                <w:t>Risk Factors</w:t>
              </w:r>
            </w:hyperlink>
          </w:p>
        </w:tc>
        <w:tc>
          <w:tcPr>
            <w:tcW w:w="9000" w:type="dxa"/>
            <w:vAlign w:val="bottom"/>
            <w:gridSpan w:val="14"/>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960" w:type="dxa"/>
            <w:vAlign w:val="bottom"/>
            <w:gridSpan w:val="17"/>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Unregistered Sales of Equity Securities and Use of Proceeds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tcBorders>
              <w:top w:val="single" w:sz="8" w:color="0000EE"/>
              <w:bottom w:val="single" w:sz="8" w:color="0000EE"/>
            </w:tcBorders>
            <w:gridSpan w:val="2"/>
          </w:tcPr>
          <w:p>
            <w:pPr>
              <w:spacing w:after="0"/>
              <w:rPr>
                <w:rFonts w:ascii="Arial" w:cs="Arial" w:eastAsia="Arial" w:hAnsi="Arial"/>
                <w:sz w:val="18"/>
                <w:szCs w:val="18"/>
                <w:b w:val="1"/>
                <w:bCs w:val="1"/>
                <w:color w:val="0000EE"/>
                <w:w w:val="88"/>
              </w:rPr>
            </w:pPr>
            <w:hyperlink w:anchor="page32">
              <w:r>
                <w:rPr>
                  <w:rFonts w:ascii="Arial" w:cs="Arial" w:eastAsia="Arial" w:hAnsi="Arial"/>
                  <w:sz w:val="18"/>
                  <w:szCs w:val="18"/>
                  <w:b w:val="1"/>
                  <w:bCs w:val="1"/>
                  <w:color w:val="0000EE"/>
                  <w:w w:val="88"/>
                </w:rPr>
                <w:t>Exhibits</w:t>
              </w:r>
            </w:hyperlink>
          </w:p>
        </w:tc>
        <w:tc>
          <w:tcPr>
            <w:tcW w:w="3820" w:type="dxa"/>
            <w:vAlign w:val="bottom"/>
            <w:tcBorders>
              <w:top w:val="single" w:sz="8" w:color="0000EE"/>
            </w:tcBorders>
            <w:gridSpan w:val="8"/>
          </w:tcPr>
          <w:p>
            <w:pPr>
              <w:spacing w:after="0"/>
              <w:rPr>
                <w:sz w:val="24"/>
                <w:szCs w:val="24"/>
                <w:color w:val="auto"/>
              </w:rPr>
            </w:pPr>
          </w:p>
        </w:tc>
        <w:tc>
          <w:tcPr>
            <w:tcW w:w="5500" w:type="dxa"/>
            <w:vAlign w:val="bottom"/>
            <w:gridSpan w:val="7"/>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1140" w:type="dxa"/>
            <w:vAlign w:val="bottom"/>
            <w:tcBorders>
              <w:bottom w:val="single" w:sz="8" w:color="0000EE"/>
            </w:tcBorders>
            <w:gridSpan w:val="2"/>
          </w:tcPr>
          <w:p>
            <w:pPr>
              <w:spacing w:after="0"/>
              <w:rPr>
                <w:rFonts w:ascii="Arial" w:cs="Arial" w:eastAsia="Arial" w:hAnsi="Arial"/>
                <w:sz w:val="18"/>
                <w:szCs w:val="18"/>
                <w:b w:val="1"/>
                <w:bCs w:val="1"/>
                <w:color w:val="0000EE"/>
                <w:w w:val="94"/>
              </w:rPr>
            </w:pPr>
            <w:hyperlink w:anchor="page33">
              <w:r>
                <w:rPr>
                  <w:rFonts w:ascii="Arial" w:cs="Arial" w:eastAsia="Arial" w:hAnsi="Arial"/>
                  <w:sz w:val="18"/>
                  <w:szCs w:val="18"/>
                  <w:b w:val="1"/>
                  <w:bCs w:val="1"/>
                  <w:color w:val="0000EE"/>
                  <w:w w:val="94"/>
                </w:rPr>
                <w:t>SIGNATURES</w:t>
              </w:r>
            </w:hyperlink>
          </w:p>
        </w:tc>
        <w:tc>
          <w:tcPr>
            <w:tcW w:w="9820" w:type="dxa"/>
            <w:vAlign w:val="bottom"/>
            <w:gridSpan w:val="16"/>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83"/>
        </w:trPr>
        <w:tc>
          <w:tcPr>
            <w:tcW w:w="1000" w:type="dxa"/>
            <w:vAlign w:val="bottom"/>
          </w:tcPr>
          <w:p>
            <w:pPr>
              <w:spacing w:after="0"/>
              <w:rPr>
                <w:sz w:val="24"/>
                <w:szCs w:val="24"/>
                <w:color w:val="auto"/>
              </w:rPr>
            </w:pPr>
          </w:p>
        </w:tc>
        <w:tc>
          <w:tcPr>
            <w:tcW w:w="4960" w:type="dxa"/>
            <w:vAlign w:val="bottom"/>
            <w:gridSpan w:val="12"/>
          </w:tcPr>
          <w:p>
            <w:pPr>
              <w:ind w:left="4680"/>
              <w:spacing w:after="0"/>
              <w:rPr>
                <w:sz w:val="20"/>
                <w:szCs w:val="20"/>
                <w:color w:val="auto"/>
              </w:rPr>
            </w:pPr>
            <w:r>
              <w:rPr>
                <w:rFonts w:ascii="Arial" w:cs="Arial" w:eastAsia="Arial" w:hAnsi="Arial"/>
                <w:sz w:val="18"/>
                <w:szCs w:val="18"/>
                <w:color w:val="auto"/>
              </w:rPr>
              <w:t>2</w:t>
            </w: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“options” or “options contracts” in the text of this document refer to options on futures contracts.</w:t>
      </w:r>
    </w:p>
    <w:p>
      <w:pPr>
        <w:spacing w:after="0" w:line="90" w:lineRule="exact"/>
        <w:rPr>
          <w:sz w:val="20"/>
          <w:szCs w:val="20"/>
          <w:color w:val="auto"/>
        </w:rPr>
      </w:pPr>
    </w:p>
    <w:p>
      <w:pPr>
        <w:ind w:right="380"/>
        <w:spacing w:after="0" w:line="298" w:lineRule="auto"/>
        <w:rPr>
          <w:sz w:val="20"/>
          <w:szCs w:val="20"/>
          <w:color w:val="auto"/>
        </w:rPr>
      </w:pPr>
      <w:r>
        <w:rPr>
          <w:rFonts w:ascii="Arial" w:cs="Arial" w:eastAsia="Arial" w:hAnsi="Arial"/>
          <w:sz w:val="16"/>
          <w:szCs w:val="16"/>
          <w:color w:val="auto"/>
        </w:rPr>
        <w:t>Unless otherwise indicated, references to CME Group Inc. (CME Group) products include references to products on one of its regulated exchanges: Chicago Mercantile Exchange Inc. (CME), Board of Trade of the City of Chicago, Inc. (CBOT), New York Mercantile Exchange, Inc. (NYMEX) and Commodity Exchange, Inc. (COMEX). Products listed on these exchanges are subject to the rules and regulations of the particular exchange and the applicable rulebook should be consulted. Unless otherwise indicated, references to NYMEX include its subsidiary, COMEX.</w:t>
      </w:r>
    </w:p>
    <w:p>
      <w:pPr>
        <w:spacing w:after="0" w:line="32"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Further information about CME Group and its products can be found at http://www.cmegroup.com. Information made available on our Web site does not constitute a part of this Quarterly Report on Form 10-Q.</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Trading Volume and Average Rate per Contract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Disclosed amounts of trading volume and average rate per contract exclude our TRAKRS, credit default swaps and interest rate swaps.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Information</w:t>
      </w:r>
    </w:p>
    <w:p>
      <w:pPr>
        <w:spacing w:after="0" w:line="9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CME Group is a trademark of CME Group Inc. The Globe logo, CME, Chicago Mercantile Exchange, Globex and E-mini are trademarks of Chicago Mercantile Exchange Inc. CBOT and Chicago Board of Trade are trademarks of Board of Trade of the City of Chicago, Inc. NYMEX, New York Mercantile Exchange and ClearPort are trademarks of New York Mercantile Exchange, Inc. Dow Jones and Dow Jones Indexes are service marks of Dow Jones Trademark Holdings, LLC, and have been licensed to CME Index Services LLC. All other trademarks are the property of their respective owners.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From time to time, in this Quarterly Report on Form 10-Q as well as in other written reports and verbal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240" w:lineRule="exact"/>
        <w:rPr>
          <w:sz w:val="20"/>
          <w:szCs w:val="20"/>
          <w:color w:val="auto"/>
        </w:rPr>
      </w:pPr>
    </w:p>
    <w:p>
      <w:pPr>
        <w:ind w:left="780" w:right="38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competition by foreign and domestic entities, including increased competition from new entrants into our markets and consolidation of existing entities;</w:t>
      </w:r>
    </w:p>
    <w:p>
      <w:pPr>
        <w:spacing w:after="0" w:line="253"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pace with rapid technological developments, including our ability to complete the development, implementation and maintenance of the enhanced functionality required by our customers;</w:t>
      </w:r>
    </w:p>
    <w:p>
      <w:pPr>
        <w:spacing w:after="0" w:line="253" w:lineRule="exact"/>
        <w:rPr>
          <w:rFonts w:ascii="Arial" w:cs="Arial" w:eastAsia="Arial" w:hAnsi="Arial"/>
          <w:sz w:val="18"/>
          <w:szCs w:val="18"/>
          <w:color w:val="auto"/>
        </w:rPr>
      </w:pPr>
    </w:p>
    <w:p>
      <w:pPr>
        <w:ind w:left="780" w:right="80" w:hanging="326"/>
        <w:spacing w:after="0" w:line="259"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introducing competitive new products and services on a timely, cost-effective basis, including through our electronic trading capabilities, and our ability to maintain the competitiveness of our existing products and services, including our ability to provide effective services to the over-the-counter market;</w:t>
      </w:r>
    </w:p>
    <w:p>
      <w:pPr>
        <w:spacing w:after="0" w:line="261"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adjust our fixed costs and expenses if our revenues decline;</w:t>
      </w:r>
    </w:p>
    <w:p>
      <w:pPr>
        <w:spacing w:after="0" w:line="292"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revenues from our processing services;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existing customers, develop strategic relationships and attract new customers;</w:t>
      </w:r>
    </w:p>
    <w:p>
      <w:pPr>
        <w:spacing w:after="0" w:line="292"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expand and offer our products outside the United States;</w:t>
      </w:r>
    </w:p>
    <w:p>
      <w:pPr>
        <w:spacing w:after="0" w:line="292"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domestic and non-U.S. regulations;</w:t>
      </w:r>
    </w:p>
    <w:p>
      <w:pPr>
        <w:spacing w:after="0" w:line="292"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government policy, including policies relating to common or directed clearing and changes as a result of legislation stemming from the implementation of the Dodd-Frank Act;</w:t>
      </w:r>
    </w:p>
    <w:p>
      <w:pPr>
        <w:spacing w:after="0" w:line="253"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associated with protecting our intellectual property rights and our ability to operate our business without violating the intellectual property rights of others;</w:t>
      </w:r>
    </w:p>
    <w:p>
      <w:pPr>
        <w:spacing w:after="0" w:line="253" w:lineRule="exact"/>
        <w:rPr>
          <w:rFonts w:ascii="Arial" w:cs="Arial" w:eastAsia="Arial" w:hAnsi="Arial"/>
          <w:sz w:val="18"/>
          <w:szCs w:val="18"/>
          <w:color w:val="auto"/>
        </w:rPr>
      </w:pPr>
    </w:p>
    <w:p>
      <w:pPr>
        <w:ind w:left="780" w:right="20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generate revenue from our market data that may be reduced or eliminated by the growth of electronic trading, the state of the overall economy or declines in subscriptions;</w:t>
      </w:r>
    </w:p>
    <w:p>
      <w:pPr>
        <w:spacing w:after="0" w:line="253" w:lineRule="exact"/>
        <w:rPr>
          <w:rFonts w:ascii="Arial" w:cs="Arial" w:eastAsia="Arial" w:hAnsi="Arial"/>
          <w:sz w:val="18"/>
          <w:szCs w:val="18"/>
          <w:color w:val="auto"/>
        </w:rPr>
      </w:pPr>
    </w:p>
    <w:p>
      <w:pPr>
        <w:ind w:left="780" w:right="260" w:hanging="326"/>
        <w:spacing w:after="0" w:line="370" w:lineRule="auto"/>
        <w:tabs>
          <w:tab w:leader="none" w:pos="780" w:val="left"/>
        </w:tabs>
        <w:numPr>
          <w:ilvl w:val="0"/>
          <w:numId w:val="4"/>
        </w:numPr>
        <w:rPr>
          <w:rFonts w:ascii="Arial" w:cs="Arial" w:eastAsia="Arial" w:hAnsi="Arial"/>
          <w:sz w:val="15"/>
          <w:szCs w:val="15"/>
          <w:color w:val="auto"/>
        </w:rPr>
      </w:pPr>
      <w:r>
        <w:rPr>
          <w:rFonts w:ascii="Arial" w:cs="Arial" w:eastAsia="Arial" w:hAnsi="Arial"/>
          <w:sz w:val="15"/>
          <w:szCs w:val="15"/>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spacing w:after="0" w:line="183" w:lineRule="exact"/>
        <w:rPr>
          <w:rFonts w:ascii="Arial" w:cs="Arial" w:eastAsia="Arial" w:hAnsi="Arial"/>
          <w:sz w:val="15"/>
          <w:szCs w:val="15"/>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financial safeguards package to adequately protect us from the credit risks of clearing members;</w:t>
      </w:r>
    </w:p>
    <w:p>
      <w:pPr>
        <w:spacing w:after="0" w:line="292"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compliance and risk management methods to effectively monitor and manage our risks, including our ability to prevent errors and misconduct;</w:t>
      </w:r>
    </w:p>
    <w:p>
      <w:pPr>
        <w:spacing w:after="0" w:line="253" w:lineRule="exact"/>
        <w:rPr>
          <w:rFonts w:ascii="Arial" w:cs="Arial" w:eastAsia="Arial" w:hAnsi="Arial"/>
          <w:sz w:val="18"/>
          <w:szCs w:val="18"/>
          <w:color w:val="auto"/>
        </w:rPr>
      </w:pPr>
    </w:p>
    <w:p>
      <w:pPr>
        <w:ind w:left="780" w:right="74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price levels and volatility in the derivatives markets and in underlying fixed income, equity, foreign exchange, interest rate and commodities markets;</w:t>
      </w:r>
    </w:p>
    <w:p>
      <w:pPr>
        <w:spacing w:after="0" w:line="253" w:lineRule="exact"/>
        <w:rPr>
          <w:rFonts w:ascii="Arial" w:cs="Arial" w:eastAsia="Arial" w:hAnsi="Arial"/>
          <w:sz w:val="18"/>
          <w:szCs w:val="18"/>
          <w:color w:val="auto"/>
        </w:rPr>
      </w:pPr>
    </w:p>
    <w:p>
      <w:pPr>
        <w:ind w:left="780" w:right="260" w:hanging="326"/>
        <w:spacing w:after="0" w:line="332"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economic, political and market conditions, including the volatility of the capital and credit markets and the impact of economic conditions on the trading activity of our current and potential customers stemming from the financial crisis that began in 2008 and any other future crises;</w:t>
      </w:r>
    </w:p>
    <w:p>
      <w:pPr>
        <w:spacing w:after="0" w:line="206" w:lineRule="exact"/>
        <w:rPr>
          <w:rFonts w:ascii="Arial" w:cs="Arial" w:eastAsia="Arial" w:hAnsi="Arial"/>
          <w:sz w:val="16"/>
          <w:szCs w:val="16"/>
          <w:color w:val="auto"/>
        </w:rPr>
      </w:pPr>
    </w:p>
    <w:p>
      <w:pPr>
        <w:ind w:left="78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accommodate increases in trading volume and order transaction traffic without failure or degradation of the performance of our trading and clearing systems;</w:t>
      </w:r>
    </w:p>
    <w:p>
      <w:pPr>
        <w:spacing w:after="0" w:line="25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execute our growth strategy and maintain our growth effectively;</w:t>
      </w:r>
    </w:p>
    <w:p>
      <w:pPr>
        <w:spacing w:after="0" w:line="292"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the risks and control the costs associated with our acquisition, investment and alliance strategy;</w:t>
      </w:r>
    </w:p>
    <w:p>
      <w:pPr>
        <w:spacing w:after="0" w:line="292"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to generate funds and/or manage our indebtedness to allow us to continue to invest in our business;</w:t>
      </w:r>
    </w:p>
    <w:p>
      <w:pPr>
        <w:spacing w:after="0" w:line="292"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and customer consolidation;</w:t>
      </w:r>
    </w:p>
    <w:p>
      <w:pPr>
        <w:spacing w:after="0" w:line="292"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decreases in trading and clearing activity;</w:t>
      </w:r>
    </w:p>
    <w:p>
      <w:pPr>
        <w:spacing w:after="0" w:line="292" w:lineRule="exact"/>
        <w:rPr>
          <w:rFonts w:ascii="Arial" w:cs="Arial" w:eastAsia="Arial" w:hAnsi="Arial"/>
          <w:sz w:val="18"/>
          <w:szCs w:val="18"/>
          <w:color w:val="auto"/>
        </w:rPr>
      </w:pPr>
    </w:p>
    <w:p>
      <w:pPr>
        <w:ind w:left="780" w:right="64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imposition of a transaction tax or user fee on futures and options on futures transactions and/or repeal of the 60/40 tax treatment of such transactions;</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unfavorable resolution of material legal proceedings; and</w:t>
      </w:r>
    </w:p>
    <w:p>
      <w:pPr>
        <w:spacing w:after="0" w:line="292"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seasonality of the futures business.</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a detailed discussion of these and other factors that might affect our performance, see Item 1A. of our Annual Report on Form 10-K, filed with the Securities and Exchange Commission on February 28, 2011 and Item 1A of this Report.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32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 AND SUPPLEMENTARY DATA</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8"/>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320" w:type="dxa"/>
            <w:vAlign w:val="bottom"/>
          </w:tcPr>
          <w:p>
            <w:pPr>
              <w:jc w:val="center"/>
              <w:ind w:left="1112"/>
              <w:spacing w:after="0"/>
              <w:rPr>
                <w:sz w:val="20"/>
                <w:szCs w:val="20"/>
                <w:color w:val="auto"/>
              </w:rPr>
            </w:pPr>
            <w:r>
              <w:rPr>
                <w:rFonts w:ascii="Arial" w:cs="Arial" w:eastAsia="Arial" w:hAnsi="Arial"/>
                <w:sz w:val="18"/>
                <w:szCs w:val="18"/>
                <w:b w:val="1"/>
                <w:bCs w:val="1"/>
                <w:color w:val="auto"/>
                <w:w w:val="97"/>
              </w:rPr>
              <w:t>CME GROUP INC. AND SUBSIDIARIES</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320" w:type="dxa"/>
            <w:vAlign w:val="bottom"/>
          </w:tcPr>
          <w:p>
            <w:pPr>
              <w:jc w:val="center"/>
              <w:ind w:left="1112"/>
              <w:spacing w:after="0"/>
              <w:rPr>
                <w:sz w:val="20"/>
                <w:szCs w:val="20"/>
                <w:color w:val="auto"/>
              </w:rPr>
            </w:pPr>
            <w:r>
              <w:rPr>
                <w:rFonts w:ascii="Arial" w:cs="Arial" w:eastAsia="Arial" w:hAnsi="Arial"/>
                <w:sz w:val="18"/>
                <w:szCs w:val="18"/>
                <w:b w:val="1"/>
                <w:bCs w:val="1"/>
                <w:color w:val="auto"/>
                <w:w w:val="96"/>
              </w:rPr>
              <w:t>CONSOLIDATED BALANCE SHEETS</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320" w:type="dxa"/>
            <w:vAlign w:val="bottom"/>
          </w:tcPr>
          <w:p>
            <w:pPr>
              <w:jc w:val="center"/>
              <w:ind w:left="1092"/>
              <w:spacing w:after="0"/>
              <w:rPr>
                <w:sz w:val="20"/>
                <w:szCs w:val="20"/>
                <w:color w:val="auto"/>
              </w:rPr>
            </w:pPr>
            <w:r>
              <w:rPr>
                <w:rFonts w:ascii="Arial" w:cs="Arial" w:eastAsia="Arial" w:hAnsi="Arial"/>
                <w:sz w:val="18"/>
                <w:szCs w:val="18"/>
                <w:color w:val="auto"/>
                <w:w w:val="87"/>
              </w:rPr>
              <w:t>(dollars in millions, except per share data; shares in thousands)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320" w:type="dxa"/>
            <w:vAlign w:val="bottom"/>
          </w:tcPr>
          <w:p>
            <w:pPr>
              <w:jc w:val="center"/>
              <w:ind w:left="1092"/>
              <w:spacing w:after="0"/>
              <w:rPr>
                <w:sz w:val="20"/>
                <w:szCs w:val="20"/>
                <w:color w:val="auto"/>
              </w:rPr>
            </w:pPr>
            <w:r>
              <w:rPr>
                <w:rFonts w:ascii="Arial" w:cs="Arial" w:eastAsia="Arial" w:hAnsi="Arial"/>
                <w:sz w:val="18"/>
                <w:szCs w:val="18"/>
                <w:color w:val="auto"/>
                <w:w w:val="90"/>
              </w:rPr>
              <w:t>(unaudited)</w:t>
            </w:r>
          </w:p>
        </w:tc>
        <w:tc>
          <w:tcPr>
            <w:tcW w:w="140" w:type="dxa"/>
            <w:vAlign w:val="bottom"/>
          </w:tcPr>
          <w:p>
            <w:pPr>
              <w:spacing w:after="0"/>
              <w:rPr>
                <w:sz w:val="19"/>
                <w:szCs w:val="19"/>
                <w:color w:val="auto"/>
              </w:rPr>
            </w:pPr>
          </w:p>
        </w:tc>
        <w:tc>
          <w:tcPr>
            <w:tcW w:w="13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June 30,</w:t>
            </w:r>
          </w:p>
        </w:tc>
        <w:tc>
          <w:tcPr>
            <w:tcW w:w="114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1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73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2011</w:t>
            </w:r>
          </w:p>
        </w:tc>
        <w:tc>
          <w:tcPr>
            <w:tcW w:w="5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4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Assets</w:t>
            </w:r>
          </w:p>
        </w:tc>
        <w:tc>
          <w:tcPr>
            <w:tcW w:w="7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Current Assets:</w:t>
            </w:r>
          </w:p>
        </w:tc>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693.6</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16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55.0</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Accounts receivable, net of allowance of $1.3 and $1.6</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385.8</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160"/>
              <w:spacing w:after="0"/>
              <w:rPr>
                <w:sz w:val="20"/>
                <w:szCs w:val="20"/>
                <w:color w:val="auto"/>
              </w:rPr>
            </w:pPr>
            <w:r>
              <w:rPr>
                <w:rFonts w:ascii="Arial" w:cs="Arial" w:eastAsia="Arial" w:hAnsi="Arial"/>
                <w:sz w:val="18"/>
                <w:szCs w:val="18"/>
                <w:color w:val="auto"/>
              </w:rPr>
              <w:t>Other current assets (includes $40.0 and $0 in restricted cash)</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178.9</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performance bonds and guaranty fund contributions</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4,241.8</w:t>
            </w:r>
          </w:p>
        </w:tc>
        <w:tc>
          <w:tcPr>
            <w:tcW w:w="5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460" w:type="dxa"/>
            <w:vAlign w:val="bottom"/>
            <w:gridSpan w:val="2"/>
          </w:tcPr>
          <w:p>
            <w:pPr>
              <w:spacing w:after="0"/>
              <w:rPr>
                <w:sz w:val="20"/>
                <w:szCs w:val="20"/>
                <w:color w:val="auto"/>
              </w:rPr>
            </w:pPr>
            <w:r>
              <w:rPr>
                <w:rFonts w:ascii="Arial" w:cs="Arial" w:eastAsia="Arial" w:hAnsi="Arial"/>
                <w:sz w:val="18"/>
                <w:szCs w:val="18"/>
                <w:color w:val="auto"/>
                <w:w w:val="91"/>
              </w:rPr>
              <w:t>Total current assets</w:t>
            </w:r>
          </w:p>
        </w:tc>
        <w:tc>
          <w:tcPr>
            <w:tcW w:w="7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5,555.1</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5,387.5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net of accumulated depreciation and amortization of $556.5 and $512.9</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812.8</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Intangible assets – trading products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17,040.5</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17,040.5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 other, net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3,379.1</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Goodwill</w:t>
            </w:r>
          </w:p>
        </w:tc>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7,985.4</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7,983.6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 (includes $20.0 and $0 in restricted cash)</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816.3</w:t>
            </w:r>
          </w:p>
        </w:tc>
        <w:tc>
          <w:tcPr>
            <w:tcW w:w="5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73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35,589.2</w:t>
            </w:r>
          </w:p>
        </w:tc>
        <w:tc>
          <w:tcPr>
            <w:tcW w:w="50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35,046.1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7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w w:val="98"/>
              </w:rPr>
              <w:t>Current Liabilities:</w:t>
            </w:r>
          </w:p>
        </w:tc>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8"/>
              </w:rPr>
              <w:t>Accounts payable</w:t>
            </w:r>
          </w:p>
        </w:tc>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Short-term debt</w:t>
            </w:r>
          </w:p>
        </w:tc>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gridSpan w:val="2"/>
          </w:tcPr>
          <w:p>
            <w:pPr>
              <w:ind w:left="160"/>
              <w:spacing w:after="0"/>
              <w:rPr>
                <w:sz w:val="20"/>
                <w:szCs w:val="20"/>
                <w:color w:val="auto"/>
              </w:rPr>
            </w:pPr>
            <w:r>
              <w:rPr>
                <w:rFonts w:ascii="Arial" w:cs="Arial" w:eastAsia="Arial" w:hAnsi="Arial"/>
                <w:sz w:val="18"/>
                <w:szCs w:val="18"/>
                <w:color w:val="auto"/>
              </w:rPr>
              <w:t>Cash performance bonds and guaranty fund contributions</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4,241.8</w:t>
            </w:r>
          </w:p>
        </w:tc>
        <w:tc>
          <w:tcPr>
            <w:tcW w:w="5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4,522.7</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Long-term debt</w:t>
            </w:r>
          </w:p>
        </w:tc>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2,105.8</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liabilities, net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7,786.5</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Other liabilities</w:t>
            </w:r>
          </w:p>
        </w:tc>
        <w:tc>
          <w:tcPr>
            <w:tcW w:w="7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5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7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14,616.1</w:t>
            </w:r>
          </w:p>
        </w:tc>
        <w:tc>
          <w:tcPr>
            <w:tcW w:w="5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8780" w:type="dxa"/>
            <w:vAlign w:val="bottom"/>
            <w:gridSpan w:val="3"/>
          </w:tcPr>
          <w:p>
            <w:pPr>
              <w:spacing w:after="0"/>
              <w:rPr>
                <w:sz w:val="20"/>
                <w:szCs w:val="20"/>
                <w:color w:val="auto"/>
              </w:rPr>
            </w:pPr>
            <w:r>
              <w:rPr>
                <w:rFonts w:ascii="Arial" w:cs="Arial" w:eastAsia="Arial" w:hAnsi="Arial"/>
                <w:sz w:val="18"/>
                <w:szCs w:val="18"/>
                <w:color w:val="auto"/>
              </w:rPr>
              <w:t>Redeemable non-controlling interest</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70.6</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76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160"/>
              <w:spacing w:after="0"/>
              <w:rPr>
                <w:sz w:val="20"/>
                <w:szCs w:val="20"/>
                <w:color w:val="auto"/>
              </w:rPr>
            </w:pPr>
            <w:r>
              <w:rPr>
                <w:rFonts w:ascii="Arial" w:cs="Arial" w:eastAsia="Arial" w:hAnsi="Arial"/>
                <w:sz w:val="18"/>
                <w:szCs w:val="18"/>
                <w:color w:val="auto"/>
              </w:rPr>
              <w:t>Preferred stock, $0.01 par value, 9,860 shares authorized, none issued or outstanding</w:t>
            </w:r>
          </w:p>
        </w:tc>
        <w:tc>
          <w:tcPr>
            <w:tcW w:w="14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6"/>
              </w:rPr>
              <w:t>Series A junior participating preferred stock, $0.01 par value, 140 shares authorized, none issued or outstanding</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gridSpan w:val="2"/>
          </w:tcPr>
          <w:p>
            <w:pPr>
              <w:ind w:left="160"/>
              <w:spacing w:after="0"/>
              <w:rPr>
                <w:sz w:val="20"/>
                <w:szCs w:val="20"/>
                <w:color w:val="auto"/>
              </w:rPr>
            </w:pPr>
            <w:r>
              <w:rPr>
                <w:rFonts w:ascii="Arial" w:cs="Arial" w:eastAsia="Arial" w:hAnsi="Arial"/>
                <w:sz w:val="18"/>
                <w:szCs w:val="18"/>
                <w:color w:val="auto"/>
                <w:w w:val="99"/>
              </w:rPr>
              <w:t>Class A common stock, $0.01 par value, 1,000,000 shares authorized, 66,667 and 66,847 shares issued and</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gridSpan w:val="2"/>
          </w:tcPr>
          <w:p>
            <w:pPr>
              <w:ind w:left="380"/>
              <w:spacing w:after="0"/>
              <w:rPr>
                <w:sz w:val="20"/>
                <w:szCs w:val="20"/>
                <w:color w:val="auto"/>
              </w:rPr>
            </w:pPr>
            <w:r>
              <w:rPr>
                <w:rFonts w:ascii="Arial" w:cs="Arial" w:eastAsia="Arial" w:hAnsi="Arial"/>
                <w:sz w:val="18"/>
                <w:szCs w:val="18"/>
                <w:color w:val="auto"/>
              </w:rPr>
              <w:t>outstanding as of June 30, 2011 and December 31, 2010, respectively</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0.7</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Class B common stock, $0.01 par value, 3 shares authorized, issued and outstanding</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1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17,244.9</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17,277.7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Retained earnings</w:t>
            </w:r>
          </w:p>
        </w:tc>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3,448.6</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gridSpan w:val="2"/>
          </w:tcPr>
          <w:p>
            <w:pPr>
              <w:ind w:left="16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208.3</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20,902.5</w:t>
            </w:r>
          </w:p>
        </w:tc>
        <w:tc>
          <w:tcPr>
            <w:tcW w:w="50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8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35,589.2</w:t>
            </w:r>
          </w:p>
        </w:tc>
        <w:tc>
          <w:tcPr>
            <w:tcW w:w="50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35,046.1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6"/>
          </w:tcPr>
          <w:p>
            <w:pPr>
              <w:jc w:val="right"/>
              <w:ind w:right="1060"/>
              <w:spacing w:after="0"/>
              <w:rPr>
                <w:sz w:val="20"/>
                <w:szCs w:val="20"/>
                <w:color w:val="auto"/>
              </w:rPr>
            </w:pPr>
            <w:r>
              <w:rPr>
                <w:rFonts w:ascii="Arial" w:cs="Arial" w:eastAsia="Arial" w:hAnsi="Arial"/>
                <w:sz w:val="18"/>
                <w:szCs w:val="18"/>
                <w:b w:val="1"/>
                <w:bCs w:val="1"/>
                <w:color w:val="auto"/>
              </w:rPr>
              <w:t>Quarter Ended</w:t>
            </w:r>
          </w:p>
        </w:tc>
        <w:tc>
          <w:tcPr>
            <w:tcW w:w="180" w:type="dxa"/>
            <w:vAlign w:val="bottom"/>
          </w:tcPr>
          <w:p>
            <w:pPr>
              <w:spacing w:after="0"/>
              <w:rPr>
                <w:sz w:val="18"/>
                <w:szCs w:val="18"/>
                <w:color w:val="auto"/>
              </w:rPr>
            </w:pPr>
          </w:p>
        </w:tc>
        <w:tc>
          <w:tcPr>
            <w:tcW w:w="198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7"/>
              </w:rPr>
              <w:t>Six Months Ended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June 30,</w:t>
            </w: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4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2011</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2010</w:t>
            </w:r>
          </w:p>
        </w:tc>
        <w:tc>
          <w:tcPr>
            <w:tcW w:w="4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9"/>
              </w:rPr>
              <w:t>2011</w:t>
            </w:r>
          </w:p>
        </w:tc>
        <w:tc>
          <w:tcPr>
            <w:tcW w:w="4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4"/>
              </w:rPr>
              <w:t>2010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Clearing and transaction fees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687.8</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684.2</w:t>
            </w:r>
          </w:p>
        </w:tc>
        <w:tc>
          <w:tcPr>
            <w:tcW w:w="48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1,379.1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1,262.2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Market data and information services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107.9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214.9</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Access and communication fees</w:t>
            </w: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11.2</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22.8</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53.1</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Revenues</w:t>
            </w: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838.3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813.9</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1,669.9</w:t>
            </w:r>
          </w:p>
        </w:tc>
        <w:tc>
          <w:tcPr>
            <w:tcW w:w="1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1,507.1</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4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117.5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103.1</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239.8</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Communications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20.7</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Technology support services</w:t>
            </w: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12.7</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25.4</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 and outside services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61.4</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Amortization of purchased intangibles</w:t>
            </w: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33.0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32.3</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66.2</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62.7</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Occupancy and building operations</w:t>
            </w: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19.0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20.2</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38.4</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Licensing and other fee agreements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42.1</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29.1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40.4</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54.6</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Expenses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303.8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611.3</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577.3</w:t>
            </w: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64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534.5</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515.1</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1,058.6</w:t>
            </w:r>
          </w:p>
        </w:tc>
        <w:tc>
          <w:tcPr>
            <w:tcW w:w="14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929.8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Income (Expense)</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Investment income</w:t>
            </w: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23.4</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Gains (losses) on derivative investments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Interest and other borrowing costs</w:t>
            </w: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(28.7)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(37.9)</w:t>
            </w:r>
          </w:p>
        </w:tc>
        <w:tc>
          <w:tcPr>
            <w:tcW w:w="1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(58.8)</w:t>
            </w: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Equity in net losses of unconsolidated subsidiaries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Non-Operating</w:t>
            </w: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(25.2)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(35.0)</w:t>
            </w:r>
          </w:p>
        </w:tc>
        <w:tc>
          <w:tcPr>
            <w:tcW w:w="18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(37.7)</w:t>
            </w:r>
          </w:p>
        </w:tc>
        <w:tc>
          <w:tcPr>
            <w:tcW w:w="14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4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509.3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480.1</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1,020.9</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Income tax provision</w:t>
            </w: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213.7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208.9</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268.2</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367.6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295.6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752.7</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Less: net income attributable to redeemable non-controlling Interest</w:t>
            </w: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0.5</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CME Group</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293.7</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750.3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510.9</w:t>
            </w: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Common Share Attributable to CME Group:</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4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4.40</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4.38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4.11</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11.20</w:t>
            </w:r>
          </w:p>
        </w:tc>
        <w:tc>
          <w:tcPr>
            <w:tcW w:w="1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Common Shares: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66,759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65,582</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66,808</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65,906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66,974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65,784</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67,018</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66,104</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Common</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Accumulated</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Class A</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4"/>
              </w:rPr>
              <w:t>Class B</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5"/>
              </w:rPr>
              <w:t>Stock and</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Other</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Common</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7"/>
              </w:rPr>
              <w:t>Common</w:t>
            </w:r>
          </w:p>
        </w:tc>
        <w:tc>
          <w:tcPr>
            <w:tcW w:w="360" w:type="dxa"/>
            <w:vAlign w:val="bottom"/>
          </w:tcPr>
          <w:p>
            <w:pPr>
              <w:spacing w:after="0"/>
              <w:rPr>
                <w:sz w:val="18"/>
                <w:szCs w:val="18"/>
                <w:color w:val="auto"/>
              </w:rPr>
            </w:pPr>
          </w:p>
        </w:tc>
        <w:tc>
          <w:tcPr>
            <w:tcW w:w="13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0"/>
              </w:rPr>
              <w:t>Additional</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Total</w:t>
            </w:r>
          </w:p>
        </w:tc>
      </w:tr>
      <w:tr>
        <w:trPr>
          <w:trHeight w:val="216"/>
        </w:trPr>
        <w:tc>
          <w:tcPr>
            <w:tcW w:w="360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Stock</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5"/>
              </w:rPr>
              <w:t>Stock</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Paid-in</w:t>
            </w:r>
          </w:p>
        </w:tc>
        <w:tc>
          <w:tcPr>
            <w:tcW w:w="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6"/>
              </w:rPr>
              <w:t>Retained</w:t>
            </w:r>
          </w:p>
        </w:tc>
        <w:tc>
          <w:tcPr>
            <w:tcW w:w="160" w:type="dxa"/>
            <w:vAlign w:val="bottom"/>
          </w:tcPr>
          <w:p>
            <w:pPr>
              <w:spacing w:after="0"/>
              <w:rPr>
                <w:sz w:val="18"/>
                <w:szCs w:val="18"/>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Comprehensive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Shareholders’</w:t>
            </w:r>
          </w:p>
        </w:tc>
      </w:tr>
      <w:tr>
        <w:trPr>
          <w:trHeight w:val="228"/>
        </w:trPr>
        <w:tc>
          <w:tcPr>
            <w:tcW w:w="36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3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(Shares)</w:t>
            </w:r>
          </w:p>
        </w:tc>
        <w:tc>
          <w:tcPr>
            <w:tcW w:w="3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9"/>
              </w:rPr>
              <w:t>Capital</w:t>
            </w:r>
          </w:p>
        </w:tc>
        <w:tc>
          <w:tcPr>
            <w:tcW w:w="36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auto"/>
                <w:w w:val="96"/>
              </w:rPr>
              <w:t>Earnings</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Income (Loss)</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Equity</w:t>
            </w:r>
          </w:p>
        </w:tc>
        <w:tc>
          <w:tcPr>
            <w:tcW w:w="100" w:type="dxa"/>
            <w:vAlign w:val="bottom"/>
            <w:tcBorders>
              <w:bottom w:val="single" w:sz="8" w:color="CCEEFF"/>
            </w:tcBorders>
          </w:tcPr>
          <w:p>
            <w:pPr>
              <w:spacing w:after="0"/>
              <w:rPr>
                <w:sz w:val="19"/>
                <w:szCs w:val="19"/>
                <w:color w:val="auto"/>
              </w:rPr>
            </w:pPr>
          </w:p>
        </w:tc>
      </w:tr>
      <w:tr>
        <w:trPr>
          <w:trHeight w:val="212"/>
        </w:trPr>
        <w:tc>
          <w:tcPr>
            <w:tcW w:w="360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Balance at December 31, 2010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66,847</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17,278.4</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20,060.1</w:t>
            </w:r>
          </w:p>
        </w:tc>
        <w:tc>
          <w:tcPr>
            <w:tcW w:w="100" w:type="dxa"/>
            <w:vAlign w:val="bottom"/>
            <w:shd w:val="clear" w:color="auto" w:fill="CCEEFF"/>
          </w:tcPr>
          <w:p>
            <w:pPr>
              <w:spacing w:after="0"/>
              <w:rPr>
                <w:sz w:val="18"/>
                <w:szCs w:val="18"/>
                <w:color w:val="auto"/>
              </w:rPr>
            </w:pPr>
          </w:p>
        </w:tc>
      </w:tr>
      <w:tr>
        <w:trPr>
          <w:trHeight w:val="208"/>
        </w:trPr>
        <w:tc>
          <w:tcPr>
            <w:tcW w:w="3600" w:type="dxa"/>
            <w:vAlign w:val="bottom"/>
          </w:tcPr>
          <w:p>
            <w:pPr>
              <w:spacing w:after="0"/>
              <w:rPr>
                <w:sz w:val="20"/>
                <w:szCs w:val="20"/>
                <w:color w:val="auto"/>
              </w:rPr>
            </w:pPr>
            <w:r>
              <w:rPr>
                <w:rFonts w:ascii="Arial" w:cs="Arial" w:eastAsia="Arial" w:hAnsi="Arial"/>
                <w:sz w:val="18"/>
                <w:szCs w:val="18"/>
                <w:color w:val="auto"/>
              </w:rPr>
              <w:t>Comprehensive income attributable to CME</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3600" w:type="dxa"/>
            <w:vAlign w:val="bottom"/>
          </w:tcPr>
          <w:p>
            <w:pPr>
              <w:ind w:left="220"/>
              <w:spacing w:after="0"/>
              <w:rPr>
                <w:sz w:val="20"/>
                <w:szCs w:val="20"/>
                <w:color w:val="auto"/>
              </w:rPr>
            </w:pPr>
            <w:r>
              <w:rPr>
                <w:rFonts w:ascii="Arial" w:cs="Arial" w:eastAsia="Arial" w:hAnsi="Arial"/>
                <w:sz w:val="18"/>
                <w:szCs w:val="18"/>
                <w:color w:val="auto"/>
              </w:rPr>
              <w:t>Group:</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3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attributable to CME Group</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750.3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750.3</w:t>
            </w:r>
          </w:p>
        </w:tc>
      </w:tr>
      <w:tr>
        <w:trPr>
          <w:trHeight w:val="208"/>
        </w:trPr>
        <w:tc>
          <w:tcPr>
            <w:tcW w:w="3600" w:type="dxa"/>
            <w:vAlign w:val="bottom"/>
          </w:tcPr>
          <w:p>
            <w:pPr>
              <w:ind w:left="440"/>
              <w:spacing w:after="0"/>
              <w:rPr>
                <w:sz w:val="20"/>
                <w:szCs w:val="20"/>
                <w:color w:val="auto"/>
              </w:rPr>
            </w:pPr>
            <w:r>
              <w:rPr>
                <w:rFonts w:ascii="Arial" w:cs="Arial" w:eastAsia="Arial" w:hAnsi="Arial"/>
                <w:sz w:val="18"/>
                <w:szCs w:val="18"/>
                <w:color w:val="auto"/>
              </w:rPr>
              <w:t>Change in net unrealized gain on</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3600" w:type="dxa"/>
            <w:vAlign w:val="bottom"/>
          </w:tcPr>
          <w:p>
            <w:pPr>
              <w:ind w:left="660"/>
              <w:spacing w:after="0"/>
              <w:rPr>
                <w:sz w:val="20"/>
                <w:szCs w:val="20"/>
                <w:color w:val="auto"/>
              </w:rPr>
            </w:pPr>
            <w:r>
              <w:rPr>
                <w:rFonts w:ascii="Arial" w:cs="Arial" w:eastAsia="Arial" w:hAnsi="Arial"/>
                <w:sz w:val="18"/>
                <w:szCs w:val="18"/>
                <w:color w:val="auto"/>
              </w:rPr>
              <w:t>securities, net of tax of $82.6</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228.0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228.0</w:t>
            </w:r>
          </w:p>
        </w:tc>
      </w:tr>
      <w:tr>
        <w:trPr>
          <w:trHeight w:val="209"/>
        </w:trPr>
        <w:tc>
          <w:tcPr>
            <w:tcW w:w="3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 in net actuarial loss on defined</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36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benefit plans, net of tax of $1.0</w:t>
            </w: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r>
      <w:tr>
        <w:trPr>
          <w:trHeight w:val="208"/>
        </w:trPr>
        <w:tc>
          <w:tcPr>
            <w:tcW w:w="3600" w:type="dxa"/>
            <w:vAlign w:val="bottom"/>
          </w:tcPr>
          <w:p>
            <w:pPr>
              <w:ind w:left="440"/>
              <w:spacing w:after="0"/>
              <w:rPr>
                <w:sz w:val="20"/>
                <w:szCs w:val="20"/>
                <w:color w:val="auto"/>
              </w:rPr>
            </w:pPr>
            <w:r>
              <w:rPr>
                <w:rFonts w:ascii="Arial" w:cs="Arial" w:eastAsia="Arial" w:hAnsi="Arial"/>
                <w:sz w:val="18"/>
                <w:szCs w:val="18"/>
                <w:color w:val="auto"/>
                <w:w w:val="96"/>
              </w:rPr>
              <w:t>Net change in derivative instruments, net</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3600" w:type="dxa"/>
            <w:vAlign w:val="bottom"/>
          </w:tcPr>
          <w:p>
            <w:pPr>
              <w:ind w:left="660"/>
              <w:spacing w:after="0"/>
              <w:rPr>
                <w:sz w:val="20"/>
                <w:szCs w:val="20"/>
                <w:color w:val="auto"/>
              </w:rPr>
            </w:pPr>
            <w:r>
              <w:rPr>
                <w:rFonts w:ascii="Arial" w:cs="Arial" w:eastAsia="Arial" w:hAnsi="Arial"/>
                <w:sz w:val="18"/>
                <w:szCs w:val="18"/>
                <w:color w:val="auto"/>
              </w:rPr>
              <w:t>of tax of $0.2</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r>
      <w:tr>
        <w:trPr>
          <w:trHeight w:val="209"/>
        </w:trPr>
        <w:tc>
          <w:tcPr>
            <w:tcW w:w="3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 in foreign currency translation</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36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adjustment, net of tax of $14.3</w:t>
            </w: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w:t>
            </w:r>
          </w:p>
        </w:tc>
      </w:tr>
      <w:tr>
        <w:trPr>
          <w:trHeight w:val="215"/>
        </w:trPr>
        <w:tc>
          <w:tcPr>
            <w:tcW w:w="3600" w:type="dxa"/>
            <w:vAlign w:val="bottom"/>
          </w:tcPr>
          <w:p>
            <w:pPr>
              <w:spacing w:after="0"/>
              <w:rPr>
                <w:sz w:val="20"/>
                <w:szCs w:val="20"/>
                <w:color w:val="auto"/>
              </w:rPr>
            </w:pPr>
            <w:r>
              <w:rPr>
                <w:rFonts w:ascii="Arial" w:cs="Arial" w:eastAsia="Arial" w:hAnsi="Arial"/>
                <w:sz w:val="18"/>
                <w:szCs w:val="18"/>
                <w:color w:val="auto"/>
              </w:rPr>
              <w:t>Total comprehensive income attributable to</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3600" w:type="dxa"/>
            <w:vAlign w:val="bottom"/>
          </w:tcPr>
          <w:p>
            <w:pPr>
              <w:ind w:left="220"/>
              <w:spacing w:after="0"/>
              <w:rPr>
                <w:sz w:val="20"/>
                <w:szCs w:val="20"/>
                <w:color w:val="auto"/>
              </w:rPr>
            </w:pPr>
            <w:r>
              <w:rPr>
                <w:rFonts w:ascii="Arial" w:cs="Arial" w:eastAsia="Arial" w:hAnsi="Arial"/>
                <w:sz w:val="18"/>
                <w:szCs w:val="18"/>
                <w:color w:val="auto"/>
              </w:rPr>
              <w:t>CME Group</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1,062.7</w:t>
            </w: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Dividends on common stock of $2.80 per</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w:t>
            </w: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(187.5)</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(187.5)</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Repurchase of Class A common stock</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(220)</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(65.3)</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(65.3)</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r>
      <w:tr>
        <w:trPr>
          <w:trHeight w:val="208"/>
        </w:trPr>
        <w:tc>
          <w:tcPr>
            <w:tcW w:w="3600" w:type="dxa"/>
            <w:vAlign w:val="bottom"/>
          </w:tcPr>
          <w:p>
            <w:pPr>
              <w:spacing w:after="0"/>
              <w:rPr>
                <w:sz w:val="20"/>
                <w:szCs w:val="20"/>
                <w:color w:val="auto"/>
              </w:rPr>
            </w:pPr>
            <w:r>
              <w:rPr>
                <w:rFonts w:ascii="Arial" w:cs="Arial" w:eastAsia="Arial" w:hAnsi="Arial"/>
                <w:sz w:val="18"/>
                <w:szCs w:val="18"/>
                <w:color w:val="auto"/>
                <w:w w:val="97"/>
              </w:rPr>
              <w:t>Excess tax benefits from option exercises and</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3600" w:type="dxa"/>
            <w:vAlign w:val="bottom"/>
          </w:tcPr>
          <w:p>
            <w:pPr>
              <w:ind w:left="220"/>
              <w:spacing w:after="0"/>
              <w:rPr>
                <w:sz w:val="20"/>
                <w:szCs w:val="20"/>
                <w:color w:val="auto"/>
              </w:rPr>
            </w:pPr>
            <w:r>
              <w:rPr>
                <w:rFonts w:ascii="Arial" w:cs="Arial" w:eastAsia="Arial" w:hAnsi="Arial"/>
                <w:sz w:val="18"/>
                <w:szCs w:val="18"/>
                <w:color w:val="auto"/>
              </w:rPr>
              <w:t>restricted stock vesting</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Vesting of issued restricted class A common</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Shares issued to Board of Directors</w:t>
            </w: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Shares issued under Employee Stock</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Purchase Plan</w:t>
            </w: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800" w:type="dxa"/>
            <w:vAlign w:val="bottom"/>
            <w:tcBorders>
              <w:bottom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8"/>
                <w:szCs w:val="18"/>
                <w:color w:val="auto"/>
              </w:rPr>
            </w:pPr>
          </w:p>
        </w:tc>
      </w:tr>
      <w:tr>
        <w:trPr>
          <w:trHeight w:val="222"/>
        </w:trPr>
        <w:tc>
          <w:tcPr>
            <w:tcW w:w="3600" w:type="dxa"/>
            <w:vAlign w:val="bottom"/>
          </w:tcPr>
          <w:p>
            <w:pPr>
              <w:spacing w:after="0"/>
              <w:rPr>
                <w:sz w:val="20"/>
                <w:szCs w:val="20"/>
                <w:color w:val="auto"/>
              </w:rPr>
            </w:pPr>
            <w:r>
              <w:rPr>
                <w:rFonts w:ascii="Arial" w:cs="Arial" w:eastAsia="Arial" w:hAnsi="Arial"/>
                <w:sz w:val="18"/>
                <w:szCs w:val="18"/>
                <w:b w:val="1"/>
                <w:bCs w:val="1"/>
                <w:color w:val="auto"/>
              </w:rPr>
              <w:t>Balance at June 30, 2011</w:t>
            </w:r>
          </w:p>
        </w:tc>
        <w:tc>
          <w:tcPr>
            <w:tcW w:w="800" w:type="dxa"/>
            <w:vAlign w:val="bottom"/>
          </w:tcPr>
          <w:p>
            <w:pPr>
              <w:jc w:val="right"/>
              <w:spacing w:after="0"/>
              <w:rPr>
                <w:sz w:val="20"/>
                <w:szCs w:val="20"/>
                <w:color w:val="auto"/>
              </w:rPr>
            </w:pPr>
            <w:r>
              <w:rPr>
                <w:rFonts w:ascii="Arial" w:cs="Arial" w:eastAsia="Arial" w:hAnsi="Arial"/>
                <w:sz w:val="18"/>
                <w:szCs w:val="18"/>
                <w:color w:val="auto"/>
              </w:rPr>
              <w:t>66,667</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17,245.6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3,448.6</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208.3</w:t>
            </w:r>
          </w:p>
        </w:tc>
        <w:tc>
          <w:tcPr>
            <w:tcW w:w="2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20,902.5</w:t>
            </w:r>
          </w:p>
        </w:tc>
      </w:tr>
      <w:tr>
        <w:trPr>
          <w:trHeight w:val="20"/>
        </w:trPr>
        <w:tc>
          <w:tcPr>
            <w:tcW w:w="3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660"/>
        <w:spacing w:after="0" w:line="261" w:lineRule="auto"/>
        <w:rPr>
          <w:sz w:val="20"/>
          <w:szCs w:val="20"/>
          <w:color w:val="auto"/>
        </w:rPr>
      </w:pPr>
      <w:r>
        <w:rPr>
          <w:rFonts w:ascii="Arial" w:cs="Arial" w:eastAsia="Arial" w:hAnsi="Arial"/>
          <w:sz w:val="18"/>
          <w:szCs w:val="18"/>
          <w:b w:val="1"/>
          <w:bCs w:val="1"/>
          <w:color w:val="auto"/>
        </w:rPr>
        <w:t xml:space="preserve">CME GROUP INC. AND SUBSIDIARIES CONSOLIDATED STATEMENTS OF SHAREHOLDERS’ EQUITY </w:t>
      </w:r>
      <w:r>
        <w:rPr>
          <w:rFonts w:ascii="Arial" w:cs="Arial" w:eastAsia="Arial" w:hAnsi="Arial"/>
          <w:sz w:val="18"/>
          <w:szCs w:val="18"/>
          <w:color w:val="auto"/>
        </w:rPr>
        <w:t>(continued)</w:t>
      </w:r>
      <w:r>
        <w:rPr>
          <w:rFonts w:ascii="Arial" w:cs="Arial" w:eastAsia="Arial" w:hAnsi="Arial"/>
          <w:sz w:val="18"/>
          <w:szCs w:val="18"/>
          <w:b w:val="1"/>
          <w:bCs w:val="1"/>
          <w:color w:val="auto"/>
        </w:rPr>
        <w:t xml:space="preserve"> </w:t>
      </w:r>
      <w:r>
        <w:rPr>
          <w:rFonts w:ascii="Arial" w:cs="Arial" w:eastAsia="Arial" w:hAnsi="Arial"/>
          <w:sz w:val="18"/>
          <w:szCs w:val="18"/>
          <w:color w:val="auto"/>
        </w:rPr>
        <w:t>(dollars in millions, except per share data; shares in thousands) (unaudited)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Common</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Class A</w:t>
            </w: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Class B</w:t>
            </w:r>
          </w:p>
        </w:tc>
        <w:tc>
          <w:tcPr>
            <w:tcW w:w="1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Stock and</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Accumulated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Common</w:t>
            </w: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Common</w:t>
            </w:r>
          </w:p>
        </w:tc>
        <w:tc>
          <w:tcPr>
            <w:tcW w:w="11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Additional</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Total</w:t>
            </w: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Stock</w:t>
            </w: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1"/>
              </w:rPr>
              <w:t>Stock</w:t>
            </w:r>
          </w:p>
        </w:tc>
        <w:tc>
          <w:tcPr>
            <w:tcW w:w="1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Paid-in</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6"/>
              </w:rPr>
              <w:t>Retained</w:t>
            </w:r>
          </w:p>
        </w:tc>
        <w:tc>
          <w:tcPr>
            <w:tcW w:w="8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Comprehensive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Shareholders’</w:t>
            </w:r>
          </w:p>
        </w:tc>
      </w:tr>
      <w:tr>
        <w:trPr>
          <w:trHeight w:val="228"/>
        </w:trPr>
        <w:tc>
          <w:tcPr>
            <w:tcW w:w="20" w:type="dxa"/>
            <w:vAlign w:val="bottom"/>
          </w:tcPr>
          <w:p>
            <w:pPr>
              <w:spacing w:after="0"/>
              <w:rPr>
                <w:sz w:val="19"/>
                <w:szCs w:val="19"/>
                <w:color w:val="auto"/>
              </w:rPr>
            </w:pPr>
          </w:p>
        </w:tc>
        <w:tc>
          <w:tcPr>
            <w:tcW w:w="35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34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(Shares)</w:t>
            </w:r>
          </w:p>
        </w:tc>
        <w:tc>
          <w:tcPr>
            <w:tcW w:w="3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Capital</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Earnings</w:t>
            </w:r>
          </w:p>
        </w:tc>
        <w:tc>
          <w:tcPr>
            <w:tcW w:w="3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Income (Loss)</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Equity</w:t>
            </w:r>
          </w:p>
        </w:tc>
        <w:tc>
          <w:tcPr>
            <w:tcW w:w="100" w:type="dxa"/>
            <w:vAlign w:val="bottom"/>
            <w:tcBorders>
              <w:bottom w:val="single" w:sz="8" w:color="CCEEFF"/>
            </w:tcBorders>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356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Balance at December 31, 2009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66,511</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17,187.3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2,239.9</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19,301.0</w:t>
            </w:r>
          </w:p>
        </w:tc>
        <w:tc>
          <w:tcPr>
            <w:tcW w:w="10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Comprehensive income attributable to CME</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Group:</w:t>
            </w: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3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attributable to CME Group</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510.9</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510.9</w:t>
            </w:r>
          </w:p>
        </w:tc>
      </w:tr>
      <w:tr>
        <w:trPr>
          <w:trHeight w:val="208"/>
        </w:trPr>
        <w:tc>
          <w:tcPr>
            <w:tcW w:w="20" w:type="dxa"/>
            <w:vAlign w:val="bottom"/>
          </w:tcPr>
          <w:p>
            <w:pPr>
              <w:spacing w:after="0"/>
              <w:rPr>
                <w:sz w:val="18"/>
                <w:szCs w:val="18"/>
                <w:color w:val="auto"/>
              </w:rPr>
            </w:pPr>
          </w:p>
        </w:tc>
        <w:tc>
          <w:tcPr>
            <w:tcW w:w="3560" w:type="dxa"/>
            <w:vAlign w:val="bottom"/>
          </w:tcPr>
          <w:p>
            <w:pPr>
              <w:ind w:left="420"/>
              <w:spacing w:after="0"/>
              <w:rPr>
                <w:sz w:val="20"/>
                <w:szCs w:val="20"/>
                <w:color w:val="auto"/>
              </w:rPr>
            </w:pPr>
            <w:r>
              <w:rPr>
                <w:rFonts w:ascii="Arial" w:cs="Arial" w:eastAsia="Arial" w:hAnsi="Arial"/>
                <w:sz w:val="18"/>
                <w:szCs w:val="18"/>
                <w:color w:val="auto"/>
              </w:rPr>
              <w:t>Change in net unrealized gain on</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60" w:type="dxa"/>
            <w:vAlign w:val="bottom"/>
          </w:tcPr>
          <w:p>
            <w:pPr>
              <w:ind w:left="640"/>
              <w:spacing w:after="0"/>
              <w:rPr>
                <w:sz w:val="20"/>
                <w:szCs w:val="20"/>
                <w:color w:val="auto"/>
              </w:rPr>
            </w:pPr>
            <w:r>
              <w:rPr>
                <w:rFonts w:ascii="Arial" w:cs="Arial" w:eastAsia="Arial" w:hAnsi="Arial"/>
                <w:sz w:val="18"/>
                <w:szCs w:val="18"/>
                <w:color w:val="auto"/>
              </w:rPr>
              <w:t>securities, net of tax $4.1</w:t>
            </w: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r>
      <w:tr>
        <w:trPr>
          <w:trHeight w:val="209"/>
        </w:trPr>
        <w:tc>
          <w:tcPr>
            <w:tcW w:w="20" w:type="dxa"/>
            <w:vAlign w:val="bottom"/>
          </w:tcPr>
          <w:p>
            <w:pPr>
              <w:spacing w:after="0"/>
              <w:rPr>
                <w:sz w:val="18"/>
                <w:szCs w:val="18"/>
                <w:color w:val="auto"/>
              </w:rPr>
            </w:pPr>
          </w:p>
        </w:tc>
        <w:tc>
          <w:tcPr>
            <w:tcW w:w="3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net actuarial loss on defined</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benefit plans, net of tax of $0.8</w:t>
            </w: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r>
        <w:trPr>
          <w:trHeight w:val="208"/>
        </w:trPr>
        <w:tc>
          <w:tcPr>
            <w:tcW w:w="20" w:type="dxa"/>
            <w:vAlign w:val="bottom"/>
          </w:tcPr>
          <w:p>
            <w:pPr>
              <w:spacing w:after="0"/>
              <w:rPr>
                <w:sz w:val="18"/>
                <w:szCs w:val="18"/>
                <w:color w:val="auto"/>
              </w:rPr>
            </w:pPr>
          </w:p>
        </w:tc>
        <w:tc>
          <w:tcPr>
            <w:tcW w:w="3560" w:type="dxa"/>
            <w:vAlign w:val="bottom"/>
          </w:tcPr>
          <w:p>
            <w:pPr>
              <w:ind w:left="420"/>
              <w:spacing w:after="0"/>
              <w:rPr>
                <w:sz w:val="20"/>
                <w:szCs w:val="20"/>
                <w:color w:val="auto"/>
              </w:rPr>
            </w:pPr>
            <w:r>
              <w:rPr>
                <w:rFonts w:ascii="Arial" w:cs="Arial" w:eastAsia="Arial" w:hAnsi="Arial"/>
                <w:sz w:val="18"/>
                <w:szCs w:val="18"/>
                <w:color w:val="auto"/>
              </w:rPr>
              <w:t>Net change in derivative instruments,</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60" w:type="dxa"/>
            <w:vAlign w:val="bottom"/>
          </w:tcPr>
          <w:p>
            <w:pPr>
              <w:ind w:left="640"/>
              <w:spacing w:after="0"/>
              <w:rPr>
                <w:sz w:val="20"/>
                <w:szCs w:val="20"/>
                <w:color w:val="auto"/>
              </w:rPr>
            </w:pPr>
            <w:r>
              <w:rPr>
                <w:rFonts w:ascii="Arial" w:cs="Arial" w:eastAsia="Arial" w:hAnsi="Arial"/>
                <w:sz w:val="18"/>
                <w:szCs w:val="18"/>
                <w:color w:val="auto"/>
              </w:rPr>
              <w:t>net of tax of $1.6</w:t>
            </w: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09"/>
        </w:trPr>
        <w:tc>
          <w:tcPr>
            <w:tcW w:w="20" w:type="dxa"/>
            <w:vAlign w:val="bottom"/>
          </w:tcPr>
          <w:p>
            <w:pPr>
              <w:spacing w:after="0"/>
              <w:rPr>
                <w:sz w:val="18"/>
                <w:szCs w:val="18"/>
                <w:color w:val="auto"/>
              </w:rPr>
            </w:pPr>
          </w:p>
        </w:tc>
        <w:tc>
          <w:tcPr>
            <w:tcW w:w="3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foreign currency translation</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adjustment, net of tax of $2.2</w:t>
            </w: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r>
      <w:tr>
        <w:trPr>
          <w:trHeight w:val="215"/>
        </w:trPr>
        <w:tc>
          <w:tcPr>
            <w:tcW w:w="3580" w:type="dxa"/>
            <w:vAlign w:val="bottom"/>
            <w:gridSpan w:val="2"/>
          </w:tcPr>
          <w:p>
            <w:pPr>
              <w:spacing w:after="0"/>
              <w:rPr>
                <w:sz w:val="20"/>
                <w:szCs w:val="20"/>
                <w:color w:val="auto"/>
              </w:rPr>
            </w:pPr>
            <w:r>
              <w:rPr>
                <w:rFonts w:ascii="Arial" w:cs="Arial" w:eastAsia="Arial" w:hAnsi="Arial"/>
                <w:sz w:val="18"/>
                <w:szCs w:val="18"/>
                <w:color w:val="auto"/>
              </w:rPr>
              <w:t>Total comprehensive income attributable to</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CME Group</w:t>
            </w: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500.3</w:t>
            </w:r>
          </w:p>
        </w:tc>
      </w:tr>
      <w:tr>
        <w:trPr>
          <w:trHeight w:val="210"/>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Dividends on common stock of $2.30 per</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w:t>
            </w: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(151.5)</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(151.5)</w:t>
            </w: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Repurchase of Class A common stock</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(982)</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(296.2)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(296.2)</w:t>
            </w: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r>
      <w:tr>
        <w:trPr>
          <w:trHeight w:val="208"/>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w w:val="96"/>
              </w:rPr>
              <w:t>Excess tax benefits from option exercises and</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restricted stock vesting</w:t>
            </w: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r>
      <w:tr>
        <w:trPr>
          <w:trHeight w:val="210"/>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w w:val="99"/>
              </w:rPr>
              <w:t>Vesting of issued restricted Class A common</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Shares issued to Board of Directors</w:t>
            </w: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r>
        <w:trPr>
          <w:trHeight w:val="208"/>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w w:val="92"/>
              </w:rPr>
              <w:t>Shares issued under Employee Stock Purchase</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r>
      <w:tr>
        <w:trPr>
          <w:trHeight w:val="223"/>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8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2010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65,585</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16,921.0</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19,383.5</w:t>
            </w: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80" w:type="dxa"/>
            <w:vAlign w:val="bottom"/>
          </w:tcPr>
          <w:p>
            <w:pPr>
              <w:jc w:val="center"/>
              <w:ind w:left="3132"/>
              <w:spacing w:after="0"/>
              <w:rPr>
                <w:sz w:val="20"/>
                <w:szCs w:val="20"/>
                <w:color w:val="auto"/>
              </w:rPr>
            </w:pPr>
            <w:r>
              <w:rPr>
                <w:rFonts w:ascii="Arial" w:cs="Arial" w:eastAsia="Arial" w:hAnsi="Arial"/>
                <w:sz w:val="18"/>
                <w:szCs w:val="18"/>
                <w:b w:val="1"/>
                <w:bCs w:val="1"/>
                <w:color w:val="auto"/>
                <w:w w:val="97"/>
              </w:rPr>
              <w:t>CME GROUP INC. AND SUBSIDIARIES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80" w:type="dxa"/>
            <w:vAlign w:val="bottom"/>
          </w:tcPr>
          <w:p>
            <w:pPr>
              <w:jc w:val="center"/>
              <w:ind w:left="3132"/>
              <w:spacing w:after="0"/>
              <w:rPr>
                <w:sz w:val="20"/>
                <w:szCs w:val="20"/>
                <w:color w:val="auto"/>
              </w:rPr>
            </w:pPr>
            <w:r>
              <w:rPr>
                <w:rFonts w:ascii="Arial" w:cs="Arial" w:eastAsia="Arial" w:hAnsi="Arial"/>
                <w:sz w:val="18"/>
                <w:szCs w:val="18"/>
                <w:b w:val="1"/>
                <w:bCs w:val="1"/>
                <w:color w:val="auto"/>
                <w:w w:val="96"/>
              </w:rPr>
              <w:t>CONSOLIDATED STATEMENTS OF CASH FLOWS</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jc w:val="center"/>
              <w:ind w:left="3132"/>
              <w:spacing w:after="0"/>
              <w:rPr>
                <w:sz w:val="20"/>
                <w:szCs w:val="20"/>
                <w:color w:val="auto"/>
              </w:rPr>
            </w:pPr>
            <w:r>
              <w:rPr>
                <w:rFonts w:ascii="Arial" w:cs="Arial" w:eastAsia="Arial" w:hAnsi="Arial"/>
                <w:sz w:val="18"/>
                <w:szCs w:val="18"/>
                <w:color w:val="auto"/>
                <w:w w:val="96"/>
              </w:rPr>
              <w:t>(in millions)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80" w:type="dxa"/>
            <w:vAlign w:val="bottom"/>
          </w:tcPr>
          <w:p>
            <w:pPr>
              <w:jc w:val="center"/>
              <w:ind w:left="3112"/>
              <w:spacing w:after="0"/>
              <w:rPr>
                <w:sz w:val="20"/>
                <w:szCs w:val="20"/>
                <w:color w:val="auto"/>
              </w:rPr>
            </w:pPr>
            <w:r>
              <w:rPr>
                <w:rFonts w:ascii="Arial" w:cs="Arial" w:eastAsia="Arial" w:hAnsi="Arial"/>
                <w:sz w:val="18"/>
                <w:szCs w:val="18"/>
                <w:color w:val="auto"/>
                <w:w w:val="90"/>
              </w:rPr>
              <w:t>(unaudited)</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gridSpan w:val="5"/>
            <w:vMerge w:val="restart"/>
          </w:tcPr>
          <w:p>
            <w:pPr>
              <w:jc w:val="center"/>
              <w:ind w:right="340"/>
              <w:spacing w:after="0"/>
              <w:rPr>
                <w:sz w:val="20"/>
                <w:szCs w:val="20"/>
                <w:color w:val="auto"/>
              </w:rPr>
            </w:pPr>
            <w:r>
              <w:rPr>
                <w:rFonts w:ascii="Arial" w:cs="Arial" w:eastAsia="Arial" w:hAnsi="Arial"/>
                <w:sz w:val="18"/>
                <w:szCs w:val="18"/>
                <w:b w:val="1"/>
                <w:bCs w:val="1"/>
                <w:color w:val="auto"/>
                <w:w w:val="89"/>
              </w:rPr>
              <w:t>Six Months Ended</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center"/>
              <w:ind w:left="512"/>
              <w:spacing w:after="0"/>
              <w:rPr>
                <w:sz w:val="20"/>
                <w:szCs w:val="20"/>
                <w:color w:val="auto"/>
              </w:rPr>
            </w:pPr>
            <w:r>
              <w:rPr>
                <w:rFonts w:ascii="Arial" w:cs="Arial" w:eastAsia="Arial" w:hAnsi="Arial"/>
                <w:sz w:val="18"/>
                <w:szCs w:val="18"/>
                <w:b w:val="1"/>
                <w:bCs w:val="1"/>
                <w:color w:val="auto"/>
                <w:w w:val="94"/>
              </w:rPr>
              <w:t>June 30,</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18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2011</w:t>
            </w:r>
          </w:p>
        </w:tc>
        <w:tc>
          <w:tcPr>
            <w:tcW w:w="6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Net income</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752.7</w:t>
            </w:r>
          </w:p>
        </w:tc>
        <w:tc>
          <w:tcPr>
            <w:tcW w:w="60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24.7</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purchased intangibles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62.7</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Credit Market Analysis Limited impairment</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Net accretion of discounts and amortization of debt financing costs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Index Services assets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(9.8)</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Equity in net losses of unconsolidated subsidiaries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(151.7)</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Change in assets and liabilities: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(88.0)</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860"/>
              <w:spacing w:after="0"/>
              <w:rPr>
                <w:sz w:val="20"/>
                <w:szCs w:val="20"/>
                <w:color w:val="auto"/>
              </w:rPr>
            </w:pPr>
            <w:r>
              <w:rPr>
                <w:rFonts w:ascii="Arial" w:cs="Arial" w:eastAsia="Arial" w:hAnsi="Arial"/>
                <w:sz w:val="18"/>
                <w:szCs w:val="18"/>
                <w:color w:val="auto"/>
              </w:rPr>
              <w:t>Other current assets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(28.5)</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assets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(20.5)</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 payable</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(6.9)</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860"/>
              <w:spacing w:after="0"/>
              <w:rPr>
                <w:sz w:val="20"/>
                <w:szCs w:val="20"/>
                <w:color w:val="auto"/>
              </w:rPr>
            </w:pPr>
            <w:r>
              <w:rPr>
                <w:rFonts w:ascii="Arial" w:cs="Arial" w:eastAsia="Arial" w:hAnsi="Arial"/>
                <w:sz w:val="18"/>
                <w:szCs w:val="18"/>
                <w:color w:val="auto"/>
              </w:rPr>
              <w:t>Other current liabilities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liabilities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42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576.1</w:t>
            </w:r>
          </w:p>
        </w:tc>
        <w:tc>
          <w:tcPr>
            <w:tcW w:w="60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maturities of available-for-sale marketable securities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Purchases of available-for-sale marketable securities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net</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(88.4)</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Cash acquired from Index Services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Index Services assets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Proceeds from Chicago Board Options Exchange exercise right privileges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0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(70.2)</w:t>
            </w: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Proceeds (repayments) of commercial paper, net</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other borrowings, net of issuance costs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Repayment of other borrowings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(420.5)</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(187.5)</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Repurchase of Class A common stock, including costs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(65.3)</w:t>
            </w: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Distribution paid to non-controlling interest</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(607.5)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benefits related to employee option exercises and restricted stock</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vesting</w:t>
            </w: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6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(667.5)</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CONSOLIDATED STATEMENTS OF CASH FLOWS </w:t>
      </w:r>
      <w:r>
        <w:rPr>
          <w:rFonts w:ascii="Arial" w:cs="Arial" w:eastAsia="Arial" w:hAnsi="Arial"/>
          <w:sz w:val="18"/>
          <w:szCs w:val="18"/>
          <w:color w:val="auto"/>
        </w:rPr>
        <w:t>(continued)</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5"/>
          </w:tcPr>
          <w:p>
            <w:pPr>
              <w:ind w:left="3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0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0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89"/>
              </w:rPr>
              <w:t>2011</w:t>
            </w:r>
          </w:p>
        </w:tc>
        <w:tc>
          <w:tcPr>
            <w:tcW w:w="5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4"/>
              </w:rPr>
              <w:t>2010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change in cash and cash equivalents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855.2</w:t>
            </w:r>
          </w:p>
        </w:tc>
        <w:tc>
          <w:tcPr>
            <w:tcW w:w="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693.6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0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411.1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Interest paid</w:t>
            </w:r>
          </w:p>
        </w:tc>
        <w:tc>
          <w:tcPr>
            <w:tcW w:w="14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56.6</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activities: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Change in net unrealized securities gains (losses)</w:t>
            </w:r>
          </w:p>
        </w:tc>
        <w:tc>
          <w:tcPr>
            <w:tcW w:w="14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310.6</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net unrealized derivatives gains (losses)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7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consolidated financial statements consist of CME Group Inc. (CME Group) and its subsidiaries (collectively, the company), including Chicago Mercantile Exchange Inc. (CME), the Board of Trade of the City of Chicago, Inc. (CBOT), New York Mercantile Exchange, Inc. (NYMEX) and their respective subsidiaries (collectively, the exchange). On March 18, 2010, CBOT acquired a 90% ownership interest in CME Group Index Holdings LLC, which owns CME Group Index Services LLC (Index Services), a joint venture with Dow Jones &amp; Company (Dow Jones). The financial statements and accompanying notes presented in this report include the financial results of Index Services beginning on March 19, 2010.</w:t>
      </w:r>
    </w:p>
    <w:p>
      <w:pPr>
        <w:spacing w:after="0" w:line="1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accompanying interim consolidated financial statements have been prepared by CME Group without audit. Certain notes and other information normally included in financial statements prepared in accordance with accounting principles generally accepted in the United States have been condensed or omitted. In the opinion of management, the accompanying consolidated financial statements include all normal recurring adjustments considered necessary to present fairly the financial position of the company at June 30, 2011 and December 31, 2010 and the results of operations and cash flows for the periods indicated. Quarterly results are not necessarily indicative of results for any subsequent period.</w:t>
      </w:r>
    </w:p>
    <w:p>
      <w:pPr>
        <w:spacing w:after="0" w:line="11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accompanying consolidated financial statements should be read in conjunction with the consolidated financial statements and notes thereto in CME Group’s Annual Report on Form 10-K for the year ended December 31, 2010, filed with the Securities and Exchange Commission (SEC) on February 28, 2011. Certain reclassifications have been made to the 2010 financial statements to conform to the presentation in 2011.</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Intangible Assets and Goodwill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at June 30, 2011 and December 31, 2010:</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3"/>
              </w:rPr>
              <w:t>June 30, 2011</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b w:val="1"/>
                <w:bCs w:val="1"/>
                <w:color w:val="auto"/>
                <w:w w:val="91"/>
              </w:rPr>
              <w:t>December 31, 2010</w:t>
            </w: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gridSpan w:val="2"/>
          </w:tcPr>
          <w:p>
            <w:pPr>
              <w:spacing w:after="0" w:line="197" w:lineRule="exact"/>
              <w:rPr>
                <w:sz w:val="20"/>
                <w:szCs w:val="20"/>
                <w:color w:val="auto"/>
              </w:rPr>
            </w:pPr>
            <w:r>
              <w:rPr>
                <w:rFonts w:ascii="Arial" w:cs="Arial" w:eastAsia="Arial" w:hAnsi="Arial"/>
                <w:sz w:val="18"/>
                <w:szCs w:val="18"/>
                <w:b w:val="1"/>
                <w:bCs w:val="1"/>
                <w:color w:val="auto"/>
                <w:w w:val="86"/>
              </w:rPr>
              <w:t>Accumulated</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12"/>
              <w:spacing w:after="0" w:line="197" w:lineRule="exact"/>
              <w:rPr>
                <w:sz w:val="20"/>
                <w:szCs w:val="20"/>
                <w:color w:val="auto"/>
              </w:rPr>
            </w:pPr>
            <w:r>
              <w:rPr>
                <w:rFonts w:ascii="Arial" w:cs="Arial" w:eastAsia="Arial" w:hAnsi="Arial"/>
                <w:sz w:val="18"/>
                <w:szCs w:val="18"/>
                <w:b w:val="1"/>
                <w:bCs w:val="1"/>
                <w:color w:val="auto"/>
                <w:w w:val="83"/>
              </w:rPr>
              <w:t>Net Book</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3"/>
          </w:tcPr>
          <w:p>
            <w:pPr>
              <w:spacing w:after="0" w:line="197" w:lineRule="exact"/>
              <w:rPr>
                <w:sz w:val="20"/>
                <w:szCs w:val="20"/>
                <w:color w:val="auto"/>
              </w:rPr>
            </w:pPr>
            <w:r>
              <w:rPr>
                <w:rFonts w:ascii="Arial" w:cs="Arial" w:eastAsia="Arial" w:hAnsi="Arial"/>
                <w:sz w:val="18"/>
                <w:szCs w:val="18"/>
                <w:b w:val="1"/>
                <w:bCs w:val="1"/>
                <w:color w:val="auto"/>
              </w:rPr>
              <w:t>Accumulated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ind w:right="12"/>
              <w:spacing w:after="0" w:line="197" w:lineRule="exact"/>
              <w:rPr>
                <w:sz w:val="20"/>
                <w:szCs w:val="20"/>
                <w:color w:val="auto"/>
              </w:rPr>
            </w:pPr>
            <w:r>
              <w:rPr>
                <w:rFonts w:ascii="Arial" w:cs="Arial" w:eastAsia="Arial" w:hAnsi="Arial"/>
                <w:sz w:val="18"/>
                <w:szCs w:val="18"/>
                <w:b w:val="1"/>
                <w:bCs w:val="1"/>
                <w:color w:val="auto"/>
                <w:w w:val="86"/>
              </w:rPr>
              <w:t>Net Book</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80" w:type="dxa"/>
            <w:vAlign w:val="bottom"/>
            <w:gridSpan w:val="2"/>
          </w:tcPr>
          <w:p>
            <w:pPr>
              <w:spacing w:after="0"/>
              <w:rPr>
                <w:sz w:val="20"/>
                <w:szCs w:val="20"/>
                <w:color w:val="auto"/>
              </w:rPr>
            </w:pPr>
            <w:r>
              <w:rPr>
                <w:rFonts w:ascii="Arial" w:cs="Arial" w:eastAsia="Arial" w:hAnsi="Arial"/>
                <w:sz w:val="18"/>
                <w:szCs w:val="18"/>
                <w:i w:val="1"/>
                <w:iCs w:val="1"/>
                <w:color w:val="auto"/>
              </w:rPr>
              <w:t>(in millions)</w:t>
            </w:r>
          </w:p>
        </w:tc>
        <w:tc>
          <w:tcPr>
            <w:tcW w:w="180" w:type="dxa"/>
            <w:vAlign w:val="bottom"/>
          </w:tcPr>
          <w:p>
            <w:pPr>
              <w:spacing w:after="0"/>
              <w:rPr>
                <w:sz w:val="19"/>
                <w:szCs w:val="19"/>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Cost</w:t>
            </w: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w w:val="89"/>
              </w:rPr>
              <w:t>Amortization</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132"/>
              <w:spacing w:after="0"/>
              <w:rPr>
                <w:sz w:val="20"/>
                <w:szCs w:val="20"/>
                <w:color w:val="auto"/>
              </w:rPr>
            </w:pPr>
            <w:r>
              <w:rPr>
                <w:rFonts w:ascii="Arial" w:cs="Arial" w:eastAsia="Arial" w:hAnsi="Arial"/>
                <w:sz w:val="18"/>
                <w:szCs w:val="18"/>
                <w:b w:val="1"/>
                <w:bCs w:val="1"/>
                <w:color w:val="auto"/>
              </w:rPr>
              <w:t>Value</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Cost</w:t>
            </w:r>
          </w:p>
        </w:tc>
        <w:tc>
          <w:tcPr>
            <w:tcW w:w="300" w:type="dxa"/>
            <w:vAlign w:val="bottom"/>
          </w:tcPr>
          <w:p>
            <w:pPr>
              <w:spacing w:after="0"/>
              <w:rPr>
                <w:sz w:val="19"/>
                <w:szCs w:val="19"/>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Amortizable Intangible Assets:</w:t>
            </w: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Clearing firm, market data and other</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 xml:space="preserve">customer relationships </w:t>
            </w:r>
            <w:r>
              <w:rPr>
                <w:rFonts w:ascii="Arial" w:cs="Arial" w:eastAsia="Arial" w:hAnsi="Arial"/>
                <w:sz w:val="11"/>
                <w:szCs w:val="11"/>
                <w:color w:val="auto"/>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3,071.9</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(346.2)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2,725.7</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3,081.0</w:t>
            </w:r>
          </w:p>
        </w:tc>
        <w:tc>
          <w:tcPr>
            <w:tcW w:w="160" w:type="dxa"/>
            <w:vAlign w:val="bottom"/>
          </w:tcPr>
          <w:p>
            <w:pPr>
              <w:spacing w:after="0"/>
              <w:rPr>
                <w:sz w:val="19"/>
                <w:szCs w:val="19"/>
                <w:color w:val="auto"/>
              </w:rPr>
            </w:pP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(292.3)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2,788.7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Lease-related intangibles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83.2</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Technology-related intellectual property</w:t>
            </w:r>
          </w:p>
        </w:tc>
        <w:tc>
          <w:tcPr>
            <w:tcW w:w="1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56.2</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33.2</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1"/>
                <w:szCs w:val="11"/>
                <w:color w:val="auto"/>
              </w:rPr>
              <w:t>(2)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11.6</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3,222.9</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(418.3)</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2,804.6</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3,230.6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(355.4)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2,875.2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(7.6)</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Arial" w:cs="Arial" w:eastAsia="Arial" w:hAnsi="Arial"/>
                <w:sz w:val="18"/>
                <w:szCs w:val="18"/>
                <w:color w:val="auto"/>
              </w:rPr>
              <w:t>Total amortizable intangible assets</w:t>
            </w: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580" w:type="dxa"/>
            <w:vAlign w:val="bottom"/>
            <w:gridSpan w:val="2"/>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3,215.3</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(413.8)</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2,801.5</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3,221.9</w:t>
            </w:r>
          </w:p>
        </w:tc>
        <w:tc>
          <w:tcPr>
            <w:tcW w:w="160" w:type="dxa"/>
            <w:vAlign w:val="bottom"/>
          </w:tcPr>
          <w:p>
            <w:pPr>
              <w:spacing w:after="0"/>
              <w:rPr>
                <w:sz w:val="19"/>
                <w:szCs w:val="19"/>
                <w:color w:val="auto"/>
              </w:rPr>
            </w:pP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(351.1)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2,870.8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Trade names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578.0</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Arial" w:cs="Arial" w:eastAsia="Arial" w:hAnsi="Arial"/>
                <w:sz w:val="18"/>
                <w:szCs w:val="18"/>
                <w:color w:val="auto"/>
              </w:rPr>
              <w:t>Total intangible assets – other, net</w:t>
            </w: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5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3,379.1</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3,453.3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Trading products </w:t>
            </w:r>
            <w:r>
              <w:rPr>
                <w:rFonts w:ascii="Arial" w:cs="Arial" w:eastAsia="Arial" w:hAnsi="Arial"/>
                <w:sz w:val="11"/>
                <w:szCs w:val="11"/>
                <w:color w:val="auto"/>
              </w:rPr>
              <w:t>(3)</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17,040.5</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17,040.5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800" w:right="260" w:hanging="346"/>
        <w:spacing w:after="0" w:line="268"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second quarter of 2011, the company sold its rights in certain Index Services customer relationships. The net book value of these assets at the time of the sale was $8.2 million.</w:t>
      </w:r>
    </w:p>
    <w:p>
      <w:pPr>
        <w:spacing w:after="0" w:line="172" w:lineRule="exact"/>
        <w:rPr>
          <w:rFonts w:ascii="Arial" w:cs="Arial" w:eastAsia="Arial" w:hAnsi="Arial"/>
          <w:sz w:val="18"/>
          <w:szCs w:val="18"/>
          <w:color w:val="auto"/>
        </w:rPr>
      </w:pPr>
    </w:p>
    <w:p>
      <w:pPr>
        <w:ind w:left="800" w:right="200" w:hanging="346"/>
        <w:spacing w:after="0" w:line="268"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June 30, 2011 and December 31, 2010, other amortizable intangible assets consisted of service and market maker agreements and a definite-lived trade name.</w:t>
      </w:r>
    </w:p>
    <w:p>
      <w:pPr>
        <w:spacing w:after="0" w:line="172" w:lineRule="exact"/>
        <w:rPr>
          <w:rFonts w:ascii="Arial" w:cs="Arial" w:eastAsia="Arial" w:hAnsi="Arial"/>
          <w:sz w:val="18"/>
          <w:szCs w:val="18"/>
          <w:color w:val="auto"/>
        </w:rPr>
      </w:pPr>
    </w:p>
    <w:p>
      <w:pPr>
        <w:ind w:left="800" w:right="40" w:hanging="346"/>
        <w:spacing w:after="0" w:line="306" w:lineRule="auto"/>
        <w:tabs>
          <w:tab w:leader="none" w:pos="8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Trading products represent futures and options products acquired in our business combinations with CBOT Holdings and NYMEX Holdings. Clearing and transaction fees revenues are generated through the trading of these products. These trading products, most of which have traded for decades, require authorization from the Commodity and Futures Trading Commission (CFTC). Product authorizations from the CFTC have no term limits.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Total amortization expense for intangible assets was $33.0 million and $32.3 million for the quarters ended June 30, 2011 and 2010, respectively. Total amortization expense for intangible assets was $66.2 million and $63.1 million for the first six months of 2011 and 2010, respectively. As of June 30, 2011, the future estimated amortization expense related to amortizable intangible assets is expected to be: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Remainder of 2011</w:t>
            </w: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8900" w:type="dxa"/>
            <w:vAlign w:val="bottom"/>
            <w:gridSpan w:val="11"/>
          </w:tcPr>
          <w:p>
            <w:pPr>
              <w:spacing w:after="0"/>
              <w:rPr>
                <w:sz w:val="20"/>
                <w:szCs w:val="20"/>
                <w:color w:val="auto"/>
              </w:rPr>
            </w:pPr>
            <w:r>
              <w:rPr>
                <w:rFonts w:ascii="Arial" w:cs="Arial" w:eastAsia="Arial" w:hAnsi="Arial"/>
                <w:sz w:val="18"/>
                <w:szCs w:val="18"/>
                <w:color w:val="auto"/>
                <w:w w:val="90"/>
              </w:rPr>
              <w:t>Goodwill activity consisted of the following for the six months ended June 30, 2011 and the year ended December 31, 2010: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8"/>
              </w:rPr>
              <w:t>Balance at</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Balance 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46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8"/>
                <w:szCs w:val="18"/>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b w:val="1"/>
                <w:bCs w:val="1"/>
                <w:color w:val="auto"/>
                <w:w w:val="84"/>
              </w:rPr>
              <w:t>Business</w:t>
            </w:r>
          </w:p>
        </w:tc>
        <w:tc>
          <w:tcPr>
            <w:tcW w:w="42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rPr>
              <w:t>Impairment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18"/>
                <w:szCs w:val="18"/>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5"/>
              </w:rPr>
              <w:t>June 30,</w:t>
            </w:r>
          </w:p>
        </w:tc>
        <w:tc>
          <w:tcPr>
            <w:tcW w:w="0" w:type="dxa"/>
            <w:vAlign w:val="bottom"/>
          </w:tcPr>
          <w:p>
            <w:pPr>
              <w:spacing w:after="0"/>
              <w:rPr>
                <w:sz w:val="1"/>
                <w:szCs w:val="1"/>
                <w:color w:val="auto"/>
              </w:rPr>
            </w:pPr>
          </w:p>
        </w:tc>
      </w:tr>
      <w:tr>
        <w:trPr>
          <w:trHeight w:val="229"/>
        </w:trPr>
        <w:tc>
          <w:tcPr>
            <w:tcW w:w="4740" w:type="dxa"/>
            <w:vAlign w:val="bottom"/>
            <w:gridSpan w:val="2"/>
          </w:tcPr>
          <w:p>
            <w:pPr>
              <w:spacing w:after="0"/>
              <w:rPr>
                <w:sz w:val="20"/>
                <w:szCs w:val="20"/>
                <w:color w:val="auto"/>
              </w:rPr>
            </w:pPr>
            <w:r>
              <w:rPr>
                <w:rFonts w:ascii="Arial" w:cs="Arial" w:eastAsia="Arial" w:hAnsi="Arial"/>
                <w:sz w:val="18"/>
                <w:szCs w:val="18"/>
                <w:i w:val="1"/>
                <w:iCs w:val="1"/>
                <w:color w:val="auto"/>
              </w:rPr>
              <w:t>(in millions)</w:t>
            </w:r>
          </w:p>
        </w:tc>
        <w:tc>
          <w:tcPr>
            <w:tcW w:w="120" w:type="dxa"/>
            <w:vAlign w:val="bottom"/>
          </w:tcPr>
          <w:p>
            <w:pPr>
              <w:spacing w:after="0"/>
              <w:rPr>
                <w:sz w:val="19"/>
                <w:szCs w:val="19"/>
                <w:color w:val="auto"/>
              </w:rPr>
            </w:pPr>
          </w:p>
        </w:tc>
        <w:tc>
          <w:tcPr>
            <w:tcW w:w="920" w:type="dxa"/>
            <w:vAlign w:val="bottom"/>
          </w:tcPr>
          <w:p>
            <w:pPr>
              <w:jc w:val="center"/>
              <w:ind w:right="32"/>
              <w:spacing w:after="0"/>
              <w:rPr>
                <w:sz w:val="20"/>
                <w:szCs w:val="20"/>
                <w:color w:val="auto"/>
              </w:rPr>
            </w:pPr>
            <w:r>
              <w:rPr>
                <w:rFonts w:ascii="Arial" w:cs="Arial" w:eastAsia="Arial" w:hAnsi="Arial"/>
                <w:sz w:val="18"/>
                <w:szCs w:val="18"/>
                <w:b w:val="1"/>
                <w:bCs w:val="1"/>
                <w:color w:val="auto"/>
                <w:w w:val="89"/>
              </w:rPr>
              <w:t>2010</w:t>
            </w:r>
          </w:p>
        </w:tc>
        <w:tc>
          <w:tcPr>
            <w:tcW w:w="42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w w:val="86"/>
              </w:rPr>
              <w:t>Combinations</w:t>
            </w:r>
          </w:p>
        </w:tc>
        <w:tc>
          <w:tcPr>
            <w:tcW w:w="420" w:type="dxa"/>
            <w:vAlign w:val="bottom"/>
          </w:tcPr>
          <w:p>
            <w:pPr>
              <w:spacing w:after="0"/>
              <w:rPr>
                <w:sz w:val="19"/>
                <w:szCs w:val="19"/>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rPr>
              <w:t>Adjustment</w:t>
            </w:r>
          </w:p>
        </w:tc>
        <w:tc>
          <w:tcPr>
            <w:tcW w:w="180" w:type="dxa"/>
            <w:vAlign w:val="bottom"/>
          </w:tcPr>
          <w:p>
            <w:pPr>
              <w:spacing w:after="0"/>
              <w:rPr>
                <w:sz w:val="19"/>
                <w:szCs w:val="19"/>
                <w:color w:val="auto"/>
              </w:rPr>
            </w:pP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Activity </w:t>
            </w:r>
            <w:r>
              <w:rPr>
                <w:rFonts w:ascii="Arial" w:cs="Arial" w:eastAsia="Arial" w:hAnsi="Arial"/>
                <w:sz w:val="11"/>
                <w:szCs w:val="11"/>
                <w:b w:val="1"/>
                <w:bCs w:val="1"/>
                <w:color w:val="auto"/>
              </w:rPr>
              <w:t>(4)</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center"/>
              <w:ind w:right="232"/>
              <w:spacing w:after="0"/>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CBOT Holdings, Inc.</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5,035.7</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5,035.7</w:t>
            </w: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NYMEX Holdings, Inc.</w:t>
            </w:r>
          </w:p>
        </w:tc>
        <w:tc>
          <w:tcPr>
            <w:tcW w:w="12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2,462.3</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2,462.2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Index Services</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435.6</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 Goodwill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7,983.6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w:t>
            </w:r>
          </w:p>
        </w:tc>
        <w:tc>
          <w:tcPr>
            <w:tcW w:w="5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8"/>
              </w:rPr>
              <w:t>Balance at</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Balance 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46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8"/>
                <w:szCs w:val="18"/>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b w:val="1"/>
                <w:bCs w:val="1"/>
                <w:color w:val="auto"/>
                <w:w w:val="84"/>
              </w:rPr>
              <w:t>Business</w:t>
            </w:r>
          </w:p>
        </w:tc>
        <w:tc>
          <w:tcPr>
            <w:tcW w:w="42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rPr>
              <w:t>Impairment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18"/>
                <w:szCs w:val="18"/>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29"/>
        </w:trPr>
        <w:tc>
          <w:tcPr>
            <w:tcW w:w="4740" w:type="dxa"/>
            <w:vAlign w:val="bottom"/>
            <w:gridSpan w:val="2"/>
          </w:tcPr>
          <w:p>
            <w:pPr>
              <w:spacing w:after="0"/>
              <w:rPr>
                <w:sz w:val="20"/>
                <w:szCs w:val="20"/>
                <w:color w:val="auto"/>
              </w:rPr>
            </w:pPr>
            <w:r>
              <w:rPr>
                <w:rFonts w:ascii="Arial" w:cs="Arial" w:eastAsia="Arial" w:hAnsi="Arial"/>
                <w:sz w:val="18"/>
                <w:szCs w:val="18"/>
                <w:i w:val="1"/>
                <w:iCs w:val="1"/>
                <w:color w:val="auto"/>
              </w:rPr>
              <w:t>(in millions)</w:t>
            </w:r>
          </w:p>
        </w:tc>
        <w:tc>
          <w:tcPr>
            <w:tcW w:w="120" w:type="dxa"/>
            <w:vAlign w:val="bottom"/>
          </w:tcPr>
          <w:p>
            <w:pPr>
              <w:spacing w:after="0"/>
              <w:rPr>
                <w:sz w:val="19"/>
                <w:szCs w:val="19"/>
                <w:color w:val="auto"/>
              </w:rPr>
            </w:pPr>
          </w:p>
        </w:tc>
        <w:tc>
          <w:tcPr>
            <w:tcW w:w="920" w:type="dxa"/>
            <w:vAlign w:val="bottom"/>
          </w:tcPr>
          <w:p>
            <w:pPr>
              <w:jc w:val="center"/>
              <w:ind w:right="32"/>
              <w:spacing w:after="0"/>
              <w:rPr>
                <w:sz w:val="20"/>
                <w:szCs w:val="20"/>
                <w:color w:val="auto"/>
              </w:rPr>
            </w:pPr>
            <w:r>
              <w:rPr>
                <w:rFonts w:ascii="Arial" w:cs="Arial" w:eastAsia="Arial" w:hAnsi="Arial"/>
                <w:sz w:val="18"/>
                <w:szCs w:val="18"/>
                <w:b w:val="1"/>
                <w:bCs w:val="1"/>
                <w:color w:val="auto"/>
                <w:w w:val="89"/>
              </w:rPr>
              <w:t>2009</w:t>
            </w:r>
          </w:p>
        </w:tc>
        <w:tc>
          <w:tcPr>
            <w:tcW w:w="42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w w:val="86"/>
              </w:rPr>
              <w:t>Combinations</w:t>
            </w:r>
          </w:p>
        </w:tc>
        <w:tc>
          <w:tcPr>
            <w:tcW w:w="420" w:type="dxa"/>
            <w:vAlign w:val="bottom"/>
          </w:tcPr>
          <w:p>
            <w:pPr>
              <w:spacing w:after="0"/>
              <w:rPr>
                <w:sz w:val="19"/>
                <w:szCs w:val="19"/>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rPr>
              <w:t>Adjustment</w:t>
            </w:r>
          </w:p>
        </w:tc>
        <w:tc>
          <w:tcPr>
            <w:tcW w:w="180" w:type="dxa"/>
            <w:vAlign w:val="bottom"/>
          </w:tcPr>
          <w:p>
            <w:pPr>
              <w:spacing w:after="0"/>
              <w:rPr>
                <w:sz w:val="19"/>
                <w:szCs w:val="19"/>
                <w:color w:val="auto"/>
              </w:rPr>
            </w:pP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Activity </w:t>
            </w:r>
            <w:r>
              <w:rPr>
                <w:rFonts w:ascii="Arial" w:cs="Arial" w:eastAsia="Arial" w:hAnsi="Arial"/>
                <w:sz w:val="11"/>
                <w:szCs w:val="11"/>
                <w:b w:val="1"/>
                <w:bCs w:val="1"/>
                <w:color w:val="auto"/>
              </w:rPr>
              <w:t>(4)</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center"/>
              <w:ind w:right="232"/>
              <w:spacing w:after="0"/>
              <w:rPr>
                <w:sz w:val="20"/>
                <w:szCs w:val="20"/>
                <w:color w:val="auto"/>
              </w:rPr>
            </w:pPr>
            <w:r>
              <w:rPr>
                <w:rFonts w:ascii="Arial" w:cs="Arial" w:eastAsia="Arial" w:hAnsi="Arial"/>
                <w:sz w:val="18"/>
                <w:szCs w:val="18"/>
                <w:b w:val="1"/>
                <w:bCs w:val="1"/>
                <w:color w:val="auto"/>
                <w:w w:val="84"/>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CBOT Holdings, Inc.</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5,035.7</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5,035.7</w:t>
            </w: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NYMEX Holdings, Inc.</w:t>
            </w:r>
          </w:p>
        </w:tc>
        <w:tc>
          <w:tcPr>
            <w:tcW w:w="12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2,463.1</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2,462.3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Index Services</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435.6</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50.4</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21.1</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 Goodwill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7,549.2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456.7</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w:t>
            </w:r>
          </w:p>
        </w:tc>
        <w:tc>
          <w:tcPr>
            <w:tcW w:w="5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left="800" w:right="80" w:hanging="346"/>
        <w:spacing w:after="0" w:line="256"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activity includes adjustments to restructuring costs and tax contingencies for NYMEX Holdings, Inc. and the recognition of excess tax benefits upon exercise of stock options assumed for NYMEX Holdings, Inc. It also includes adjustments to the preliminary purchase price allocation for Index Services and foreign currency translation adjustments. The company conducts impairment testing of goodwill and indefinite-lived intangible assets at least annually.</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During the second quarter of 2010, the company recorded a $19.8 million impairment charge to reduce the carrying amount of Credit Market Analysis, Ltd.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(CMA) goodwill to its estimated fair value.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360" w:type="dxa"/>
            <w:vAlign w:val="bottom"/>
          </w:tcPr>
          <w:p>
            <w:pPr>
              <w:spacing w:after="0"/>
              <w:rPr>
                <w:sz w:val="20"/>
                <w:szCs w:val="20"/>
                <w:color w:val="auto"/>
              </w:rPr>
            </w:pPr>
            <w:r>
              <w:rPr>
                <w:rFonts w:ascii="Arial" w:cs="Arial" w:eastAsia="Arial" w:hAnsi="Arial"/>
                <w:sz w:val="18"/>
                <w:szCs w:val="18"/>
                <w:b w:val="1"/>
                <w:bCs w:val="1"/>
                <w:color w:val="auto"/>
              </w:rPr>
              <w:t>3. Debt</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8"/>
        </w:trPr>
        <w:tc>
          <w:tcPr>
            <w:tcW w:w="7360" w:type="dxa"/>
            <w:vAlign w:val="bottom"/>
          </w:tcPr>
          <w:p>
            <w:pPr>
              <w:spacing w:after="0"/>
              <w:rPr>
                <w:sz w:val="20"/>
                <w:szCs w:val="20"/>
                <w:color w:val="auto"/>
              </w:rPr>
            </w:pPr>
            <w:r>
              <w:rPr>
                <w:rFonts w:ascii="Arial" w:cs="Arial" w:eastAsia="Arial" w:hAnsi="Arial"/>
                <w:sz w:val="18"/>
                <w:szCs w:val="18"/>
                <w:color w:val="auto"/>
              </w:rPr>
              <w:t>Short-term debt consisted of the following at June 30, 2011 and December 31, 2010:</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6"/>
        </w:trPr>
        <w:tc>
          <w:tcPr>
            <w:tcW w:w="7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center"/>
              <w:ind w:right="132"/>
              <w:spacing w:after="0"/>
              <w:rPr>
                <w:sz w:val="20"/>
                <w:szCs w:val="20"/>
                <w:color w:val="auto"/>
              </w:rPr>
            </w:pPr>
            <w:r>
              <w:rPr>
                <w:rFonts w:ascii="Arial" w:cs="Arial" w:eastAsia="Arial" w:hAnsi="Arial"/>
                <w:sz w:val="18"/>
                <w:szCs w:val="18"/>
                <w:b w:val="1"/>
                <w:bCs w:val="1"/>
                <w:color w:val="auto"/>
                <w:w w:val="85"/>
              </w:rPr>
              <w:t>June 30,</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29"/>
        </w:trPr>
        <w:tc>
          <w:tcPr>
            <w:tcW w:w="73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2011</w:t>
            </w:r>
          </w:p>
        </w:tc>
        <w:tc>
          <w:tcPr>
            <w:tcW w:w="1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bottom w:val="single" w:sz="8" w:color="auto"/>
            </w:tcBorders>
          </w:tcPr>
          <w:p>
            <w:pPr>
              <w:spacing w:after="0"/>
              <w:rPr>
                <w:sz w:val="19"/>
                <w:szCs w:val="19"/>
                <w:color w:val="auto"/>
              </w:rPr>
            </w:pPr>
          </w:p>
        </w:tc>
      </w:tr>
      <w:tr>
        <w:trPr>
          <w:trHeight w:val="211"/>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Term loan due 2011, interest equal to 3-month LIBOR plus 1.00%, reset quarterly</w:t>
            </w:r>
            <w:r>
              <w:rPr>
                <w:rFonts w:ascii="Arial" w:cs="Arial" w:eastAsia="Arial" w:hAnsi="Arial"/>
                <w:sz w:val="11"/>
                <w:szCs w:val="11"/>
                <w:color w:val="auto"/>
              </w:rPr>
              <w:t>(1)</w:t>
            </w: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1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100" w:type="dxa"/>
            <w:vAlign w:val="bottom"/>
            <w:shd w:val="clear" w:color="auto" w:fill="CCEEFF"/>
          </w:tcPr>
          <w:p>
            <w:pPr>
              <w:spacing w:after="0"/>
              <w:rPr>
                <w:sz w:val="18"/>
                <w:szCs w:val="18"/>
                <w:color w:val="auto"/>
              </w:rPr>
            </w:pPr>
          </w:p>
        </w:tc>
      </w:tr>
      <w:tr>
        <w:trPr>
          <w:trHeight w:val="222"/>
        </w:trPr>
        <w:tc>
          <w:tcPr>
            <w:tcW w:w="7360" w:type="dxa"/>
            <w:vAlign w:val="bottom"/>
          </w:tcPr>
          <w:p>
            <w:pPr>
              <w:spacing w:after="0"/>
              <w:rPr>
                <w:sz w:val="20"/>
                <w:szCs w:val="20"/>
                <w:color w:val="auto"/>
              </w:rPr>
            </w:pPr>
            <w:r>
              <w:rPr>
                <w:rFonts w:ascii="Arial" w:cs="Arial" w:eastAsia="Arial" w:hAnsi="Arial"/>
                <w:sz w:val="18"/>
                <w:szCs w:val="18"/>
                <w:color w:val="auto"/>
              </w:rPr>
              <w:t>Total short-term debt</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20" w:type="dxa"/>
            <w:vAlign w:val="bottom"/>
          </w:tcPr>
          <w:p>
            <w:pPr>
              <w:ind w:left="940"/>
              <w:spacing w:after="0"/>
              <w:rPr>
                <w:sz w:val="20"/>
                <w:szCs w:val="20"/>
                <w:color w:val="auto"/>
              </w:rPr>
            </w:pPr>
            <w:r>
              <w:rPr>
                <w:rFonts w:ascii="Arial" w:cs="Arial" w:eastAsia="Arial" w:hAnsi="Arial"/>
                <w:sz w:val="18"/>
                <w:szCs w:val="18"/>
                <w:color w:val="auto"/>
                <w:w w:val="88"/>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420.5</w:t>
            </w:r>
          </w:p>
        </w:tc>
        <w:tc>
          <w:tcPr>
            <w:tcW w:w="100" w:type="dxa"/>
            <w:vAlign w:val="bottom"/>
          </w:tcPr>
          <w:p>
            <w:pPr>
              <w:spacing w:after="0"/>
              <w:rPr>
                <w:sz w:val="19"/>
                <w:szCs w:val="19"/>
                <w:color w:val="auto"/>
              </w:rPr>
            </w:pPr>
          </w:p>
        </w:tc>
      </w:tr>
      <w:tr>
        <w:trPr>
          <w:trHeight w:val="20"/>
        </w:trPr>
        <w:tc>
          <w:tcPr>
            <w:tcW w:w="7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800" w:right="40" w:hanging="346"/>
        <w:spacing w:after="0" w:line="259"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September 2008, the company entered into an interest rate swap agreement that modified the variable interest obligation associated with this facility so that the interest payable effectively became fixed at a rate of 4.72% beginning with the interest accrued after October 22, 2008. This interest rate swap agreement was terminated in January 2011 when the term loan was repaid.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680" w:type="dxa"/>
            <w:vAlign w:val="bottom"/>
          </w:tcPr>
          <w:p>
            <w:pPr>
              <w:spacing w:after="0"/>
              <w:rPr>
                <w:sz w:val="20"/>
                <w:szCs w:val="20"/>
                <w:color w:val="auto"/>
              </w:rPr>
            </w:pPr>
            <w:r>
              <w:rPr>
                <w:rFonts w:ascii="Arial" w:cs="Arial" w:eastAsia="Arial" w:hAnsi="Arial"/>
                <w:sz w:val="18"/>
                <w:szCs w:val="18"/>
                <w:color w:val="auto"/>
              </w:rPr>
              <w:t>Long-term debt consisted of the following at June 30, 2011 and December 31, 2010:</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6"/>
        </w:trPr>
        <w:tc>
          <w:tcPr>
            <w:tcW w:w="7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272"/>
              <w:spacing w:after="0"/>
              <w:rPr>
                <w:sz w:val="20"/>
                <w:szCs w:val="20"/>
                <w:color w:val="auto"/>
              </w:rPr>
            </w:pPr>
            <w:r>
              <w:rPr>
                <w:rFonts w:ascii="Arial" w:cs="Arial" w:eastAsia="Arial" w:hAnsi="Arial"/>
                <w:sz w:val="18"/>
                <w:szCs w:val="18"/>
                <w:b w:val="1"/>
                <w:bCs w:val="1"/>
                <w:color w:val="auto"/>
              </w:rPr>
              <w:t>June 30,</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r>
      <w:tr>
        <w:trPr>
          <w:trHeight w:val="229"/>
        </w:trPr>
        <w:tc>
          <w:tcPr>
            <w:tcW w:w="76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2011</w:t>
            </w:r>
          </w:p>
        </w:tc>
        <w:tc>
          <w:tcPr>
            <w:tcW w:w="7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bottom w:val="single" w:sz="8" w:color="auto"/>
            </w:tcBorders>
          </w:tcPr>
          <w:p>
            <w:pPr>
              <w:spacing w:after="0"/>
              <w:rPr>
                <w:sz w:val="19"/>
                <w:szCs w:val="19"/>
                <w:color w:val="auto"/>
              </w:rPr>
            </w:pPr>
          </w:p>
        </w:tc>
      </w:tr>
      <w:tr>
        <w:trPr>
          <w:trHeight w:val="211"/>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$750.0 million fixed rate notes due August 2013, interest equal to 5.40%</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748.9</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748.6</w:t>
            </w:r>
          </w:p>
        </w:tc>
        <w:tc>
          <w:tcPr>
            <w:tcW w:w="100" w:type="dxa"/>
            <w:vAlign w:val="bottom"/>
            <w:shd w:val="clear" w:color="auto" w:fill="CCEEFF"/>
          </w:tcPr>
          <w:p>
            <w:pPr>
              <w:spacing w:after="0"/>
              <w:rPr>
                <w:sz w:val="18"/>
                <w:szCs w:val="18"/>
                <w:color w:val="auto"/>
              </w:rPr>
            </w:pPr>
          </w:p>
        </w:tc>
      </w:tr>
      <w:tr>
        <w:trPr>
          <w:trHeight w:val="208"/>
        </w:trPr>
        <w:tc>
          <w:tcPr>
            <w:tcW w:w="7680" w:type="dxa"/>
            <w:vAlign w:val="bottom"/>
          </w:tcPr>
          <w:p>
            <w:pPr>
              <w:spacing w:after="0"/>
              <w:rPr>
                <w:sz w:val="20"/>
                <w:szCs w:val="20"/>
                <w:color w:val="auto"/>
              </w:rPr>
            </w:pPr>
            <w:r>
              <w:rPr>
                <w:rFonts w:ascii="Arial" w:cs="Arial" w:eastAsia="Arial" w:hAnsi="Arial"/>
                <w:sz w:val="18"/>
                <w:szCs w:val="18"/>
                <w:color w:val="auto"/>
              </w:rPr>
              <w:t>$750.0 million fixed rate notes due February 2014, interest equal to</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7680" w:type="dxa"/>
            <w:vAlign w:val="bottom"/>
          </w:tcPr>
          <w:p>
            <w:pPr>
              <w:ind w:left="220"/>
              <w:spacing w:after="0"/>
              <w:rPr>
                <w:sz w:val="20"/>
                <w:szCs w:val="20"/>
                <w:color w:val="auto"/>
              </w:rPr>
            </w:pPr>
            <w:r>
              <w:rPr>
                <w:rFonts w:ascii="Arial" w:cs="Arial" w:eastAsia="Arial" w:hAnsi="Arial"/>
                <w:sz w:val="18"/>
                <w:szCs w:val="18"/>
                <w:color w:val="auto"/>
              </w:rPr>
              <w:t>5.75%</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747.6</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747.1</w:t>
            </w:r>
          </w:p>
        </w:tc>
        <w:tc>
          <w:tcPr>
            <w:tcW w:w="100" w:type="dxa"/>
            <w:vAlign w:val="bottom"/>
          </w:tcPr>
          <w:p>
            <w:pPr>
              <w:spacing w:after="0"/>
              <w:rPr>
                <w:sz w:val="19"/>
                <w:szCs w:val="19"/>
                <w:color w:val="auto"/>
              </w:rPr>
            </w:pPr>
          </w:p>
        </w:tc>
      </w:tr>
      <w:tr>
        <w:trPr>
          <w:trHeight w:val="218"/>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$612.5 million fixed rate notes due March 2018, interest equal to 4.40%</w:t>
            </w:r>
            <w:r>
              <w:rPr>
                <w:rFonts w:ascii="Arial" w:cs="Arial" w:eastAsia="Arial" w:hAnsi="Arial"/>
                <w:sz w:val="11"/>
                <w:szCs w:val="11"/>
                <w:color w:val="auto"/>
              </w:rPr>
              <w:t>(2)</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609.3</w:t>
            </w:r>
          </w:p>
        </w:tc>
        <w:tc>
          <w:tcPr>
            <w:tcW w:w="7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609.1</w:t>
            </w:r>
          </w:p>
        </w:tc>
        <w:tc>
          <w:tcPr>
            <w:tcW w:w="100" w:type="dxa"/>
            <w:vAlign w:val="bottom"/>
            <w:shd w:val="clear" w:color="auto" w:fill="CCEEFF"/>
          </w:tcPr>
          <w:p>
            <w:pPr>
              <w:spacing w:after="0"/>
              <w:rPr>
                <w:sz w:val="18"/>
                <w:szCs w:val="18"/>
                <w:color w:val="auto"/>
              </w:rPr>
            </w:pPr>
          </w:p>
        </w:tc>
      </w:tr>
      <w:tr>
        <w:trPr>
          <w:trHeight w:val="222"/>
        </w:trPr>
        <w:tc>
          <w:tcPr>
            <w:tcW w:w="7680" w:type="dxa"/>
            <w:vAlign w:val="bottom"/>
          </w:tcPr>
          <w:p>
            <w:pPr>
              <w:spacing w:after="0"/>
              <w:rPr>
                <w:sz w:val="20"/>
                <w:szCs w:val="20"/>
                <w:color w:val="auto"/>
              </w:rPr>
            </w:pPr>
            <w:r>
              <w:rPr>
                <w:rFonts w:ascii="Arial" w:cs="Arial" w:eastAsia="Arial" w:hAnsi="Arial"/>
                <w:sz w:val="18"/>
                <w:szCs w:val="18"/>
                <w:color w:val="auto"/>
              </w:rPr>
              <w:t>Total long-term debt</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2,105.8</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2,104.8</w:t>
            </w:r>
          </w:p>
        </w:tc>
        <w:tc>
          <w:tcPr>
            <w:tcW w:w="100" w:type="dxa"/>
            <w:vAlign w:val="bottom"/>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800" w:right="100" w:hanging="346"/>
        <w:spacing w:after="0" w:line="332" w:lineRule="auto"/>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February 2010, the company entered into a forward-starting interest rate swap agreement that modified the interest obligation associated with these notes so that the interest payable on the notes effectively became fixed at a rate of 4.46% at issuance on March 18, 2010.</w:t>
      </w:r>
    </w:p>
    <w:p>
      <w:pPr>
        <w:spacing w:after="0" w:line="8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Commercial paper notes with an aggregate par value of $1.0 billion and maturities ranging from 1 to 33 days were issued during the first six months of 2011. There was no commercial paper outstanding at December 31, 2010 or June 30, 2011. During the first six months of 2011 and 2010, the weighted average balance, at par value, of commercial paper outstanding was $61.8 million and $168.2 million, respectively. In the first six months of 2011, the maximum month-end balance for commercial paper was $200.0 million in January. In the first six months of 2010, the maximum month-end balance was $300.0 million in February and March.</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Long-term debt maturities, at par value, were as follows as of June 30, 2011:</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2012</w:t>
            </w:r>
          </w:p>
        </w:tc>
        <w:tc>
          <w:tcPr>
            <w:tcW w:w="514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2013</w:t>
            </w:r>
          </w:p>
        </w:tc>
        <w:tc>
          <w:tcPr>
            <w:tcW w:w="514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750.0</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750.0</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2015</w:t>
            </w:r>
          </w:p>
        </w:tc>
        <w:tc>
          <w:tcPr>
            <w:tcW w:w="514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22"/>
        </w:trPr>
        <w:tc>
          <w:tcPr>
            <w:tcW w:w="5640" w:type="dxa"/>
            <w:vAlign w:val="bottom"/>
          </w:tcPr>
          <w:p>
            <w:pPr>
              <w:spacing w:after="0"/>
              <w:rPr>
                <w:sz w:val="20"/>
                <w:szCs w:val="20"/>
                <w:color w:val="auto"/>
              </w:rPr>
            </w:pPr>
            <w:r>
              <w:rPr>
                <w:rFonts w:ascii="Arial" w:cs="Arial" w:eastAsia="Arial" w:hAnsi="Arial"/>
                <w:sz w:val="18"/>
                <w:szCs w:val="18"/>
                <w:color w:val="auto"/>
              </w:rPr>
              <w:t>Thereafter</w:t>
            </w:r>
          </w:p>
        </w:tc>
        <w:tc>
          <w:tcPr>
            <w:tcW w:w="514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612.5</w:t>
            </w:r>
          </w:p>
        </w:tc>
      </w:tr>
    </w:tbl>
    <w:p>
      <w:pPr>
        <w:spacing w:after="0" w:line="147"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fair values of the fixed rate notes due 2013 and 2014 were estimated using quoted market prices. The fair value of the fixed rate notes due 2018 was derived using a standard valuation model with market-based observable inputs including U.S. Treasury yields and interest rate spreads. At June 30, 2011, the fair values of the fixed rate notes by maturity date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millions)</w:t>
            </w:r>
          </w:p>
        </w:tc>
        <w:tc>
          <w:tcPr>
            <w:tcW w:w="3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Fair Value</w:t>
            </w:r>
          </w:p>
        </w:tc>
      </w:tr>
      <w:tr>
        <w:trPr>
          <w:trHeight w:val="211"/>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$750.0 million fixed rate notes due August 2013</w:t>
            </w:r>
          </w:p>
        </w:tc>
        <w:tc>
          <w:tcPr>
            <w:tcW w:w="33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817.3</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$750.0 million fixed rate notes due February 2014</w:t>
            </w:r>
          </w:p>
        </w:tc>
        <w:tc>
          <w:tcPr>
            <w:tcW w:w="3380" w:type="dxa"/>
            <w:vAlign w:val="bottom"/>
          </w:tcPr>
          <w:p>
            <w:pPr>
              <w:spacing w:after="0"/>
              <w:rPr>
                <w:sz w:val="18"/>
                <w:szCs w:val="18"/>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833.0</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$612.5 million fixed rate notes due March 2018</w:t>
            </w:r>
          </w:p>
        </w:tc>
        <w:tc>
          <w:tcPr>
            <w:tcW w:w="33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634.2</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Income Taxes</w:t>
      </w:r>
    </w:p>
    <w:p>
      <w:pPr>
        <w:spacing w:after="0" w:line="177"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company’s effective tax rate decreased to 26.3% in the first six months of 2011 from 41.8% in the first six months of 2010. The effective tax rate decreased by 11.6% due to a tax benefit of $118.1 million resulting from a change in state tax apportionment in the first quarter of 2011. This change resulted in a reduction in the income tax provision primarily due to a revaluation of existing deferred tax liabilities. The effective tax rate also decreased by 4.8% due to a $48.8 million reduction in valuation allowances on unrealized capital losses previously reserved. The company began marking-to-market its investment in BM&amp;FBOVESPA S.A. (BM&amp;FBOVESPA) in the first quarter of 2011 which resulted in the reversal of these unrelated valuation allowances.</w:t>
      </w:r>
    </w:p>
    <w:p>
      <w:pPr>
        <w:spacing w:after="0" w:line="1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Also, the company reversed a valuation allowance of $64.3 million related to its investment in BM&amp;FBOVESPA, which increased accumulated other comprehensive income (loss) in the first quarter of 2011. The valuation allowance was reversed because the company began marking-to-market its investment in BM&amp;FBOVEPA in the first quarter of 2011.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Contingencies</w:t>
      </w:r>
    </w:p>
    <w:p>
      <w:pPr>
        <w:spacing w:after="0" w:line="177" w:lineRule="exact"/>
        <w:rPr>
          <w:sz w:val="20"/>
          <w:szCs w:val="20"/>
          <w:color w:val="auto"/>
        </w:rPr>
      </w:pPr>
    </w:p>
    <w:p>
      <w:pPr>
        <w:ind w:right="180"/>
        <w:spacing w:after="0" w:line="323" w:lineRule="auto"/>
        <w:rPr>
          <w:sz w:val="20"/>
          <w:szCs w:val="20"/>
          <w:color w:val="auto"/>
        </w:rPr>
      </w:pPr>
      <w:r>
        <w:rPr>
          <w:rFonts w:ascii="Arial" w:cs="Arial" w:eastAsia="Arial" w:hAnsi="Arial"/>
          <w:sz w:val="15"/>
          <w:szCs w:val="15"/>
          <w:i w:val="1"/>
          <w:iCs w:val="1"/>
          <w:color w:val="auto"/>
        </w:rPr>
        <w:t>Legal Matters</w:t>
      </w:r>
      <w:r>
        <w:rPr>
          <w:rFonts w:ascii="Arial" w:cs="Arial" w:eastAsia="Arial" w:hAnsi="Arial"/>
          <w:sz w:val="15"/>
          <w:szCs w:val="15"/>
          <w:color w:val="auto"/>
        </w:rPr>
        <w:t>. In 2008, Fifth Market filed a complaint against CME Group and CME seeking a permanent injunction against CME’s Globex system and</w:t>
      </w:r>
      <w:r>
        <w:rPr>
          <w:rFonts w:ascii="Arial" w:cs="Arial" w:eastAsia="Arial" w:hAnsi="Arial"/>
          <w:sz w:val="15"/>
          <w:szCs w:val="15"/>
          <w:i w:val="1"/>
          <w:iCs w:val="1"/>
          <w:color w:val="auto"/>
        </w:rPr>
        <w:t xml:space="preserve"> </w:t>
      </w:r>
      <w:r>
        <w:rPr>
          <w:rFonts w:ascii="Arial" w:cs="Arial" w:eastAsia="Arial" w:hAnsi="Arial"/>
          <w:sz w:val="15"/>
          <w:szCs w:val="15"/>
          <w:color w:val="auto"/>
        </w:rPr>
        <w:t>unquantified enhanced damages for what the plaintiff alleges is willful infringement of two U.S. patents, in addition to costs, expenses and attorneys’ fees. The matter has been stayed pending the outcome of a reexamination of one of the patents at issue by the U.S. Patent and Trademark Office (USPTO). Based on its investigation to date and advice from legal counsel, the company believes this suit is without merit and intends to defend itself vigorously against these charges.</w:t>
      </w:r>
    </w:p>
    <w:p>
      <w:pPr>
        <w:spacing w:after="0" w:line="9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2009, CME and CBOT filed a complaint against Howard Garber seeking a declaratory judgment that neither CME nor CBOT infringed Mr. Garber’s patent and that his patent is invalid and unenforceable. In 2009, Technology Research Group LLC, the current owner of the patent at issue, filed counterclaims alleging that CME and CBOT willingly infringe or induce or contribute to the infringement of its patent. Technology Research is seeking damages in the amount no less than a reasonable royalty. Trial was originally set for June 2011. The matter has been dismissed without prejudice with right to reinstate pending reexamination of the patent at issue by the USPTO and all settlement possibilities are evaluated. Based on its investigation to date and advice from legal counsel, the company believes this suit is without merit and intends to defend itself vigorously against these charges.</w:t>
      </w:r>
    </w:p>
    <w:p>
      <w:pPr>
        <w:spacing w:after="0" w:line="12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2009, Realtime Data LLC filed a complaint against CME Group and other exchanges alleging willful infringement of four patents which, was later amended to add CBOT and NYMEX as defendants. Subsequently, two additional lawsuits have been filed each adding a claim for the infringement of an additional patent. Both of these lawsuits have been consolidated with the original action. Realtime Data is seeking a permanent injunction, unquantified enhanced damages, attorneys’ fees and costs. Discovery in this matter is in the early stages. The Court of Appeals for the Federal Circuit has ordered that the case be transferred to the Southern District of New York. Realtime has requested reconsideration of the transfer. The case is currently stayed pending the Federal Circuits decision on the request for reconsideration. Based on its investigation to date and advice from legal counsel, the company believes this suit is without merit and intends to defend itself vigorously against these charges.</w:t>
      </w:r>
    </w:p>
    <w:p>
      <w:pPr>
        <w:spacing w:after="0" w:line="11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foregoing legal matters involve alleged infringements of intellectual property, which due to their nature involve potential liability that is uncertain, difficult to quantify and involve a wide range of potential outcomes. The company believes that the matters are without merit and intends to defend itself vigorously against the claims. We expect the reexaminations by the USPTO in the Fifth Market and Garber matters to result in a determination of the validity of the patents at issue which we expect will have an impact on the merits of the matters. Given the uncertainty of the potential outcome of the reexaminations, at this time the company is unable to estimate the reasonably possible loss or range of reasonably possible loss in the unlikely event it were found to be liable at trial in these matters. In the Realtime matter, no estimate of our reasonably possible loss or range of reasonably possible loss may be made at this time because the damages sought in the proceeding have not been quantified or substantiated and the discovery phase of the matter is in the early stages.</w:t>
      </w:r>
    </w:p>
    <w:p>
      <w:pPr>
        <w:spacing w:after="0" w:line="118"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on an individual basis or in the aggregate will not have a material impact on its consolidated financial position or results of operations.</w:t>
      </w:r>
    </w:p>
    <w:p>
      <w:pPr>
        <w:spacing w:after="0" w:line="107"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Regulatory Matters</w:t>
      </w:r>
      <w:r>
        <w:rPr>
          <w:rFonts w:ascii="Arial" w:cs="Arial" w:eastAsia="Arial" w:hAnsi="Arial"/>
          <w:sz w:val="18"/>
          <w:szCs w:val="18"/>
          <w:color w:val="auto"/>
        </w:rPr>
        <w:t>. In the normal course of business, the company discusses matters with its regulators raised during regulatory examinations or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their inquiry and oversight. These matters could result in censures, fines, penalties or other sanctions. Management believes the outcome of any resulting actions will not have a material impact on its consolidated financial position or results of operations. However, the company is unable to predict the outcome or the timing of the ultimate resolution of these matters, or the potential fines, penalties or injunctive or other equitable relief, if any, that may result from these matters.</w:t>
      </w:r>
    </w:p>
    <w:p>
      <w:pPr>
        <w:spacing w:after="0" w:line="14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Intellectual Property Indemnifications</w:t>
      </w:r>
      <w:r>
        <w:rPr>
          <w:rFonts w:ascii="Arial" w:cs="Arial" w:eastAsia="Arial" w:hAnsi="Arial"/>
          <w:sz w:val="18"/>
          <w:szCs w:val="18"/>
          <w:color w:val="auto"/>
        </w:rPr>
        <w:t>. Certain agreements with customers and other third parties related to accessing the CME Globex platform, the CME</w:t>
      </w:r>
      <w:r>
        <w:rPr>
          <w:rFonts w:ascii="Arial" w:cs="Arial" w:eastAsia="Arial" w:hAnsi="Arial"/>
          <w:sz w:val="18"/>
          <w:szCs w:val="18"/>
          <w:i w:val="1"/>
          <w:iCs w:val="1"/>
          <w:color w:val="auto"/>
        </w:rPr>
        <w:t xml:space="preserve"> </w:t>
      </w:r>
      <w:r>
        <w:rPr>
          <w:rFonts w:ascii="Arial" w:cs="Arial" w:eastAsia="Arial" w:hAnsi="Arial"/>
          <w:sz w:val="18"/>
          <w:szCs w:val="18"/>
          <w:color w:val="auto"/>
        </w:rPr>
        <w:t>ClearPort platform, and/or the Clearing 21 platform; utilizing market data services; licensing CME SPAN software; and calculating indexes as a service provider and licensing indexes as the basis of financial products may contain indemnifications from intellectual property claims that may be made against them as a result of their use of the applicable products and/or services. The potential future claims relating to these indemnifications cannot be estimated and, therefore, no liability has been recorded.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Guarantees</w:t>
      </w:r>
    </w:p>
    <w:p>
      <w:pPr>
        <w:spacing w:after="0" w:line="17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i w:val="1"/>
          <w:iCs w:val="1"/>
          <w:color w:val="auto"/>
        </w:rPr>
        <w:t xml:space="preserve">CME Clearing Contract Settlement. </w:t>
      </w:r>
      <w:r>
        <w:rPr>
          <w:rFonts w:ascii="Arial" w:cs="Arial" w:eastAsia="Arial" w:hAnsi="Arial"/>
          <w:sz w:val="16"/>
          <w:szCs w:val="16"/>
          <w:color w:val="auto"/>
        </w:rPr>
        <w:t>CME marks-to-market open positions for most products at least twice a day, and requires payment from clearing firms whose</w:t>
      </w:r>
      <w:r>
        <w:rPr>
          <w:rFonts w:ascii="Arial" w:cs="Arial" w:eastAsia="Arial" w:hAnsi="Arial"/>
          <w:sz w:val="16"/>
          <w:szCs w:val="16"/>
          <w:i w:val="1"/>
          <w:iCs w:val="1"/>
          <w:color w:val="auto"/>
        </w:rPr>
        <w:t xml:space="preserve"> </w:t>
      </w:r>
      <w:r>
        <w:rPr>
          <w:rFonts w:ascii="Arial" w:cs="Arial" w:eastAsia="Arial" w:hAnsi="Arial"/>
          <w:sz w:val="16"/>
          <w:szCs w:val="16"/>
          <w:color w:val="auto"/>
        </w:rPr>
        <w:t>positions have lost value and makes payments to clearing firms whose positions have gained value. For select cleared-only markets, positions are marked-to-market once daily, with the capability to mark-to-market more frequently as market conditions warrant. Under the extremely unlikely scenario of simultaneous default by every clearing firm who has open positions with unrealized losses, the maximum exposure related to CME’s guarantee would be one half day of changes in fair value of all open positions, before considering CME’s ability to access defaulting clearing firms’ performance bond and guaranty fund balances as well as other available resources. During the first six months of 2011, CME transferred an average of approximately $2.8 billion a day through its clearing system for settlement from clearing firms whose positions had lost value to clearing firms whose positions had gained value. CME reduces its guarantee exposure through initial and maintenance performance bond requirements and mandatory guaranty fund contributions. The company believes that its guarantee liability is immaterial and therefore has not recorded any liability at June 30, 2011.</w:t>
      </w:r>
    </w:p>
    <w:p>
      <w:pPr>
        <w:spacing w:after="0" w:line="12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i w:val="1"/>
          <w:iCs w:val="1"/>
          <w:color w:val="auto"/>
        </w:rPr>
        <w:t xml:space="preserve">Mutual Offset Agreement. </w:t>
      </w:r>
      <w:r>
        <w:rPr>
          <w:rFonts w:ascii="Arial" w:cs="Arial" w:eastAsia="Arial" w:hAnsi="Arial"/>
          <w:sz w:val="16"/>
          <w:szCs w:val="16"/>
          <w:color w:val="auto"/>
        </w:rPr>
        <w:t>CME and Singapore Exchange Limited (SGX) have a mutual offset agreement with a current term through October 2011. The term of</w:t>
      </w:r>
      <w:r>
        <w:rPr>
          <w:rFonts w:ascii="Arial" w:cs="Arial" w:eastAsia="Arial" w:hAnsi="Arial"/>
          <w:sz w:val="16"/>
          <w:szCs w:val="16"/>
          <w:i w:val="1"/>
          <w:iCs w:val="1"/>
          <w:color w:val="auto"/>
        </w:rPr>
        <w:t xml:space="preserve"> </w:t>
      </w:r>
      <w:r>
        <w:rPr>
          <w:rFonts w:ascii="Arial" w:cs="Arial" w:eastAsia="Arial" w:hAnsi="Arial"/>
          <w:sz w:val="16"/>
          <w:szCs w:val="16"/>
          <w:color w:val="auto"/>
        </w:rPr>
        <w:t>the agreement will automatically renew for a one-year period unless either party provides advance notice of their intent to terminate. CME can maintain collateral in the form of U.S. Treasury securities or irrevocable letters of credit. At June 30, 2011, CME was contingently liable to SGX on irrevocable letters of credit totaling $83.0 million. Regardless of the collateral, CME guarantees all cleared transactions submitted through SGX and would initiate procedures designed to satisfy these financial obligations in the event of a default, such as the use of performance bonds and guaranty fund contributions of the defaulting clearing firm.</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Cross-Margin Agreements</w:t>
      </w:r>
      <w:r>
        <w:rPr>
          <w:rFonts w:ascii="Arial" w:cs="Arial" w:eastAsia="Arial" w:hAnsi="Arial"/>
          <w:sz w:val="18"/>
          <w:szCs w:val="18"/>
          <w:color w:val="auto"/>
        </w:rPr>
        <w:t>. CME and The Options Clearing Corporation (OCC) have a cross-margin arrangement, whereby a common clearing firm may maintain</w:t>
      </w:r>
      <w:r>
        <w:rPr>
          <w:rFonts w:ascii="Arial" w:cs="Arial" w:eastAsia="Arial" w:hAnsi="Arial"/>
          <w:sz w:val="18"/>
          <w:szCs w:val="18"/>
          <w:i w:val="1"/>
          <w:iCs w:val="1"/>
          <w:color w:val="auto"/>
        </w:rPr>
        <w:t xml:space="preserve"> </w:t>
      </w:r>
      <w:r>
        <w:rPr>
          <w:rFonts w:ascii="Arial" w:cs="Arial" w:eastAsia="Arial" w:hAnsi="Arial"/>
          <w:sz w:val="18"/>
          <w:szCs w:val="18"/>
          <w:color w:val="auto"/>
        </w:rPr>
        <w:t>a cross-margin account in which the clearing firm’s positions in certain CME futures and options on futures contracts are combined with certain positions cleared by OCC for purposes of calculating performance bond requirements. The performance bond deposits are held jointly by CME and OCC. If a participating firm defaults, the gain or loss on the liquidation of the firm’s open position and the proceeds from the liquidation of the cross-margin account would be allocated 50% each to CME and OCC.</w:t>
      </w:r>
    </w:p>
    <w:p>
      <w:pPr>
        <w:spacing w:after="0" w:line="14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Cross-margin agreements exist with CME and Fixed Income Clearing Corp (FICC) whereby the clearing firms’ offsetting positions with CME are subject to reduced margin requirements. Clearing firms maintain separate performance bond deposits with each clearing house, but depending on the net offsetting positions between CME and FICC, each clearing house may reduce the firm’s performance bond requirement. In the event of a firm default, the total liquidation net gain or loss on the firm’s offsetting open positions and the proceeds from the liquidation of the performance bond collateral held by each clearing house’s supporting offsetting positions would be divided evenly between CME and FICC. Additionally, if, after liquidation of all the positions and collateral of the defaulting firm at each respective clearing organization, and taking into account any cross-margining loss sharing payments, any of the participating clearing organizations has a remaining liquidating surplus, and any other participating clearing organization has a remaining liquidating deficit, any additional surplus from the liquidation would be shared with the other clearing house to the extent that it has a remaining liquidating deficit. Any remaining surplus funds would be passed to the bankruptcy trustee.</w:t>
      </w:r>
    </w:p>
    <w:p>
      <w:pPr>
        <w:spacing w:after="0" w:line="120"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i w:val="1"/>
          <w:iCs w:val="1"/>
          <w:color w:val="auto"/>
        </w:rPr>
        <w:t xml:space="preserve">GFX Corporation Letter of Credit. </w:t>
      </w:r>
      <w:r>
        <w:rPr>
          <w:rFonts w:ascii="Arial" w:cs="Arial" w:eastAsia="Arial" w:hAnsi="Arial"/>
          <w:sz w:val="18"/>
          <w:szCs w:val="18"/>
          <w:color w:val="auto"/>
        </w:rPr>
        <w:t>CME guarantees a $15.0 million standby letter of credit for GFX Corporation (GFX). The beneficiary of the letter of credit is</w:t>
      </w:r>
      <w:r>
        <w:rPr>
          <w:rFonts w:ascii="Arial" w:cs="Arial" w:eastAsia="Arial" w:hAnsi="Arial"/>
          <w:sz w:val="18"/>
          <w:szCs w:val="18"/>
          <w:i w:val="1"/>
          <w:iCs w:val="1"/>
          <w:color w:val="auto"/>
        </w:rPr>
        <w:t xml:space="preserve"> </w:t>
      </w:r>
      <w:r>
        <w:rPr>
          <w:rFonts w:ascii="Arial" w:cs="Arial" w:eastAsia="Arial" w:hAnsi="Arial"/>
          <w:sz w:val="18"/>
          <w:szCs w:val="18"/>
          <w:color w:val="auto"/>
        </w:rPr>
        <w:t>the clearing firm that is used by GFX to execute and maintain its futures positions. Based on exchange requirements, GFX is required to place performance bond deposits with its clearing firm. The letter of credit, utilized as a performance bond, would be drawn on in the event that GFX defaults in meeting requirements to its clearing firm. In the unlikely event of a payment default by GFX, if GFX’s performance bond is not sufficient to cover the deficit, CME would guarantee the remaining deficit, if any.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Payments</w:t>
      </w:r>
    </w:p>
    <w:p>
      <w:pPr>
        <w:spacing w:after="0" w:line="17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Total expense for stock-based payments, including shares issued to the board of directors, was $25.6 million and $20.1 million for the six months ended June 30, 2011 and 2010, respectively. The total income tax benefit recognized in the consolidated statements of income for stock-based payment arrangements was $10.1 million and $8.0 million for the six months ended June 30, 2011 and 2010, respectively.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In the first six months of 2011, the company granted employees stock options totaling 6,172 shares under the CME Group Omnibus Stock Plan. The options have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 ten-year term with exercise prices ranging from $271 to $286 per share, the closing market price on the dates of grant. The fair value of these options totaled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$0.6 million, measured at the grant dates using the Black-Scholes valuation model, which is recognized as compensation expense on an accelerated basis over the</w:t>
      </w:r>
    </w:p>
    <w:p>
      <w:pPr>
        <w:spacing w:after="0" w:line="44"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vesting period of four years. The Black-Scholes fair values of the option grants were calculated using the following assumptions: dividend yields ranging from 2.0% to 2.1%; expected volatility ranging from 41% to 42%; risk-free interest rates ranging from 2.0% to 2.4% and an expected life of 6.3 years. The grant date weighted average fair value of options granted during the first six months of 2011 was $100 per share.</w:t>
      </w:r>
    </w:p>
    <w:p>
      <w:pPr>
        <w:spacing w:after="0" w:line="10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the first six months of 2011, the company granted 8,521 shares of restricted Class A common stock which generally have a vesting period of two to four years. The fair value of these grants was $2.4 million, which is recognized as compensation expense on an accelerated basis over the vesting period. In the first six months of 2011, the company granted 5,542 performance shares. The vesting of these shares is contingent on meeting stated goals over a performance period, beginning in June 2011 and ending in December 2014.</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Accumulated Other Comprehensive Income (Loss)</w:t>
      </w:r>
    </w:p>
    <w:p>
      <w:pPr>
        <w:spacing w:after="0" w:line="17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December 2008, an unrealized loss of $81.7 million, net of tax, resulting from changes in foreign currency exchange rates, was recorded in accumulated other comprehensive income (loss) upon recognizing impairment on the company’s investment in BM&amp;FBOVESPA. Prior to February 2011, this investment was recorded at cost due to restrictions on the sale of the stock. The company began marking-to-market its investment in BM&amp;FBOVESPA in February 2011 because these restrictions will lapse in February 2012, with changes in unrealized gains (losses) recorded in accumulated other comprehensive income (loss). During the first six months, the company recognized an unrealized gain on securities of $227.3 million, net of tax, and reversed the unrealized loss of $81.7 million, net of tax, attributable to currency translation adjustments recorded in December 2008.</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a three-level classification hierarchy of fair value measurements for disclosure purposes.</w:t>
      </w:r>
    </w:p>
    <w:p>
      <w:pPr>
        <w:spacing w:after="0" w:line="212" w:lineRule="exact"/>
        <w:rPr>
          <w:sz w:val="20"/>
          <w:szCs w:val="20"/>
          <w:color w:val="auto"/>
        </w:rPr>
      </w:pPr>
    </w:p>
    <w:p>
      <w:pPr>
        <w:ind w:left="800" w:right="140" w:hanging="454"/>
        <w:spacing w:after="0" w:line="268"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1 inputs, which are considered the most reliable evidence of fair value, consist of quoted prices (unadjusted) for identical assets or liabilities in active markets.</w:t>
      </w:r>
    </w:p>
    <w:p>
      <w:pPr>
        <w:spacing w:after="0" w:line="172" w:lineRule="exact"/>
        <w:rPr>
          <w:rFonts w:ascii="Arial" w:cs="Arial" w:eastAsia="Arial" w:hAnsi="Arial"/>
          <w:sz w:val="18"/>
          <w:szCs w:val="18"/>
          <w:color w:val="auto"/>
        </w:rPr>
      </w:pPr>
    </w:p>
    <w:p>
      <w:pPr>
        <w:ind w:left="800" w:right="180" w:hanging="454"/>
        <w:spacing w:after="0" w:line="268"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2 inputs consist of observable market data, other than level 1 inputs, such as quoted prices for similar assets and liabilities in active markets or inputs other than quoted prices that are directly observable.</w:t>
      </w:r>
    </w:p>
    <w:p>
      <w:pPr>
        <w:spacing w:after="0" w:line="172" w:lineRule="exact"/>
        <w:rPr>
          <w:rFonts w:ascii="Arial" w:cs="Arial" w:eastAsia="Arial" w:hAnsi="Arial"/>
          <w:sz w:val="18"/>
          <w:szCs w:val="18"/>
          <w:color w:val="auto"/>
        </w:rPr>
      </w:pPr>
    </w:p>
    <w:p>
      <w:pPr>
        <w:ind w:left="800" w:hanging="454"/>
        <w:spacing w:after="0"/>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Level 3 inputs consist of unobservable inputs which are derived and cannot be corroborated by market data or other entity-specific inputs.</w:t>
      </w:r>
    </w:p>
    <w:p>
      <w:pPr>
        <w:spacing w:after="0" w:line="19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general, the company uses quoted prices in active markets for identical assets to determine the fair value of marketable securities and equity investments. Level 1 assets generally include U.S. Treasury securities, exchange-traded mutual funds and publicly-traded equity securities. If quoted prices are not available to determine fair value, the company uses other inputs that are observable either directly or indirectly. Assets included in level 2 generally consist of U.S. Government agency securities, municipal bonds, asset-backed securities and certain corporate bonds. The level 2 marketable securities were measured at fair value based on matrix pricing using prices of similar securities with similar inputs such as maturity dates, interest rates and credit ratings. There were no level 3 assets that were valued on a recurring basis as of June 30, 2011. In addition, there were no liabilities valued at fair value on a recurring basis.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Financial assets recorded in the consolidated balance sheet as of June 30, 2011 were classified in their entirety based on the lowest level of input that was significant to each asset’s fair value measurement.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Measured at Fair Value on a Recurring Basis: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At June 30, 2011</w:t>
            </w:r>
          </w:p>
        </w:tc>
        <w:tc>
          <w:tcPr>
            <w:tcW w:w="7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r>
      <w:tr>
        <w:trPr>
          <w:trHeight w:val="272"/>
        </w:trPr>
        <w:tc>
          <w:tcPr>
            <w:tcW w:w="5320" w:type="dxa"/>
            <w:vAlign w:val="bottom"/>
            <w:gridSpan w:val="2"/>
          </w:tcPr>
          <w:p>
            <w:pPr>
              <w:spacing w:after="0"/>
              <w:rPr>
                <w:sz w:val="20"/>
                <w:szCs w:val="20"/>
                <w:color w:val="auto"/>
              </w:rPr>
            </w:pPr>
            <w:r>
              <w:rPr>
                <w:rFonts w:ascii="Arial" w:cs="Arial" w:eastAsia="Arial" w:hAnsi="Arial"/>
                <w:sz w:val="18"/>
                <w:szCs w:val="18"/>
                <w:i w:val="1"/>
                <w:iCs w:val="1"/>
                <w:color w:val="auto"/>
              </w:rPr>
              <w:t>(in millions)</w:t>
            </w:r>
          </w:p>
        </w:tc>
        <w:tc>
          <w:tcPr>
            <w:tcW w:w="180" w:type="dxa"/>
            <w:vAlign w:val="bottom"/>
          </w:tcPr>
          <w:p>
            <w:pPr>
              <w:spacing w:after="0"/>
              <w:rPr>
                <w:sz w:val="23"/>
                <w:szCs w:val="23"/>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3"/>
                <w:szCs w:val="23"/>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ind w:left="40"/>
              <w:spacing w:after="0"/>
              <w:rPr>
                <w:sz w:val="20"/>
                <w:szCs w:val="20"/>
                <w:color w:val="auto"/>
              </w:rPr>
            </w:pPr>
            <w:r>
              <w:rPr>
                <w:rFonts w:ascii="Arial" w:cs="Arial" w:eastAsia="Arial" w:hAnsi="Arial"/>
                <w:sz w:val="18"/>
                <w:szCs w:val="18"/>
                <w:b w:val="1"/>
                <w:bCs w:val="1"/>
                <w:color w:val="auto"/>
              </w:rPr>
              <w:t>Level 3</w:t>
            </w: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r>
      <w:tr>
        <w:trPr>
          <w:trHeight w:val="216"/>
        </w:trPr>
        <w:tc>
          <w:tcPr>
            <w:tcW w:w="20" w:type="dxa"/>
            <w:vAlign w:val="bottom"/>
          </w:tcPr>
          <w:p>
            <w:pPr>
              <w:spacing w:after="0"/>
              <w:rPr>
                <w:sz w:val="18"/>
                <w:szCs w:val="18"/>
                <w:color w:val="auto"/>
              </w:rPr>
            </w:pPr>
          </w:p>
        </w:tc>
        <w:tc>
          <w:tcPr>
            <w:tcW w:w="5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 at Fair Value:</w:t>
            </w: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U.S. Treasury securities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520"/>
              <w:spacing w:after="0"/>
              <w:rPr>
                <w:sz w:val="20"/>
                <w:szCs w:val="20"/>
                <w:color w:val="auto"/>
              </w:rPr>
            </w:pPr>
            <w:r>
              <w:rPr>
                <w:rFonts w:ascii="Arial" w:cs="Arial" w:eastAsia="Arial" w:hAnsi="Arial"/>
                <w:sz w:val="18"/>
                <w:szCs w:val="18"/>
                <w:color w:val="auto"/>
              </w:rPr>
              <w:t>Mutual funds</w:t>
            </w:r>
          </w:p>
        </w:tc>
        <w:tc>
          <w:tcPr>
            <w:tcW w:w="180" w:type="dxa"/>
            <w:vAlign w:val="bottom"/>
          </w:tcPr>
          <w:p>
            <w:pPr>
              <w:spacing w:after="0"/>
              <w:rPr>
                <w:sz w:val="18"/>
                <w:szCs w:val="18"/>
                <w:color w:val="auto"/>
              </w:rPr>
            </w:pPr>
          </w:p>
        </w:tc>
        <w:tc>
          <w:tcPr>
            <w:tcW w:w="1540" w:type="dxa"/>
            <w:vAlign w:val="bottom"/>
            <w:gridSpan w:val="2"/>
          </w:tcPr>
          <w:p>
            <w:pPr>
              <w:jc w:val="right"/>
              <w:ind w:right="720"/>
              <w:spacing w:after="0"/>
              <w:rPr>
                <w:sz w:val="20"/>
                <w:szCs w:val="20"/>
                <w:color w:val="auto"/>
              </w:rPr>
            </w:pPr>
            <w:r>
              <w:rPr>
                <w:rFonts w:ascii="Arial" w:cs="Arial" w:eastAsia="Arial" w:hAnsi="Arial"/>
                <w:sz w:val="18"/>
                <w:szCs w:val="18"/>
                <w:color w:val="auto"/>
              </w:rPr>
              <w:t>32.9</w:t>
            </w:r>
          </w:p>
        </w:tc>
        <w:tc>
          <w:tcPr>
            <w:tcW w:w="18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ind w:left="580"/>
              <w:spacing w:after="0"/>
              <w:rPr>
                <w:sz w:val="20"/>
                <w:szCs w:val="20"/>
                <w:color w:val="auto"/>
              </w:rPr>
            </w:pPr>
            <w:r>
              <w:rPr>
                <w:rFonts w:ascii="Arial" w:cs="Arial" w:eastAsia="Arial" w:hAnsi="Arial"/>
                <w:sz w:val="18"/>
                <w:szCs w:val="18"/>
                <w:color w:val="auto"/>
                <w:w w:val="88"/>
              </w:rPr>
              <w:t>—</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Corporate bonds</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8"/>
              </w:rPr>
              <w:t>—</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520"/>
              <w:spacing w:after="0"/>
              <w:rPr>
                <w:sz w:val="20"/>
                <w:szCs w:val="20"/>
                <w:color w:val="auto"/>
              </w:rPr>
            </w:pPr>
            <w:r>
              <w:rPr>
                <w:rFonts w:ascii="Arial" w:cs="Arial" w:eastAsia="Arial" w:hAnsi="Arial"/>
                <w:sz w:val="18"/>
                <w:szCs w:val="18"/>
                <w:color w:val="auto"/>
              </w:rPr>
              <w:t>Municipal bonds</w:t>
            </w:r>
          </w:p>
        </w:tc>
        <w:tc>
          <w:tcPr>
            <w:tcW w:w="180" w:type="dxa"/>
            <w:vAlign w:val="bottom"/>
          </w:tcPr>
          <w:p>
            <w:pPr>
              <w:spacing w:after="0"/>
              <w:rPr>
                <w:sz w:val="18"/>
                <w:szCs w:val="18"/>
                <w:color w:val="auto"/>
              </w:rPr>
            </w:pPr>
          </w:p>
        </w:tc>
        <w:tc>
          <w:tcPr>
            <w:tcW w:w="15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4.5</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ind w:left="580"/>
              <w:spacing w:after="0"/>
              <w:rPr>
                <w:sz w:val="20"/>
                <w:szCs w:val="20"/>
                <w:color w:val="auto"/>
              </w:rPr>
            </w:pPr>
            <w:r>
              <w:rPr>
                <w:rFonts w:ascii="Arial" w:cs="Arial" w:eastAsia="Arial" w:hAnsi="Arial"/>
                <w:sz w:val="18"/>
                <w:szCs w:val="18"/>
                <w:color w:val="auto"/>
                <w:w w:val="88"/>
              </w:rPr>
              <w:t>—</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Asset-backed securities</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8"/>
              </w:rPr>
              <w:t>—</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520"/>
              <w:spacing w:after="0"/>
              <w:rPr>
                <w:sz w:val="20"/>
                <w:szCs w:val="20"/>
                <w:color w:val="auto"/>
              </w:rPr>
            </w:pPr>
            <w:r>
              <w:rPr>
                <w:rFonts w:ascii="Arial" w:cs="Arial" w:eastAsia="Arial" w:hAnsi="Arial"/>
                <w:sz w:val="18"/>
                <w:szCs w:val="18"/>
                <w:color w:val="auto"/>
              </w:rPr>
              <w:t>U.S. Government agency securities</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88"/>
              </w:rPr>
              <w:t>—</w:t>
            </w:r>
          </w:p>
        </w:tc>
        <w:tc>
          <w:tcPr>
            <w:tcW w:w="7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38.0</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17.0</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8"/>
              </w:rPr>
              <w:t>—</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Equity investments</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712.6</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88"/>
              </w:rPr>
              <w:t>—</w:t>
            </w:r>
          </w:p>
        </w:tc>
        <w:tc>
          <w:tcPr>
            <w:tcW w:w="7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 Assets at Fair Value</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750.6</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17.0</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At June 30, 2011, equity investments included our investment in BM&amp;FBOVESPA, which has been recorded at fair value using the quoted market price beginning in February 2011. The fair value of our investment in BM&amp;FBOVESPA was $665.7 million at June 30, 2011. Until February 2011, this investment was recorded at cost due to restrictions on sale of the stock that exceeded a one year time period. Equity investments are included in other assets in the consolidated balance sheets.</w:t>
      </w:r>
    </w:p>
    <w:p>
      <w:pPr>
        <w:spacing w:after="0" w:line="14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There were no transfers of assets between level 1 and level 2 during the first six months of 2011. Additionally, there were no assets or liabilities valued at fair value on a recurring or non-recurring basis using significant unobservable inputs during the first six months of 2011.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Basic earnings per share is computed by dividing net income attributable to CME Group by the weighted average number of shares of all classes of common stock outstanding for each reporting period. Diluted earnings per share reflects the increase in shares using the treasury stock method to reflect the impact of an equivalent number of shares of common stock if stock options were exercised and restricted stock awards were converted into common stock. Outstanding stock options of approximately 687,000 were anti-dilutive for the quarter and six months ended June 30, 2011, respectively. Outstanding stock options of approximately 605,000 were anti-dilutive for the quarter and six months ended June 30, 2010. There were no anti-dilutive restricted stock awards for the quarters and six months ended June 30, 2011 and 2010.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Quarter Ended</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gridSpan w:val="5"/>
          </w:tcPr>
          <w:p>
            <w:pPr>
              <w:ind w:left="2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w w:val="83"/>
              </w:rPr>
              <w:t>June 30,</w:t>
            </w: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w w:val="85"/>
              </w:rPr>
              <w:t>June 30,</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5020" w:type="dxa"/>
            <w:vAlign w:val="bottom"/>
            <w:gridSpan w:val="2"/>
          </w:tcPr>
          <w:p>
            <w:pPr>
              <w:spacing w:after="0"/>
              <w:rPr>
                <w:sz w:val="20"/>
                <w:szCs w:val="20"/>
                <w:color w:val="auto"/>
              </w:rPr>
            </w:pPr>
            <w:r>
              <w:rPr>
                <w:rFonts w:ascii="Arial" w:cs="Arial" w:eastAsia="Arial" w:hAnsi="Arial"/>
                <w:sz w:val="18"/>
                <w:szCs w:val="18"/>
                <w:i w:val="1"/>
                <w:iCs w:val="1"/>
                <w:color w:val="auto"/>
              </w:rPr>
              <w:t>(in millions, except shares and per share data)</w:t>
            </w:r>
          </w:p>
        </w:tc>
        <w:tc>
          <w:tcPr>
            <w:tcW w:w="1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b w:val="1"/>
                <w:bCs w:val="1"/>
                <w:color w:val="auto"/>
              </w:rPr>
              <w:t>2011</w:t>
            </w: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jc w:val="right"/>
              <w:ind w:right="92"/>
              <w:spacing w:after="0"/>
              <w:rPr>
                <w:sz w:val="20"/>
                <w:szCs w:val="20"/>
                <w:color w:val="auto"/>
              </w:rPr>
            </w:pPr>
            <w:r>
              <w:rPr>
                <w:rFonts w:ascii="Arial" w:cs="Arial" w:eastAsia="Arial" w:hAnsi="Arial"/>
                <w:sz w:val="18"/>
                <w:szCs w:val="18"/>
                <w:b w:val="1"/>
                <w:bCs w:val="1"/>
                <w:color w:val="auto"/>
                <w:w w:val="84"/>
              </w:rPr>
              <w:t>2010</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b w:val="1"/>
                <w:bCs w:val="1"/>
                <w:color w:val="auto"/>
              </w:rPr>
              <w:t>2011</w:t>
            </w: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Attributable to CME Group</w:t>
            </w:r>
          </w:p>
        </w:tc>
        <w:tc>
          <w:tcPr>
            <w:tcW w:w="136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293.7</w:t>
            </w:r>
          </w:p>
        </w:tc>
        <w:tc>
          <w:tcPr>
            <w:tcW w:w="90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270.7</w:t>
            </w: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750.3</w:t>
            </w:r>
          </w:p>
        </w:tc>
        <w:tc>
          <w:tcPr>
            <w:tcW w:w="8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5020" w:type="dxa"/>
            <w:vAlign w:val="bottom"/>
            <w:gridSpan w:val="2"/>
          </w:tcPr>
          <w:p>
            <w:pPr>
              <w:spacing w:after="0"/>
              <w:rPr>
                <w:sz w:val="20"/>
                <w:szCs w:val="20"/>
                <w:color w:val="auto"/>
              </w:rPr>
            </w:pPr>
            <w:r>
              <w:rPr>
                <w:rFonts w:ascii="Arial" w:cs="Arial" w:eastAsia="Arial" w:hAnsi="Arial"/>
                <w:sz w:val="18"/>
                <w:szCs w:val="18"/>
                <w:color w:val="auto"/>
                <w:w w:val="99"/>
              </w:rPr>
              <w:t>Weighted Average Number of Common Shares (in thousands):</w:t>
            </w: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66,759</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65,582</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66,808</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Effect of stock options</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129</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151</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133</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Effect of restricted stock awards</w:t>
            </w:r>
          </w:p>
        </w:tc>
        <w:tc>
          <w:tcPr>
            <w:tcW w:w="1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6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6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Diluted</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66,974</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65,784</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67,018</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Attributable to CME Group:</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Basic</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4.40</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4.13</w:t>
            </w:r>
          </w:p>
        </w:tc>
        <w:tc>
          <w:tcPr>
            <w:tcW w:w="5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11.23</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4.11</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180" w:type="dxa"/>
            <w:vAlign w:val="bottom"/>
          </w:tcPr>
          <w:p>
            <w:pPr>
              <w:jc w:val="right"/>
              <w:ind w:right="312"/>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has evaluated subsequent events through the date the financial statements were issued and has determined that there are no subsequent events that require disclosure.</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240" w:top="459" w:right="4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following discussion is provided as a supplement to, and should be read in conjunction with, the accompanying unaudited consolidated financial statements and notes in this Form 10-Q and our Annual Report on Form 10-K for the year ended December 31, 2010.</w:t>
      </w:r>
    </w:p>
    <w:p>
      <w:pPr>
        <w:spacing w:after="0" w:line="1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References in this discussion and analysis to “we,” “us” and “our” are to CME Group and its consolidated subsidiaries, collectively. References to “exchange” are to Chicago Mercantile Exchange Inc. (CME), Board of Trade of the City of Chicago, Inc. (CBOT), and New York Mercantile Exchange, Inc. (NYMEX), collectively.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significant changes in our financial performance for the periods presented.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Quarter Ended</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w w:val="96"/>
              </w:rPr>
              <w:t>Six Months Ended</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June 30,</w:t>
            </w:r>
          </w:p>
        </w:tc>
        <w:tc>
          <w:tcPr>
            <w:tcW w:w="5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June 30,</w:t>
            </w:r>
          </w:p>
        </w:tc>
        <w:tc>
          <w:tcPr>
            <w:tcW w:w="60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680" w:type="dxa"/>
            <w:vAlign w:val="bottom"/>
            <w:gridSpan w:val="2"/>
          </w:tcPr>
          <w:p>
            <w:pPr>
              <w:spacing w:after="0"/>
              <w:rPr>
                <w:sz w:val="20"/>
                <w:szCs w:val="20"/>
                <w:color w:val="auto"/>
              </w:rPr>
            </w:pPr>
            <w:r>
              <w:rPr>
                <w:rFonts w:ascii="Arial" w:cs="Arial" w:eastAsia="Arial" w:hAnsi="Arial"/>
                <w:sz w:val="18"/>
                <w:szCs w:val="18"/>
                <w:i w:val="1"/>
                <w:iCs w:val="1"/>
                <w:color w:val="auto"/>
              </w:rPr>
              <w:t>(dollars in millions, except per share data)</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412"/>
              <w:spacing w:after="0"/>
              <w:rPr>
                <w:sz w:val="20"/>
                <w:szCs w:val="20"/>
                <w:color w:val="auto"/>
              </w:rPr>
            </w:pPr>
            <w:r>
              <w:rPr>
                <w:rFonts w:ascii="Arial" w:cs="Arial" w:eastAsia="Arial" w:hAnsi="Arial"/>
                <w:sz w:val="18"/>
                <w:szCs w:val="18"/>
                <w:b w:val="1"/>
                <w:bCs w:val="1"/>
                <w:color w:val="auto"/>
                <w:w w:val="94"/>
              </w:rPr>
              <w:t>2011</w:t>
            </w:r>
          </w:p>
        </w:tc>
        <w:tc>
          <w:tcPr>
            <w:tcW w:w="26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b w:val="1"/>
                <w:bCs w:val="1"/>
                <w:color w:val="auto"/>
                <w:w w:val="94"/>
              </w:rPr>
              <w:t>2010</w:t>
            </w:r>
          </w:p>
        </w:tc>
        <w:tc>
          <w:tcPr>
            <w:tcW w:w="280" w:type="dxa"/>
            <w:vAlign w:val="bottom"/>
          </w:tcPr>
          <w:p>
            <w:pPr>
              <w:spacing w:after="0"/>
              <w:rPr>
                <w:sz w:val="18"/>
                <w:szCs w:val="18"/>
                <w:color w:val="auto"/>
              </w:rPr>
            </w:pPr>
          </w:p>
        </w:tc>
        <w:tc>
          <w:tcPr>
            <w:tcW w:w="1020" w:type="dxa"/>
            <w:vAlign w:val="bottom"/>
          </w:tcPr>
          <w:p>
            <w:pPr>
              <w:jc w:val="right"/>
              <w:ind w:right="212"/>
              <w:spacing w:after="0"/>
              <w:rPr>
                <w:sz w:val="20"/>
                <w:szCs w:val="20"/>
                <w:color w:val="auto"/>
              </w:rPr>
            </w:pPr>
            <w:r>
              <w:rPr>
                <w:rFonts w:ascii="Arial" w:cs="Arial" w:eastAsia="Arial" w:hAnsi="Arial"/>
                <w:sz w:val="18"/>
                <w:szCs w:val="18"/>
                <w:b w:val="1"/>
                <w:bCs w:val="1"/>
                <w:color w:val="auto"/>
              </w:rPr>
              <w:t>Change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432"/>
              <w:spacing w:after="0"/>
              <w:rPr>
                <w:sz w:val="20"/>
                <w:szCs w:val="20"/>
                <w:color w:val="auto"/>
              </w:rPr>
            </w:pPr>
            <w:r>
              <w:rPr>
                <w:rFonts w:ascii="Arial" w:cs="Arial" w:eastAsia="Arial" w:hAnsi="Arial"/>
                <w:sz w:val="18"/>
                <w:szCs w:val="18"/>
                <w:b w:val="1"/>
                <w:bCs w:val="1"/>
                <w:color w:val="auto"/>
                <w:w w:val="94"/>
              </w:rPr>
              <w:t>2011</w:t>
            </w:r>
          </w:p>
        </w:tc>
        <w:tc>
          <w:tcPr>
            <w:tcW w:w="30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b w:val="1"/>
                <w:bCs w:val="1"/>
                <w:color w:val="auto"/>
                <w:w w:val="94"/>
              </w:rPr>
              <w:t>2010</w:t>
            </w:r>
          </w:p>
        </w:tc>
        <w:tc>
          <w:tcPr>
            <w:tcW w:w="3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838.3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813.9</w:t>
            </w: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1,669.9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1,507.1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Total expenses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12"/>
              <w:spacing w:after="0"/>
              <w:rPr>
                <w:sz w:val="20"/>
                <w:szCs w:val="20"/>
                <w:color w:val="auto"/>
              </w:rPr>
            </w:pPr>
            <w:r>
              <w:rPr>
                <w:rFonts w:ascii="Arial" w:cs="Arial" w:eastAsia="Arial" w:hAnsi="Arial"/>
                <w:sz w:val="18"/>
                <w:szCs w:val="18"/>
                <w:color w:val="auto"/>
              </w:rPr>
              <w:t>303.8</w:t>
            </w:r>
          </w:p>
        </w:tc>
        <w:tc>
          <w:tcPr>
            <w:tcW w:w="26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298.8</w:t>
            </w:r>
          </w:p>
        </w:tc>
        <w:tc>
          <w:tcPr>
            <w:tcW w:w="1020" w:type="dxa"/>
            <w:vAlign w:val="bottom"/>
          </w:tcPr>
          <w:p>
            <w:pPr>
              <w:jc w:val="right"/>
              <w:ind w:right="212"/>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611.3</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577.3</w:t>
            </w:r>
          </w:p>
        </w:tc>
        <w:tc>
          <w:tcPr>
            <w:tcW w:w="3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64%</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63%</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680" w:type="dxa"/>
            <w:vAlign w:val="bottom"/>
            <w:gridSpan w:val="2"/>
          </w:tcPr>
          <w:p>
            <w:pPr>
              <w:spacing w:after="0"/>
              <w:rPr>
                <w:sz w:val="20"/>
                <w:szCs w:val="20"/>
                <w:color w:val="auto"/>
              </w:rPr>
            </w:pPr>
            <w:r>
              <w:rPr>
                <w:rFonts w:ascii="Arial" w:cs="Arial" w:eastAsia="Arial" w:hAnsi="Arial"/>
                <w:sz w:val="18"/>
                <w:szCs w:val="18"/>
                <w:color w:val="auto"/>
              </w:rPr>
              <w:t>Non-operating income (expense)</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(25.2)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(35.0)</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(28)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(37.7)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(50.8)</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680" w:type="dxa"/>
            <w:vAlign w:val="bottom"/>
            <w:gridSpan w:val="2"/>
          </w:tcPr>
          <w:p>
            <w:pPr>
              <w:spacing w:after="0"/>
              <w:rPr>
                <w:sz w:val="20"/>
                <w:szCs w:val="20"/>
                <w:color w:val="auto"/>
              </w:rPr>
            </w:pPr>
            <w:r>
              <w:rPr>
                <w:rFonts w:ascii="Arial" w:cs="Arial" w:eastAsia="Arial" w:hAnsi="Arial"/>
                <w:sz w:val="18"/>
                <w:szCs w:val="18"/>
                <w:color w:val="auto"/>
              </w:rPr>
              <w:t>Net income attributable to CME Group</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12"/>
              <w:spacing w:after="0"/>
              <w:rPr>
                <w:sz w:val="20"/>
                <w:szCs w:val="20"/>
                <w:color w:val="auto"/>
              </w:rPr>
            </w:pPr>
            <w:r>
              <w:rPr>
                <w:rFonts w:ascii="Arial" w:cs="Arial" w:eastAsia="Arial" w:hAnsi="Arial"/>
                <w:sz w:val="18"/>
                <w:szCs w:val="18"/>
                <w:color w:val="auto"/>
              </w:rPr>
              <w:t>293.7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270.7</w:t>
            </w:r>
          </w:p>
        </w:tc>
        <w:tc>
          <w:tcPr>
            <w:tcW w:w="1020" w:type="dxa"/>
            <w:vAlign w:val="bottom"/>
          </w:tcPr>
          <w:p>
            <w:pPr>
              <w:jc w:val="right"/>
              <w:ind w:right="212"/>
              <w:spacing w:after="0"/>
              <w:rPr>
                <w:sz w:val="20"/>
                <w:szCs w:val="20"/>
                <w:color w:val="auto"/>
              </w:rPr>
            </w:pPr>
            <w:r>
              <w:rPr>
                <w:rFonts w:ascii="Arial" w:cs="Arial" w:eastAsia="Arial" w:hAnsi="Arial"/>
                <w:sz w:val="18"/>
                <w:szCs w:val="18"/>
                <w:color w:val="auto"/>
              </w:rPr>
              <w:t>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750.3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510.9</w:t>
            </w:r>
          </w:p>
        </w:tc>
        <w:tc>
          <w:tcPr>
            <w:tcW w:w="30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w w:val="92"/>
              </w:rPr>
              <w:t>Diluted earnings per common share attributable to CME Group</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4.38</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4.11</w:t>
            </w:r>
          </w:p>
        </w:tc>
        <w:tc>
          <w:tcPr>
            <w:tcW w:w="10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11.20</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576.1</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649.1</w:t>
            </w:r>
          </w:p>
        </w:tc>
        <w:tc>
          <w:tcPr>
            <w:tcW w:w="3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800" w:right="160" w:hanging="454"/>
        <w:spacing w:after="0" w:line="298" w:lineRule="auto"/>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the second quarter of 2011 when compared with the same period of 2010, revenues increased due to an increase in average rate per contract and a gain recognized on the sale of certain Index Service assets. The increase was partially offset by a decrease in volumes attributable to one less trading day in the second quarter of 2011 when compared with the same period in 2010. In the first six months of 2011 when compared with the same period of 2010, the overall increase in trading volume contributed to an increase in clearing and transaction fees revenue.</w:t>
      </w:r>
    </w:p>
    <w:p>
      <w:pPr>
        <w:spacing w:after="0" w:line="72" w:lineRule="exact"/>
        <w:rPr>
          <w:rFonts w:ascii="Arial" w:cs="Arial" w:eastAsia="Arial" w:hAnsi="Arial"/>
          <w:sz w:val="16"/>
          <w:szCs w:val="16"/>
          <w:color w:val="auto"/>
        </w:rPr>
      </w:pPr>
    </w:p>
    <w:p>
      <w:pPr>
        <w:ind w:left="800" w:right="120" w:hanging="454"/>
        <w:spacing w:after="0" w:line="256"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in overall expenses in the second quarter and first six months of 2011 was attributable to a rise in compensation and benefits expense due to increases in salaries and health care costs as well as accrued bonus expense. The increase in overall expenses in the first six months of 2011 when compared with the same period in 2010 was also due to the additional employees related to the formation of CME Group Index Services LLC (Index Services) in March 2010.</w:t>
      </w:r>
    </w:p>
    <w:p>
      <w:pPr>
        <w:spacing w:after="0" w:line="102" w:lineRule="exact"/>
        <w:rPr>
          <w:rFonts w:ascii="Arial" w:cs="Arial" w:eastAsia="Arial" w:hAnsi="Arial"/>
          <w:sz w:val="18"/>
          <w:szCs w:val="18"/>
          <w:color w:val="auto"/>
        </w:rPr>
      </w:pPr>
    </w:p>
    <w:p>
      <w:pPr>
        <w:ind w:left="800" w:right="40" w:hanging="454"/>
        <w:spacing w:after="0" w:line="298" w:lineRule="auto"/>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decrease in the effective tax rate in the second quarter of 2011 when compared with the same period in 2010 was due to a full valuation allowance that we established in 2010 for the tax benefit associated with Credit Market Analysis, Ltd.’s (CMA) goodwill and trade name impairment. A change in state tax apportionment and a reduction in valuation allowances on other unrealized capital losses previously reserved contributed to a decline in the effective tax rate for the first six months of 2011 when compared with the same period of 2010.</w:t>
      </w:r>
    </w:p>
    <w:p>
      <w:pPr>
        <w:spacing w:after="0" w:line="72" w:lineRule="exact"/>
        <w:rPr>
          <w:rFonts w:ascii="Arial" w:cs="Arial" w:eastAsia="Arial" w:hAnsi="Arial"/>
          <w:sz w:val="16"/>
          <w:szCs w:val="16"/>
          <w:color w:val="auto"/>
        </w:rPr>
      </w:pPr>
    </w:p>
    <w:p>
      <w:pPr>
        <w:ind w:left="800" w:hanging="454"/>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Cash flows from operations decreased due to an increase in other current assets resulting from an increase in restricted cash.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Revenues</w:t>
            </w: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5"/>
            <w:vMerge w:val="restart"/>
          </w:tcPr>
          <w:p>
            <w:pPr>
              <w:jc w:val="right"/>
              <w:ind w:right="212"/>
              <w:spacing w:after="0"/>
              <w:rPr>
                <w:sz w:val="20"/>
                <w:szCs w:val="20"/>
                <w:color w:val="auto"/>
              </w:rPr>
            </w:pPr>
            <w:r>
              <w:rPr>
                <w:rFonts w:ascii="Arial" w:cs="Arial" w:eastAsia="Arial" w:hAnsi="Arial"/>
                <w:sz w:val="18"/>
                <w:szCs w:val="18"/>
                <w:b w:val="1"/>
                <w:bCs w:val="1"/>
                <w:color w:val="auto"/>
              </w:rPr>
              <w:t>Quarter Ended</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6"/>
            <w:vMerge w:val="restart"/>
          </w:tcPr>
          <w:p>
            <w:pPr>
              <w:ind w:left="60"/>
              <w:spacing w:after="0"/>
              <w:rPr>
                <w:sz w:val="20"/>
                <w:szCs w:val="20"/>
                <w:color w:val="auto"/>
              </w:rPr>
            </w:pPr>
            <w:r>
              <w:rPr>
                <w:rFonts w:ascii="Arial" w:cs="Arial" w:eastAsia="Arial" w:hAnsi="Arial"/>
                <w:sz w:val="18"/>
                <w:szCs w:val="18"/>
                <w:b w:val="1"/>
                <w:bCs w:val="1"/>
                <w:color w:val="auto"/>
              </w:rPr>
              <w:t>Six Months Ended</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5"/>
            <w:vMerge w:val="continue"/>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6"/>
            <w:vMerge w:val="continue"/>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June 30,</w:t>
            </w:r>
          </w:p>
        </w:tc>
        <w:tc>
          <w:tcPr>
            <w:tcW w:w="540" w:type="dxa"/>
            <w:vAlign w:val="bottom"/>
            <w:tcBorders>
              <w:bottom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4"/>
          </w:tcPr>
          <w:p>
            <w:pPr>
              <w:ind w:left="440"/>
              <w:spacing w:after="0"/>
              <w:rPr>
                <w:sz w:val="20"/>
                <w:szCs w:val="20"/>
                <w:color w:val="auto"/>
              </w:rPr>
            </w:pPr>
            <w:r>
              <w:rPr>
                <w:rFonts w:ascii="Arial" w:cs="Arial" w:eastAsia="Arial" w:hAnsi="Arial"/>
                <w:sz w:val="18"/>
                <w:szCs w:val="18"/>
                <w:b w:val="1"/>
                <w:bCs w:val="1"/>
                <w:color w:val="auto"/>
                <w:w w:val="85"/>
              </w:rPr>
              <w:t>June 30,</w:t>
            </w:r>
          </w:p>
        </w:tc>
        <w:tc>
          <w:tcPr>
            <w:tcW w:w="5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060" w:type="dxa"/>
            <w:vAlign w:val="bottom"/>
            <w:gridSpan w:val="2"/>
          </w:tcPr>
          <w:p>
            <w:pPr>
              <w:spacing w:after="0"/>
              <w:rPr>
                <w:sz w:val="20"/>
                <w:szCs w:val="20"/>
                <w:color w:val="auto"/>
              </w:rPr>
            </w:pPr>
            <w:r>
              <w:rPr>
                <w:rFonts w:ascii="Arial" w:cs="Arial" w:eastAsia="Arial" w:hAnsi="Arial"/>
                <w:sz w:val="18"/>
                <w:szCs w:val="18"/>
                <w:i w:val="1"/>
                <w:iCs w:val="1"/>
                <w:color w:val="auto"/>
              </w:rPr>
              <w:t>(dollars in millions)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b w:val="1"/>
                <w:bCs w:val="1"/>
                <w:color w:val="auto"/>
                <w:w w:val="94"/>
              </w:rPr>
              <w:t>2011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ind w:right="92"/>
              <w:spacing w:after="0"/>
              <w:rPr>
                <w:sz w:val="20"/>
                <w:szCs w:val="20"/>
                <w:color w:val="auto"/>
              </w:rPr>
            </w:pPr>
            <w:r>
              <w:rPr>
                <w:rFonts w:ascii="Arial" w:cs="Arial" w:eastAsia="Arial" w:hAnsi="Arial"/>
                <w:sz w:val="18"/>
                <w:szCs w:val="18"/>
                <w:b w:val="1"/>
                <w:bCs w:val="1"/>
                <w:color w:val="auto"/>
                <w:w w:val="84"/>
              </w:rPr>
              <w:t>2010</w:t>
            </w:r>
          </w:p>
        </w:tc>
        <w:tc>
          <w:tcPr>
            <w:tcW w:w="1160" w:type="dxa"/>
            <w:vAlign w:val="bottom"/>
          </w:tcPr>
          <w:p>
            <w:pPr>
              <w:jc w:val="right"/>
              <w:ind w:right="192"/>
              <w:spacing w:after="0"/>
              <w:rPr>
                <w:sz w:val="20"/>
                <w:szCs w:val="20"/>
                <w:color w:val="auto"/>
              </w:rPr>
            </w:pPr>
            <w:r>
              <w:rPr>
                <w:rFonts w:ascii="Arial" w:cs="Arial" w:eastAsia="Arial" w:hAnsi="Arial"/>
                <w:sz w:val="18"/>
                <w:szCs w:val="18"/>
                <w:b w:val="1"/>
                <w:bCs w:val="1"/>
                <w:color w:val="auto"/>
              </w:rPr>
              <w:t>Change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ind w:left="6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b w:val="1"/>
                <w:bCs w:val="1"/>
                <w:color w:val="auto"/>
                <w:w w:val="89"/>
              </w:rPr>
              <w:t>2010</w:t>
            </w:r>
          </w:p>
        </w:tc>
        <w:tc>
          <w:tcPr>
            <w:tcW w:w="140" w:type="dxa"/>
            <w:vAlign w:val="bottom"/>
          </w:tcPr>
          <w:p>
            <w:pPr>
              <w:spacing w:after="0"/>
              <w:rPr>
                <w:sz w:val="18"/>
                <w:szCs w:val="18"/>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Clearing and transaction fees</w:t>
            </w:r>
          </w:p>
        </w:tc>
        <w:tc>
          <w:tcPr>
            <w:tcW w:w="15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687.8</w:t>
            </w:r>
          </w:p>
        </w:tc>
        <w:tc>
          <w:tcPr>
            <w:tcW w:w="3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684.2</w:t>
            </w:r>
          </w:p>
        </w:tc>
        <w:tc>
          <w:tcPr>
            <w:tcW w:w="116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2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1,379.1</w:t>
            </w:r>
          </w:p>
        </w:tc>
        <w:tc>
          <w:tcPr>
            <w:tcW w:w="3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1,262.2</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Market data and information services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107.9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102.0</w:t>
            </w: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214.9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189.6</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Access and communication fees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1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w:t>
            </w:r>
          </w:p>
        </w:tc>
        <w:tc>
          <w:tcPr>
            <w:tcW w:w="9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Other</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16.5</w:t>
            </w: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53.1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33.2</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838.</w:t>
            </w:r>
            <w:r>
              <w:rPr>
                <w:rFonts w:ascii="Arial" w:cs="Arial" w:eastAsia="Arial" w:hAnsi="Arial"/>
                <w:sz w:val="18"/>
                <w:szCs w:val="18"/>
                <w:u w:val="single" w:color="auto"/>
                <w:color w:val="auto"/>
              </w:rPr>
              <w:t>3</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r>
              <w:rPr>
                <w:rFonts w:ascii="Arial" w:cs="Arial" w:eastAsia="Arial" w:hAnsi="Arial"/>
                <w:sz w:val="18"/>
                <w:szCs w:val="18"/>
                <w:u w:val="single" w:color="auto"/>
                <w:color w:val="auto"/>
              </w:rPr>
              <w:t>9</w:t>
            </w:r>
          </w:p>
        </w:tc>
        <w:tc>
          <w:tcPr>
            <w:tcW w:w="11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1,669.</w:t>
            </w:r>
            <w:r>
              <w:rPr>
                <w:rFonts w:ascii="Arial" w:cs="Arial" w:eastAsia="Arial" w:hAnsi="Arial"/>
                <w:sz w:val="18"/>
                <w:szCs w:val="18"/>
                <w:u w:val="single" w:color="auto"/>
                <w:color w:val="auto"/>
                <w:w w:val="96"/>
              </w:rPr>
              <w:t>9</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1,507.</w:t>
            </w:r>
            <w:r>
              <w:rPr>
                <w:rFonts w:ascii="Arial" w:cs="Arial" w:eastAsia="Arial" w:hAnsi="Arial"/>
                <w:sz w:val="18"/>
                <w:szCs w:val="18"/>
                <w:u w:val="single" w:color="auto"/>
                <w:color w:val="auto"/>
                <w:w w:val="93"/>
              </w:rPr>
              <w:t>1</w:t>
            </w:r>
          </w:p>
        </w:tc>
        <w:tc>
          <w:tcPr>
            <w:tcW w:w="9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Clearing and Transaction Fees</w:t>
      </w:r>
    </w:p>
    <w:p>
      <w:pPr>
        <w:spacing w:after="0" w:line="144"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following table summarizes our total contract volume, revenue and average rate per contract. Total contract volume includes contracts that are traded on our exchange and cleared through our clearing house. Contract volume also includes cleared-only CME ClearPort contracts. Volume is measured in round turns, which is considered a completed transaction which involves a purchase and an offsetting sale of a contract. Average rate per contract is determined by dividing total clearing and transaction fee revenues by total contract volume. All amounts exclude our TRAKRS, credit default swaps and interest rate swaps.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gridSpan w:val="4"/>
            <w:vMerge w:val="restart"/>
          </w:tcPr>
          <w:p>
            <w:pPr>
              <w:jc w:val="right"/>
              <w:ind w:right="580"/>
              <w:spacing w:after="0"/>
              <w:rPr>
                <w:sz w:val="20"/>
                <w:szCs w:val="20"/>
                <w:color w:val="auto"/>
              </w:rPr>
            </w:pPr>
            <w:r>
              <w:rPr>
                <w:rFonts w:ascii="Arial" w:cs="Arial" w:eastAsia="Arial" w:hAnsi="Arial"/>
                <w:sz w:val="18"/>
                <w:szCs w:val="18"/>
                <w:b w:val="1"/>
                <w:bCs w:val="1"/>
                <w:color w:val="auto"/>
              </w:rPr>
              <w:t>Quarter Ended</w:t>
            </w: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gridSpan w:val="3"/>
          </w:tcPr>
          <w:p>
            <w:pPr>
              <w:jc w:val="right"/>
              <w:ind w:right="232"/>
              <w:spacing w:after="0"/>
              <w:rPr>
                <w:sz w:val="20"/>
                <w:szCs w:val="20"/>
                <w:color w:val="auto"/>
              </w:rPr>
            </w:pPr>
            <w:r>
              <w:rPr>
                <w:rFonts w:ascii="Arial" w:cs="Arial" w:eastAsia="Arial" w:hAnsi="Arial"/>
                <w:sz w:val="18"/>
                <w:szCs w:val="18"/>
                <w:b w:val="1"/>
                <w:bCs w:val="1"/>
                <w:color w:val="auto"/>
                <w:w w:val="99"/>
              </w:rPr>
              <w:t>Six Months Ended</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4"/>
            <w:vMerge w:val="continue"/>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9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June 30,</w:t>
            </w:r>
          </w:p>
        </w:tc>
        <w:tc>
          <w:tcPr>
            <w:tcW w:w="5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June 30,</w:t>
            </w:r>
          </w:p>
        </w:tc>
        <w:tc>
          <w:tcPr>
            <w:tcW w:w="660" w:type="dxa"/>
            <w:vAlign w:val="bottom"/>
            <w:tcBorders>
              <w:bottom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9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2011</w:t>
            </w:r>
          </w:p>
        </w:tc>
        <w:tc>
          <w:tcPr>
            <w:tcW w:w="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9"/>
              </w:rPr>
              <w:t>2010</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Change</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2011</w:t>
            </w: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9"/>
              </w:rPr>
              <w:t>2010</w:t>
            </w:r>
          </w:p>
        </w:tc>
        <w:tc>
          <w:tcPr>
            <w:tcW w:w="11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volume (in millions)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852.2</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865.6</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1,707.5</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Clearing and transaction fees (in millions)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687.8</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684.2</w:t>
            </w:r>
          </w:p>
        </w:tc>
        <w:tc>
          <w:tcPr>
            <w:tcW w:w="1180" w:type="dxa"/>
            <w:vAlign w:val="bottom"/>
          </w:tcPr>
          <w:p>
            <w:pPr>
              <w:jc w:val="right"/>
              <w:ind w:right="352"/>
              <w:spacing w:after="0"/>
              <w:rPr>
                <w:sz w:val="20"/>
                <w:szCs w:val="20"/>
                <w:color w:val="auto"/>
              </w:rPr>
            </w:pPr>
            <w:r>
              <w:rPr>
                <w:rFonts w:ascii="Arial" w:cs="Arial" w:eastAsia="Arial" w:hAnsi="Arial"/>
                <w:sz w:val="18"/>
                <w:szCs w:val="18"/>
                <w:color w:val="auto"/>
              </w:rPr>
              <w:t>1</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1,379.1</w:t>
            </w:r>
          </w:p>
        </w:tc>
        <w:tc>
          <w:tcPr>
            <w:tcW w:w="4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1,262.2</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Average rate per contract</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0.807</w:t>
            </w: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0.790</w:t>
            </w:r>
          </w:p>
        </w:tc>
        <w:tc>
          <w:tcPr>
            <w:tcW w:w="11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0.808</w:t>
            </w:r>
          </w:p>
        </w:tc>
        <w:tc>
          <w:tcPr>
            <w:tcW w:w="4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0.804</w:t>
            </w:r>
          </w:p>
        </w:tc>
        <w:tc>
          <w:tcPr>
            <w:tcW w:w="11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We estimate the following increases (decreases) in clearing and transaction fees based on change in total contract volume and change in average rate per contract during the second quarter of 2011 when compared with the same period in 2010 and the first six months of 2011 when compared with the same period in 2010.</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Quarter</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Six Months</w:t>
            </w:r>
          </w:p>
        </w:tc>
      </w:tr>
      <w:tr>
        <w:trPr>
          <w:trHeight w:val="243"/>
        </w:trPr>
        <w:tc>
          <w:tcPr>
            <w:tcW w:w="8440" w:type="dxa"/>
            <w:vAlign w:val="bottom"/>
            <w:gridSpan w:val="2"/>
          </w:tcPr>
          <w:p>
            <w:pPr>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21"/>
                <w:szCs w:val="21"/>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Ended</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Ended</w:t>
            </w:r>
          </w:p>
        </w:tc>
      </w:tr>
      <w:tr>
        <w:trPr>
          <w:trHeight w:val="211"/>
        </w:trPr>
        <w:tc>
          <w:tcPr>
            <w:tcW w:w="20" w:type="dxa"/>
            <w:vAlign w:val="bottom"/>
          </w:tcPr>
          <w:p>
            <w:pPr>
              <w:spacing w:after="0"/>
              <w:rPr>
                <w:sz w:val="18"/>
                <w:szCs w:val="18"/>
                <w:color w:val="auto"/>
              </w:rPr>
            </w:pPr>
          </w:p>
        </w:tc>
        <w:tc>
          <w:tcPr>
            <w:tcW w:w="8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Increase (decrease) due to change in total contract volume</w:t>
            </w: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w:t>
            </w:r>
          </w:p>
        </w:tc>
        <w:tc>
          <w:tcPr>
            <w:tcW w:w="3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111.2</w:t>
            </w:r>
          </w:p>
        </w:tc>
      </w:tr>
      <w:tr>
        <w:trPr>
          <w:trHeight w:val="223"/>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Increase due to change in average rate per contract</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clearing and transaction fees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116.9</w:t>
            </w:r>
          </w:p>
        </w:tc>
      </w:tr>
    </w:tbl>
    <w:p>
      <w:pPr>
        <w:spacing w:after="0" w:line="154"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 decrease in revenue due to total contract volume in the second quarter of 2011 when compared with the same period of 2010 was attributed to one less trading day in the second quarter of 2011 when compared with the second quarter of 2010.</w:t>
      </w:r>
    </w:p>
    <w:p>
      <w:pPr>
        <w:spacing w:after="0" w:line="13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Average rate per contract is impacted by our rate structure, which includes volume-based incentives; product mix; trading venue; and the percentage of volume executed by customers who are members compared with non-member customers. Due to the relationship between average rate per contract and volume, the change in revenues attributable to changes in each is only an approximation.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Volume</w:t>
      </w:r>
    </w:p>
    <w:p>
      <w:pPr>
        <w:spacing w:after="0" w:line="9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following table summarizes average daily contract volume. Contract volume can be influenced by many factors, including political and economic factors, the regulatory environment and market competition.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9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1"/>
              </w:rPr>
              <w:t>Quarter Ended</w:t>
            </w:r>
          </w:p>
        </w:tc>
        <w:tc>
          <w:tcPr>
            <w:tcW w:w="1080" w:type="dxa"/>
            <w:vAlign w:val="bottom"/>
          </w:tcPr>
          <w:p>
            <w:pPr>
              <w:spacing w:after="0"/>
              <w:rPr>
                <w:sz w:val="18"/>
                <w:szCs w:val="18"/>
                <w:color w:val="auto"/>
              </w:rPr>
            </w:pPr>
          </w:p>
        </w:tc>
        <w:tc>
          <w:tcPr>
            <w:tcW w:w="178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w w:val="90"/>
              </w:rPr>
              <w:t>Six Months Ended</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1140" w:type="dxa"/>
            <w:vAlign w:val="bottom"/>
            <w:gridSpan w:val="3"/>
          </w:tcPr>
          <w:p>
            <w:pPr>
              <w:jc w:val="center"/>
              <w:ind w:left="412"/>
              <w:spacing w:after="0"/>
              <w:rPr>
                <w:sz w:val="20"/>
                <w:szCs w:val="20"/>
                <w:color w:val="auto"/>
              </w:rPr>
            </w:pPr>
            <w:r>
              <w:rPr>
                <w:rFonts w:ascii="Arial" w:cs="Arial" w:eastAsia="Arial" w:hAnsi="Arial"/>
                <w:sz w:val="18"/>
                <w:szCs w:val="18"/>
                <w:b w:val="1"/>
                <w:bCs w:val="1"/>
                <w:color w:val="auto"/>
                <w:w w:val="88"/>
              </w:rPr>
              <w:t>June 30,</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78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June 30,</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760" w:type="dxa"/>
            <w:vAlign w:val="bottom"/>
            <w:gridSpan w:val="2"/>
          </w:tcPr>
          <w:p>
            <w:pPr>
              <w:spacing w:after="0"/>
              <w:rPr>
                <w:sz w:val="20"/>
                <w:szCs w:val="20"/>
                <w:color w:val="auto"/>
              </w:rPr>
            </w:pPr>
            <w:r>
              <w:rPr>
                <w:rFonts w:ascii="Arial" w:cs="Arial" w:eastAsia="Arial" w:hAnsi="Arial"/>
                <w:sz w:val="18"/>
                <w:szCs w:val="18"/>
                <w:i w:val="1"/>
                <w:iCs w:val="1"/>
                <w:color w:val="auto"/>
              </w:rPr>
              <w:t>(amounts in thousands)</w:t>
            </w:r>
          </w:p>
        </w:tc>
        <w:tc>
          <w:tcPr>
            <w:tcW w:w="6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2011</w:t>
            </w:r>
          </w:p>
        </w:tc>
        <w:tc>
          <w:tcPr>
            <w:tcW w:w="4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4"/>
              </w:rPr>
              <w:t>2010</w:t>
            </w:r>
          </w:p>
        </w:tc>
        <w:tc>
          <w:tcPr>
            <w:tcW w:w="260" w:type="dxa"/>
            <w:vAlign w:val="bottom"/>
          </w:tcPr>
          <w:p>
            <w:pPr>
              <w:spacing w:after="0"/>
              <w:rPr>
                <w:sz w:val="19"/>
                <w:szCs w:val="19"/>
                <w:color w:val="auto"/>
              </w:rPr>
            </w:pPr>
          </w:p>
        </w:tc>
        <w:tc>
          <w:tcPr>
            <w:tcW w:w="1080" w:type="dxa"/>
            <w:vAlign w:val="bottom"/>
          </w:tcPr>
          <w:p>
            <w:pPr>
              <w:jc w:val="right"/>
              <w:ind w:right="292"/>
              <w:spacing w:after="0"/>
              <w:rPr>
                <w:sz w:val="20"/>
                <w:szCs w:val="20"/>
                <w:color w:val="auto"/>
              </w:rPr>
            </w:pPr>
            <w:r>
              <w:rPr>
                <w:rFonts w:ascii="Arial" w:cs="Arial" w:eastAsia="Arial" w:hAnsi="Arial"/>
                <w:sz w:val="18"/>
                <w:szCs w:val="18"/>
                <w:b w:val="1"/>
                <w:bCs w:val="1"/>
                <w:color w:val="auto"/>
              </w:rPr>
              <w:t>Change</w:t>
            </w:r>
          </w:p>
        </w:tc>
        <w:tc>
          <w:tcPr>
            <w:tcW w:w="5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2011</w:t>
            </w:r>
          </w:p>
        </w:tc>
        <w:tc>
          <w:tcPr>
            <w:tcW w:w="4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2010</w:t>
            </w:r>
          </w:p>
        </w:tc>
        <w:tc>
          <w:tcPr>
            <w:tcW w:w="26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Average Daily Volume by Product Line:</w:t>
            </w:r>
          </w:p>
        </w:tc>
        <w:tc>
          <w:tcPr>
            <w:tcW w:w="6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Interest rate</w:t>
            </w:r>
          </w:p>
        </w:tc>
        <w:tc>
          <w:tcPr>
            <w:tcW w:w="600" w:type="dxa"/>
            <w:vAlign w:val="bottom"/>
          </w:tcPr>
          <w:p>
            <w:pPr>
              <w:jc w:val="right"/>
              <w:spacing w:after="0"/>
              <w:rPr>
                <w:sz w:val="20"/>
                <w:szCs w:val="20"/>
                <w:color w:val="auto"/>
              </w:rPr>
            </w:pPr>
            <w:r>
              <w:rPr>
                <w:rFonts w:ascii="Arial" w:cs="Arial" w:eastAsia="Arial" w:hAnsi="Arial"/>
                <w:sz w:val="18"/>
                <w:szCs w:val="18"/>
                <w:color w:val="auto"/>
              </w:rPr>
              <w:t>6,449</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6,074</w:t>
            </w:r>
          </w:p>
        </w:tc>
        <w:tc>
          <w:tcPr>
            <w:tcW w:w="260" w:type="dxa"/>
            <w:vAlign w:val="bottom"/>
          </w:tcPr>
          <w:p>
            <w:pPr>
              <w:spacing w:after="0"/>
              <w:rPr>
                <w:sz w:val="18"/>
                <w:szCs w:val="18"/>
                <w:color w:val="auto"/>
              </w:rPr>
            </w:pP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6%</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6,437</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5,608</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(18)</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2,873</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3,143</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Foreign exchange</w:t>
            </w:r>
          </w:p>
        </w:tc>
        <w:tc>
          <w:tcPr>
            <w:tcW w:w="600" w:type="dxa"/>
            <w:vAlign w:val="bottom"/>
          </w:tcPr>
          <w:p>
            <w:pPr>
              <w:jc w:val="right"/>
              <w:spacing w:after="0"/>
              <w:rPr>
                <w:sz w:val="20"/>
                <w:szCs w:val="20"/>
                <w:color w:val="auto"/>
              </w:rPr>
            </w:pPr>
            <w:r>
              <w:rPr>
                <w:rFonts w:ascii="Arial" w:cs="Arial" w:eastAsia="Arial" w:hAnsi="Arial"/>
                <w:sz w:val="18"/>
                <w:szCs w:val="18"/>
                <w:color w:val="auto"/>
              </w:rPr>
              <w:t>918</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1,035</w:t>
            </w:r>
          </w:p>
        </w:tc>
        <w:tc>
          <w:tcPr>
            <w:tcW w:w="260" w:type="dxa"/>
            <w:vAlign w:val="bottom"/>
          </w:tcPr>
          <w:p>
            <w:pPr>
              <w:spacing w:after="0"/>
              <w:rPr>
                <w:sz w:val="18"/>
                <w:szCs w:val="18"/>
                <w:color w:val="auto"/>
              </w:rPr>
            </w:pPr>
          </w:p>
        </w:tc>
        <w:tc>
          <w:tcPr>
            <w:tcW w:w="1080" w:type="dxa"/>
            <w:vAlign w:val="bottom"/>
          </w:tcPr>
          <w:p>
            <w:pPr>
              <w:jc w:val="right"/>
              <w:ind w:right="232"/>
              <w:spacing w:after="0"/>
              <w:rPr>
                <w:sz w:val="20"/>
                <w:szCs w:val="20"/>
                <w:color w:val="auto"/>
              </w:rPr>
            </w:pPr>
            <w:r>
              <w:rPr>
                <w:rFonts w:ascii="Arial" w:cs="Arial" w:eastAsia="Arial" w:hAnsi="Arial"/>
                <w:sz w:val="18"/>
                <w:szCs w:val="18"/>
                <w:color w:val="auto"/>
              </w:rPr>
              <w:t>(11)</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939</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963</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Agricultural commodity</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36</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1,157</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821</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Energy</w:t>
            </w:r>
          </w:p>
        </w:tc>
        <w:tc>
          <w:tcPr>
            <w:tcW w:w="600" w:type="dxa"/>
            <w:vAlign w:val="bottom"/>
          </w:tcPr>
          <w:p>
            <w:pPr>
              <w:jc w:val="right"/>
              <w:spacing w:after="0"/>
              <w:rPr>
                <w:sz w:val="20"/>
                <w:szCs w:val="20"/>
                <w:color w:val="auto"/>
              </w:rPr>
            </w:pPr>
            <w:r>
              <w:rPr>
                <w:rFonts w:ascii="Arial" w:cs="Arial" w:eastAsia="Arial" w:hAnsi="Arial"/>
                <w:sz w:val="18"/>
                <w:szCs w:val="18"/>
                <w:color w:val="auto"/>
              </w:rPr>
              <w:t>1,757</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1,798</w:t>
            </w:r>
          </w:p>
        </w:tc>
        <w:tc>
          <w:tcPr>
            <w:tcW w:w="260" w:type="dxa"/>
            <w:vAlign w:val="bottom"/>
          </w:tcPr>
          <w:p>
            <w:pPr>
              <w:spacing w:after="0"/>
              <w:rPr>
                <w:sz w:val="18"/>
                <w:szCs w:val="18"/>
                <w:color w:val="auto"/>
              </w:rPr>
            </w:pPr>
          </w:p>
        </w:tc>
        <w:tc>
          <w:tcPr>
            <w:tcW w:w="1080" w:type="dxa"/>
            <w:vAlign w:val="bottom"/>
          </w:tcPr>
          <w:p>
            <w:pPr>
              <w:jc w:val="right"/>
              <w:ind w:right="232"/>
              <w:spacing w:after="0"/>
              <w:rPr>
                <w:sz w:val="20"/>
                <w:szCs w:val="20"/>
                <w:color w:val="auto"/>
              </w:rPr>
            </w:pPr>
            <w:r>
              <w:rPr>
                <w:rFonts w:ascii="Arial" w:cs="Arial" w:eastAsia="Arial" w:hAnsi="Arial"/>
                <w:sz w:val="18"/>
                <w:szCs w:val="18"/>
                <w:color w:val="auto"/>
              </w:rPr>
              <w:t>(2)</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1,864</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1,706</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Metal</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31</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390</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317</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Arial" w:cs="Arial" w:eastAsia="Arial" w:hAnsi="Arial"/>
                <w:sz w:val="18"/>
                <w:szCs w:val="18"/>
                <w:color w:val="auto"/>
              </w:rPr>
              <w:t>Aggregate average daily volume</w:t>
            </w: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vMerge w:val="restart"/>
          </w:tcPr>
          <w:p>
            <w:pPr>
              <w:jc w:val="right"/>
              <w:ind w:right="292"/>
              <w:spacing w:after="0"/>
              <w:rPr>
                <w:sz w:val="20"/>
                <w:szCs w:val="20"/>
                <w:color w:val="auto"/>
              </w:rPr>
            </w:pPr>
            <w:r>
              <w:rPr>
                <w:rFonts w:ascii="Arial" w:cs="Arial" w:eastAsia="Arial" w:hAnsi="Arial"/>
                <w:sz w:val="18"/>
                <w:szCs w:val="18"/>
                <w:color w:val="auto"/>
              </w:rPr>
              <w:t>—</w:t>
            </w: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9</w:t>
            </w:r>
          </w:p>
        </w:tc>
        <w:tc>
          <w:tcPr>
            <w:tcW w:w="0" w:type="dxa"/>
            <w:vAlign w:val="bottom"/>
          </w:tcPr>
          <w:p>
            <w:pPr>
              <w:spacing w:after="0" w:line="20" w:lineRule="exact"/>
              <w:rPr>
                <w:sz w:val="1"/>
                <w:szCs w:val="1"/>
                <w:color w:val="auto"/>
              </w:rPr>
            </w:pPr>
          </w:p>
        </w:tc>
      </w:tr>
      <w:tr>
        <w:trPr>
          <w:trHeight w:val="221"/>
        </w:trPr>
        <w:tc>
          <w:tcPr>
            <w:tcW w:w="5760" w:type="dxa"/>
            <w:vAlign w:val="bottom"/>
            <w:gridSpan w:val="2"/>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13,528</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13,525</w:t>
            </w:r>
          </w:p>
        </w:tc>
        <w:tc>
          <w:tcPr>
            <w:tcW w:w="2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13,660</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12,558</w:t>
            </w:r>
          </w:p>
        </w:tc>
        <w:tc>
          <w:tcPr>
            <w:tcW w:w="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7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Daily Volume by Venue:</w:t>
            </w: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Electronic</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11,454</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11,340</w:t>
            </w:r>
          </w:p>
        </w:tc>
        <w:tc>
          <w:tcPr>
            <w:tcW w:w="260" w:type="dxa"/>
            <w:vAlign w:val="bottom"/>
          </w:tcPr>
          <w:p>
            <w:pPr>
              <w:spacing w:after="0"/>
              <w:rPr>
                <w:sz w:val="18"/>
                <w:szCs w:val="18"/>
                <w:color w:val="auto"/>
              </w:rPr>
            </w:pPr>
          </w:p>
        </w:tc>
        <w:tc>
          <w:tcPr>
            <w:tcW w:w="1080" w:type="dxa"/>
            <w:vAlign w:val="bottom"/>
          </w:tcPr>
          <w:p>
            <w:pPr>
              <w:jc w:val="right"/>
              <w:ind w:right="292"/>
              <w:spacing w:after="0"/>
              <w:rPr>
                <w:sz w:val="20"/>
                <w:szCs w:val="20"/>
                <w:color w:val="auto"/>
              </w:rPr>
            </w:pPr>
            <w:r>
              <w:rPr>
                <w:rFonts w:ascii="Arial" w:cs="Arial" w:eastAsia="Arial" w:hAnsi="Arial"/>
                <w:sz w:val="18"/>
                <w:szCs w:val="18"/>
                <w:color w:val="auto"/>
              </w:rPr>
              <w:t>1</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11,529</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10,472</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Open outcry</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(9)</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1,430</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1,431</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Privately negotiated</w:t>
            </w:r>
          </w:p>
        </w:tc>
        <w:tc>
          <w:tcPr>
            <w:tcW w:w="600" w:type="dxa"/>
            <w:vAlign w:val="bottom"/>
          </w:tcPr>
          <w:p>
            <w:pPr>
              <w:jc w:val="right"/>
              <w:spacing w:after="0"/>
              <w:rPr>
                <w:sz w:val="20"/>
                <w:szCs w:val="20"/>
                <w:color w:val="auto"/>
              </w:rPr>
            </w:pPr>
            <w:r>
              <w:rPr>
                <w:rFonts w:ascii="Arial" w:cs="Arial" w:eastAsia="Arial" w:hAnsi="Arial"/>
                <w:sz w:val="18"/>
                <w:szCs w:val="18"/>
                <w:color w:val="auto"/>
              </w:rPr>
              <w:t>242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198</w:t>
            </w:r>
          </w:p>
        </w:tc>
        <w:tc>
          <w:tcPr>
            <w:tcW w:w="260" w:type="dxa"/>
            <w:vAlign w:val="bottom"/>
          </w:tcPr>
          <w:p>
            <w:pPr>
              <w:spacing w:after="0"/>
              <w:rPr>
                <w:sz w:val="18"/>
                <w:szCs w:val="18"/>
                <w:color w:val="auto"/>
              </w:rPr>
            </w:pPr>
          </w:p>
        </w:tc>
        <w:tc>
          <w:tcPr>
            <w:tcW w:w="1080" w:type="dxa"/>
            <w:vAlign w:val="bottom"/>
          </w:tcPr>
          <w:p>
            <w:pPr>
              <w:jc w:val="right"/>
              <w:ind w:right="292"/>
              <w:spacing w:after="0"/>
              <w:rPr>
                <w:sz w:val="20"/>
                <w:szCs w:val="20"/>
                <w:color w:val="auto"/>
              </w:rPr>
            </w:pPr>
            <w:r>
              <w:rPr>
                <w:rFonts w:ascii="Arial" w:cs="Arial" w:eastAsia="Arial" w:hAnsi="Arial"/>
                <w:sz w:val="18"/>
                <w:szCs w:val="18"/>
                <w:color w:val="auto"/>
              </w:rPr>
              <w:t>22</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233</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194</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 exchange-traded volume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13,077</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13,192</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12,097</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Total CME ClearPort</w:t>
            </w:r>
          </w:p>
        </w:tc>
        <w:tc>
          <w:tcPr>
            <w:tcW w:w="600" w:type="dxa"/>
            <w:vAlign w:val="bottom"/>
          </w:tcPr>
          <w:p>
            <w:pPr>
              <w:jc w:val="right"/>
              <w:spacing w:after="0"/>
              <w:rPr>
                <w:sz w:val="20"/>
                <w:szCs w:val="20"/>
                <w:color w:val="auto"/>
              </w:rPr>
            </w:pPr>
            <w:r>
              <w:rPr>
                <w:rFonts w:ascii="Arial" w:cs="Arial" w:eastAsia="Arial" w:hAnsi="Arial"/>
                <w:sz w:val="18"/>
                <w:szCs w:val="18"/>
                <w:color w:val="auto"/>
              </w:rPr>
              <w:t>439</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448</w:t>
            </w:r>
          </w:p>
        </w:tc>
        <w:tc>
          <w:tcPr>
            <w:tcW w:w="260" w:type="dxa"/>
            <w:vAlign w:val="bottom"/>
          </w:tcPr>
          <w:p>
            <w:pPr>
              <w:spacing w:after="0"/>
              <w:rPr>
                <w:sz w:val="18"/>
                <w:szCs w:val="18"/>
                <w:color w:val="auto"/>
              </w:rPr>
            </w:pPr>
          </w:p>
        </w:tc>
        <w:tc>
          <w:tcPr>
            <w:tcW w:w="1080" w:type="dxa"/>
            <w:vAlign w:val="bottom"/>
          </w:tcPr>
          <w:p>
            <w:pPr>
              <w:jc w:val="right"/>
              <w:ind w:right="232"/>
              <w:spacing w:after="0"/>
              <w:rPr>
                <w:sz w:val="20"/>
                <w:szCs w:val="20"/>
                <w:color w:val="auto"/>
              </w:rPr>
            </w:pPr>
            <w:r>
              <w:rPr>
                <w:rFonts w:ascii="Arial" w:cs="Arial" w:eastAsia="Arial" w:hAnsi="Arial"/>
                <w:sz w:val="18"/>
                <w:szCs w:val="18"/>
                <w:color w:val="auto"/>
              </w:rPr>
              <w:t>(2)</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468</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461</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Aggregate average daily volume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13,525</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13,660</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12,558</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22"/>
        </w:trPr>
        <w:tc>
          <w:tcPr>
            <w:tcW w:w="5760" w:type="dxa"/>
            <w:vAlign w:val="bottom"/>
            <w:gridSpan w:val="2"/>
          </w:tcPr>
          <w:p>
            <w:pPr>
              <w:spacing w:after="0"/>
              <w:rPr>
                <w:sz w:val="20"/>
                <w:szCs w:val="20"/>
                <w:color w:val="auto"/>
              </w:rPr>
            </w:pPr>
            <w:r>
              <w:rPr>
                <w:rFonts w:ascii="Arial" w:cs="Arial" w:eastAsia="Arial" w:hAnsi="Arial"/>
                <w:sz w:val="18"/>
                <w:szCs w:val="18"/>
                <w:color w:val="auto"/>
              </w:rPr>
              <w:t>Electronic Volume as a Percentage of Total Volume</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84%</w:t>
            </w:r>
          </w:p>
        </w:tc>
        <w:tc>
          <w:tcPr>
            <w:tcW w:w="108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84%</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83%</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Products</w:t>
      </w:r>
    </w:p>
    <w:p>
      <w:pPr>
        <w:spacing w:after="0" w:line="9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following table summarizes average daily volume for our key interest rate products. Eurodollar front 8 futures contracts include contracts expiring within two years. Eurodollar back 32 contracts include futures contracts expiring within three to ten years.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880" w:type="dxa"/>
            <w:vAlign w:val="bottom"/>
            <w:gridSpan w:val="3"/>
          </w:tcPr>
          <w:p>
            <w:pPr>
              <w:ind w:left="280"/>
              <w:spacing w:after="0"/>
              <w:rPr>
                <w:sz w:val="20"/>
                <w:szCs w:val="20"/>
                <w:color w:val="auto"/>
              </w:rPr>
            </w:pPr>
            <w:r>
              <w:rPr>
                <w:rFonts w:ascii="Arial" w:cs="Arial" w:eastAsia="Arial" w:hAnsi="Arial"/>
                <w:sz w:val="18"/>
                <w:szCs w:val="18"/>
                <w:b w:val="1"/>
                <w:bCs w:val="1"/>
                <w:color w:val="auto"/>
              </w:rPr>
              <w:t>Quarter Ended</w:t>
            </w:r>
          </w:p>
        </w:tc>
        <w:tc>
          <w:tcPr>
            <w:tcW w:w="1240" w:type="dxa"/>
            <w:vAlign w:val="bottom"/>
          </w:tcPr>
          <w:p>
            <w:pPr>
              <w:spacing w:after="0"/>
              <w:rPr>
                <w:sz w:val="18"/>
                <w:szCs w:val="18"/>
                <w:color w:val="auto"/>
              </w:rPr>
            </w:pPr>
          </w:p>
        </w:tc>
        <w:tc>
          <w:tcPr>
            <w:tcW w:w="1780" w:type="dxa"/>
            <w:vAlign w:val="bottom"/>
            <w:gridSpan w:val="3"/>
          </w:tcPr>
          <w:p>
            <w:pPr>
              <w:ind w:left="100"/>
              <w:spacing w:after="0"/>
              <w:rPr>
                <w:sz w:val="20"/>
                <w:szCs w:val="20"/>
                <w:color w:val="auto"/>
              </w:rPr>
            </w:pPr>
            <w:r>
              <w:rPr>
                <w:rFonts w:ascii="Arial" w:cs="Arial" w:eastAsia="Arial" w:hAnsi="Arial"/>
                <w:sz w:val="18"/>
                <w:szCs w:val="18"/>
                <w:b w:val="1"/>
                <w:bCs w:val="1"/>
                <w:color w:val="auto"/>
              </w:rPr>
              <w:t>Six Months Ended</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June 30,</w:t>
            </w:r>
          </w:p>
        </w:tc>
        <w:tc>
          <w:tcPr>
            <w:tcW w:w="5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June 30,</w:t>
            </w:r>
          </w:p>
        </w:tc>
        <w:tc>
          <w:tcPr>
            <w:tcW w:w="4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540" w:type="dxa"/>
            <w:vAlign w:val="bottom"/>
            <w:gridSpan w:val="2"/>
          </w:tcPr>
          <w:p>
            <w:pPr>
              <w:spacing w:after="0"/>
              <w:rPr>
                <w:sz w:val="20"/>
                <w:szCs w:val="20"/>
                <w:color w:val="auto"/>
              </w:rPr>
            </w:pPr>
            <w:r>
              <w:rPr>
                <w:rFonts w:ascii="Arial" w:cs="Arial" w:eastAsia="Arial" w:hAnsi="Arial"/>
                <w:sz w:val="18"/>
                <w:szCs w:val="18"/>
                <w:i w:val="1"/>
                <w:iCs w:val="1"/>
                <w:color w:val="auto"/>
              </w:rPr>
              <w:t>(amounts in thousands)</w:t>
            </w:r>
          </w:p>
        </w:tc>
        <w:tc>
          <w:tcPr>
            <w:tcW w:w="1180" w:type="dxa"/>
            <w:vAlign w:val="bottom"/>
          </w:tcPr>
          <w:p>
            <w:pPr>
              <w:jc w:val="right"/>
              <w:ind w:right="612"/>
              <w:spacing w:after="0"/>
              <w:rPr>
                <w:sz w:val="20"/>
                <w:szCs w:val="20"/>
                <w:color w:val="auto"/>
              </w:rPr>
            </w:pPr>
            <w:r>
              <w:rPr>
                <w:rFonts w:ascii="Arial" w:cs="Arial" w:eastAsia="Arial" w:hAnsi="Arial"/>
                <w:sz w:val="18"/>
                <w:szCs w:val="18"/>
                <w:b w:val="1"/>
                <w:bCs w:val="1"/>
                <w:color w:val="auto"/>
              </w:rPr>
              <w:t>2011</w:t>
            </w:r>
          </w:p>
        </w:tc>
        <w:tc>
          <w:tcPr>
            <w:tcW w:w="520" w:type="dxa"/>
            <w:vAlign w:val="bottom"/>
          </w:tcPr>
          <w:p>
            <w:pPr>
              <w:jc w:val="right"/>
              <w:ind w:right="72"/>
              <w:spacing w:after="0"/>
              <w:rPr>
                <w:sz w:val="20"/>
                <w:szCs w:val="20"/>
                <w:color w:val="auto"/>
              </w:rPr>
            </w:pPr>
            <w:r>
              <w:rPr>
                <w:rFonts w:ascii="Arial" w:cs="Arial" w:eastAsia="Arial" w:hAnsi="Arial"/>
                <w:sz w:val="18"/>
                <w:szCs w:val="18"/>
                <w:b w:val="1"/>
                <w:bCs w:val="1"/>
                <w:color w:val="auto"/>
                <w:w w:val="84"/>
              </w:rPr>
              <w:t>2010</w:t>
            </w:r>
          </w:p>
        </w:tc>
        <w:tc>
          <w:tcPr>
            <w:tcW w:w="180" w:type="dxa"/>
            <w:vAlign w:val="bottom"/>
          </w:tcPr>
          <w:p>
            <w:pPr>
              <w:spacing w:after="0"/>
              <w:rPr>
                <w:sz w:val="18"/>
                <w:szCs w:val="18"/>
                <w:color w:val="auto"/>
              </w:rPr>
            </w:pPr>
          </w:p>
        </w:tc>
        <w:tc>
          <w:tcPr>
            <w:tcW w:w="1240" w:type="dxa"/>
            <w:vAlign w:val="bottom"/>
          </w:tcPr>
          <w:p>
            <w:pPr>
              <w:jc w:val="right"/>
              <w:ind w:right="392"/>
              <w:spacing w:after="0"/>
              <w:rPr>
                <w:sz w:val="20"/>
                <w:szCs w:val="20"/>
                <w:color w:val="auto"/>
              </w:rPr>
            </w:pPr>
            <w:r>
              <w:rPr>
                <w:rFonts w:ascii="Arial" w:cs="Arial" w:eastAsia="Arial" w:hAnsi="Arial"/>
                <w:sz w:val="18"/>
                <w:szCs w:val="18"/>
                <w:b w:val="1"/>
                <w:bCs w:val="1"/>
                <w:color w:val="auto"/>
              </w:rPr>
              <w:t>Change</w:t>
            </w:r>
          </w:p>
        </w:tc>
        <w:tc>
          <w:tcPr>
            <w:tcW w:w="1120" w:type="dxa"/>
            <w:vAlign w:val="bottom"/>
          </w:tcPr>
          <w:p>
            <w:pPr>
              <w:jc w:val="right"/>
              <w:ind w:right="572"/>
              <w:spacing w:after="0"/>
              <w:rPr>
                <w:sz w:val="20"/>
                <w:szCs w:val="20"/>
                <w:color w:val="auto"/>
              </w:rPr>
            </w:pPr>
            <w:r>
              <w:rPr>
                <w:rFonts w:ascii="Arial" w:cs="Arial" w:eastAsia="Arial" w:hAnsi="Arial"/>
                <w:sz w:val="18"/>
                <w:szCs w:val="18"/>
                <w:b w:val="1"/>
                <w:bCs w:val="1"/>
                <w:color w:val="auto"/>
              </w:rPr>
              <w:t>2011</w:t>
            </w:r>
          </w:p>
        </w:tc>
        <w:tc>
          <w:tcPr>
            <w:tcW w:w="480" w:type="dxa"/>
            <w:vAlign w:val="bottom"/>
          </w:tcPr>
          <w:p>
            <w:pPr>
              <w:jc w:val="right"/>
              <w:ind w:right="32"/>
              <w:spacing w:after="0"/>
              <w:rPr>
                <w:sz w:val="20"/>
                <w:szCs w:val="20"/>
                <w:color w:val="auto"/>
              </w:rPr>
            </w:pPr>
            <w:r>
              <w:rPr>
                <w:rFonts w:ascii="Arial" w:cs="Arial" w:eastAsia="Arial" w:hAnsi="Arial"/>
                <w:sz w:val="18"/>
                <w:szCs w:val="18"/>
                <w:b w:val="1"/>
                <w:bCs w:val="1"/>
                <w:color w:val="auto"/>
                <w:w w:val="84"/>
              </w:rPr>
              <w:t>2010</w:t>
            </w: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Eurodollar front 8 futures</w:t>
            </w:r>
          </w:p>
        </w:tc>
        <w:tc>
          <w:tcPr>
            <w:tcW w:w="11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2,013</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1,977</w:t>
            </w:r>
          </w:p>
        </w:tc>
        <w:tc>
          <w:tcPr>
            <w:tcW w:w="12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w:t>
            </w:r>
          </w:p>
        </w:tc>
        <w:tc>
          <w:tcPr>
            <w:tcW w:w="112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1,998</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1,854</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Eurodollar back 32 futures</w:t>
            </w:r>
          </w:p>
        </w:tc>
        <w:tc>
          <w:tcPr>
            <w:tcW w:w="1180" w:type="dxa"/>
            <w:vAlign w:val="bottom"/>
          </w:tcPr>
          <w:p>
            <w:pPr>
              <w:jc w:val="right"/>
              <w:ind w:right="472"/>
              <w:spacing w:after="0"/>
              <w:rPr>
                <w:sz w:val="20"/>
                <w:szCs w:val="20"/>
                <w:color w:val="auto"/>
              </w:rPr>
            </w:pPr>
            <w:r>
              <w:rPr>
                <w:rFonts w:ascii="Arial" w:cs="Arial" w:eastAsia="Arial" w:hAnsi="Arial"/>
                <w:sz w:val="18"/>
                <w:szCs w:val="18"/>
                <w:color w:val="auto"/>
              </w:rPr>
              <w:t>490</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304</w:t>
            </w:r>
          </w:p>
        </w:tc>
        <w:tc>
          <w:tcPr>
            <w:tcW w:w="1240" w:type="dxa"/>
            <w:vAlign w:val="bottom"/>
          </w:tcPr>
          <w:p>
            <w:pPr>
              <w:jc w:val="right"/>
              <w:ind w:right="372"/>
              <w:spacing w:after="0"/>
              <w:rPr>
                <w:sz w:val="20"/>
                <w:szCs w:val="20"/>
                <w:color w:val="auto"/>
              </w:rPr>
            </w:pPr>
            <w:r>
              <w:rPr>
                <w:rFonts w:ascii="Arial" w:cs="Arial" w:eastAsia="Arial" w:hAnsi="Arial"/>
                <w:sz w:val="18"/>
                <w:szCs w:val="18"/>
                <w:color w:val="auto"/>
              </w:rPr>
              <w:t>61</w:t>
            </w:r>
          </w:p>
        </w:tc>
        <w:tc>
          <w:tcPr>
            <w:tcW w:w="1120" w:type="dxa"/>
            <w:vAlign w:val="bottom"/>
          </w:tcPr>
          <w:p>
            <w:pPr>
              <w:jc w:val="right"/>
              <w:ind w:right="452"/>
              <w:spacing w:after="0"/>
              <w:rPr>
                <w:sz w:val="20"/>
                <w:szCs w:val="20"/>
                <w:color w:val="auto"/>
              </w:rPr>
            </w:pPr>
            <w:r>
              <w:rPr>
                <w:rFonts w:ascii="Arial" w:cs="Arial" w:eastAsia="Arial" w:hAnsi="Arial"/>
                <w:sz w:val="18"/>
                <w:szCs w:val="18"/>
                <w:color w:val="auto"/>
              </w:rPr>
              <w:t>509</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280</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Eurodollar options</w:t>
            </w:r>
          </w:p>
        </w:tc>
        <w:tc>
          <w:tcPr>
            <w:tcW w:w="11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752</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877</w:t>
            </w:r>
          </w:p>
        </w:tc>
        <w:tc>
          <w:tcPr>
            <w:tcW w:w="12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(14)</w:t>
            </w:r>
          </w:p>
        </w:tc>
        <w:tc>
          <w:tcPr>
            <w:tcW w:w="112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760</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778</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U.S. Treasury futures and options:</w:t>
            </w:r>
          </w:p>
        </w:tc>
        <w:tc>
          <w:tcPr>
            <w:tcW w:w="1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10-Year</w:t>
            </w:r>
          </w:p>
        </w:tc>
        <w:tc>
          <w:tcPr>
            <w:tcW w:w="11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1,524</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1,464</w:t>
            </w:r>
          </w:p>
        </w:tc>
        <w:tc>
          <w:tcPr>
            <w:tcW w:w="12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4</w:t>
            </w:r>
          </w:p>
        </w:tc>
        <w:tc>
          <w:tcPr>
            <w:tcW w:w="112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1,513</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1,319</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5-Year</w:t>
            </w:r>
          </w:p>
        </w:tc>
        <w:tc>
          <w:tcPr>
            <w:tcW w:w="1180" w:type="dxa"/>
            <w:vAlign w:val="bottom"/>
          </w:tcPr>
          <w:p>
            <w:pPr>
              <w:jc w:val="right"/>
              <w:ind w:right="472"/>
              <w:spacing w:after="0"/>
              <w:rPr>
                <w:sz w:val="20"/>
                <w:szCs w:val="20"/>
                <w:color w:val="auto"/>
              </w:rPr>
            </w:pPr>
            <w:r>
              <w:rPr>
                <w:rFonts w:ascii="Arial" w:cs="Arial" w:eastAsia="Arial" w:hAnsi="Arial"/>
                <w:sz w:val="18"/>
                <w:szCs w:val="18"/>
                <w:color w:val="auto"/>
              </w:rPr>
              <w:t>768</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576</w:t>
            </w:r>
          </w:p>
        </w:tc>
        <w:tc>
          <w:tcPr>
            <w:tcW w:w="1240" w:type="dxa"/>
            <w:vAlign w:val="bottom"/>
          </w:tcPr>
          <w:p>
            <w:pPr>
              <w:jc w:val="right"/>
              <w:ind w:right="372"/>
              <w:spacing w:after="0"/>
              <w:rPr>
                <w:sz w:val="20"/>
                <w:szCs w:val="20"/>
                <w:color w:val="auto"/>
              </w:rPr>
            </w:pPr>
            <w:r>
              <w:rPr>
                <w:rFonts w:ascii="Arial" w:cs="Arial" w:eastAsia="Arial" w:hAnsi="Arial"/>
                <w:sz w:val="18"/>
                <w:szCs w:val="18"/>
                <w:color w:val="auto"/>
              </w:rPr>
              <w:t>33</w:t>
            </w:r>
          </w:p>
        </w:tc>
        <w:tc>
          <w:tcPr>
            <w:tcW w:w="1120" w:type="dxa"/>
            <w:vAlign w:val="bottom"/>
          </w:tcPr>
          <w:p>
            <w:pPr>
              <w:jc w:val="right"/>
              <w:ind w:right="452"/>
              <w:spacing w:after="0"/>
              <w:rPr>
                <w:sz w:val="20"/>
                <w:szCs w:val="20"/>
                <w:color w:val="auto"/>
              </w:rPr>
            </w:pPr>
            <w:r>
              <w:rPr>
                <w:rFonts w:ascii="Arial" w:cs="Arial" w:eastAsia="Arial" w:hAnsi="Arial"/>
                <w:sz w:val="18"/>
                <w:szCs w:val="18"/>
                <w:color w:val="auto"/>
              </w:rPr>
              <w:t>757</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540</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bond</w:t>
            </w:r>
          </w:p>
        </w:tc>
        <w:tc>
          <w:tcPr>
            <w:tcW w:w="11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403</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406</w:t>
            </w:r>
          </w:p>
        </w:tc>
        <w:tc>
          <w:tcPr>
            <w:tcW w:w="12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(1)</w:t>
            </w:r>
          </w:p>
        </w:tc>
        <w:tc>
          <w:tcPr>
            <w:tcW w:w="112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402</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377</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2-Year</w:t>
            </w:r>
          </w:p>
        </w:tc>
        <w:tc>
          <w:tcPr>
            <w:tcW w:w="1180" w:type="dxa"/>
            <w:vAlign w:val="bottom"/>
          </w:tcPr>
          <w:p>
            <w:pPr>
              <w:jc w:val="right"/>
              <w:ind w:right="472"/>
              <w:spacing w:after="0"/>
              <w:rPr>
                <w:sz w:val="20"/>
                <w:szCs w:val="20"/>
                <w:color w:val="auto"/>
              </w:rPr>
            </w:pPr>
            <w:r>
              <w:rPr>
                <w:rFonts w:ascii="Arial" w:cs="Arial" w:eastAsia="Arial" w:hAnsi="Arial"/>
                <w:sz w:val="18"/>
                <w:szCs w:val="18"/>
                <w:color w:val="auto"/>
              </w:rPr>
              <w:t>341</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326</w:t>
            </w:r>
          </w:p>
        </w:tc>
        <w:tc>
          <w:tcPr>
            <w:tcW w:w="1240" w:type="dxa"/>
            <w:vAlign w:val="bottom"/>
          </w:tcPr>
          <w:p>
            <w:pPr>
              <w:jc w:val="right"/>
              <w:ind w:right="372"/>
              <w:spacing w:after="0"/>
              <w:rPr>
                <w:sz w:val="20"/>
                <w:szCs w:val="20"/>
                <w:color w:val="auto"/>
              </w:rPr>
            </w:pPr>
            <w:r>
              <w:rPr>
                <w:rFonts w:ascii="Arial" w:cs="Arial" w:eastAsia="Arial" w:hAnsi="Arial"/>
                <w:sz w:val="18"/>
                <w:szCs w:val="18"/>
                <w:color w:val="auto"/>
              </w:rPr>
              <w:t>5</w:t>
            </w:r>
          </w:p>
        </w:tc>
        <w:tc>
          <w:tcPr>
            <w:tcW w:w="1120" w:type="dxa"/>
            <w:vAlign w:val="bottom"/>
          </w:tcPr>
          <w:p>
            <w:pPr>
              <w:jc w:val="right"/>
              <w:ind w:right="452"/>
              <w:spacing w:after="0"/>
              <w:rPr>
                <w:sz w:val="20"/>
                <w:szCs w:val="20"/>
                <w:color w:val="auto"/>
              </w:rPr>
            </w:pPr>
            <w:r>
              <w:rPr>
                <w:rFonts w:ascii="Arial" w:cs="Arial" w:eastAsia="Arial" w:hAnsi="Arial"/>
                <w:sz w:val="18"/>
                <w:szCs w:val="18"/>
                <w:color w:val="auto"/>
              </w:rPr>
              <w:t>344</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324</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Overall interest rate contract volume increased in the second quarter and first six months of 2011 when compared with the same periods in 2010 due to an increase in mid-term interest rate contract volume, which includes Eurodollar back 32 futures and 5-Year U.S. Treasury futures and options, resulting from the uncertainty surrounding short-term and long-term interest rates. We experienced slower growth in short-term interest rate futures and options volume, which we believe resulted from the continued zero interest rate policy in the United States.</w:t>
      </w:r>
    </w:p>
    <w:p>
      <w:pPr>
        <w:spacing w:after="0" w:line="11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Interest rate contract volume also increased in the first six months of 2011 when compared with the same period of 2010 due to changing market expectations about future interest rate increases in early 2011.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Products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equity futures and options products.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w w:val="94"/>
              </w:rPr>
              <w:t>Quarter Ended</w:t>
            </w:r>
          </w:p>
        </w:tc>
        <w:tc>
          <w:tcPr>
            <w:tcW w:w="130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Six Months Ended</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28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8"/>
                <w:szCs w:val="18"/>
                <w:b w:val="1"/>
                <w:bCs w:val="1"/>
                <w:color w:val="auto"/>
              </w:rPr>
              <w:t>June 30,</w:t>
            </w:r>
          </w:p>
        </w:tc>
        <w:tc>
          <w:tcPr>
            <w:tcW w:w="1300" w:type="dxa"/>
            <w:vAlign w:val="bottom"/>
          </w:tcPr>
          <w:p>
            <w:pPr>
              <w:spacing w:after="0"/>
              <w:rPr>
                <w:sz w:val="19"/>
                <w:szCs w:val="19"/>
                <w:color w:val="auto"/>
              </w:rPr>
            </w:pPr>
          </w:p>
        </w:tc>
        <w:tc>
          <w:tcPr>
            <w:tcW w:w="1520" w:type="dxa"/>
            <w:vAlign w:val="bottom"/>
            <w:tcBorders>
              <w:bottom w:val="single" w:sz="8" w:color="auto"/>
            </w:tcBorders>
            <w:gridSpan w:val="2"/>
          </w:tcPr>
          <w:p>
            <w:pPr>
              <w:jc w:val="right"/>
              <w:ind w:right="352"/>
              <w:spacing w:after="0"/>
              <w:rPr>
                <w:sz w:val="20"/>
                <w:szCs w:val="20"/>
                <w:color w:val="auto"/>
              </w:rPr>
            </w:pPr>
            <w:r>
              <w:rPr>
                <w:rFonts w:ascii="Arial" w:cs="Arial" w:eastAsia="Arial" w:hAnsi="Arial"/>
                <w:sz w:val="18"/>
                <w:szCs w:val="18"/>
                <w:b w:val="1"/>
                <w:bCs w:val="1"/>
                <w:color w:val="auto"/>
              </w:rPr>
              <w:t>June 30,</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200" w:type="dxa"/>
            <w:vAlign w:val="bottom"/>
            <w:gridSpan w:val="2"/>
          </w:tcPr>
          <w:p>
            <w:pPr>
              <w:spacing w:after="0"/>
              <w:rPr>
                <w:sz w:val="20"/>
                <w:szCs w:val="20"/>
                <w:color w:val="auto"/>
              </w:rPr>
            </w:pPr>
            <w:r>
              <w:rPr>
                <w:rFonts w:ascii="Arial" w:cs="Arial" w:eastAsia="Arial" w:hAnsi="Arial"/>
                <w:sz w:val="18"/>
                <w:szCs w:val="18"/>
                <w:i w:val="1"/>
                <w:iCs w:val="1"/>
                <w:color w:val="auto"/>
              </w:rPr>
              <w:t>(amounts in thousands)</w:t>
            </w:r>
          </w:p>
        </w:tc>
        <w:tc>
          <w:tcPr>
            <w:tcW w:w="660" w:type="dxa"/>
            <w:vAlign w:val="bottom"/>
          </w:tcPr>
          <w:p>
            <w:pPr>
              <w:ind w:left="80"/>
              <w:spacing w:after="0"/>
              <w:rPr>
                <w:sz w:val="20"/>
                <w:szCs w:val="20"/>
                <w:color w:val="auto"/>
              </w:rPr>
            </w:pPr>
            <w:r>
              <w:rPr>
                <w:rFonts w:ascii="Arial" w:cs="Arial" w:eastAsia="Arial" w:hAnsi="Arial"/>
                <w:sz w:val="18"/>
                <w:szCs w:val="18"/>
                <w:b w:val="1"/>
                <w:bCs w:val="1"/>
                <w:color w:val="auto"/>
              </w:rPr>
              <w:t>2011</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1300" w:type="dxa"/>
            <w:vAlign w:val="bottom"/>
          </w:tcPr>
          <w:p>
            <w:pPr>
              <w:ind w:left="2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jc w:val="right"/>
              <w:ind w:right="272"/>
              <w:spacing w:after="0"/>
              <w:rPr>
                <w:sz w:val="20"/>
                <w:szCs w:val="20"/>
                <w:color w:val="auto"/>
              </w:rPr>
            </w:pPr>
            <w:r>
              <w:rPr>
                <w:rFonts w:ascii="Arial" w:cs="Arial" w:eastAsia="Arial" w:hAnsi="Arial"/>
                <w:sz w:val="18"/>
                <w:szCs w:val="18"/>
                <w:b w:val="1"/>
                <w:bCs w:val="1"/>
                <w:color w:val="auto"/>
              </w:rPr>
              <w:t>2011</w:t>
            </w:r>
          </w:p>
        </w:tc>
        <w:tc>
          <w:tcPr>
            <w:tcW w:w="700" w:type="dxa"/>
            <w:vAlign w:val="bottom"/>
          </w:tcPr>
          <w:p>
            <w:pPr>
              <w:jc w:val="right"/>
              <w:ind w:right="32"/>
              <w:spacing w:after="0"/>
              <w:rPr>
                <w:sz w:val="20"/>
                <w:szCs w:val="20"/>
                <w:color w:val="auto"/>
              </w:rPr>
            </w:pPr>
            <w:r>
              <w:rPr>
                <w:rFonts w:ascii="Arial" w:cs="Arial" w:eastAsia="Arial" w:hAnsi="Arial"/>
                <w:sz w:val="18"/>
                <w:szCs w:val="18"/>
                <w:b w:val="1"/>
                <w:bCs w:val="1"/>
                <w:color w:val="auto"/>
              </w:rPr>
              <w:t>2010</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E-mini S&amp;P futures and options</w:t>
            </w: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2,265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w:t>
            </w:r>
          </w:p>
        </w:tc>
        <w:tc>
          <w:tcPr>
            <w:tcW w:w="13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(18)%</w:t>
            </w:r>
          </w:p>
        </w:tc>
        <w:tc>
          <w:tcPr>
            <w:tcW w:w="8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2,283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E-mini NASDAQ futures and options</w:t>
            </w: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283</w:t>
            </w:r>
          </w:p>
        </w:tc>
        <w:tc>
          <w:tcPr>
            <w:tcW w:w="620" w:type="dxa"/>
            <w:vAlign w:val="bottom"/>
          </w:tcPr>
          <w:p>
            <w:pPr>
              <w:jc w:val="right"/>
              <w:spacing w:after="0"/>
              <w:rPr>
                <w:sz w:val="20"/>
                <w:szCs w:val="20"/>
                <w:color w:val="auto"/>
              </w:rPr>
            </w:pPr>
            <w:r>
              <w:rPr>
                <w:rFonts w:ascii="Arial" w:cs="Arial" w:eastAsia="Arial" w:hAnsi="Arial"/>
                <w:sz w:val="18"/>
                <w:szCs w:val="18"/>
                <w:color w:val="auto"/>
              </w:rPr>
              <w:t>356</w:t>
            </w:r>
          </w:p>
        </w:tc>
        <w:tc>
          <w:tcPr>
            <w:tcW w:w="1300" w:type="dxa"/>
            <w:vAlign w:val="bottom"/>
          </w:tcPr>
          <w:p>
            <w:pPr>
              <w:ind w:left="620"/>
              <w:spacing w:after="0"/>
              <w:rPr>
                <w:sz w:val="20"/>
                <w:szCs w:val="20"/>
                <w:color w:val="auto"/>
              </w:rPr>
            </w:pPr>
            <w:r>
              <w:rPr>
                <w:rFonts w:ascii="Arial" w:cs="Arial" w:eastAsia="Arial" w:hAnsi="Arial"/>
                <w:sz w:val="18"/>
                <w:szCs w:val="18"/>
                <w:color w:val="auto"/>
              </w:rPr>
              <w:t>(21)</w:t>
            </w: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287</w:t>
            </w:r>
          </w:p>
        </w:tc>
        <w:tc>
          <w:tcPr>
            <w:tcW w:w="700" w:type="dxa"/>
            <w:vAlign w:val="bottom"/>
          </w:tcPr>
          <w:p>
            <w:pPr>
              <w:jc w:val="right"/>
              <w:spacing w:after="0"/>
              <w:rPr>
                <w:sz w:val="20"/>
                <w:szCs w:val="20"/>
                <w:color w:val="auto"/>
              </w:rPr>
            </w:pPr>
            <w:r>
              <w:rPr>
                <w:rFonts w:ascii="Arial" w:cs="Arial" w:eastAsia="Arial" w:hAnsi="Arial"/>
                <w:sz w:val="18"/>
                <w:szCs w:val="18"/>
                <w:color w:val="auto"/>
              </w:rPr>
              <w:t>338</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decrease in equity contract volume for the second quarter and first six months of 2011 when compared with the same periods in 2010 was attributable to an overall decrease in volatility, as measured by the CBOE Volatility Index. Volatility was lower in the second quarter of 2011 when compared with the same period of 2010. We experienced periods of high volatility within the equity markets during May 2010, which we believe was attributable to the sovereign debt crisis in Europe. However, there were short periods of high volatility in the first quarter of 2011 caused by events in Asia and the Middle East, which generated additional E-mini S&amp;P futures and options contract volume in the first quarter of 2011.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Products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foreign exchange futures and options products.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5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Quarter Ended</w:t>
            </w:r>
          </w:p>
        </w:tc>
        <w:tc>
          <w:tcPr>
            <w:tcW w:w="1300" w:type="dxa"/>
            <w:vAlign w:val="bottom"/>
          </w:tcPr>
          <w:p>
            <w:pPr>
              <w:spacing w:after="0"/>
              <w:rPr>
                <w:sz w:val="18"/>
                <w:szCs w:val="18"/>
                <w:color w:val="auto"/>
              </w:rPr>
            </w:pPr>
          </w:p>
        </w:tc>
        <w:tc>
          <w:tcPr>
            <w:tcW w:w="17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3"/>
              </w:rPr>
              <w:t>Six Months Ended</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5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5"/>
              </w:rPr>
              <w:t>June 30,</w:t>
            </w:r>
          </w:p>
        </w:tc>
        <w:tc>
          <w:tcPr>
            <w:tcW w:w="1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800" w:type="dxa"/>
            <w:vAlign w:val="bottom"/>
            <w:gridSpan w:val="2"/>
          </w:tcPr>
          <w:p>
            <w:pPr>
              <w:spacing w:after="0"/>
              <w:rPr>
                <w:sz w:val="20"/>
                <w:szCs w:val="20"/>
                <w:color w:val="auto"/>
              </w:rPr>
            </w:pPr>
            <w:r>
              <w:rPr>
                <w:rFonts w:ascii="Arial" w:cs="Arial" w:eastAsia="Arial" w:hAnsi="Arial"/>
                <w:sz w:val="18"/>
                <w:szCs w:val="18"/>
                <w:i w:val="1"/>
                <w:iCs w:val="1"/>
                <w:color w:val="auto"/>
              </w:rPr>
              <w:t>(amounts in thousands)</w:t>
            </w:r>
          </w:p>
        </w:tc>
        <w:tc>
          <w:tcPr>
            <w:tcW w:w="700" w:type="dxa"/>
            <w:vAlign w:val="bottom"/>
            <w:tcBorders>
              <w:top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94"/>
              </w:rPr>
              <w:t>2011</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18"/>
                <w:szCs w:val="18"/>
                <w:color w:val="auto"/>
              </w:rPr>
            </w:pPr>
          </w:p>
        </w:tc>
        <w:tc>
          <w:tcPr>
            <w:tcW w:w="1300" w:type="dxa"/>
            <w:vAlign w:val="bottom"/>
          </w:tcPr>
          <w:p>
            <w:pPr>
              <w:jc w:val="right"/>
              <w:ind w:right="452"/>
              <w:spacing w:after="0"/>
              <w:rPr>
                <w:sz w:val="20"/>
                <w:szCs w:val="20"/>
                <w:color w:val="auto"/>
              </w:rPr>
            </w:pPr>
            <w:r>
              <w:rPr>
                <w:rFonts w:ascii="Arial" w:cs="Arial" w:eastAsia="Arial" w:hAnsi="Arial"/>
                <w:sz w:val="18"/>
                <w:szCs w:val="18"/>
                <w:b w:val="1"/>
                <w:bCs w:val="1"/>
                <w:color w:val="auto"/>
              </w:rPr>
              <w:t>Change</w:t>
            </w:r>
          </w:p>
        </w:tc>
        <w:tc>
          <w:tcPr>
            <w:tcW w:w="1100" w:type="dxa"/>
            <w:vAlign w:val="bottom"/>
            <w:tcBorders>
              <w:top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2011</w:t>
            </w:r>
          </w:p>
        </w:tc>
        <w:tc>
          <w:tcPr>
            <w:tcW w:w="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79"/>
              </w:rPr>
              <w:t>2010</w:t>
            </w:r>
          </w:p>
        </w:tc>
        <w:tc>
          <w:tcPr>
            <w:tcW w:w="2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Euro</w:t>
            </w:r>
          </w:p>
        </w:tc>
        <w:tc>
          <w:tcPr>
            <w:tcW w:w="7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352</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419</w:t>
            </w:r>
          </w:p>
        </w:tc>
        <w:tc>
          <w:tcPr>
            <w:tcW w:w="13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(16)%</w:t>
            </w:r>
          </w:p>
        </w:tc>
        <w:tc>
          <w:tcPr>
            <w:tcW w:w="110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359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Japanese yen</w:t>
            </w:r>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121</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145</w:t>
            </w:r>
          </w:p>
        </w:tc>
        <w:tc>
          <w:tcPr>
            <w:tcW w:w="1300" w:type="dxa"/>
            <w:vAlign w:val="bottom"/>
          </w:tcPr>
          <w:p>
            <w:pPr>
              <w:jc w:val="right"/>
              <w:ind w:right="392"/>
              <w:spacing w:after="0"/>
              <w:rPr>
                <w:sz w:val="20"/>
                <w:szCs w:val="20"/>
                <w:color w:val="auto"/>
              </w:rPr>
            </w:pPr>
            <w:r>
              <w:rPr>
                <w:rFonts w:ascii="Arial" w:cs="Arial" w:eastAsia="Arial" w:hAnsi="Arial"/>
                <w:sz w:val="18"/>
                <w:szCs w:val="18"/>
                <w:color w:val="auto"/>
              </w:rPr>
              <w:t>(16)</w:t>
            </w:r>
          </w:p>
        </w:tc>
        <w:tc>
          <w:tcPr>
            <w:tcW w:w="1100" w:type="dxa"/>
            <w:vAlign w:val="bottom"/>
          </w:tcPr>
          <w:p>
            <w:pPr>
              <w:jc w:val="right"/>
              <w:ind w:right="452"/>
              <w:spacing w:after="0"/>
              <w:rPr>
                <w:sz w:val="20"/>
                <w:szCs w:val="20"/>
                <w:color w:val="auto"/>
              </w:rPr>
            </w:pPr>
            <w:r>
              <w:rPr>
                <w:rFonts w:ascii="Arial" w:cs="Arial" w:eastAsia="Arial" w:hAnsi="Arial"/>
                <w:sz w:val="18"/>
                <w:szCs w:val="18"/>
                <w:color w:val="auto"/>
              </w:rPr>
              <w:t>135</w:t>
            </w:r>
          </w:p>
        </w:tc>
        <w:tc>
          <w:tcPr>
            <w:tcW w:w="460" w:type="dxa"/>
            <w:vAlign w:val="bottom"/>
          </w:tcPr>
          <w:p>
            <w:pPr>
              <w:jc w:val="right"/>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British pound</w:t>
            </w:r>
          </w:p>
        </w:tc>
        <w:tc>
          <w:tcPr>
            <w:tcW w:w="7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121</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w:t>
            </w:r>
          </w:p>
        </w:tc>
        <w:tc>
          <w:tcPr>
            <w:tcW w:w="130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(12)</w:t>
            </w:r>
          </w:p>
        </w:tc>
        <w:tc>
          <w:tcPr>
            <w:tcW w:w="110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127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Australian dollar</w:t>
            </w:r>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115</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120</w:t>
            </w:r>
          </w:p>
        </w:tc>
        <w:tc>
          <w:tcPr>
            <w:tcW w:w="1300" w:type="dxa"/>
            <w:vAlign w:val="bottom"/>
          </w:tcPr>
          <w:p>
            <w:pPr>
              <w:jc w:val="right"/>
              <w:ind w:right="392"/>
              <w:spacing w:after="0"/>
              <w:rPr>
                <w:sz w:val="20"/>
                <w:szCs w:val="20"/>
                <w:color w:val="auto"/>
              </w:rPr>
            </w:pPr>
            <w:r>
              <w:rPr>
                <w:rFonts w:ascii="Arial" w:cs="Arial" w:eastAsia="Arial" w:hAnsi="Arial"/>
                <w:sz w:val="18"/>
                <w:szCs w:val="18"/>
                <w:color w:val="auto"/>
              </w:rPr>
              <w:t>(4)</w:t>
            </w:r>
          </w:p>
        </w:tc>
        <w:tc>
          <w:tcPr>
            <w:tcW w:w="1100" w:type="dxa"/>
            <w:vAlign w:val="bottom"/>
          </w:tcPr>
          <w:p>
            <w:pPr>
              <w:jc w:val="right"/>
              <w:ind w:right="452"/>
              <w:spacing w:after="0"/>
              <w:rPr>
                <w:sz w:val="20"/>
                <w:szCs w:val="20"/>
                <w:color w:val="auto"/>
              </w:rPr>
            </w:pPr>
            <w:r>
              <w:rPr>
                <w:rFonts w:ascii="Arial" w:cs="Arial" w:eastAsia="Arial" w:hAnsi="Arial"/>
                <w:sz w:val="18"/>
                <w:szCs w:val="18"/>
                <w:color w:val="auto"/>
              </w:rPr>
              <w:t>112</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112</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Canadian dollar</w:t>
            </w:r>
          </w:p>
        </w:tc>
        <w:tc>
          <w:tcPr>
            <w:tcW w:w="7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91</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w:t>
            </w:r>
          </w:p>
        </w:tc>
        <w:tc>
          <w:tcPr>
            <w:tcW w:w="130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(10)</w:t>
            </w:r>
          </w:p>
        </w:tc>
        <w:tc>
          <w:tcPr>
            <w:tcW w:w="110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88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overall decrease in foreign exchange contract volume for the second quarter and first six months of 2011 when compared with the same periods in 2010 was due to a decline in foreign currency rate volatility, particularly in the second quarter of 2011. We believe the higher volume in 2010 was attributable to the sovereign debt crisis in Europe.</w:t>
      </w:r>
    </w:p>
    <w:p>
      <w:pPr>
        <w:spacing w:after="0" w:line="14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In the first six months of 2011, the overall decline in volatility with the Japanese yen was partially offset by periods of higher volatility due to the uncertainty surrounding the Japanese economy following the earthquake and tsunami in the first quarter of 2011.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Agricultural Commodity Products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agricultural commodity products.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34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w w:val="97"/>
              </w:rPr>
              <w:t>Quarter Ended</w:t>
            </w:r>
          </w:p>
        </w:tc>
        <w:tc>
          <w:tcPr>
            <w:tcW w:w="1440" w:type="dxa"/>
            <w:vAlign w:val="bottom"/>
          </w:tcPr>
          <w:p>
            <w:pPr>
              <w:spacing w:after="0"/>
              <w:rPr>
                <w:sz w:val="18"/>
                <w:szCs w:val="18"/>
                <w:color w:val="auto"/>
              </w:rPr>
            </w:pPr>
          </w:p>
        </w:tc>
        <w:tc>
          <w:tcPr>
            <w:tcW w:w="1760" w:type="dxa"/>
            <w:vAlign w:val="bottom"/>
            <w:gridSpan w:val="3"/>
          </w:tcPr>
          <w:p>
            <w:pPr>
              <w:ind w:left="100"/>
              <w:spacing w:after="0"/>
              <w:rPr>
                <w:sz w:val="20"/>
                <w:szCs w:val="20"/>
                <w:color w:val="auto"/>
              </w:rPr>
            </w:pPr>
            <w:r>
              <w:rPr>
                <w:rFonts w:ascii="Arial" w:cs="Arial" w:eastAsia="Arial" w:hAnsi="Arial"/>
                <w:sz w:val="18"/>
                <w:szCs w:val="18"/>
                <w:b w:val="1"/>
                <w:bCs w:val="1"/>
                <w:color w:val="auto"/>
              </w:rPr>
              <w:t>Six Months Ended</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134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8"/>
                <w:szCs w:val="18"/>
                <w:b w:val="1"/>
                <w:bCs w:val="1"/>
                <w:color w:val="auto"/>
              </w:rPr>
              <w:t>June 30,</w:t>
            </w:r>
          </w:p>
        </w:tc>
        <w:tc>
          <w:tcPr>
            <w:tcW w:w="144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June 30,</w:t>
            </w:r>
          </w:p>
        </w:tc>
        <w:tc>
          <w:tcPr>
            <w:tcW w:w="4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900" w:type="dxa"/>
            <w:vAlign w:val="bottom"/>
            <w:gridSpan w:val="2"/>
          </w:tcPr>
          <w:p>
            <w:pPr>
              <w:spacing w:after="0"/>
              <w:rPr>
                <w:sz w:val="20"/>
                <w:szCs w:val="20"/>
                <w:color w:val="auto"/>
              </w:rPr>
            </w:pPr>
            <w:r>
              <w:rPr>
                <w:rFonts w:ascii="Arial" w:cs="Arial" w:eastAsia="Arial" w:hAnsi="Arial"/>
                <w:sz w:val="18"/>
                <w:szCs w:val="18"/>
                <w:i w:val="1"/>
                <w:iCs w:val="1"/>
                <w:color w:val="auto"/>
              </w:rPr>
              <w:t>(amounts in thousands)</w:t>
            </w:r>
          </w:p>
        </w:tc>
        <w:tc>
          <w:tcPr>
            <w:tcW w:w="700" w:type="dxa"/>
            <w:vAlign w:val="bottom"/>
          </w:tcPr>
          <w:p>
            <w:pPr>
              <w:jc w:val="right"/>
              <w:ind w:right="212"/>
              <w:spacing w:after="0"/>
              <w:rPr>
                <w:sz w:val="20"/>
                <w:szCs w:val="20"/>
                <w:color w:val="auto"/>
              </w:rPr>
            </w:pPr>
            <w:r>
              <w:rPr>
                <w:rFonts w:ascii="Arial" w:cs="Arial" w:eastAsia="Arial" w:hAnsi="Arial"/>
                <w:sz w:val="18"/>
                <w:szCs w:val="18"/>
                <w:b w:val="1"/>
                <w:bCs w:val="1"/>
                <w:color w:val="auto"/>
                <w:w w:val="94"/>
              </w:rPr>
              <w:t>2011</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1440" w:type="dxa"/>
            <w:vAlign w:val="bottom"/>
          </w:tcPr>
          <w:p>
            <w:pPr>
              <w:ind w:left="380"/>
              <w:spacing w:after="0"/>
              <w:rPr>
                <w:sz w:val="20"/>
                <w:szCs w:val="20"/>
                <w:color w:val="auto"/>
              </w:rPr>
            </w:pPr>
            <w:r>
              <w:rPr>
                <w:rFonts w:ascii="Arial" w:cs="Arial" w:eastAsia="Arial" w:hAnsi="Arial"/>
                <w:sz w:val="18"/>
                <w:szCs w:val="18"/>
                <w:b w:val="1"/>
                <w:bCs w:val="1"/>
                <w:color w:val="auto"/>
              </w:rPr>
              <w:t>Change</w:t>
            </w:r>
          </w:p>
        </w:tc>
        <w:tc>
          <w:tcPr>
            <w:tcW w:w="1100" w:type="dxa"/>
            <w:vAlign w:val="bottom"/>
          </w:tcPr>
          <w:p>
            <w:pPr>
              <w:jc w:val="right"/>
              <w:ind w:right="572"/>
              <w:spacing w:after="0"/>
              <w:rPr>
                <w:sz w:val="20"/>
                <w:szCs w:val="20"/>
                <w:color w:val="auto"/>
              </w:rPr>
            </w:pPr>
            <w:r>
              <w:rPr>
                <w:rFonts w:ascii="Arial" w:cs="Arial" w:eastAsia="Arial" w:hAnsi="Arial"/>
                <w:sz w:val="18"/>
                <w:szCs w:val="18"/>
                <w:b w:val="1"/>
                <w:bCs w:val="1"/>
                <w:color w:val="auto"/>
              </w:rPr>
              <w:t>2011</w:t>
            </w:r>
          </w:p>
        </w:tc>
        <w:tc>
          <w:tcPr>
            <w:tcW w:w="480" w:type="dxa"/>
            <w:vAlign w:val="bottom"/>
          </w:tcPr>
          <w:p>
            <w:pPr>
              <w:jc w:val="right"/>
              <w:ind w:right="32"/>
              <w:spacing w:after="0"/>
              <w:rPr>
                <w:sz w:val="20"/>
                <w:szCs w:val="20"/>
                <w:color w:val="auto"/>
              </w:rPr>
            </w:pPr>
            <w:r>
              <w:rPr>
                <w:rFonts w:ascii="Arial" w:cs="Arial" w:eastAsia="Arial" w:hAnsi="Arial"/>
                <w:sz w:val="18"/>
                <w:szCs w:val="18"/>
                <w:b w:val="1"/>
                <w:bCs w:val="1"/>
                <w:color w:val="auto"/>
                <w:w w:val="84"/>
              </w:rPr>
              <w:t>2010</w:t>
            </w:r>
          </w:p>
        </w:tc>
        <w:tc>
          <w:tcPr>
            <w:tcW w:w="180" w:type="dxa"/>
            <w:vAlign w:val="bottom"/>
          </w:tcPr>
          <w:p>
            <w:pPr>
              <w:spacing w:after="0"/>
              <w:rPr>
                <w:sz w:val="18"/>
                <w:szCs w:val="18"/>
                <w:color w:val="auto"/>
              </w:rPr>
            </w:pPr>
          </w:p>
        </w:tc>
        <w:tc>
          <w:tcPr>
            <w:tcW w:w="980" w:type="dxa"/>
            <w:vAlign w:val="bottom"/>
            <w:gridSpan w:val="2"/>
          </w:tcPr>
          <w:p>
            <w:pPr>
              <w:ind w:left="20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Corn</w:t>
            </w:r>
          </w:p>
        </w:tc>
        <w:tc>
          <w:tcPr>
            <w:tcW w:w="7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481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4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48%</w:t>
            </w:r>
          </w:p>
        </w:tc>
        <w:tc>
          <w:tcPr>
            <w:tcW w:w="110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467</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298</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Soybean</w:t>
            </w:r>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216</w:t>
            </w:r>
          </w:p>
        </w:tc>
        <w:tc>
          <w:tcPr>
            <w:tcW w:w="640" w:type="dxa"/>
            <w:vAlign w:val="bottom"/>
          </w:tcPr>
          <w:p>
            <w:pPr>
              <w:jc w:val="right"/>
              <w:spacing w:after="0"/>
              <w:rPr>
                <w:sz w:val="20"/>
                <w:szCs w:val="20"/>
                <w:color w:val="auto"/>
              </w:rPr>
            </w:pPr>
            <w:r>
              <w:rPr>
                <w:rFonts w:ascii="Arial" w:cs="Arial" w:eastAsia="Arial" w:hAnsi="Arial"/>
                <w:sz w:val="18"/>
                <w:szCs w:val="18"/>
                <w:color w:val="auto"/>
              </w:rPr>
              <w:t>165</w:t>
            </w:r>
          </w:p>
        </w:tc>
        <w:tc>
          <w:tcPr>
            <w:tcW w:w="1440" w:type="dxa"/>
            <w:vAlign w:val="bottom"/>
          </w:tcPr>
          <w:p>
            <w:pPr>
              <w:ind w:left="800"/>
              <w:spacing w:after="0"/>
              <w:rPr>
                <w:sz w:val="20"/>
                <w:szCs w:val="20"/>
                <w:color w:val="auto"/>
              </w:rPr>
            </w:pPr>
            <w:r>
              <w:rPr>
                <w:rFonts w:ascii="Arial" w:cs="Arial" w:eastAsia="Arial" w:hAnsi="Arial"/>
                <w:sz w:val="18"/>
                <w:szCs w:val="18"/>
                <w:color w:val="auto"/>
              </w:rPr>
              <w:t>31</w:t>
            </w:r>
          </w:p>
        </w:tc>
        <w:tc>
          <w:tcPr>
            <w:tcW w:w="1100" w:type="dxa"/>
            <w:vAlign w:val="bottom"/>
          </w:tcPr>
          <w:p>
            <w:pPr>
              <w:jc w:val="right"/>
              <w:ind w:right="452"/>
              <w:spacing w:after="0"/>
              <w:rPr>
                <w:sz w:val="20"/>
                <w:szCs w:val="20"/>
                <w:color w:val="auto"/>
              </w:rPr>
            </w:pPr>
            <w:r>
              <w:rPr>
                <w:rFonts w:ascii="Arial" w:cs="Arial" w:eastAsia="Arial" w:hAnsi="Arial"/>
                <w:sz w:val="18"/>
                <w:szCs w:val="18"/>
                <w:color w:val="auto"/>
              </w:rPr>
              <w:t>233</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173</w:t>
            </w: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Wheat</w:t>
            </w:r>
          </w:p>
        </w:tc>
        <w:tc>
          <w:tcPr>
            <w:tcW w:w="7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142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4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33</w:t>
            </w:r>
          </w:p>
        </w:tc>
        <w:tc>
          <w:tcPr>
            <w:tcW w:w="110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133</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We believe that the increase in contract volume for the second quarter and first six months of 2011 when compared with the same periods of 2010 was attributable to changes in supply due to flooding and other weather events in the spring of 2011, which resulted in increased volatility and higher grain prices. We also believe the increase in volume resulted from increased demand for feedgrains caused by increased demand for cattle and other proteins in emerging markets.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 Products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energy products.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5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7"/>
              </w:rPr>
              <w:t>Quarter Ended</w:t>
            </w:r>
          </w:p>
        </w:tc>
        <w:tc>
          <w:tcPr>
            <w:tcW w:w="1300" w:type="dxa"/>
            <w:vAlign w:val="bottom"/>
          </w:tcPr>
          <w:p>
            <w:pPr>
              <w:spacing w:after="0"/>
              <w:rPr>
                <w:sz w:val="18"/>
                <w:szCs w:val="18"/>
                <w:color w:val="auto"/>
              </w:rPr>
            </w:pPr>
          </w:p>
        </w:tc>
        <w:tc>
          <w:tcPr>
            <w:tcW w:w="1740" w:type="dxa"/>
            <w:vAlign w:val="bottom"/>
            <w:gridSpan w:val="3"/>
          </w:tcPr>
          <w:p>
            <w:pPr>
              <w:ind w:left="80"/>
              <w:spacing w:after="0"/>
              <w:rPr>
                <w:sz w:val="20"/>
                <w:szCs w:val="20"/>
                <w:color w:val="auto"/>
              </w:rPr>
            </w:pPr>
            <w:r>
              <w:rPr>
                <w:rFonts w:ascii="Arial" w:cs="Arial" w:eastAsia="Arial" w:hAnsi="Arial"/>
                <w:sz w:val="18"/>
                <w:szCs w:val="18"/>
                <w:b w:val="1"/>
                <w:bCs w:val="1"/>
                <w:color w:val="auto"/>
              </w:rPr>
              <w:t>Six Months Ended</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54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June 30,</w:t>
            </w:r>
          </w:p>
        </w:tc>
        <w:tc>
          <w:tcPr>
            <w:tcW w:w="1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860" w:type="dxa"/>
            <w:vAlign w:val="bottom"/>
            <w:gridSpan w:val="2"/>
          </w:tcPr>
          <w:p>
            <w:pPr>
              <w:spacing w:after="0"/>
              <w:rPr>
                <w:sz w:val="20"/>
                <w:szCs w:val="20"/>
                <w:color w:val="auto"/>
              </w:rPr>
            </w:pPr>
            <w:r>
              <w:rPr>
                <w:rFonts w:ascii="Arial" w:cs="Arial" w:eastAsia="Arial" w:hAnsi="Arial"/>
                <w:sz w:val="18"/>
                <w:szCs w:val="18"/>
                <w:i w:val="1"/>
                <w:iCs w:val="1"/>
                <w:color w:val="auto"/>
              </w:rPr>
              <w:t>(amounts in thousands)</w:t>
            </w:r>
          </w:p>
        </w:tc>
        <w:tc>
          <w:tcPr>
            <w:tcW w:w="700" w:type="dxa"/>
            <w:vAlign w:val="bottom"/>
            <w:tcBorders>
              <w:top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94"/>
              </w:rPr>
              <w:t>2011</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8"/>
                <w:szCs w:val="18"/>
                <w:color w:val="auto"/>
              </w:rPr>
            </w:pPr>
          </w:p>
        </w:tc>
        <w:tc>
          <w:tcPr>
            <w:tcW w:w="1300" w:type="dxa"/>
            <w:vAlign w:val="bottom"/>
          </w:tcPr>
          <w:p>
            <w:pPr>
              <w:jc w:val="right"/>
              <w:ind w:right="452"/>
              <w:spacing w:after="0"/>
              <w:rPr>
                <w:sz w:val="20"/>
                <w:szCs w:val="20"/>
                <w:color w:val="auto"/>
              </w:rPr>
            </w:pPr>
            <w:r>
              <w:rPr>
                <w:rFonts w:ascii="Arial" w:cs="Arial" w:eastAsia="Arial" w:hAnsi="Arial"/>
                <w:sz w:val="18"/>
                <w:szCs w:val="18"/>
                <w:b w:val="1"/>
                <w:bCs w:val="1"/>
                <w:color w:val="auto"/>
              </w:rPr>
              <w:t>Change</w:t>
            </w:r>
          </w:p>
        </w:tc>
        <w:tc>
          <w:tcPr>
            <w:tcW w:w="1100" w:type="dxa"/>
            <w:vAlign w:val="bottom"/>
            <w:tcBorders>
              <w:top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2011</w:t>
            </w:r>
          </w:p>
        </w:tc>
        <w:tc>
          <w:tcPr>
            <w:tcW w:w="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79"/>
              </w:rPr>
              <w:t>2010</w:t>
            </w:r>
          </w:p>
        </w:tc>
        <w:tc>
          <w:tcPr>
            <w:tcW w:w="180" w:type="dxa"/>
            <w:vAlign w:val="bottom"/>
          </w:tcPr>
          <w:p>
            <w:pPr>
              <w:spacing w:after="0"/>
              <w:rPr>
                <w:sz w:val="18"/>
                <w:szCs w:val="18"/>
                <w:color w:val="auto"/>
              </w:rPr>
            </w:pPr>
          </w:p>
        </w:tc>
        <w:tc>
          <w:tcPr>
            <w:tcW w:w="980" w:type="dxa"/>
            <w:vAlign w:val="bottom"/>
            <w:gridSpan w:val="2"/>
          </w:tcPr>
          <w:p>
            <w:pPr>
              <w:ind w:left="20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Crude oil</w:t>
            </w:r>
          </w:p>
        </w:tc>
        <w:tc>
          <w:tcPr>
            <w:tcW w:w="7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887</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983</w:t>
            </w:r>
          </w:p>
        </w:tc>
        <w:tc>
          <w:tcPr>
            <w:tcW w:w="13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(10)%</w:t>
            </w:r>
          </w:p>
        </w:tc>
        <w:tc>
          <w:tcPr>
            <w:tcW w:w="110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975</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888</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Natural gas</w:t>
            </w:r>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527</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480</w:t>
            </w:r>
          </w:p>
        </w:tc>
        <w:tc>
          <w:tcPr>
            <w:tcW w:w="1300" w:type="dxa"/>
            <w:vAlign w:val="bottom"/>
          </w:tcPr>
          <w:p>
            <w:pPr>
              <w:jc w:val="right"/>
              <w:ind w:right="452"/>
              <w:spacing w:after="0"/>
              <w:rPr>
                <w:sz w:val="20"/>
                <w:szCs w:val="20"/>
                <w:color w:val="auto"/>
              </w:rPr>
            </w:pPr>
            <w:r>
              <w:rPr>
                <w:rFonts w:ascii="Arial" w:cs="Arial" w:eastAsia="Arial" w:hAnsi="Arial"/>
                <w:sz w:val="18"/>
                <w:szCs w:val="18"/>
                <w:color w:val="auto"/>
              </w:rPr>
              <w:t>10</w:t>
            </w:r>
          </w:p>
        </w:tc>
        <w:tc>
          <w:tcPr>
            <w:tcW w:w="1100" w:type="dxa"/>
            <w:vAlign w:val="bottom"/>
          </w:tcPr>
          <w:p>
            <w:pPr>
              <w:jc w:val="right"/>
              <w:ind w:right="472"/>
              <w:spacing w:after="0"/>
              <w:rPr>
                <w:sz w:val="20"/>
                <w:szCs w:val="20"/>
                <w:color w:val="auto"/>
              </w:rPr>
            </w:pPr>
            <w:r>
              <w:rPr>
                <w:rFonts w:ascii="Arial" w:cs="Arial" w:eastAsia="Arial" w:hAnsi="Arial"/>
                <w:sz w:val="18"/>
                <w:szCs w:val="18"/>
                <w:color w:val="auto"/>
              </w:rPr>
              <w:t>549</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482</w:t>
            </w: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Refined products</w:t>
            </w:r>
          </w:p>
        </w:tc>
        <w:tc>
          <w:tcPr>
            <w:tcW w:w="7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281</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262</w:t>
            </w:r>
          </w:p>
        </w:tc>
        <w:tc>
          <w:tcPr>
            <w:tcW w:w="130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7</w:t>
            </w:r>
          </w:p>
        </w:tc>
        <w:tc>
          <w:tcPr>
            <w:tcW w:w="110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274</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248</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decrease in contract volume in the second quarter of 2011 when compared with the same period of 2010 was attributable to lower price volatility within the energy market.</w:t>
      </w:r>
    </w:p>
    <w:p>
      <w:pPr>
        <w:spacing w:after="0" w:line="132"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We believe the increase in contract volume in the first six months of 2011 when compared with the same period of 2010 was due to increased price volatility within the energy market during the first quarter of 2011. We believe that the increase in crude oil volume was due to increased volatility caused by changes in global supply and demand resulting from political unrest in the Middle East in the first quarter of 2011. We also believe that increased volatility caused by weather-related events led to an increase in natural gas contract volume.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 Products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metal products.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34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w w:val="97"/>
              </w:rPr>
              <w:t>Quarter Ended</w:t>
            </w:r>
          </w:p>
        </w:tc>
        <w:tc>
          <w:tcPr>
            <w:tcW w:w="1440" w:type="dxa"/>
            <w:vAlign w:val="bottom"/>
          </w:tcPr>
          <w:p>
            <w:pPr>
              <w:spacing w:after="0"/>
              <w:rPr>
                <w:sz w:val="18"/>
                <w:szCs w:val="18"/>
                <w:color w:val="auto"/>
              </w:rPr>
            </w:pPr>
          </w:p>
        </w:tc>
        <w:tc>
          <w:tcPr>
            <w:tcW w:w="1760" w:type="dxa"/>
            <w:vAlign w:val="bottom"/>
            <w:gridSpan w:val="3"/>
          </w:tcPr>
          <w:p>
            <w:pPr>
              <w:ind w:left="100"/>
              <w:spacing w:after="0"/>
              <w:rPr>
                <w:sz w:val="20"/>
                <w:szCs w:val="20"/>
                <w:color w:val="auto"/>
              </w:rPr>
            </w:pPr>
            <w:r>
              <w:rPr>
                <w:rFonts w:ascii="Arial" w:cs="Arial" w:eastAsia="Arial" w:hAnsi="Arial"/>
                <w:sz w:val="18"/>
                <w:szCs w:val="18"/>
                <w:b w:val="1"/>
                <w:bCs w:val="1"/>
                <w:color w:val="auto"/>
              </w:rPr>
              <w:t>Six Months Ended</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134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8"/>
                <w:szCs w:val="18"/>
                <w:b w:val="1"/>
                <w:bCs w:val="1"/>
                <w:color w:val="auto"/>
              </w:rPr>
              <w:t>June 30,</w:t>
            </w:r>
          </w:p>
        </w:tc>
        <w:tc>
          <w:tcPr>
            <w:tcW w:w="144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June 30,</w:t>
            </w:r>
          </w:p>
        </w:tc>
        <w:tc>
          <w:tcPr>
            <w:tcW w:w="4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900" w:type="dxa"/>
            <w:vAlign w:val="bottom"/>
            <w:gridSpan w:val="2"/>
          </w:tcPr>
          <w:p>
            <w:pPr>
              <w:spacing w:after="0"/>
              <w:rPr>
                <w:sz w:val="20"/>
                <w:szCs w:val="20"/>
                <w:color w:val="auto"/>
              </w:rPr>
            </w:pPr>
            <w:r>
              <w:rPr>
                <w:rFonts w:ascii="Arial" w:cs="Arial" w:eastAsia="Arial" w:hAnsi="Arial"/>
                <w:sz w:val="18"/>
                <w:szCs w:val="18"/>
                <w:i w:val="1"/>
                <w:iCs w:val="1"/>
                <w:color w:val="auto"/>
              </w:rPr>
              <w:t>(amounts in thousands)</w:t>
            </w:r>
          </w:p>
        </w:tc>
        <w:tc>
          <w:tcPr>
            <w:tcW w:w="700" w:type="dxa"/>
            <w:vAlign w:val="bottom"/>
          </w:tcPr>
          <w:p>
            <w:pPr>
              <w:jc w:val="right"/>
              <w:ind w:right="212"/>
              <w:spacing w:after="0"/>
              <w:rPr>
                <w:sz w:val="20"/>
                <w:szCs w:val="20"/>
                <w:color w:val="auto"/>
              </w:rPr>
            </w:pPr>
            <w:r>
              <w:rPr>
                <w:rFonts w:ascii="Arial" w:cs="Arial" w:eastAsia="Arial" w:hAnsi="Arial"/>
                <w:sz w:val="18"/>
                <w:szCs w:val="18"/>
                <w:b w:val="1"/>
                <w:bCs w:val="1"/>
                <w:color w:val="auto"/>
                <w:w w:val="94"/>
              </w:rPr>
              <w:t>2011</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1440" w:type="dxa"/>
            <w:vAlign w:val="bottom"/>
          </w:tcPr>
          <w:p>
            <w:pPr>
              <w:jc w:val="right"/>
              <w:ind w:right="392"/>
              <w:spacing w:after="0"/>
              <w:rPr>
                <w:sz w:val="20"/>
                <w:szCs w:val="20"/>
                <w:color w:val="auto"/>
              </w:rPr>
            </w:pPr>
            <w:r>
              <w:rPr>
                <w:rFonts w:ascii="Arial" w:cs="Arial" w:eastAsia="Arial" w:hAnsi="Arial"/>
                <w:sz w:val="18"/>
                <w:szCs w:val="18"/>
                <w:b w:val="1"/>
                <w:bCs w:val="1"/>
                <w:color w:val="auto"/>
              </w:rPr>
              <w:t>Change</w:t>
            </w:r>
          </w:p>
        </w:tc>
        <w:tc>
          <w:tcPr>
            <w:tcW w:w="1100" w:type="dxa"/>
            <w:vAlign w:val="bottom"/>
          </w:tcPr>
          <w:p>
            <w:pPr>
              <w:jc w:val="right"/>
              <w:ind w:right="572"/>
              <w:spacing w:after="0"/>
              <w:rPr>
                <w:sz w:val="20"/>
                <w:szCs w:val="20"/>
                <w:color w:val="auto"/>
              </w:rPr>
            </w:pPr>
            <w:r>
              <w:rPr>
                <w:rFonts w:ascii="Arial" w:cs="Arial" w:eastAsia="Arial" w:hAnsi="Arial"/>
                <w:sz w:val="18"/>
                <w:szCs w:val="18"/>
                <w:b w:val="1"/>
                <w:bCs w:val="1"/>
                <w:color w:val="auto"/>
              </w:rPr>
              <w:t>2011</w:t>
            </w:r>
          </w:p>
        </w:tc>
        <w:tc>
          <w:tcPr>
            <w:tcW w:w="480" w:type="dxa"/>
            <w:vAlign w:val="bottom"/>
          </w:tcPr>
          <w:p>
            <w:pPr>
              <w:jc w:val="right"/>
              <w:ind w:right="32"/>
              <w:spacing w:after="0"/>
              <w:rPr>
                <w:sz w:val="20"/>
                <w:szCs w:val="20"/>
                <w:color w:val="auto"/>
              </w:rPr>
            </w:pPr>
            <w:r>
              <w:rPr>
                <w:rFonts w:ascii="Arial" w:cs="Arial" w:eastAsia="Arial" w:hAnsi="Arial"/>
                <w:sz w:val="18"/>
                <w:szCs w:val="18"/>
                <w:b w:val="1"/>
                <w:bCs w:val="1"/>
                <w:color w:val="auto"/>
                <w:w w:val="84"/>
              </w:rPr>
              <w:t>2010</w:t>
            </w: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7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7%</w:t>
            </w:r>
          </w:p>
        </w:tc>
        <w:tc>
          <w:tcPr>
            <w:tcW w:w="110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223</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215</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Silver</w:t>
            </w:r>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128</w:t>
            </w:r>
          </w:p>
        </w:tc>
        <w:tc>
          <w:tcPr>
            <w:tcW w:w="640" w:type="dxa"/>
            <w:vAlign w:val="bottom"/>
          </w:tcPr>
          <w:p>
            <w:pPr>
              <w:jc w:val="right"/>
              <w:spacing w:after="0"/>
              <w:rPr>
                <w:sz w:val="20"/>
                <w:szCs w:val="20"/>
                <w:color w:val="auto"/>
              </w:rPr>
            </w:pPr>
            <w:r>
              <w:rPr>
                <w:rFonts w:ascii="Arial" w:cs="Arial" w:eastAsia="Arial" w:hAnsi="Arial"/>
                <w:sz w:val="18"/>
                <w:szCs w:val="18"/>
                <w:color w:val="auto"/>
              </w:rPr>
              <w:t>52</w:t>
            </w:r>
          </w:p>
        </w:tc>
        <w:tc>
          <w:tcPr>
            <w:tcW w:w="1440" w:type="dxa"/>
            <w:vAlign w:val="bottom"/>
          </w:tcPr>
          <w:p>
            <w:pPr>
              <w:jc w:val="right"/>
              <w:ind w:right="392"/>
              <w:spacing w:after="0"/>
              <w:rPr>
                <w:sz w:val="20"/>
                <w:szCs w:val="20"/>
                <w:color w:val="auto"/>
              </w:rPr>
            </w:pPr>
            <w:r>
              <w:rPr>
                <w:rFonts w:ascii="Arial" w:cs="Arial" w:eastAsia="Arial" w:hAnsi="Arial"/>
                <w:sz w:val="18"/>
                <w:szCs w:val="18"/>
                <w:color w:val="auto"/>
              </w:rPr>
              <w:t>145</w:t>
            </w:r>
          </w:p>
        </w:tc>
        <w:tc>
          <w:tcPr>
            <w:tcW w:w="1100" w:type="dxa"/>
            <w:vAlign w:val="bottom"/>
          </w:tcPr>
          <w:p>
            <w:pPr>
              <w:jc w:val="right"/>
              <w:ind w:right="452"/>
              <w:spacing w:after="0"/>
              <w:rPr>
                <w:sz w:val="20"/>
                <w:szCs w:val="20"/>
                <w:color w:val="auto"/>
              </w:rPr>
            </w:pPr>
            <w:r>
              <w:rPr>
                <w:rFonts w:ascii="Arial" w:cs="Arial" w:eastAsia="Arial" w:hAnsi="Arial"/>
                <w:sz w:val="18"/>
                <w:szCs w:val="18"/>
                <w:color w:val="auto"/>
              </w:rPr>
              <w:t>107</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50</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overall increase in metal contract volume is attributable to the increased investment in precious metals as an asset class, particularly in periods with higher expectations of inflation or uncertainty in currency values. We believe that there has been an increase in silver contract volume due to the greater use of silver as an alternative investment.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Rate per Contract</w:t>
      </w:r>
    </w:p>
    <w:p>
      <w:pPr>
        <w:spacing w:after="0" w:line="17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average rate per contract increased in the second quarter and first six months of 2011 when compared with the same periods in 2010 due to a higher portion of agricultural commodity and metal products as a percentage of total volume compared with equity products. As a percentage of volume, agricultural commodity product volume increased by 2% in the second quarter and first six months of 2011 while equity products decreased by 5% and 4%, respectively. Agricultural commodity products have higher fees compared with equity products. The overall increase in average rate per contract was partially offset by an increase in interest rate product volume as a percentage of total volume, which has a lower rate per contract. In addition, the average rate per contract decreased due to incremental volume in energy and interest rate products which triggered higher-tiered discount levels.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Revenue</w:t>
      </w:r>
    </w:p>
    <w:p>
      <w:pPr>
        <w:spacing w:after="0" w:line="17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bill a substantial portion of our clearing and transaction fees to our clearing firms. The majority of clearing and transaction fees received from clearing firms represent charges for trades executed and cleared on behalf of their customers. Two firms each represented 12% of our clearing and transaction fees revenue in the first six months of 2011. Should a clearing firm withdraw, we believe that the customer portion of the firm’s trading activity would likely transfer to another clearing firm of the exchange. Therefore, we do not believe we are exposed to significant risk from the loss of revenue received from a particular clearing firm.</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Sources of Revenue</w:t>
      </w:r>
    </w:p>
    <w:p>
      <w:pPr>
        <w:spacing w:after="0" w:line="17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Revenue from Index Services contributed to an increase in market data and information services revenue in the second quarter and first six months of 2011 when compared with the same periods in 2010. Revenues from Index Services, which include revenue from market data and licensing, increased in the second quarter of 2011 when compared with the same period of 2010 due to growth in assets under management, which was driven by new offerings based on our indexes and underlying index market performance. The increase in the first six months of 2011 when compared with the same period in 2010 was attributable to the formation of Index Services in March 2010.</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323" w:lineRule="auto"/>
        <w:rPr>
          <w:sz w:val="20"/>
          <w:szCs w:val="20"/>
          <w:color w:val="auto"/>
        </w:rPr>
      </w:pPr>
      <w:r>
        <w:rPr>
          <w:rFonts w:ascii="Arial" w:cs="Arial" w:eastAsia="Arial" w:hAnsi="Arial"/>
          <w:sz w:val="15"/>
          <w:szCs w:val="15"/>
          <w:color w:val="auto"/>
        </w:rPr>
        <w:t>The two largest resellers of our market data represented approximately 40% of our market data and information services revenue in the first six months of 2011. Despite this concentration, we consider exposure to significant risk of revenue loss to be minimal. In the event that one of these vendors no longer subscribes to our market data, we believe the majority of that vendor’s customers would likely subscribe to our market data through another reseller. Additionally, several of our largest institutional customers that utilize services from our two largest resellers report usage and remit payment of their fees directly to us.</w:t>
      </w:r>
    </w:p>
    <w:p>
      <w:pPr>
        <w:spacing w:after="0" w:line="9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 the second quarter of 2011, we recognized a $9.8 million gain on sale of certain Index Services assets related to one of its service offerings, which was included in other revenues. Other revenues also increased in the second quarter and first six months of 2011 when compared with the same periods of 2010 due to $1.3 million and $2.8 million, respectively, in incremental processing services revenue generated from various strategic relationships. In addition, the increase in the second quarter and first six months was attributable to $0.8 million and $4.2 million, respectively, of revenues generated from our agreement with BM&amp;FBOVESPA S.A. (BM&amp;FBOVESPA) to develop a new multi-asset class electronic trading platform.</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40" w:type="dxa"/>
            <w:vAlign w:val="bottom"/>
          </w:tcPr>
          <w:p>
            <w:pPr>
              <w:spacing w:after="0"/>
              <w:rPr>
                <w:sz w:val="19"/>
                <w:szCs w:val="19"/>
                <w:color w:val="auto"/>
              </w:rPr>
            </w:pPr>
          </w:p>
        </w:tc>
        <w:tc>
          <w:tcPr>
            <w:tcW w:w="1940" w:type="dxa"/>
            <w:vAlign w:val="bottom"/>
            <w:gridSpan w:val="5"/>
            <w:vMerge w:val="restart"/>
          </w:tcPr>
          <w:p>
            <w:pPr>
              <w:ind w:left="220"/>
              <w:spacing w:after="0"/>
              <w:rPr>
                <w:sz w:val="20"/>
                <w:szCs w:val="20"/>
                <w:color w:val="auto"/>
              </w:rPr>
            </w:pPr>
            <w:r>
              <w:rPr>
                <w:rFonts w:ascii="Arial" w:cs="Arial" w:eastAsia="Arial" w:hAnsi="Arial"/>
                <w:sz w:val="18"/>
                <w:szCs w:val="18"/>
                <w:b w:val="1"/>
                <w:bCs w:val="1"/>
                <w:color w:val="auto"/>
              </w:rPr>
              <w:t>Quarter Ended</w:t>
            </w: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gridSpan w:val="5"/>
            <w:vMerge w:val="restart"/>
          </w:tcPr>
          <w:p>
            <w:pPr>
              <w:ind w:left="100"/>
              <w:spacing w:after="0"/>
              <w:rPr>
                <w:sz w:val="20"/>
                <w:szCs w:val="20"/>
                <w:color w:val="auto"/>
              </w:rPr>
            </w:pPr>
            <w:r>
              <w:rPr>
                <w:rFonts w:ascii="Arial" w:cs="Arial" w:eastAsia="Arial" w:hAnsi="Arial"/>
                <w:sz w:val="18"/>
                <w:szCs w:val="18"/>
                <w:b w:val="1"/>
                <w:bCs w:val="1"/>
                <w:color w:val="auto"/>
              </w:rPr>
              <w:t>Six Months Ended</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5"/>
            <w:vMerge w:val="continue"/>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5"/>
            <w:vMerge w:val="continue"/>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June 30,</w:t>
            </w:r>
          </w:p>
        </w:tc>
        <w:tc>
          <w:tcPr>
            <w:tcW w:w="5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June 30,</w:t>
            </w:r>
          </w:p>
        </w:tc>
        <w:tc>
          <w:tcPr>
            <w:tcW w:w="5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920" w:type="dxa"/>
            <w:vAlign w:val="bottom"/>
            <w:gridSpan w:val="2"/>
          </w:tcPr>
          <w:p>
            <w:pPr>
              <w:spacing w:after="0"/>
              <w:rPr>
                <w:sz w:val="20"/>
                <w:szCs w:val="20"/>
                <w:color w:val="auto"/>
              </w:rPr>
            </w:pPr>
            <w:r>
              <w:rPr>
                <w:rFonts w:ascii="Arial" w:cs="Arial" w:eastAsia="Arial" w:hAnsi="Arial"/>
                <w:sz w:val="18"/>
                <w:szCs w:val="18"/>
                <w:i w:val="1"/>
                <w:iCs w:val="1"/>
                <w:color w:val="auto"/>
              </w:rPr>
              <w:t>(dollars in millions)</w:t>
            </w:r>
          </w:p>
        </w:tc>
        <w:tc>
          <w:tcPr>
            <w:tcW w:w="140" w:type="dxa"/>
            <w:vAlign w:val="bottom"/>
          </w:tcPr>
          <w:p>
            <w:pPr>
              <w:spacing w:after="0"/>
              <w:rPr>
                <w:sz w:val="18"/>
                <w:szCs w:val="18"/>
                <w:color w:val="auto"/>
              </w:rPr>
            </w:pPr>
          </w:p>
        </w:tc>
        <w:tc>
          <w:tcPr>
            <w:tcW w:w="560" w:type="dxa"/>
            <w:vAlign w:val="bottom"/>
          </w:tcPr>
          <w:p>
            <w:pPr>
              <w:jc w:val="right"/>
              <w:ind w:right="92"/>
              <w:spacing w:after="0"/>
              <w:rPr>
                <w:sz w:val="20"/>
                <w:szCs w:val="20"/>
                <w:color w:val="auto"/>
              </w:rPr>
            </w:pPr>
            <w:r>
              <w:rPr>
                <w:rFonts w:ascii="Arial" w:cs="Arial" w:eastAsia="Arial" w:hAnsi="Arial"/>
                <w:sz w:val="18"/>
                <w:szCs w:val="18"/>
                <w:b w:val="1"/>
                <w:bCs w:val="1"/>
                <w:color w:val="auto"/>
                <w:w w:val="89"/>
              </w:rPr>
              <w:t>2011</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b w:val="1"/>
                <w:bCs w:val="1"/>
                <w:color w:val="auto"/>
                <w:w w:val="94"/>
              </w:rPr>
              <w:t>2010</w:t>
            </w:r>
          </w:p>
        </w:tc>
        <w:tc>
          <w:tcPr>
            <w:tcW w:w="220" w:type="dxa"/>
            <w:vAlign w:val="bottom"/>
          </w:tcPr>
          <w:p>
            <w:pPr>
              <w:spacing w:after="0"/>
              <w:rPr>
                <w:sz w:val="18"/>
                <w:szCs w:val="18"/>
                <w:color w:val="auto"/>
              </w:rPr>
            </w:pPr>
          </w:p>
        </w:tc>
        <w:tc>
          <w:tcPr>
            <w:tcW w:w="1340" w:type="dxa"/>
            <w:vAlign w:val="bottom"/>
          </w:tcPr>
          <w:p>
            <w:pPr>
              <w:jc w:val="right"/>
              <w:ind w:right="452"/>
              <w:spacing w:after="0"/>
              <w:rPr>
                <w:sz w:val="20"/>
                <w:szCs w:val="20"/>
                <w:color w:val="auto"/>
              </w:rPr>
            </w:pPr>
            <w:r>
              <w:rPr>
                <w:rFonts w:ascii="Arial" w:cs="Arial" w:eastAsia="Arial" w:hAnsi="Arial"/>
                <w:sz w:val="18"/>
                <w:szCs w:val="18"/>
                <w:b w:val="1"/>
                <w:bCs w:val="1"/>
                <w:color w:val="auto"/>
              </w:rPr>
              <w:t>Change</w:t>
            </w:r>
          </w:p>
        </w:tc>
        <w:tc>
          <w:tcPr>
            <w:tcW w:w="140" w:type="dxa"/>
            <w:vAlign w:val="bottom"/>
          </w:tcPr>
          <w:p>
            <w:pPr>
              <w:spacing w:after="0"/>
              <w:rPr>
                <w:sz w:val="18"/>
                <w:szCs w:val="18"/>
                <w:color w:val="auto"/>
              </w:rPr>
            </w:pPr>
          </w:p>
        </w:tc>
        <w:tc>
          <w:tcPr>
            <w:tcW w:w="560" w:type="dxa"/>
            <w:vAlign w:val="bottom"/>
          </w:tcPr>
          <w:p>
            <w:pPr>
              <w:jc w:val="right"/>
              <w:ind w:right="92"/>
              <w:spacing w:after="0"/>
              <w:rPr>
                <w:sz w:val="20"/>
                <w:szCs w:val="20"/>
                <w:color w:val="auto"/>
              </w:rPr>
            </w:pPr>
            <w:r>
              <w:rPr>
                <w:rFonts w:ascii="Arial" w:cs="Arial" w:eastAsia="Arial" w:hAnsi="Arial"/>
                <w:sz w:val="18"/>
                <w:szCs w:val="18"/>
                <w:b w:val="1"/>
                <w:bCs w:val="1"/>
                <w:color w:val="auto"/>
                <w:w w:val="89"/>
              </w:rPr>
              <w:t>2011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b w:val="1"/>
                <w:bCs w:val="1"/>
                <w:color w:val="auto"/>
                <w:w w:val="94"/>
              </w:rPr>
              <w:t>2010</w:t>
            </w: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103.1</w:t>
            </w:r>
          </w:p>
        </w:tc>
        <w:tc>
          <w:tcPr>
            <w:tcW w:w="13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201.9</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Communications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10.8</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1340" w:type="dxa"/>
            <w:vAlign w:val="bottom"/>
          </w:tcPr>
          <w:p>
            <w:pPr>
              <w:jc w:val="right"/>
              <w:ind w:right="392"/>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20.7</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21.0</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Technology support services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w:t>
            </w:r>
          </w:p>
        </w:tc>
        <w:tc>
          <w:tcPr>
            <w:tcW w:w="13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Professional fees and outside services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30.7</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25.2</w:t>
            </w:r>
          </w:p>
        </w:tc>
        <w:tc>
          <w:tcPr>
            <w:tcW w:w="1340" w:type="dxa"/>
            <w:vAlign w:val="bottom"/>
          </w:tcPr>
          <w:p>
            <w:pPr>
              <w:jc w:val="right"/>
              <w:ind w:right="452"/>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61.4</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56.4</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purchased intangibles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32.3</w:t>
            </w:r>
          </w:p>
        </w:tc>
        <w:tc>
          <w:tcPr>
            <w:tcW w:w="13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63.1</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31.7</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32.8</w:t>
            </w:r>
          </w:p>
        </w:tc>
        <w:tc>
          <w:tcPr>
            <w:tcW w:w="1340" w:type="dxa"/>
            <w:vAlign w:val="bottom"/>
          </w:tcPr>
          <w:p>
            <w:pPr>
              <w:jc w:val="right"/>
              <w:ind w:right="392"/>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62.7</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65.0</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Occupancy and building operations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w:t>
            </w:r>
          </w:p>
        </w:tc>
        <w:tc>
          <w:tcPr>
            <w:tcW w:w="134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Licensing and other fee agreements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18.6</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21.2</w:t>
            </w:r>
          </w:p>
        </w:tc>
        <w:tc>
          <w:tcPr>
            <w:tcW w:w="1340" w:type="dxa"/>
            <w:vAlign w:val="bottom"/>
          </w:tcPr>
          <w:p>
            <w:pPr>
              <w:jc w:val="right"/>
              <w:ind w:right="392"/>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42.3</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(28)</w:t>
            </w: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2"/>
        </w:trPr>
        <w:tc>
          <w:tcPr>
            <w:tcW w:w="492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303.8</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298.8</w:t>
            </w:r>
          </w:p>
        </w:tc>
        <w:tc>
          <w:tcPr>
            <w:tcW w:w="1340" w:type="dxa"/>
            <w:vAlign w:val="bottom"/>
          </w:tcPr>
          <w:p>
            <w:pPr>
              <w:jc w:val="right"/>
              <w:ind w:right="452"/>
              <w:spacing w:after="0"/>
              <w:rPr>
                <w:sz w:val="20"/>
                <w:szCs w:val="20"/>
                <w:color w:val="auto"/>
              </w:rPr>
            </w:pPr>
            <w:r>
              <w:rPr>
                <w:rFonts w:ascii="Arial" w:cs="Arial" w:eastAsia="Arial" w:hAnsi="Arial"/>
                <w:sz w:val="18"/>
                <w:szCs w:val="18"/>
                <w:color w:val="auto"/>
              </w:rPr>
              <w:t>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611.3</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577.3</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Operating expenses increased by $5.0 million and $34.0 million in the second quarter and first six months of 2011, respectively, when compared with the same periods in 2010. The following table shows the estimated impact of key factors resulting in the increase (decrease) in operating expenses: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40" w:type="dxa"/>
            <w:vAlign w:val="bottom"/>
            <w:gridSpan w:val="4"/>
          </w:tcPr>
          <w:p>
            <w:pPr>
              <w:jc w:val="right"/>
              <w:ind w:right="1340"/>
              <w:spacing w:after="0"/>
              <w:rPr>
                <w:sz w:val="20"/>
                <w:szCs w:val="20"/>
                <w:color w:val="auto"/>
              </w:rPr>
            </w:pPr>
            <w:r>
              <w:rPr>
                <w:rFonts w:ascii="Arial" w:cs="Arial" w:eastAsia="Arial" w:hAnsi="Arial"/>
                <w:sz w:val="18"/>
                <w:szCs w:val="18"/>
                <w:b w:val="1"/>
                <w:bCs w:val="1"/>
                <w:color w:val="auto"/>
              </w:rPr>
              <w:t>Quarter Ended</w:t>
            </w:r>
          </w:p>
        </w:tc>
        <w:tc>
          <w:tcPr>
            <w:tcW w:w="140" w:type="dxa"/>
            <w:vAlign w:val="bottom"/>
          </w:tcPr>
          <w:p>
            <w:pPr>
              <w:spacing w:after="0"/>
              <w:rPr>
                <w:sz w:val="18"/>
                <w:szCs w:val="18"/>
                <w:color w:val="auto"/>
              </w:rPr>
            </w:pPr>
          </w:p>
        </w:tc>
        <w:tc>
          <w:tcPr>
            <w:tcW w:w="280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8"/>
        </w:trPr>
        <w:tc>
          <w:tcPr>
            <w:tcW w:w="5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140" w:type="dxa"/>
            <w:vAlign w:val="bottom"/>
            <w:gridSpan w:val="4"/>
          </w:tcPr>
          <w:p>
            <w:pPr>
              <w:jc w:val="right"/>
              <w:ind w:right="1400"/>
              <w:spacing w:after="0"/>
              <w:rPr>
                <w:sz w:val="20"/>
                <w:szCs w:val="20"/>
                <w:color w:val="auto"/>
              </w:rPr>
            </w:pPr>
            <w:r>
              <w:rPr>
                <w:rFonts w:ascii="Arial" w:cs="Arial" w:eastAsia="Arial" w:hAnsi="Arial"/>
                <w:sz w:val="18"/>
                <w:szCs w:val="18"/>
                <w:b w:val="1"/>
                <w:bCs w:val="1"/>
                <w:color w:val="auto"/>
              </w:rPr>
              <w:t>June 30, 2011</w:t>
            </w:r>
          </w:p>
        </w:tc>
        <w:tc>
          <w:tcPr>
            <w:tcW w:w="140" w:type="dxa"/>
            <w:vAlign w:val="bottom"/>
          </w:tcPr>
          <w:p>
            <w:pPr>
              <w:spacing w:after="0"/>
              <w:rPr>
                <w:sz w:val="19"/>
                <w:szCs w:val="19"/>
                <w:color w:val="auto"/>
              </w:rPr>
            </w:pPr>
          </w:p>
        </w:tc>
        <w:tc>
          <w:tcPr>
            <w:tcW w:w="2800" w:type="dxa"/>
            <w:vAlign w:val="bottom"/>
            <w:gridSpan w:val="4"/>
          </w:tcPr>
          <w:p>
            <w:pPr>
              <w:jc w:val="right"/>
              <w:ind w:right="1060"/>
              <w:spacing w:after="0"/>
              <w:rPr>
                <w:sz w:val="20"/>
                <w:szCs w:val="20"/>
                <w:color w:val="auto"/>
              </w:rPr>
            </w:pPr>
            <w:r>
              <w:rPr>
                <w:rFonts w:ascii="Arial" w:cs="Arial" w:eastAsia="Arial" w:hAnsi="Arial"/>
                <w:sz w:val="18"/>
                <w:szCs w:val="18"/>
                <w:b w:val="1"/>
                <w:bCs w:val="1"/>
                <w:color w:val="auto"/>
              </w:rPr>
              <w:t>June 30, 2011</w:t>
            </w:r>
          </w:p>
        </w:tc>
        <w:tc>
          <w:tcPr>
            <w:tcW w:w="0" w:type="dxa"/>
            <w:vAlign w:val="bottom"/>
          </w:tcPr>
          <w:p>
            <w:pPr>
              <w:spacing w:after="0"/>
              <w:rPr>
                <w:sz w:val="1"/>
                <w:szCs w:val="1"/>
                <w:color w:val="auto"/>
              </w:rPr>
            </w:pPr>
          </w:p>
        </w:tc>
      </w:tr>
      <w:tr>
        <w:trPr>
          <w:trHeight w:val="197"/>
        </w:trPr>
        <w:tc>
          <w:tcPr>
            <w:tcW w:w="5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spacing w:after="0" w:line="197" w:lineRule="exact"/>
              <w:rPr>
                <w:sz w:val="20"/>
                <w:szCs w:val="20"/>
                <w:color w:val="auto"/>
              </w:rPr>
            </w:pPr>
            <w:r>
              <w:rPr>
                <w:rFonts w:ascii="Arial" w:cs="Arial" w:eastAsia="Arial" w:hAnsi="Arial"/>
                <w:sz w:val="18"/>
                <w:szCs w:val="18"/>
                <w:b w:val="1"/>
                <w:bCs w:val="1"/>
                <w:color w:val="auto"/>
                <w:w w:val="84"/>
              </w:rPr>
              <w:t>Change as a</w:t>
            </w:r>
          </w:p>
        </w:tc>
        <w:tc>
          <w:tcPr>
            <w:tcW w:w="5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spacing w:after="0" w:line="197" w:lineRule="exact"/>
              <w:rPr>
                <w:sz w:val="20"/>
                <w:szCs w:val="20"/>
                <w:color w:val="auto"/>
              </w:rPr>
            </w:pPr>
            <w:r>
              <w:rPr>
                <w:rFonts w:ascii="Arial" w:cs="Arial" w:eastAsia="Arial" w:hAnsi="Arial"/>
                <w:sz w:val="18"/>
                <w:szCs w:val="18"/>
                <w:b w:val="1"/>
                <w:bCs w:val="1"/>
                <w:color w:val="auto"/>
                <w:w w:val="86"/>
              </w:rPr>
              <w:t>Change as a</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w w:val="91"/>
              </w:rPr>
              <w:t>Amount of</w:t>
            </w:r>
          </w:p>
        </w:tc>
        <w:tc>
          <w:tcPr>
            <w:tcW w:w="16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5"/>
              </w:rPr>
              <w:t>Percentage of</w:t>
            </w:r>
          </w:p>
        </w:tc>
        <w:tc>
          <w:tcPr>
            <w:tcW w:w="14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w w:val="91"/>
              </w:rPr>
              <w:t>Amount of</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Percentage of</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millions)</w:t>
            </w: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ind w:right="760"/>
              <w:spacing w:after="0"/>
              <w:rPr>
                <w:sz w:val="20"/>
                <w:szCs w:val="20"/>
                <w:color w:val="auto"/>
              </w:rPr>
            </w:pPr>
            <w:r>
              <w:rPr>
                <w:rFonts w:ascii="Arial" w:cs="Arial" w:eastAsia="Arial" w:hAnsi="Arial"/>
                <w:sz w:val="18"/>
                <w:szCs w:val="18"/>
                <w:b w:val="1"/>
                <w:bCs w:val="1"/>
                <w:color w:val="auto"/>
              </w:rPr>
              <w:t>Change</w:t>
            </w:r>
          </w:p>
        </w:tc>
        <w:tc>
          <w:tcPr>
            <w:tcW w:w="166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8"/>
                <w:szCs w:val="18"/>
                <w:b w:val="1"/>
                <w:bCs w:val="1"/>
                <w:color w:val="auto"/>
                <w:w w:val="84"/>
              </w:rPr>
              <w:t>Total Expenses</w:t>
            </w: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ind w:right="740"/>
              <w:spacing w:after="0"/>
              <w:rPr>
                <w:sz w:val="20"/>
                <w:szCs w:val="20"/>
                <w:color w:val="auto"/>
              </w:rPr>
            </w:pPr>
            <w:r>
              <w:rPr>
                <w:rFonts w:ascii="Arial" w:cs="Arial" w:eastAsia="Arial" w:hAnsi="Arial"/>
                <w:sz w:val="18"/>
                <w:szCs w:val="18"/>
                <w:b w:val="1"/>
                <w:bCs w:val="1"/>
                <w:color w:val="auto"/>
              </w:rPr>
              <w:t>Change</w:t>
            </w:r>
          </w:p>
        </w:tc>
        <w:tc>
          <w:tcPr>
            <w:tcW w:w="13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84"/>
              </w:rPr>
              <w:t>Total Expenses</w:t>
            </w:r>
          </w:p>
        </w:tc>
        <w:tc>
          <w:tcPr>
            <w:tcW w:w="0" w:type="dxa"/>
            <w:vAlign w:val="bottom"/>
          </w:tcPr>
          <w:p>
            <w:pPr>
              <w:spacing w:after="0"/>
              <w:rPr>
                <w:sz w:val="1"/>
                <w:szCs w:val="1"/>
                <w:color w:val="auto"/>
              </w:rPr>
            </w:pPr>
          </w:p>
        </w:tc>
      </w:tr>
      <w:tr>
        <w:trPr>
          <w:trHeight w:val="211"/>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Salaries, benefits and employer taxes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4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Litigation matters and associated legal fees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c>
          <w:tcPr>
            <w:tcW w:w="4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Marketing expenses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w:t>
            </w:r>
          </w:p>
        </w:tc>
        <w:tc>
          <w:tcPr>
            <w:tcW w:w="4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Bonus</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w:t>
            </w: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Expense related to Index Service asset sale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4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 related to Index Services</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(0.3)</w:t>
            </w: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(9.4)</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CMA goodwill and trade name impairment</w:t>
            </w:r>
          </w:p>
        </w:tc>
        <w:tc>
          <w:tcPr>
            <w:tcW w:w="140" w:type="dxa"/>
            <w:vAlign w:val="bottom"/>
          </w:tcPr>
          <w:p>
            <w:pPr>
              <w:spacing w:after="0"/>
              <w:rPr>
                <w:sz w:val="18"/>
                <w:szCs w:val="18"/>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rPr>
              <w:t>(20.5)</w:t>
            </w:r>
          </w:p>
        </w:tc>
        <w:tc>
          <w:tcPr>
            <w:tcW w:w="1660" w:type="dxa"/>
            <w:vAlign w:val="bottom"/>
            <w:gridSpan w:val="2"/>
          </w:tcPr>
          <w:p>
            <w:pPr>
              <w:jc w:val="right"/>
              <w:ind w:right="48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rPr>
              <w:t>(20.5)</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net</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(0.7)</w:t>
            </w: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Total increase</w:t>
            </w: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0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c>
          <w:tcPr>
            <w:tcW w:w="460" w:type="dxa"/>
            <w:vAlign w:val="bottom"/>
          </w:tcPr>
          <w:p>
            <w:pPr>
              <w:spacing w:after="0"/>
              <w:rPr>
                <w:sz w:val="19"/>
                <w:szCs w:val="19"/>
                <w:color w:val="auto"/>
              </w:rPr>
            </w:pPr>
          </w:p>
        </w:tc>
        <w:tc>
          <w:tcPr>
            <w:tcW w:w="1660" w:type="dxa"/>
            <w:vAlign w:val="bottom"/>
            <w:gridSpan w:val="2"/>
          </w:tcPr>
          <w:p>
            <w:pPr>
              <w:jc w:val="right"/>
              <w:ind w:right="400"/>
              <w:spacing w:after="0"/>
              <w:rPr>
                <w:sz w:val="20"/>
                <w:szCs w:val="20"/>
                <w:color w:val="auto"/>
              </w:rPr>
            </w:pPr>
            <w:r>
              <w:rPr>
                <w:rFonts w:ascii="Arial" w:cs="Arial" w:eastAsia="Arial" w:hAnsi="Arial"/>
                <w:sz w:val="18"/>
                <w:szCs w:val="18"/>
                <w:color w:val="auto"/>
              </w:rPr>
              <w:t>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34.0</w:t>
            </w:r>
          </w:p>
        </w:tc>
        <w:tc>
          <w:tcPr>
            <w:tcW w:w="4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rise in salaries, benefits and employer taxes was due to salary increases and rising healthcare costs. An increase in average headcount primarily due to the formation of Index Services also contributed to an increase in expense in the first six months of 2011.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An increase in litigation matters and associated legal fees also contributed to an increase in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Marketing expenses increased in the second quarter and first six months of 2011 due primarily to new advertising initiatives.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Stock based compensation increased in the second quarter and first six months of 2011 due to the expense impact related to the September 2010 grant.</w:t>
      </w:r>
    </w:p>
    <w:p>
      <w:pPr>
        <w:spacing w:after="0" w:line="194"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The decrease in bonus expense in the second quarter of 2011 was due to a decline in performance relative to our 2011 cash earnings target compared with the second quarter of 2010 relative to our 2010 cash earnings target. The increase in our bonus expense in the first six months of 2011 was due to improved performance relative to our 2011 cash earnings target compared with 2010 relative to our 2010 cash earnings target.</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In the second quarter of 2011, we recognized additional expense related to the sale of certain assets associated with the Index Services’ service offerings.</w:t>
      </w:r>
    </w:p>
    <w:p>
      <w:pPr>
        <w:spacing w:after="0" w:line="19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overall increase in expense in the first six months of 2011 was partially offset by a decrease in professional fees relating to the formation and integration of Index Services, which occurred in the first quarter of 2010.</w:t>
      </w:r>
    </w:p>
    <w:p>
      <w:pPr>
        <w:spacing w:after="0" w:line="13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In addition, impairment charges recorded in the second quarter of 2010 on goodwill and trade name related to our CMA operations partially offset the overall increase in expense in the second quarter and first six months of 2011.</w:t>
      </w:r>
    </w:p>
    <w:p>
      <w:pPr>
        <w:spacing w:after="0" w:line="132"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Data center assets related to the initial phase of our co-location initiative were placed into service in the second quarter of 2011. Approximately $52.0 million of assets were placed into service with useful lives ranging from 10 to 39 years. As a result, we expect depreciation to increase for the remainder of the year relative to the prior year.</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Non-Operating Income (Expense)</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Quarter Ended</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w w:val="97"/>
              </w:rPr>
              <w:t>Six Months Ended</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9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(dollars in millions)</w:t>
            </w:r>
          </w:p>
        </w:tc>
        <w:tc>
          <w:tcPr>
            <w:tcW w:w="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6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6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90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b w:val="1"/>
                <w:bCs w:val="1"/>
                <w:color w:val="auto"/>
              </w:rPr>
              <w:t>2011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b w:val="1"/>
                <w:bCs w:val="1"/>
                <w:color w:val="auto"/>
              </w:rPr>
              <w:t>2010</w:t>
            </w:r>
          </w:p>
        </w:tc>
        <w:tc>
          <w:tcPr>
            <w:tcW w:w="260" w:type="dxa"/>
            <w:vAlign w:val="bottom"/>
          </w:tcPr>
          <w:p>
            <w:pPr>
              <w:spacing w:after="0"/>
              <w:rPr>
                <w:sz w:val="18"/>
                <w:szCs w:val="18"/>
                <w:color w:val="auto"/>
              </w:rPr>
            </w:pPr>
          </w:p>
        </w:tc>
        <w:tc>
          <w:tcPr>
            <w:tcW w:w="1140" w:type="dxa"/>
            <w:vAlign w:val="bottom"/>
          </w:tcPr>
          <w:p>
            <w:pPr>
              <w:jc w:val="right"/>
              <w:ind w:right="252"/>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b w:val="1"/>
                <w:bCs w:val="1"/>
                <w:color w:val="auto"/>
              </w:rPr>
              <w:t>2011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b w:val="1"/>
                <w:bCs w:val="1"/>
                <w:color w:val="auto"/>
              </w:rPr>
              <w:t>2010</w:t>
            </w:r>
          </w:p>
        </w:tc>
        <w:tc>
          <w:tcPr>
            <w:tcW w:w="2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Gains (losses) on derivative investments</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borrowing costs</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w:t>
            </w:r>
          </w:p>
        </w:tc>
        <w:tc>
          <w:tcPr>
            <w:tcW w:w="11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(69.3)</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Equity in losses of unconsolidated subsidiaries</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Total Non-Operating</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(25.2)</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w:t>
            </w:r>
          </w:p>
        </w:tc>
        <w:tc>
          <w:tcPr>
            <w:tcW w:w="11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(28)</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(37.7)</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(50.8)</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increase in investment income during the first six months of 2011 when compared with the same period in 2010 was due to an increase in dividend income from our investment in BM&amp;FBOVESPA. Total dividend income was $20.3 million in the first six months of 2011 compared with $15.9 million for the same period in 2010.</w:t>
      </w:r>
    </w:p>
    <w:p>
      <w:pPr>
        <w:spacing w:after="0" w:line="14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March 2010, we recognized a $6.0 million gain on derivative investments as a result of a settlement from the Lehman Brothers Holdings Inc. (Lehman) bankruptcy proceedings. The settlement related to an unsecured claim against Lehman as counterparty to an over-the-counter put option contract we purchased to hedge our risk of changes in the fair value of BM&amp;FBOVESPA stock resulting from foreign currency exchange rate fluctuations between the U.S. dollar and the Brazilian real.</w:t>
      </w:r>
    </w:p>
    <w:p>
      <w:pPr>
        <w:spacing w:after="0" w:line="14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the second quarter and first six months of 2011 when compared with the same periods in 2010, interest expense decreased due to the repayment of the $420.5 million term loan in January 2011 and the maturity of the $300.0 million floating rate notes in August 2010. The decrease in interest expense in the second quarter and first six months of 2011 was partially offset by the issuance of $612.5 million of 4.40% fixed rate notes due 2018 in March 2010.</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6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Quarter Ended</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6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Six Months Ended</w:t>
            </w:r>
          </w:p>
        </w:tc>
        <w:tc>
          <w:tcPr>
            <w:tcW w:w="960" w:type="dxa"/>
            <w:vAlign w:val="bottom"/>
          </w:tcPr>
          <w:p>
            <w:pPr>
              <w:spacing w:after="0"/>
              <w:rPr>
                <w:sz w:val="18"/>
                <w:szCs w:val="18"/>
                <w:color w:val="auto"/>
              </w:rPr>
            </w:pPr>
          </w:p>
        </w:tc>
      </w:tr>
      <w:tr>
        <w:trPr>
          <w:trHeight w:val="228"/>
        </w:trPr>
        <w:tc>
          <w:tcPr>
            <w:tcW w:w="4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auto"/>
              </w:rPr>
              <w:t>June 30,</w:t>
            </w:r>
          </w:p>
        </w:tc>
        <w:tc>
          <w:tcPr>
            <w:tcW w:w="6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auto"/>
              </w:rPr>
              <w:t>June 30,</w:t>
            </w:r>
          </w:p>
        </w:tc>
        <w:tc>
          <w:tcPr>
            <w:tcW w:w="6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2"/>
        </w:trPr>
        <w:tc>
          <w:tcPr>
            <w:tcW w:w="42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2011</w:t>
            </w:r>
          </w:p>
        </w:tc>
        <w:tc>
          <w:tcPr>
            <w:tcW w:w="3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2010</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Change</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2011</w:t>
            </w: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2010</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Change</w:t>
            </w: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w w:val="96"/>
              </w:rPr>
              <w:t>Weighted average borrowings outstanding (in millions)</w:t>
            </w:r>
          </w:p>
        </w:tc>
        <w:tc>
          <w:tcPr>
            <w:tcW w:w="14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  2,112.5</w:t>
            </w: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2,874.2</w:t>
            </w:r>
          </w:p>
        </w:tc>
        <w:tc>
          <w:tcPr>
            <w:tcW w:w="10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(761.7)</w:t>
            </w:r>
          </w:p>
        </w:tc>
        <w:tc>
          <w:tcPr>
            <w:tcW w:w="12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  2,174.3</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2,744.0</w:t>
            </w:r>
          </w:p>
        </w:tc>
        <w:tc>
          <w:tcPr>
            <w:tcW w:w="9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(569.7)</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Weighted average effective yield</w:t>
            </w:r>
          </w:p>
        </w:tc>
        <w:tc>
          <w:tcPr>
            <w:tcW w:w="1400" w:type="dxa"/>
            <w:vAlign w:val="bottom"/>
            <w:gridSpan w:val="2"/>
          </w:tcPr>
          <w:p>
            <w:pPr>
              <w:jc w:val="right"/>
              <w:ind w:right="52"/>
              <w:spacing w:after="0"/>
              <w:rPr>
                <w:sz w:val="20"/>
                <w:szCs w:val="20"/>
                <w:color w:val="auto"/>
              </w:rPr>
            </w:pPr>
            <w:r>
              <w:rPr>
                <w:rFonts w:ascii="Arial" w:cs="Arial" w:eastAsia="Arial" w:hAnsi="Arial"/>
                <w:sz w:val="18"/>
                <w:szCs w:val="18"/>
                <w:color w:val="auto"/>
              </w:rPr>
              <w:t>5.27%</w:t>
            </w:r>
          </w:p>
        </w:tc>
        <w:tc>
          <w:tcPr>
            <w:tcW w:w="3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4.99%</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0.28%</w:t>
            </w:r>
          </w:p>
        </w:tc>
        <w:tc>
          <w:tcPr>
            <w:tcW w:w="1260" w:type="dxa"/>
            <w:vAlign w:val="bottom"/>
            <w:gridSpan w:val="2"/>
          </w:tcPr>
          <w:p>
            <w:pPr>
              <w:jc w:val="right"/>
              <w:ind w:right="72"/>
              <w:spacing w:after="0"/>
              <w:rPr>
                <w:sz w:val="20"/>
                <w:szCs w:val="20"/>
                <w:color w:val="auto"/>
              </w:rPr>
            </w:pPr>
            <w:r>
              <w:rPr>
                <w:rFonts w:ascii="Arial" w:cs="Arial" w:eastAsia="Arial" w:hAnsi="Arial"/>
                <w:sz w:val="18"/>
                <w:szCs w:val="18"/>
                <w:color w:val="auto"/>
              </w:rPr>
              <w:t>5.20%</w:t>
            </w:r>
          </w:p>
        </w:tc>
        <w:tc>
          <w:tcPr>
            <w:tcW w:w="3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4.83%</w:t>
            </w:r>
          </w:p>
        </w:tc>
        <w:tc>
          <w:tcPr>
            <w:tcW w:w="960" w:type="dxa"/>
            <w:vAlign w:val="bottom"/>
          </w:tcPr>
          <w:p>
            <w:pPr>
              <w:jc w:val="right"/>
              <w:spacing w:after="0"/>
              <w:rPr>
                <w:sz w:val="20"/>
                <w:szCs w:val="20"/>
                <w:color w:val="auto"/>
              </w:rPr>
            </w:pPr>
            <w:r>
              <w:rPr>
                <w:rFonts w:ascii="Arial" w:cs="Arial" w:eastAsia="Arial" w:hAnsi="Arial"/>
                <w:sz w:val="18"/>
                <w:szCs w:val="18"/>
                <w:color w:val="auto"/>
              </w:rPr>
              <w:t>0.37%</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 cost of borrowings (1)</w:t>
            </w:r>
          </w:p>
        </w:tc>
        <w:tc>
          <w:tcPr>
            <w:tcW w:w="14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5.53</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5.25</w:t>
            </w:r>
          </w:p>
        </w:tc>
        <w:tc>
          <w:tcPr>
            <w:tcW w:w="10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0.28</w:t>
            </w:r>
          </w:p>
        </w:tc>
        <w:tc>
          <w:tcPr>
            <w:tcW w:w="12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5.54</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5.09</w:t>
            </w:r>
          </w:p>
        </w:tc>
        <w:tc>
          <w:tcPr>
            <w:tcW w:w="9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0.45</w:t>
            </w:r>
          </w:p>
        </w:tc>
      </w:tr>
    </w:tbl>
    <w:p>
      <w:pPr>
        <w:spacing w:after="0" w:line="194" w:lineRule="exact"/>
        <w:rPr>
          <w:sz w:val="20"/>
          <w:szCs w:val="20"/>
          <w:color w:val="auto"/>
        </w:rPr>
      </w:pPr>
    </w:p>
    <w:p>
      <w:pPr>
        <w:ind w:left="460"/>
        <w:spacing w:after="0"/>
        <w:tabs>
          <w:tab w:leader="none" w:pos="7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Total cost of borrowing includes interest, commitment fees, discount accretion and debt issuance costs.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880" w:type="dxa"/>
            <w:vAlign w:val="bottom"/>
          </w:tcPr>
          <w:p>
            <w:pPr>
              <w:spacing w:after="0"/>
              <w:rPr>
                <w:sz w:val="20"/>
                <w:szCs w:val="20"/>
                <w:color w:val="auto"/>
              </w:rPr>
            </w:pPr>
            <w:r>
              <w:rPr>
                <w:rFonts w:ascii="Arial" w:cs="Arial" w:eastAsia="Arial" w:hAnsi="Arial"/>
                <w:sz w:val="18"/>
                <w:szCs w:val="18"/>
                <w:b w:val="1"/>
                <w:bCs w:val="1"/>
                <w:color w:val="auto"/>
              </w:rPr>
              <w:t>Income Tax Provision</w:t>
            </w:r>
          </w:p>
        </w:tc>
        <w:tc>
          <w:tcPr>
            <w:tcW w:w="2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78"/>
        </w:trPr>
        <w:tc>
          <w:tcPr>
            <w:tcW w:w="6880" w:type="dxa"/>
            <w:vAlign w:val="bottom"/>
          </w:tcPr>
          <w:p>
            <w:pPr>
              <w:spacing w:after="0"/>
              <w:rPr>
                <w:sz w:val="20"/>
                <w:szCs w:val="20"/>
                <w:color w:val="auto"/>
              </w:rPr>
            </w:pPr>
            <w:r>
              <w:rPr>
                <w:rFonts w:ascii="Arial" w:cs="Arial" w:eastAsia="Arial" w:hAnsi="Arial"/>
                <w:sz w:val="18"/>
                <w:szCs w:val="18"/>
                <w:color w:val="auto"/>
              </w:rPr>
              <w:t>The following table summarizes the effective tax rate for the periods presented:</w:t>
            </w:r>
          </w:p>
        </w:tc>
        <w:tc>
          <w:tcPr>
            <w:tcW w:w="2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47"/>
        </w:trPr>
        <w:tc>
          <w:tcPr>
            <w:tcW w:w="68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2011</w:t>
            </w: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2010</w:t>
            </w:r>
          </w:p>
        </w:tc>
        <w:tc>
          <w:tcPr>
            <w:tcW w:w="11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Change</w:t>
            </w:r>
          </w:p>
        </w:tc>
      </w:tr>
      <w:tr>
        <w:trPr>
          <w:trHeight w:val="211"/>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Quarter ended June 30</w:t>
            </w:r>
          </w:p>
        </w:tc>
        <w:tc>
          <w:tcPr>
            <w:tcW w:w="222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42.0%</w:t>
            </w:r>
          </w:p>
        </w:tc>
        <w:tc>
          <w:tcPr>
            <w:tcW w:w="1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43.5%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2"/>
        </w:trPr>
        <w:tc>
          <w:tcPr>
            <w:tcW w:w="6880" w:type="dxa"/>
            <w:vAlign w:val="bottom"/>
          </w:tcPr>
          <w:p>
            <w:pPr>
              <w:spacing w:after="0"/>
              <w:rPr>
                <w:sz w:val="20"/>
                <w:szCs w:val="20"/>
                <w:color w:val="auto"/>
              </w:rPr>
            </w:pPr>
            <w:r>
              <w:rPr>
                <w:rFonts w:ascii="Arial" w:cs="Arial" w:eastAsia="Arial" w:hAnsi="Arial"/>
                <w:sz w:val="18"/>
                <w:szCs w:val="18"/>
                <w:color w:val="auto"/>
              </w:rPr>
              <w:t>Six months ended June 30</w:t>
            </w:r>
          </w:p>
        </w:tc>
        <w:tc>
          <w:tcPr>
            <w:tcW w:w="2220" w:type="dxa"/>
            <w:vAlign w:val="bottom"/>
          </w:tcPr>
          <w:p>
            <w:pPr>
              <w:ind w:left="1500"/>
              <w:spacing w:after="0"/>
              <w:rPr>
                <w:sz w:val="20"/>
                <w:szCs w:val="20"/>
                <w:color w:val="auto"/>
              </w:rPr>
            </w:pPr>
            <w:r>
              <w:rPr>
                <w:rFonts w:ascii="Arial" w:cs="Arial" w:eastAsia="Arial" w:hAnsi="Arial"/>
                <w:sz w:val="18"/>
                <w:szCs w:val="18"/>
                <w:color w:val="auto"/>
              </w:rPr>
              <w:t>26.3</w:t>
            </w:r>
          </w:p>
        </w:tc>
        <w:tc>
          <w:tcPr>
            <w:tcW w:w="1220" w:type="dxa"/>
            <w:vAlign w:val="bottom"/>
          </w:tcPr>
          <w:p>
            <w:pPr>
              <w:ind w:left="480"/>
              <w:spacing w:after="0"/>
              <w:rPr>
                <w:sz w:val="20"/>
                <w:szCs w:val="20"/>
                <w:color w:val="auto"/>
              </w:rPr>
            </w:pPr>
            <w:r>
              <w:rPr>
                <w:rFonts w:ascii="Arial" w:cs="Arial" w:eastAsia="Arial" w:hAnsi="Arial"/>
                <w:sz w:val="18"/>
                <w:szCs w:val="18"/>
                <w:color w:val="auto"/>
              </w:rPr>
              <w:t>41.8</w:t>
            </w: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(15.5)</w:t>
            </w:r>
          </w:p>
        </w:tc>
      </w:tr>
    </w:tbl>
    <w:p>
      <w:pPr>
        <w:spacing w:after="0" w:line="147"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In the second quarter of 2011 when compared with the same period in 2010, the effective tax rate decreased because we established a full valuation allowance for the tax benefit associated with CMA’s goodwill and trade name impairment in the second quarter of 2010.</w:t>
      </w:r>
    </w:p>
    <w:p>
      <w:pPr>
        <w:spacing w:after="0" w:line="132"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In the first six months of 2011 when compared with the same period of 2010, the decrease in our effective tax rate was primarily attributable to a change in state tax apportionment recorded in the first quarter of 2011. This change resulted in a reduction in our income tax provision of $118.1 million due largely to a revaluation of our existing deferred tax liabilities. Additionally, in the first quarter of 2011, we began marking to market our investment in BM&amp;FBOVESPA which resulted in a $48.8 million reduction in valuation allowances on other unrealized capital losses previously reserved.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i w:val="1"/>
          <w:iCs w:val="1"/>
          <w:u w:val="single" w:color="auto"/>
          <w:color w:val="auto"/>
        </w:rPr>
        <w:t>Sources and Uses of Cash</w:t>
      </w:r>
      <w:r>
        <w:rPr>
          <w:rFonts w:ascii="Arial" w:cs="Arial" w:eastAsia="Arial" w:hAnsi="Arial"/>
          <w:sz w:val="16"/>
          <w:szCs w:val="16"/>
          <w:i w:val="1"/>
          <w:iCs w:val="1"/>
          <w:color w:val="auto"/>
        </w:rPr>
        <w:t xml:space="preserve">. </w:t>
      </w:r>
      <w:r>
        <w:rPr>
          <w:rFonts w:ascii="Arial" w:cs="Arial" w:eastAsia="Arial" w:hAnsi="Arial"/>
          <w:sz w:val="16"/>
          <w:szCs w:val="16"/>
          <w:color w:val="auto"/>
        </w:rPr>
        <w:t>Net cash provided by operating activities was $576.1 million for the first six months of 2011 compared with $649.1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 in 2010. The decrease in net cash provided by operating activities was due to an increase in other current assets resulting from an increase in restricted cash of $40.0 million. The decrease in net cash provided by operating activities was also due to an increase in accounts receivable in the second quarter of 2011 compared with the same period in 2010. Accounts receivable in any period result primarily from the clearing and transaction fees billed in the last month of the reporting period. We experienced higher trading volumes in June 2011 compared with June 2010, which resulted in a higher accounts receivable balance in June 2011. In the first six months of 2011, net cash provided by operating activities was $176.6 million lower than net income. This decrease was primarily the result of a decrease in deferred income tax liabilities of $151.7 million due to the revaluation of our existing deferred tax liabilities and a reduction in deferred tax valuation allowances. Also contributing to the overall decrease in cash was an increase in accounts receivable of $88.0 million.</w:t>
      </w:r>
    </w:p>
    <w:p>
      <w:pPr>
        <w:spacing w:after="0" w:line="118"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Cash used in investing activities was $70.2 million in the first six months of 2011 compared with cash used in investing activities of $7.7 million in the first six months of 2010. The increase in cash used was largely attributable to an increase in purchases of property in the first six months of 2011 when compared with the same period in 2010. We also recognized proceeds from Chicago Board Options Exchange exercise priviledges in 2010.</w:t>
      </w:r>
    </w:p>
    <w:p>
      <w:pPr>
        <w:spacing w:after="0" w:line="10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Cash used in financing activities was $667.5 million in the first six months of 2011 compared with $538.4 million for the same period in 2010. The increase was primarily attributable to the repayment of the $420.5 million term loan in January 2011. The increase was partially offset by a decrease in share repurchases of $230.9 million in the first six months of 2011 when compared with the same period in 2010.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60" w:type="dxa"/>
            <w:vAlign w:val="bottom"/>
            <w:gridSpan w:val="3"/>
          </w:tcPr>
          <w:p>
            <w:pPr>
              <w:spacing w:after="0"/>
              <w:rPr>
                <w:sz w:val="20"/>
                <w:szCs w:val="20"/>
                <w:color w:val="auto"/>
              </w:rPr>
            </w:pPr>
            <w:r>
              <w:rPr>
                <w:rFonts w:ascii="Arial" w:cs="Arial" w:eastAsia="Arial" w:hAnsi="Arial"/>
                <w:sz w:val="18"/>
                <w:szCs w:val="18"/>
                <w:i w:val="1"/>
                <w:iCs w:val="1"/>
                <w:color w:val="auto"/>
              </w:rPr>
              <w:t xml:space="preserve">Debt Instruments. </w:t>
            </w:r>
            <w:r>
              <w:rPr>
                <w:rFonts w:ascii="Arial" w:cs="Arial" w:eastAsia="Arial" w:hAnsi="Arial"/>
                <w:sz w:val="18"/>
                <w:szCs w:val="18"/>
                <w:color w:val="auto"/>
              </w:rPr>
              <w:t>The following table summarizes our debt outstanding as of June 30, 2011:</w:t>
            </w:r>
          </w:p>
        </w:tc>
        <w:tc>
          <w:tcPr>
            <w:tcW w:w="2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46"/>
        </w:trPr>
        <w:tc>
          <w:tcPr>
            <w:tcW w:w="1260" w:type="dxa"/>
            <w:vAlign w:val="bottom"/>
            <w:tcBorders>
              <w:top w:val="single" w:sz="8" w:color="auto"/>
            </w:tcBorders>
            <w:gridSpan w:val="2"/>
          </w:tcPr>
          <w:p>
            <w:pPr>
              <w:spacing w:after="0"/>
              <w:rPr>
                <w:sz w:val="20"/>
                <w:szCs w:val="20"/>
                <w:color w:val="auto"/>
              </w:rPr>
            </w:pPr>
            <w:r>
              <w:rPr>
                <w:rFonts w:ascii="Arial" w:cs="Arial" w:eastAsia="Arial" w:hAnsi="Arial"/>
                <w:sz w:val="18"/>
                <w:szCs w:val="18"/>
                <w:i w:val="1"/>
                <w:iCs w:val="1"/>
                <w:color w:val="auto"/>
              </w:rPr>
              <w:t>(in millions)</w:t>
            </w:r>
          </w:p>
        </w:tc>
        <w:tc>
          <w:tcPr>
            <w:tcW w:w="72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Par Value</w:t>
            </w:r>
          </w:p>
        </w:tc>
      </w:tr>
      <w:tr>
        <w:trPr>
          <w:trHeight w:val="216"/>
        </w:trPr>
        <w:tc>
          <w:tcPr>
            <w:tcW w:w="20" w:type="dxa"/>
            <w:vAlign w:val="bottom"/>
          </w:tcPr>
          <w:p>
            <w:pPr>
              <w:spacing w:after="0"/>
              <w:rPr>
                <w:sz w:val="18"/>
                <w:szCs w:val="18"/>
                <w:color w:val="auto"/>
              </w:rPr>
            </w:pPr>
          </w:p>
        </w:tc>
        <w:tc>
          <w:tcPr>
            <w:tcW w:w="84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Fixed rate notes due August 2013, interest equal to 5.40%</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Fixed rate notes due February 2014, interest equal to 5.75%</w:t>
            </w:r>
          </w:p>
        </w:tc>
        <w:tc>
          <w:tcPr>
            <w:tcW w:w="20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Fixed rate notes due March 2018, interest equal to 4.40% </w:t>
            </w:r>
            <w:r>
              <w:rPr>
                <w:rFonts w:ascii="Arial" w:cs="Arial" w:eastAsia="Arial" w:hAnsi="Arial"/>
                <w:sz w:val="11"/>
                <w:szCs w:val="11"/>
                <w:color w:val="auto"/>
              </w:rPr>
              <w:t>(1)</w:t>
            </w:r>
          </w:p>
        </w:tc>
        <w:tc>
          <w:tcPr>
            <w:tcW w:w="20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612.5</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800" w:right="60" w:hanging="454"/>
        <w:spacing w:after="0" w:line="256"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March 2010, we completed an unregistered offering of fixed rate notes due 2018. Net proceeds from the offering were used to fund a distribution to Dow Jones in conjunction with our investment in Index Services. In February 2010, we entered into a forward-starting interest rate swap agreement that modified the interest obligation associated with these notes so that the interest payable on the notes effectively became fixed at a rate of 4.46% beginning with the interest accrued after March 18, 2010.</w:t>
      </w:r>
    </w:p>
    <w:p>
      <w:pPr>
        <w:spacing w:after="0" w:line="14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Effective January 11, 2011, we entered into a new $1.0 billion multi-currency revolving senior credit facility with various financial institutions. The proceeds from the revolving senior credit facility can be used for general corporate purposes, which includes providing liquidity for our clearing house. As long as we are not in default under the new senior credit facility, we have the option to increase the facility to $1.8 billion with the consent of the agent and lenders providing the additional funds. The new senior credit facility matures in January 2014 and is voluntarily prepayable from time to time without premium or penalty. Under our new credit facility, we are required to remain in compliance with a consolidated net worth test, which is defined as our consolidated shareholders’ equity as of September 30, 2010, giving effect to share repurchases made and special dividends paid during the term of the agreement (and in no event greater than $2.0 billion in aggregate), multiplied by 0.65. We currently do not have any borrowings under this credit facility.</w:t>
      </w:r>
    </w:p>
    <w:p>
      <w:pPr>
        <w:spacing w:after="0" w:line="11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maintain a 364-day fully secured, committed line of credit with a consortium of domestic and international banks to be used in certain situations by our clearing house. We may use the proceeds to provide temporary liquidity in the unlikely event of a clearing firm default, in the event of a liquidity constraint or default by a depositary (custodian for our collateral), or in the event of a temporary disruption with the domestic payments system that would delay payment of settlement variation between us and our clearing firms. Clearing firm guaranty fund contributions received in the form of U.S. Treasury securities, Government agency securities or money market mutual fund as well as the performance bond assets of a defaulting firm can be used to collateralize the facility. The line of credit provides for borrowings of up to $1.0 billion. At June 30, 2011, guaranty fund collateral available was $3.3 billion. We have the option to request an increase in the line from $1.0 billion to $2.0 billion. In addition to the 364-day fully secured, committed line of credit, we also have the option to use the new $1.0 billion multi-currency revolving senior credit facility to provide liquidity for our clearing house in the unlikely event of default.</w:t>
      </w:r>
    </w:p>
    <w:p>
      <w:pPr>
        <w:spacing w:after="0" w:line="118"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In addition, our 364-day fully secured, committed revolving line of credit contains a requirement that CME remain in compliance with a consolidated tangible net worth test, defined as CME consolidated shareholder’s equity less intangible assets (as defined in the agreement), of not less than $125.0 million. In the event that CME elects to increase the facility, the minimum consolidated tangible net worth test would increase ratably up to $187.5 million.</w:t>
      </w:r>
    </w:p>
    <w:p>
      <w:pPr>
        <w:spacing w:after="0" w:line="107"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The indentures governing our fixed rate notes, our 364-day fully secured, committed revolving line of credit for $1.0 billion and our $1.0 billion multi-currency revolving senior credit facility do not contain specific covenants that restrict the ability to pay dividends. These documents, however, do contain other customary financial and operating covenants that place restrictions on the operations of the company, which could indirectly affect the ability to pay dividends.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At June 30, 2011, we have excess borrowing capacity for general corporate purposes of approximately $1.0 billion.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2011, we were in compliance with the various covenant requirements of all our debt facilities.</w:t>
      </w:r>
    </w:p>
    <w:p>
      <w:pPr>
        <w:spacing w:after="0" w:line="17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CME Group, as a holding company, has no operations of its own. Instead, it relies on dividends declared and paid to it by its subsidiaries in order to provide a portion of the funds which it uses to pay dividends to its shareholders.</w:t>
      </w:r>
    </w:p>
    <w:p>
      <w:pPr>
        <w:spacing w:after="0" w:line="132"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To satisfy our performance bond obligation with Singapore Exchange Limited, we may pledge CME-owned U.S. Treasury securities in lieu of, or in combination with, irrevocable letters of credit. At June 30, 2011, the letters of credit totaled $83.0 million. CME also guarantees a $15.0 million standby letter of credit for GFX. The beneficiary of this letter of credit is the clearing firm that is used by GFX to execute and maintain its futures position. The letter of credit would be utilized in the event that GFX defaults in meeting performance bond requirements to its clearing firm.</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500" w:type="dxa"/>
            <w:vAlign w:val="bottom"/>
            <w:gridSpan w:val="2"/>
          </w:tcPr>
          <w:p>
            <w:pPr>
              <w:spacing w:after="0"/>
              <w:rPr>
                <w:sz w:val="20"/>
                <w:szCs w:val="20"/>
                <w:color w:val="auto"/>
              </w:rPr>
            </w:pPr>
            <w:r>
              <w:rPr>
                <w:rFonts w:ascii="Arial" w:cs="Arial" w:eastAsia="Arial" w:hAnsi="Arial"/>
                <w:sz w:val="18"/>
                <w:szCs w:val="18"/>
                <w:color w:val="auto"/>
              </w:rPr>
              <w:t>The following table summarizes our credit ratings as of June 30, 2011:</w:t>
            </w:r>
          </w:p>
        </w:tc>
        <w:tc>
          <w:tcPr>
            <w:tcW w:w="26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680" w:type="dxa"/>
            <w:vAlign w:val="bottom"/>
          </w:tcPr>
          <w:p>
            <w:pPr>
              <w:ind w:left="1540"/>
              <w:spacing w:after="0"/>
              <w:rPr>
                <w:sz w:val="20"/>
                <w:szCs w:val="20"/>
                <w:color w:val="auto"/>
              </w:rPr>
            </w:pPr>
            <w:r>
              <w:rPr>
                <w:rFonts w:ascii="Arial" w:cs="Arial" w:eastAsia="Arial" w:hAnsi="Arial"/>
                <w:sz w:val="18"/>
                <w:szCs w:val="18"/>
                <w:b w:val="1"/>
                <w:bCs w:val="1"/>
                <w:color w:val="auto"/>
              </w:rPr>
              <w:t>Short-Term</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1"/>
              </w:rPr>
              <w:t>Long-Term</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Rating Agency</w:t>
            </w:r>
          </w:p>
        </w:tc>
        <w:tc>
          <w:tcPr>
            <w:tcW w:w="2680" w:type="dxa"/>
            <w:vAlign w:val="bottom"/>
          </w:tcPr>
          <w:p>
            <w:pPr>
              <w:ind w:left="1540"/>
              <w:spacing w:after="0"/>
              <w:rPr>
                <w:sz w:val="20"/>
                <w:szCs w:val="20"/>
                <w:color w:val="auto"/>
              </w:rPr>
            </w:pPr>
            <w:r>
              <w:rPr>
                <w:rFonts w:ascii="Arial" w:cs="Arial" w:eastAsia="Arial" w:hAnsi="Arial"/>
                <w:sz w:val="18"/>
                <w:szCs w:val="18"/>
                <w:b w:val="1"/>
                <w:bCs w:val="1"/>
                <w:color w:val="auto"/>
              </w:rPr>
              <w:t>Debt Rating</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Debt Rating</w:t>
            </w:r>
          </w:p>
        </w:tc>
        <w:tc>
          <w:tcPr>
            <w:tcW w:w="900" w:type="dxa"/>
            <w:vAlign w:val="bottom"/>
          </w:tcPr>
          <w:p>
            <w:pPr>
              <w:jc w:val="center"/>
              <w:ind w:left="92"/>
              <w:spacing w:after="0"/>
              <w:rPr>
                <w:sz w:val="20"/>
                <w:szCs w:val="20"/>
                <w:color w:val="auto"/>
              </w:rPr>
            </w:pPr>
            <w:r>
              <w:rPr>
                <w:rFonts w:ascii="Arial" w:cs="Arial" w:eastAsia="Arial" w:hAnsi="Arial"/>
                <w:sz w:val="18"/>
                <w:szCs w:val="18"/>
                <w:b w:val="1"/>
                <w:bCs w:val="1"/>
                <w:color w:val="auto"/>
                <w:w w:val="88"/>
              </w:rPr>
              <w:t>Outlook</w:t>
            </w:r>
          </w:p>
        </w:tc>
        <w:tc>
          <w:tcPr>
            <w:tcW w:w="0" w:type="dxa"/>
            <w:vAlign w:val="bottom"/>
          </w:tcPr>
          <w:p>
            <w:pPr>
              <w:spacing w:after="0"/>
              <w:rPr>
                <w:sz w:val="1"/>
                <w:szCs w:val="1"/>
                <w:color w:val="auto"/>
              </w:rPr>
            </w:pPr>
          </w:p>
        </w:tc>
      </w:tr>
      <w:tr>
        <w:trPr>
          <w:trHeight w:val="62"/>
        </w:trPr>
        <w:tc>
          <w:tcPr>
            <w:tcW w:w="20" w:type="dxa"/>
            <w:vAlign w:val="bottom"/>
            <w:vMerge w:val="restart"/>
          </w:tcPr>
          <w:p>
            <w:pPr>
              <w:spacing w:after="0"/>
              <w:rPr>
                <w:sz w:val="5"/>
                <w:szCs w:val="5"/>
                <w:color w:val="auto"/>
              </w:rPr>
            </w:pPr>
          </w:p>
        </w:tc>
        <w:tc>
          <w:tcPr>
            <w:tcW w:w="6480" w:type="dxa"/>
            <w:vAlign w:val="bottom"/>
            <w:tcBorders>
              <w:top w:val="single" w:sz="8" w:color="auto"/>
            </w:tcBorders>
          </w:tcPr>
          <w:p>
            <w:pPr>
              <w:spacing w:after="0"/>
              <w:rPr>
                <w:sz w:val="5"/>
                <w:szCs w:val="5"/>
                <w:color w:val="auto"/>
              </w:rPr>
            </w:pPr>
          </w:p>
        </w:tc>
        <w:tc>
          <w:tcPr>
            <w:tcW w:w="2680" w:type="dxa"/>
            <w:vAlign w:val="bottom"/>
            <w:tcBorders>
              <w:top w:val="single" w:sz="8" w:color="auto"/>
            </w:tcBorders>
          </w:tcPr>
          <w:p>
            <w:pPr>
              <w:spacing w:after="0"/>
              <w:rPr>
                <w:sz w:val="5"/>
                <w:szCs w:val="5"/>
                <w:color w:val="auto"/>
              </w:rPr>
            </w:pPr>
          </w:p>
        </w:tc>
        <w:tc>
          <w:tcPr>
            <w:tcW w:w="134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Standard &amp; Poor’s</w:t>
            </w:r>
          </w:p>
        </w:tc>
        <w:tc>
          <w:tcPr>
            <w:tcW w:w="2680" w:type="dxa"/>
            <w:vAlign w:val="bottom"/>
            <w:shd w:val="clear" w:color="auto" w:fill="CCEEFF"/>
          </w:tcPr>
          <w:p>
            <w:pPr>
              <w:jc w:val="center"/>
              <w:ind w:left="1212"/>
              <w:spacing w:after="0"/>
              <w:rPr>
                <w:sz w:val="20"/>
                <w:szCs w:val="20"/>
                <w:color w:val="auto"/>
              </w:rPr>
            </w:pPr>
            <w:r>
              <w:rPr>
                <w:rFonts w:ascii="Arial" w:cs="Arial" w:eastAsia="Arial" w:hAnsi="Arial"/>
                <w:sz w:val="18"/>
                <w:szCs w:val="18"/>
                <w:color w:val="auto"/>
                <w:w w:val="92"/>
              </w:rPr>
              <w:t>A1+</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AA</w:t>
            </w:r>
          </w:p>
        </w:tc>
        <w:tc>
          <w:tcPr>
            <w:tcW w:w="900" w:type="dxa"/>
            <w:vAlign w:val="bottom"/>
            <w:shd w:val="clear" w:color="auto" w:fill="CCEEFF"/>
          </w:tcPr>
          <w:p>
            <w:pPr>
              <w:jc w:val="center"/>
              <w:ind w:left="92"/>
              <w:spacing w:after="0"/>
              <w:rPr>
                <w:sz w:val="20"/>
                <w:szCs w:val="20"/>
                <w:color w:val="auto"/>
              </w:rPr>
            </w:pPr>
            <w:r>
              <w:rPr>
                <w:rFonts w:ascii="Arial" w:cs="Arial" w:eastAsia="Arial" w:hAnsi="Arial"/>
                <w:sz w:val="18"/>
                <w:szCs w:val="18"/>
                <w:color w:val="auto"/>
                <w:w w:val="90"/>
              </w:rPr>
              <w:t>Negative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Moody’s Investors Service</w:t>
            </w:r>
          </w:p>
        </w:tc>
        <w:tc>
          <w:tcPr>
            <w:tcW w:w="2680" w:type="dxa"/>
            <w:vAlign w:val="bottom"/>
          </w:tcPr>
          <w:p>
            <w:pPr>
              <w:jc w:val="center"/>
              <w:ind w:left="1212"/>
              <w:spacing w:after="0"/>
              <w:rPr>
                <w:sz w:val="20"/>
                <w:szCs w:val="20"/>
                <w:color w:val="auto"/>
              </w:rPr>
            </w:pPr>
            <w:r>
              <w:rPr>
                <w:rFonts w:ascii="Arial" w:cs="Arial" w:eastAsia="Arial" w:hAnsi="Arial"/>
                <w:sz w:val="18"/>
                <w:szCs w:val="18"/>
                <w:color w:val="auto"/>
                <w:w w:val="81"/>
              </w:rPr>
              <w:t>P1</w:t>
            </w:r>
          </w:p>
        </w:tc>
        <w:tc>
          <w:tcPr>
            <w:tcW w:w="134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900" w:type="dxa"/>
            <w:vAlign w:val="bottom"/>
          </w:tcPr>
          <w:p>
            <w:pPr>
              <w:jc w:val="center"/>
              <w:ind w:left="92"/>
              <w:spacing w:after="0"/>
              <w:rPr>
                <w:sz w:val="20"/>
                <w:szCs w:val="20"/>
                <w:color w:val="auto"/>
              </w:rPr>
            </w:pPr>
            <w:r>
              <w:rPr>
                <w:rFonts w:ascii="Arial" w:cs="Arial" w:eastAsia="Arial" w:hAnsi="Arial"/>
                <w:sz w:val="18"/>
                <w:szCs w:val="18"/>
                <w:color w:val="auto"/>
                <w:w w:val="86"/>
              </w:rPr>
              <w:t>Stable</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During June 2011, Standard &amp; Poor’s Ratings Services affirmed its ratings for CME Group as AA with a negative outlook. In August 2011, Moody’s Investors Service affirmed its ratings for CME Group as Aa3 with a stable outlook.</w:t>
      </w:r>
    </w:p>
    <w:p>
      <w:pPr>
        <w:spacing w:after="0" w:line="13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Given our ability to pay down debt levels and refinance existing debt facilities if necessary, we expect to maintain an investment grade rating. If our ratings are downgraded due to a change in control which results in a downgrade below investment grade, we are required to make an offer to repurchase our fixed rate notes at a price equal to 101% of the principal amount, plus accrued and unpaid interest.</w:t>
      </w:r>
    </w:p>
    <w:p>
      <w:pPr>
        <w:spacing w:after="0" w:line="14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i w:val="1"/>
          <w:iCs w:val="1"/>
          <w:u w:val="single" w:color="auto"/>
          <w:color w:val="auto"/>
        </w:rPr>
        <w:t>Liquidity and Cash Management</w:t>
      </w:r>
      <w:r>
        <w:rPr>
          <w:rFonts w:ascii="Arial" w:cs="Arial" w:eastAsia="Arial" w:hAnsi="Arial"/>
          <w:sz w:val="16"/>
          <w:szCs w:val="16"/>
          <w:color w:val="auto"/>
        </w:rPr>
        <w:t>. Cash and cash equivalents totaled $693.6 million at June 30, 2011 and $855.2 million at December 31, 2010. The balance</w:t>
      </w:r>
      <w:r>
        <w:rPr>
          <w:rFonts w:ascii="Arial" w:cs="Arial" w:eastAsia="Arial" w:hAnsi="Arial"/>
          <w:sz w:val="16"/>
          <w:szCs w:val="16"/>
          <w:i w:val="1"/>
          <w:iCs w:val="1"/>
          <w:color w:val="auto"/>
        </w:rPr>
        <w:t xml:space="preserve"> </w:t>
      </w:r>
      <w:r>
        <w:rPr>
          <w:rFonts w:ascii="Arial" w:cs="Arial" w:eastAsia="Arial" w:hAnsi="Arial"/>
          <w:sz w:val="16"/>
          <w:szCs w:val="16"/>
          <w:color w:val="auto"/>
        </w:rPr>
        <w:t>retained in cash and cash equivalents is a function of anticipated or possible short-term cash needs, prevailing interest rates, our investment policy and alternative investment choices. A majority of our cash and cash equivalents balance is invested in money market mutual funds that invest only in U.S. Treasury securities or U.S. government agency securities. Our exposure to risk is minimal given the nature of the investments.</w:t>
      </w:r>
    </w:p>
    <w:p>
      <w:pPr>
        <w:spacing w:after="0" w:line="113"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In June 2011, we announced that we are pursuing a sale and partial leaseback of the north and south buildings of the CBOT. A lease agreement will allow us to maintain the agricultural commodities trading floor and certain office space of the north and south buildings. Ownership of the east building, which houses the financial trading floor and office space, will be retained by us.</w:t>
      </w:r>
    </w:p>
    <w:p>
      <w:pPr>
        <w:spacing w:after="0" w:line="14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Net current deferred tax assets of $19.9 million and $18.3 million are included in other current assets at June 30, 2011 and December 31, 2010, respectively. Total net current deferred tax assets include unrealized losses, stock-based compensation and accrued expenses.</w:t>
      </w:r>
    </w:p>
    <w:p>
      <w:pPr>
        <w:spacing w:after="0" w:line="13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Net long-term deferred tax liabilities were $7.8 billion at June 30, 2011 and December 31, 2010, respectively. Net deferred tax liabilities are principally the result of purchase accounting for intangible assets in our various mergers including CBOT Holdings and NYMEX Holdings.</w:t>
      </w:r>
    </w:p>
    <w:p>
      <w:pPr>
        <w:spacing w:after="0" w:line="132"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Net long-term deferred tax assets include a $20.0 million deferred tax asset for foreign net operating losses related to Swapstream. Our assessment at June 30, 2011 was that we did not currently meet the more-likely-than-not threshold that would allow us to realize the value of acquired and accumulated foreign net operating losses in the future. As a result, the $20.0 million deferred tax assets arising from these net operating losses have been fully reserved. In addition, valuation allowances of $0.3 million have also been provided for other foreign net operating losses in various other jurisdictions for which we do not believe that we currently meet the more-likely-than-not-threshold for recognition.</w:t>
      </w:r>
    </w:p>
    <w:p>
      <w:pPr>
        <w:spacing w:after="0" w:line="116"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We also have a long-term deferred tax asset related to Brazilian taxes of $7.0 million for an unrealized capital loss incurred related to our investment in BM&amp;FBOVESPA. A full valuation allowance of $7.0 million has been provided because we do not believe that we currently meet the more-likely-than-not threshold that would allow us to realize the value of the unrealized capital loss in Brazil in the future.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May 2011, Financial Accounting Standards Board (FASB) issued an Accounting Standards Update (ASU) for Fair Value Measurement. The ASU provides fair value measurement and disclosure requirements, and is effective for interim and annual periods beginning after December 15, 2011, with no early adoption permitted. We will adopt the disclosure requirements once the guidance becomes effective.</w:t>
      </w:r>
    </w:p>
    <w:p>
      <w:pPr>
        <w:spacing w:after="0" w:line="140"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In June 2011, FASB issued an ASU for Presentation of Comprehensive Income. The ASU requires entities to report components of comprehensive income in either a continuous statement of comprehensive income or two separate but consecutive statements. The ASU is effective for interim and annual periods beginning after December 15, 2011, with early adoption permitted. We will adopt the disclosure requirements once the guidance becomes effective.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subject to various market risks, including those caused by changes in interest rates, credit, foreign currency exchange rates and equity prices. There have not been material changes in our exposure to market risk since December 31, 2010. Refer to Item 7A. of CME Group’s Annual Report on Form 10-K for the year ended December 31, 2010 for additional information.</w:t>
      </w:r>
    </w:p>
    <w:p>
      <w:pPr>
        <w:spacing w:after="0" w:line="17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77" w:lineRule="exact"/>
        <w:rPr>
          <w:sz w:val="20"/>
          <w:szCs w:val="20"/>
          <w:color w:val="auto"/>
        </w:rPr>
      </w:pPr>
    </w:p>
    <w:p>
      <w:pPr>
        <w:ind w:right="160" w:firstLine="8"/>
        <w:spacing w:after="0" w:line="298" w:lineRule="auto"/>
        <w:tabs>
          <w:tab w:leader="none" w:pos="239"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Disclosure Controls and Procedures. </w:t>
      </w:r>
      <w:r>
        <w:rPr>
          <w:rFonts w:ascii="Arial" w:cs="Arial" w:eastAsia="Arial" w:hAnsi="Arial"/>
          <w:sz w:val="16"/>
          <w:szCs w:val="16"/>
          <w:color w:val="auto"/>
        </w:rPr>
        <w:t>Our management, with the participation of our Chief Executive Officer and Chief Financial Officer, has evaluated the</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effectiveness of our disclosure controls and procedures (as such term is defined in Rules 13a-15(e) and 15d-15(e) under the Securities Exchange Act of 1934, as amended (the Exchange Act)) as of the end of the period covered by this report. Based on such evaluation, our Chief Executive Officer and Chief Financial Officer have concluded that, as of the end of such period, our disclosure controls and procedures are effective.</w:t>
      </w:r>
    </w:p>
    <w:p>
      <w:pPr>
        <w:spacing w:after="0" w:line="113" w:lineRule="exact"/>
        <w:rPr>
          <w:sz w:val="20"/>
          <w:szCs w:val="20"/>
          <w:color w:val="auto"/>
        </w:rPr>
      </w:pPr>
    </w:p>
    <w:p>
      <w:pPr>
        <w:ind w:right="40" w:firstLine="8"/>
        <w:spacing w:after="0" w:line="291" w:lineRule="auto"/>
        <w:tabs>
          <w:tab w:leader="none" w:pos="19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Changes in Internal Control Over Financial Reporting. </w:t>
      </w:r>
      <w:r>
        <w:rPr>
          <w:rFonts w:ascii="Arial" w:cs="Arial" w:eastAsia="Arial" w:hAnsi="Arial"/>
          <w:sz w:val="16"/>
          <w:szCs w:val="16"/>
          <w:color w:val="auto"/>
        </w:rPr>
        <w:t>As required by Rule 13a-15(d) under the Exchange Act, the company’s management, including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Chief Executive Officer and Chief Financial Officer, have evaluated the company’s internal control over financial reporting (as such term is defined in Rules 13a-15(f) and 15d-15(f) under the Exchange Act) to determine whether any changes occurred during the quarter covered by this quarterly report that have materially affected, or are reasonably likely to materially affect, the company’s internal control over financial reporting. There were no changes in the company’s internal control over financial reporting during the period covered by this quarterly report that have materially affected, or are reasonably likely to materially affect, internal control over financial reporting.</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17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See “Legal Matters” in Note 5. Contingencies to the Consolidated Financial Statements beginning on page 15 for updates to CME Group’s legal proceedings disclosure which is incorporated herein by reference.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Other than as described below, there have been no material updates to the Risk Factors as set forth in Item 1A. of our Annual Report on Form 10-K, filed with the SEC on February 28, 2011. In addition to the other information contained in this Quarterly Report on Form 10-Q, you should carefully consider the factors discussed in our Annual Report on Form 10-K, which are the risks that we believe are material at this time. These risks could materially and adversely affect our business, financial condition and results of operations. These risks and uncertainties are not the only ones facing us. Additional risks and uncertainties not presently known to us or that we currently believe to be immaterial may also adversely affect our business in the future.</w:t>
      </w:r>
    </w:p>
    <w:p>
      <w:pPr>
        <w:spacing w:after="0" w:line="19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The ongoing uncertainty and volatility in the markets stemming from the U.S. budget deficit, the European debt crisis, and the status of the U.S. economic recovery may negatively impact our business.</w:t>
      </w:r>
    </w:p>
    <w:p>
      <w:pPr>
        <w:spacing w:after="0" w:line="13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Investors have grown increasingly concerned due to the issues related to the U.S. budget deficit, solvency problems in several European countries and the slowdown of the U.S. economic recovery. The U.S. government recently approved an increase to the debt ceiling and approved spending cuts to reduce the deficit. However, the government will need to continue to monitor its deficit including the implementation of the approved spending cuts. The rating agencies have indicated that they will continue to review the government’s fiscal policy and its implementation of the proposed spending cuts. Weakening in fiscal discipline in the future may result in a downgrade from the rating agencies, which could create additional volatility in the treasury market. To the extent the global markets continue to experience uncertainty, our business may be negatively impacted:</w:t>
      </w:r>
    </w:p>
    <w:p>
      <w:pPr>
        <w:spacing w:after="0" w:line="39" w:lineRule="exact"/>
        <w:rPr>
          <w:sz w:val="20"/>
          <w:szCs w:val="20"/>
          <w:color w:val="auto"/>
        </w:rPr>
      </w:pPr>
    </w:p>
    <w:p>
      <w:pPr>
        <w:ind w:left="800" w:right="200" w:hanging="454"/>
        <w:spacing w:after="0" w:line="268"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generate revenues primarily from our clearing and transaction fees. Declines in trading volumes and market liquidity stemming from this market uncertainty would adversely affect our business and financial condition.</w:t>
      </w:r>
    </w:p>
    <w:p>
      <w:pPr>
        <w:spacing w:after="0" w:line="50" w:lineRule="exact"/>
        <w:rPr>
          <w:rFonts w:ascii="Arial" w:cs="Arial" w:eastAsia="Arial" w:hAnsi="Arial"/>
          <w:sz w:val="18"/>
          <w:szCs w:val="18"/>
          <w:color w:val="auto"/>
        </w:rPr>
      </w:pPr>
    </w:p>
    <w:p>
      <w:pPr>
        <w:ind w:left="800" w:hanging="454"/>
        <w:spacing w:after="0" w:line="290" w:lineRule="auto"/>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required capital and posted collateral of our clearing firms may lose value given the volatility of the market. To become a clearing member, a firm must meet certain minimum capital requirements and must deposit a certain amount of funds to meet performance bond and guaranty fund requirements with our clearing house as collateral for their trading activity. We accept a variety of collateral to satisfy these requirements, including U.S. Treasury securities, U.S. Government Agency securities and foreign sovereign debt. Given the level of market volatility, there is no guarantee that these investments will continue to maintain their value. To the extent a clearing firm is not in compliance with our collateral requirements, it would be required to acquire additional funds, decrease its proprietary trading activity and/or transfer customer accounts to another clearing firm. These actions could result in a decrease in trading activity in our products.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Issuer Purchases of Equity Securities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80" w:type="dxa"/>
            <w:vAlign w:val="bottom"/>
            <w:gridSpan w:val="2"/>
          </w:tcPr>
          <w:p>
            <w:pPr>
              <w:jc w:val="center"/>
              <w:ind w:left="152"/>
              <w:spacing w:after="0"/>
              <w:rPr>
                <w:sz w:val="20"/>
                <w:szCs w:val="20"/>
                <w:color w:val="auto"/>
              </w:rPr>
            </w:pPr>
            <w:r>
              <w:rPr>
                <w:rFonts w:ascii="Arial" w:cs="Arial" w:eastAsia="Arial" w:hAnsi="Arial"/>
                <w:sz w:val="18"/>
                <w:szCs w:val="18"/>
                <w:b w:val="1"/>
                <w:bCs w:val="1"/>
                <w:color w:val="auto"/>
                <w:w w:val="89"/>
              </w:rPr>
              <w:t>(d) Approximate</w:t>
            </w:r>
          </w:p>
        </w:tc>
      </w:tr>
      <w:tr>
        <w:trPr>
          <w:trHeight w:val="216"/>
        </w:trPr>
        <w:tc>
          <w:tcPr>
            <w:tcW w:w="2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80" w:type="dxa"/>
            <w:vAlign w:val="bottom"/>
            <w:gridSpan w:val="2"/>
          </w:tcPr>
          <w:p>
            <w:pPr>
              <w:jc w:val="center"/>
              <w:ind w:left="172"/>
              <w:spacing w:after="0"/>
              <w:rPr>
                <w:sz w:val="20"/>
                <w:szCs w:val="20"/>
                <w:color w:val="auto"/>
              </w:rPr>
            </w:pPr>
            <w:r>
              <w:rPr>
                <w:rFonts w:ascii="Arial" w:cs="Arial" w:eastAsia="Arial" w:hAnsi="Arial"/>
                <w:sz w:val="18"/>
                <w:szCs w:val="18"/>
                <w:b w:val="1"/>
                <w:bCs w:val="1"/>
                <w:color w:val="auto"/>
                <w:w w:val="90"/>
              </w:rPr>
              <w:t>Dollar Value</w:t>
            </w:r>
          </w:p>
        </w:tc>
      </w:tr>
      <w:tr>
        <w:trPr>
          <w:trHeight w:val="216"/>
        </w:trPr>
        <w:tc>
          <w:tcPr>
            <w:tcW w:w="2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80" w:type="dxa"/>
            <w:vAlign w:val="bottom"/>
            <w:gridSpan w:val="2"/>
          </w:tcPr>
          <w:p>
            <w:pPr>
              <w:jc w:val="center"/>
              <w:ind w:left="172"/>
              <w:spacing w:after="0"/>
              <w:rPr>
                <w:sz w:val="20"/>
                <w:szCs w:val="20"/>
                <w:color w:val="auto"/>
              </w:rPr>
            </w:pPr>
            <w:r>
              <w:rPr>
                <w:rFonts w:ascii="Arial" w:cs="Arial" w:eastAsia="Arial" w:hAnsi="Arial"/>
                <w:sz w:val="18"/>
                <w:szCs w:val="18"/>
                <w:b w:val="1"/>
                <w:bCs w:val="1"/>
                <w:color w:val="auto"/>
                <w:w w:val="85"/>
              </w:rPr>
              <w:t>of Shares</w:t>
            </w:r>
          </w:p>
        </w:tc>
      </w:tr>
      <w:tr>
        <w:trPr>
          <w:trHeight w:val="216"/>
        </w:trPr>
        <w:tc>
          <w:tcPr>
            <w:tcW w:w="2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jc w:val="center"/>
              <w:ind w:right="352"/>
              <w:spacing w:after="0"/>
              <w:rPr>
                <w:sz w:val="20"/>
                <w:szCs w:val="20"/>
                <w:color w:val="auto"/>
              </w:rPr>
            </w:pPr>
            <w:r>
              <w:rPr>
                <w:rFonts w:ascii="Arial" w:cs="Arial" w:eastAsia="Arial" w:hAnsi="Arial"/>
                <w:sz w:val="18"/>
                <w:szCs w:val="18"/>
                <w:b w:val="1"/>
                <w:bCs w:val="1"/>
                <w:color w:val="auto"/>
                <w:w w:val="90"/>
              </w:rPr>
              <w:t>that</w:t>
            </w:r>
          </w:p>
        </w:tc>
      </w:tr>
      <w:tr>
        <w:trPr>
          <w:trHeight w:val="216"/>
        </w:trPr>
        <w:tc>
          <w:tcPr>
            <w:tcW w:w="2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8"/>
              </w:rPr>
              <w:t>(c) Total Number of</w:t>
            </w:r>
          </w:p>
        </w:tc>
        <w:tc>
          <w:tcPr>
            <w:tcW w:w="1680" w:type="dxa"/>
            <w:vAlign w:val="bottom"/>
            <w:gridSpan w:val="2"/>
          </w:tcPr>
          <w:p>
            <w:pPr>
              <w:jc w:val="center"/>
              <w:ind w:left="172"/>
              <w:spacing w:after="0"/>
              <w:rPr>
                <w:sz w:val="20"/>
                <w:szCs w:val="20"/>
                <w:color w:val="auto"/>
              </w:rPr>
            </w:pPr>
            <w:r>
              <w:rPr>
                <w:rFonts w:ascii="Arial" w:cs="Arial" w:eastAsia="Arial" w:hAnsi="Arial"/>
                <w:sz w:val="18"/>
                <w:szCs w:val="18"/>
                <w:b w:val="1"/>
                <w:bCs w:val="1"/>
                <w:color w:val="auto"/>
                <w:w w:val="89"/>
              </w:rPr>
              <w:t>May Yet Be</w:t>
            </w:r>
          </w:p>
        </w:tc>
      </w:tr>
      <w:tr>
        <w:trPr>
          <w:trHeight w:val="216"/>
        </w:trPr>
        <w:tc>
          <w:tcPr>
            <w:tcW w:w="2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7"/>
              </w:rPr>
              <w:t>Class A</w:t>
            </w:r>
          </w:p>
        </w:tc>
        <w:tc>
          <w:tcPr>
            <w:tcW w:w="1680" w:type="dxa"/>
            <w:vAlign w:val="bottom"/>
            <w:gridSpan w:val="2"/>
          </w:tcPr>
          <w:p>
            <w:pPr>
              <w:jc w:val="center"/>
              <w:ind w:left="172"/>
              <w:spacing w:after="0"/>
              <w:rPr>
                <w:sz w:val="20"/>
                <w:szCs w:val="20"/>
                <w:color w:val="auto"/>
              </w:rPr>
            </w:pPr>
            <w:r>
              <w:rPr>
                <w:rFonts w:ascii="Arial" w:cs="Arial" w:eastAsia="Arial" w:hAnsi="Arial"/>
                <w:sz w:val="18"/>
                <w:szCs w:val="18"/>
                <w:b w:val="1"/>
                <w:bCs w:val="1"/>
                <w:color w:val="auto"/>
                <w:w w:val="84"/>
              </w:rPr>
              <w:t>Purchased</w:t>
            </w:r>
          </w:p>
        </w:tc>
      </w:tr>
      <w:tr>
        <w:trPr>
          <w:trHeight w:val="216"/>
        </w:trPr>
        <w:tc>
          <w:tcPr>
            <w:tcW w:w="2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4"/>
              </w:rPr>
              <w:t>Shares Purchased as</w:t>
            </w:r>
          </w:p>
        </w:tc>
        <w:tc>
          <w:tcPr>
            <w:tcW w:w="700" w:type="dxa"/>
            <w:vAlign w:val="bottom"/>
          </w:tcPr>
          <w:p>
            <w:pPr>
              <w:spacing w:after="0"/>
              <w:rPr>
                <w:sz w:val="18"/>
                <w:szCs w:val="18"/>
                <w:color w:val="auto"/>
              </w:rPr>
            </w:pPr>
          </w:p>
        </w:tc>
        <w:tc>
          <w:tcPr>
            <w:tcW w:w="980" w:type="dxa"/>
            <w:vAlign w:val="bottom"/>
          </w:tcPr>
          <w:p>
            <w:pPr>
              <w:jc w:val="center"/>
              <w:ind w:right="372"/>
              <w:spacing w:after="0"/>
              <w:rPr>
                <w:sz w:val="20"/>
                <w:szCs w:val="20"/>
                <w:color w:val="auto"/>
              </w:rPr>
            </w:pPr>
            <w:r>
              <w:rPr>
                <w:rFonts w:ascii="Arial" w:cs="Arial" w:eastAsia="Arial" w:hAnsi="Arial"/>
                <w:sz w:val="18"/>
                <w:szCs w:val="18"/>
                <w:b w:val="1"/>
                <w:bCs w:val="1"/>
                <w:color w:val="auto"/>
                <w:w w:val="92"/>
              </w:rPr>
              <w:t>Under</w:t>
            </w:r>
          </w:p>
        </w:tc>
      </w:tr>
      <w:tr>
        <w:trPr>
          <w:trHeight w:val="216"/>
        </w:trPr>
        <w:tc>
          <w:tcPr>
            <w:tcW w:w="2440" w:type="dxa"/>
            <w:vAlign w:val="bottom"/>
          </w:tcPr>
          <w:p>
            <w:pPr>
              <w:spacing w:after="0"/>
              <w:rPr>
                <w:sz w:val="18"/>
                <w:szCs w:val="18"/>
                <w:color w:val="auto"/>
              </w:rPr>
            </w:pPr>
          </w:p>
        </w:tc>
        <w:tc>
          <w:tcPr>
            <w:tcW w:w="3060" w:type="dxa"/>
            <w:vAlign w:val="bottom"/>
          </w:tcPr>
          <w:p>
            <w:pPr>
              <w:jc w:val="center"/>
              <w:ind w:left="652"/>
              <w:spacing w:after="0"/>
              <w:rPr>
                <w:sz w:val="20"/>
                <w:szCs w:val="20"/>
                <w:color w:val="auto"/>
              </w:rPr>
            </w:pPr>
            <w:r>
              <w:rPr>
                <w:rFonts w:ascii="Arial" w:cs="Arial" w:eastAsia="Arial" w:hAnsi="Arial"/>
                <w:sz w:val="18"/>
                <w:szCs w:val="18"/>
                <w:b w:val="1"/>
                <w:bCs w:val="1"/>
                <w:color w:val="auto"/>
                <w:w w:val="89"/>
              </w:rPr>
              <w:t>(a) Total Number of</w:t>
            </w: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0"/>
              </w:rPr>
              <w:t>Part of Publicly</w:t>
            </w:r>
          </w:p>
        </w:tc>
        <w:tc>
          <w:tcPr>
            <w:tcW w:w="1680" w:type="dxa"/>
            <w:vAlign w:val="bottom"/>
            <w:gridSpan w:val="2"/>
          </w:tcPr>
          <w:p>
            <w:pPr>
              <w:jc w:val="center"/>
              <w:ind w:left="172"/>
              <w:spacing w:after="0"/>
              <w:rPr>
                <w:sz w:val="20"/>
                <w:szCs w:val="20"/>
                <w:color w:val="auto"/>
              </w:rPr>
            </w:pPr>
            <w:r>
              <w:rPr>
                <w:rFonts w:ascii="Arial" w:cs="Arial" w:eastAsia="Arial" w:hAnsi="Arial"/>
                <w:sz w:val="18"/>
                <w:szCs w:val="18"/>
                <w:b w:val="1"/>
                <w:bCs w:val="1"/>
                <w:color w:val="auto"/>
                <w:w w:val="87"/>
              </w:rPr>
              <w:t>the Plans or</w:t>
            </w:r>
          </w:p>
        </w:tc>
      </w:tr>
      <w:tr>
        <w:trPr>
          <w:trHeight w:val="216"/>
        </w:trPr>
        <w:tc>
          <w:tcPr>
            <w:tcW w:w="2440" w:type="dxa"/>
            <w:vAlign w:val="bottom"/>
          </w:tcPr>
          <w:p>
            <w:pPr>
              <w:spacing w:after="0"/>
              <w:rPr>
                <w:sz w:val="18"/>
                <w:szCs w:val="18"/>
                <w:color w:val="auto"/>
              </w:rPr>
            </w:pPr>
          </w:p>
        </w:tc>
        <w:tc>
          <w:tcPr>
            <w:tcW w:w="3060" w:type="dxa"/>
            <w:vAlign w:val="bottom"/>
          </w:tcPr>
          <w:p>
            <w:pPr>
              <w:jc w:val="center"/>
              <w:ind w:left="652"/>
              <w:spacing w:after="0"/>
              <w:rPr>
                <w:sz w:val="20"/>
                <w:szCs w:val="20"/>
                <w:color w:val="auto"/>
              </w:rPr>
            </w:pPr>
            <w:r>
              <w:rPr>
                <w:rFonts w:ascii="Arial" w:cs="Arial" w:eastAsia="Arial" w:hAnsi="Arial"/>
                <w:sz w:val="18"/>
                <w:szCs w:val="18"/>
                <w:b w:val="1"/>
                <w:bCs w:val="1"/>
                <w:color w:val="auto"/>
                <w:w w:val="84"/>
              </w:rPr>
              <w:t>Class A</w:t>
            </w:r>
          </w:p>
        </w:tc>
        <w:tc>
          <w:tcPr>
            <w:tcW w:w="2000" w:type="dxa"/>
            <w:vAlign w:val="bottom"/>
            <w:gridSpan w:val="2"/>
          </w:tcPr>
          <w:p>
            <w:pPr>
              <w:jc w:val="right"/>
              <w:ind w:right="272"/>
              <w:spacing w:after="0"/>
              <w:rPr>
                <w:sz w:val="20"/>
                <w:szCs w:val="20"/>
                <w:color w:val="auto"/>
              </w:rPr>
            </w:pPr>
            <w:r>
              <w:rPr>
                <w:rFonts w:ascii="Arial" w:cs="Arial" w:eastAsia="Arial" w:hAnsi="Arial"/>
                <w:sz w:val="18"/>
                <w:szCs w:val="18"/>
                <w:b w:val="1"/>
                <w:bCs w:val="1"/>
                <w:color w:val="auto"/>
              </w:rPr>
              <w:t>(b) Average Price</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6"/>
              </w:rPr>
              <w:t>Announced</w:t>
            </w:r>
          </w:p>
        </w:tc>
        <w:tc>
          <w:tcPr>
            <w:tcW w:w="1680" w:type="dxa"/>
            <w:vAlign w:val="bottom"/>
            <w:gridSpan w:val="2"/>
          </w:tcPr>
          <w:p>
            <w:pPr>
              <w:jc w:val="center"/>
              <w:ind w:left="172"/>
              <w:spacing w:after="0"/>
              <w:rPr>
                <w:sz w:val="20"/>
                <w:szCs w:val="20"/>
                <w:color w:val="auto"/>
              </w:rPr>
            </w:pPr>
            <w:r>
              <w:rPr>
                <w:rFonts w:ascii="Arial" w:cs="Arial" w:eastAsia="Arial" w:hAnsi="Arial"/>
                <w:sz w:val="18"/>
                <w:szCs w:val="18"/>
                <w:b w:val="1"/>
                <w:bCs w:val="1"/>
                <w:color w:val="auto"/>
                <w:w w:val="88"/>
              </w:rPr>
              <w:t>Programs</w:t>
            </w:r>
          </w:p>
        </w:tc>
      </w:tr>
      <w:tr>
        <w:trPr>
          <w:trHeight w:val="243"/>
        </w:trPr>
        <w:tc>
          <w:tcPr>
            <w:tcW w:w="2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3060" w:type="dxa"/>
            <w:vAlign w:val="bottom"/>
            <w:tcBorders>
              <w:bottom w:val="single" w:sz="8" w:color="auto"/>
            </w:tcBorders>
          </w:tcPr>
          <w:p>
            <w:pPr>
              <w:jc w:val="center"/>
              <w:ind w:left="672"/>
              <w:spacing w:after="0"/>
              <w:rPr>
                <w:sz w:val="20"/>
                <w:szCs w:val="20"/>
                <w:color w:val="auto"/>
              </w:rPr>
            </w:pPr>
            <w:r>
              <w:rPr>
                <w:rFonts w:ascii="Arial" w:cs="Arial" w:eastAsia="Arial" w:hAnsi="Arial"/>
                <w:sz w:val="18"/>
                <w:szCs w:val="18"/>
                <w:b w:val="1"/>
                <w:bCs w:val="1"/>
                <w:color w:val="auto"/>
                <w:w w:val="85"/>
              </w:rPr>
              <w:t>Shares Purchased (1)</w:t>
            </w:r>
          </w:p>
        </w:tc>
        <w:tc>
          <w:tcPr>
            <w:tcW w:w="2000" w:type="dxa"/>
            <w:vAlign w:val="bottom"/>
            <w:tcBorders>
              <w:bottom w:val="single" w:sz="8" w:color="auto"/>
            </w:tcBorders>
            <w:gridSpan w:val="2"/>
          </w:tcPr>
          <w:p>
            <w:pPr>
              <w:jc w:val="right"/>
              <w:ind w:right="352"/>
              <w:spacing w:after="0"/>
              <w:rPr>
                <w:sz w:val="20"/>
                <w:szCs w:val="20"/>
                <w:color w:val="auto"/>
              </w:rPr>
            </w:pPr>
            <w:r>
              <w:rPr>
                <w:rFonts w:ascii="Arial" w:cs="Arial" w:eastAsia="Arial" w:hAnsi="Arial"/>
                <w:sz w:val="18"/>
                <w:szCs w:val="18"/>
                <w:b w:val="1"/>
                <w:bCs w:val="1"/>
                <w:color w:val="auto"/>
              </w:rPr>
              <w:t>Paid Per Share</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Plans or Programs</w:t>
            </w:r>
          </w:p>
        </w:tc>
        <w:tc>
          <w:tcPr>
            <w:tcW w:w="1680" w:type="dxa"/>
            <w:vAlign w:val="bottom"/>
            <w:tcBorders>
              <w:bottom w:val="single" w:sz="8" w:color="auto"/>
            </w:tcBorders>
            <w:gridSpan w:val="2"/>
          </w:tcPr>
          <w:p>
            <w:pPr>
              <w:jc w:val="center"/>
              <w:ind w:left="152"/>
              <w:spacing w:after="0"/>
              <w:rPr>
                <w:sz w:val="20"/>
                <w:szCs w:val="20"/>
                <w:color w:val="auto"/>
              </w:rPr>
            </w:pPr>
            <w:r>
              <w:rPr>
                <w:rFonts w:ascii="Arial" w:cs="Arial" w:eastAsia="Arial" w:hAnsi="Arial"/>
                <w:sz w:val="18"/>
                <w:szCs w:val="18"/>
                <w:b w:val="1"/>
                <w:bCs w:val="1"/>
                <w:color w:val="auto"/>
                <w:w w:val="90"/>
              </w:rPr>
              <w:t>(in millions) (2)</w:t>
            </w:r>
          </w:p>
        </w:tc>
      </w:tr>
      <w:tr>
        <w:trPr>
          <w:trHeight w:val="211"/>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April 1 to April 30</w:t>
            </w:r>
          </w:p>
        </w:tc>
        <w:tc>
          <w:tcPr>
            <w:tcW w:w="30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750.0</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May 1 to May 31</w:t>
            </w:r>
          </w:p>
        </w:tc>
        <w:tc>
          <w:tcPr>
            <w:tcW w:w="3060" w:type="dxa"/>
            <w:vAlign w:val="bottom"/>
          </w:tcPr>
          <w:p>
            <w:pPr>
              <w:jc w:val="right"/>
              <w:ind w:right="272"/>
              <w:spacing w:after="0"/>
              <w:rPr>
                <w:sz w:val="20"/>
                <w:szCs w:val="20"/>
                <w:color w:val="auto"/>
              </w:rPr>
            </w:pPr>
            <w:r>
              <w:rPr>
                <w:rFonts w:ascii="Arial" w:cs="Arial" w:eastAsia="Arial" w:hAnsi="Arial"/>
                <w:sz w:val="18"/>
                <w:szCs w:val="18"/>
                <w:color w:val="auto"/>
              </w:rPr>
              <w:t>11</w:t>
            </w:r>
          </w:p>
        </w:tc>
        <w:tc>
          <w:tcPr>
            <w:tcW w:w="9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72"/>
              <w:spacing w:after="0"/>
              <w:rPr>
                <w:sz w:val="20"/>
                <w:szCs w:val="20"/>
                <w:color w:val="auto"/>
              </w:rPr>
            </w:pPr>
            <w:r>
              <w:rPr>
                <w:rFonts w:ascii="Arial" w:cs="Arial" w:eastAsia="Arial" w:hAnsi="Arial"/>
                <w:sz w:val="18"/>
                <w:szCs w:val="18"/>
                <w:color w:val="auto"/>
              </w:rPr>
              <w:t>296.90</w:t>
            </w:r>
          </w:p>
        </w:tc>
        <w:tc>
          <w:tcPr>
            <w:tcW w:w="2240" w:type="dxa"/>
            <w:vAlign w:val="bottom"/>
          </w:tcPr>
          <w:p>
            <w:pPr>
              <w:jc w:val="right"/>
              <w:ind w:right="272"/>
              <w:spacing w:after="0"/>
              <w:rPr>
                <w:sz w:val="20"/>
                <w:szCs w:val="20"/>
                <w:color w:val="auto"/>
              </w:rPr>
            </w:pPr>
            <w:r>
              <w:rPr>
                <w:rFonts w:ascii="Arial" w:cs="Arial" w:eastAsia="Arial" w:hAnsi="Arial"/>
                <w:sz w:val="18"/>
                <w:szCs w:val="18"/>
                <w:color w:val="auto"/>
              </w:rPr>
              <w:t>220,000</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684.7</w:t>
            </w: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June 1 to June 30</w:t>
            </w:r>
          </w:p>
        </w:tc>
        <w:tc>
          <w:tcPr>
            <w:tcW w:w="30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937</w:t>
            </w:r>
          </w:p>
        </w:tc>
        <w:tc>
          <w:tcPr>
            <w:tcW w:w="9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274.11</w:t>
            </w:r>
          </w:p>
        </w:tc>
        <w:tc>
          <w:tcPr>
            <w:tcW w:w="22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684.7</w:t>
            </w:r>
          </w:p>
        </w:tc>
      </w:tr>
      <w:tr>
        <w:trPr>
          <w:trHeight w:val="222"/>
        </w:trPr>
        <w:tc>
          <w:tcPr>
            <w:tcW w:w="2440" w:type="dxa"/>
            <w:vAlign w:val="bottom"/>
          </w:tcPr>
          <w:p>
            <w:pPr>
              <w:spacing w:after="0"/>
              <w:rPr>
                <w:sz w:val="20"/>
                <w:szCs w:val="20"/>
                <w:color w:val="auto"/>
              </w:rPr>
            </w:pPr>
            <w:r>
              <w:rPr>
                <w:rFonts w:ascii="Arial" w:cs="Arial" w:eastAsia="Arial" w:hAnsi="Arial"/>
                <w:sz w:val="18"/>
                <w:szCs w:val="18"/>
                <w:color w:val="auto"/>
              </w:rPr>
              <w:t>Total</w:t>
            </w:r>
          </w:p>
        </w:tc>
        <w:tc>
          <w:tcPr>
            <w:tcW w:w="3060" w:type="dxa"/>
            <w:vAlign w:val="bottom"/>
          </w:tcPr>
          <w:p>
            <w:pPr>
              <w:jc w:val="right"/>
              <w:ind w:right="272"/>
              <w:spacing w:after="0"/>
              <w:rPr>
                <w:sz w:val="20"/>
                <w:szCs w:val="20"/>
                <w:color w:val="auto"/>
              </w:rPr>
            </w:pPr>
            <w:r>
              <w:rPr>
                <w:rFonts w:ascii="Arial" w:cs="Arial" w:eastAsia="Arial" w:hAnsi="Arial"/>
                <w:sz w:val="18"/>
                <w:szCs w:val="18"/>
                <w:color w:val="auto"/>
              </w:rPr>
              <w:t>948</w:t>
            </w:r>
          </w:p>
        </w:tc>
        <w:tc>
          <w:tcPr>
            <w:tcW w:w="9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72"/>
              <w:spacing w:after="0"/>
              <w:rPr>
                <w:sz w:val="20"/>
                <w:szCs w:val="20"/>
                <w:color w:val="auto"/>
              </w:rPr>
            </w:pPr>
            <w:r>
              <w:rPr>
                <w:rFonts w:ascii="Arial" w:cs="Arial" w:eastAsia="Arial" w:hAnsi="Arial"/>
                <w:sz w:val="18"/>
                <w:szCs w:val="18"/>
                <w:color w:val="auto"/>
              </w:rPr>
              <w:t>296.80</w:t>
            </w:r>
          </w:p>
        </w:tc>
        <w:tc>
          <w:tcPr>
            <w:tcW w:w="2240" w:type="dxa"/>
            <w:vAlign w:val="bottom"/>
          </w:tcPr>
          <w:p>
            <w:pPr>
              <w:jc w:val="right"/>
              <w:ind w:right="272"/>
              <w:spacing w:after="0"/>
              <w:rPr>
                <w:sz w:val="20"/>
                <w:szCs w:val="20"/>
                <w:color w:val="auto"/>
              </w:rPr>
            </w:pPr>
            <w:r>
              <w:rPr>
                <w:rFonts w:ascii="Arial" w:cs="Arial" w:eastAsia="Arial" w:hAnsi="Arial"/>
                <w:sz w:val="18"/>
                <w:szCs w:val="18"/>
                <w:color w:val="auto"/>
              </w:rPr>
              <w:t>220,000</w:t>
            </w:r>
          </w:p>
        </w:tc>
        <w:tc>
          <w:tcPr>
            <w:tcW w:w="700" w:type="dxa"/>
            <w:vAlign w:val="bottom"/>
          </w:tcPr>
          <w:p>
            <w:pPr>
              <w:spacing w:after="0"/>
              <w:rPr>
                <w:sz w:val="19"/>
                <w:szCs w:val="19"/>
                <w:color w:val="auto"/>
              </w:rPr>
            </w:pPr>
          </w:p>
        </w:tc>
        <w:tc>
          <w:tcPr>
            <w:tcW w:w="980" w:type="dxa"/>
            <w:vAlign w:val="bottom"/>
          </w:tcPr>
          <w:p>
            <w:pPr>
              <w:spacing w:after="0"/>
              <w:rPr>
                <w:sz w:val="19"/>
                <w:szCs w:val="19"/>
                <w:color w:val="auto"/>
              </w:rPr>
            </w:pPr>
          </w:p>
        </w:tc>
      </w:tr>
    </w:tbl>
    <w:p>
      <w:pPr>
        <w:spacing w:after="0" w:line="188" w:lineRule="exact"/>
        <w:rPr>
          <w:sz w:val="20"/>
          <w:szCs w:val="20"/>
          <w:color w:val="auto"/>
        </w:rPr>
      </w:pPr>
    </w:p>
    <w:p>
      <w:pPr>
        <w:ind w:left="800" w:right="160" w:hanging="454"/>
        <w:spacing w:after="0" w:line="268"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Shares purchased consist of an aggregate of 948 shares of Class A common stock surrendered in the second quarter of 2011 to satisfy employees’ tax obligations upon the vesting of restricted stock.</w:t>
      </w:r>
    </w:p>
    <w:p>
      <w:pPr>
        <w:spacing w:after="0" w:line="172" w:lineRule="exact"/>
        <w:rPr>
          <w:rFonts w:ascii="Arial" w:cs="Arial" w:eastAsia="Arial" w:hAnsi="Arial"/>
          <w:sz w:val="18"/>
          <w:szCs w:val="18"/>
          <w:color w:val="auto"/>
        </w:rPr>
      </w:pPr>
    </w:p>
    <w:p>
      <w:pPr>
        <w:ind w:left="800" w:right="240" w:hanging="454"/>
        <w:spacing w:after="0" w:line="268"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May 9, 2011, the board of directors authorized a new share buyback program of up to $750.0 million of Class A common stock over a 12-month period.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820" w:type="dxa"/>
            <w:vAlign w:val="bottom"/>
          </w:tcPr>
          <w:p>
            <w:pPr>
              <w:ind w:left="2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b w:val="1"/>
                <w:bCs w:val="1"/>
                <w:color w:val="auto"/>
              </w:rPr>
              <w:t>10.1</w:t>
            </w:r>
            <w:r>
              <w:rPr>
                <w:rFonts w:ascii="Arial" w:cs="Arial" w:eastAsia="Arial" w:hAnsi="Arial"/>
                <w:sz w:val="11"/>
                <w:szCs w:val="11"/>
                <w:b w:val="1"/>
                <w:bCs w:val="1"/>
                <w:color w:val="auto"/>
              </w:rPr>
              <w:t>1,2</w:t>
            </w:r>
          </w:p>
        </w:tc>
        <w:tc>
          <w:tcPr>
            <w:tcW w:w="6820" w:type="dxa"/>
            <w:vAlign w:val="bottom"/>
          </w:tcPr>
          <w:p>
            <w:pPr>
              <w:ind w:left="340"/>
              <w:spacing w:after="0"/>
              <w:rPr>
                <w:sz w:val="20"/>
                <w:szCs w:val="20"/>
                <w:color w:val="auto"/>
              </w:rPr>
            </w:pPr>
            <w:r>
              <w:rPr>
                <w:rFonts w:ascii="Arial" w:cs="Arial" w:eastAsia="Arial" w:hAnsi="Arial"/>
                <w:sz w:val="18"/>
                <w:szCs w:val="18"/>
                <w:color w:val="auto"/>
                <w:w w:val="89"/>
              </w:rPr>
              <w:t>Amendment to Employment Agreement, dated April 6, 2011, between CME Group Inc. and</w:t>
            </w:r>
          </w:p>
        </w:tc>
        <w:tc>
          <w:tcPr>
            <w:tcW w:w="0" w:type="dxa"/>
            <w:vAlign w:val="bottom"/>
          </w:tcPr>
          <w:p>
            <w:pPr>
              <w:spacing w:after="0"/>
              <w:rPr>
                <w:sz w:val="1"/>
                <w:szCs w:val="1"/>
                <w:color w:val="auto"/>
              </w:rPr>
            </w:pPr>
          </w:p>
        </w:tc>
      </w:tr>
      <w:tr>
        <w:trPr>
          <w:trHeight w:val="216"/>
        </w:trPr>
        <w:tc>
          <w:tcPr>
            <w:tcW w:w="920" w:type="dxa"/>
            <w:vAlign w:val="bottom"/>
            <w:vMerge w:val="restart"/>
          </w:tcPr>
          <w:p>
            <w:pPr>
              <w:spacing w:after="0"/>
              <w:rPr>
                <w:sz w:val="20"/>
                <w:szCs w:val="20"/>
                <w:color w:val="auto"/>
              </w:rPr>
            </w:pPr>
            <w:r>
              <w:rPr>
                <w:rFonts w:ascii="Arial" w:cs="Arial" w:eastAsia="Arial" w:hAnsi="Arial"/>
                <w:sz w:val="18"/>
                <w:szCs w:val="18"/>
                <w:b w:val="1"/>
                <w:bCs w:val="1"/>
                <w:color w:val="auto"/>
              </w:rPr>
              <w:t>10.2</w:t>
            </w:r>
            <w:r>
              <w:rPr>
                <w:rFonts w:ascii="Arial" w:cs="Arial" w:eastAsia="Arial" w:hAnsi="Arial"/>
                <w:sz w:val="11"/>
                <w:szCs w:val="11"/>
                <w:b w:val="1"/>
                <w:bCs w:val="1"/>
                <w:color w:val="auto"/>
              </w:rPr>
              <w:t>1,2</w:t>
            </w:r>
          </w:p>
        </w:tc>
        <w:tc>
          <w:tcPr>
            <w:tcW w:w="6820" w:type="dxa"/>
            <w:vAlign w:val="bottom"/>
          </w:tcPr>
          <w:p>
            <w:pPr>
              <w:ind w:left="340"/>
              <w:spacing w:after="0"/>
              <w:rPr>
                <w:sz w:val="20"/>
                <w:szCs w:val="20"/>
                <w:color w:val="auto"/>
              </w:rPr>
            </w:pPr>
            <w:r>
              <w:rPr>
                <w:rFonts w:ascii="Arial" w:cs="Arial" w:eastAsia="Arial" w:hAnsi="Arial"/>
                <w:sz w:val="18"/>
                <w:szCs w:val="18"/>
                <w:color w:val="auto"/>
              </w:rPr>
              <w:t>Terrence A. Duffy.</w:t>
            </w:r>
          </w:p>
        </w:tc>
        <w:tc>
          <w:tcPr>
            <w:tcW w:w="0" w:type="dxa"/>
            <w:vAlign w:val="bottom"/>
          </w:tcPr>
          <w:p>
            <w:pPr>
              <w:spacing w:after="0"/>
              <w:rPr>
                <w:sz w:val="1"/>
                <w:szCs w:val="1"/>
                <w:color w:val="auto"/>
              </w:rPr>
            </w:pPr>
          </w:p>
        </w:tc>
      </w:tr>
      <w:tr>
        <w:trPr>
          <w:trHeight w:val="210"/>
        </w:trPr>
        <w:tc>
          <w:tcPr>
            <w:tcW w:w="920" w:type="dxa"/>
            <w:vAlign w:val="bottom"/>
            <w:vMerge w:val="continue"/>
          </w:tcPr>
          <w:p>
            <w:pPr>
              <w:spacing w:after="0"/>
              <w:rPr>
                <w:sz w:val="18"/>
                <w:szCs w:val="18"/>
                <w:color w:val="auto"/>
              </w:rPr>
            </w:pPr>
          </w:p>
        </w:tc>
        <w:tc>
          <w:tcPr>
            <w:tcW w:w="6820" w:type="dxa"/>
            <w:vAlign w:val="bottom"/>
          </w:tcPr>
          <w:p>
            <w:pPr>
              <w:ind w:left="340"/>
              <w:spacing w:after="0"/>
              <w:rPr>
                <w:sz w:val="20"/>
                <w:szCs w:val="20"/>
                <w:color w:val="auto"/>
              </w:rPr>
            </w:pPr>
            <w:r>
              <w:rPr>
                <w:rFonts w:ascii="Arial" w:cs="Arial" w:eastAsia="Arial" w:hAnsi="Arial"/>
                <w:sz w:val="18"/>
                <w:szCs w:val="18"/>
                <w:color w:val="auto"/>
                <w:w w:val="91"/>
              </w:rPr>
              <w:t>Agreement, dated as of April 14, 2011, between CME Group Inc. and Craig S. Donohue.</w:t>
            </w:r>
          </w:p>
        </w:tc>
        <w:tc>
          <w:tcPr>
            <w:tcW w:w="0" w:type="dxa"/>
            <w:vAlign w:val="bottom"/>
          </w:tcPr>
          <w:p>
            <w:pPr>
              <w:spacing w:after="0"/>
              <w:rPr>
                <w:sz w:val="1"/>
                <w:szCs w:val="1"/>
                <w:color w:val="auto"/>
              </w:rPr>
            </w:pPr>
          </w:p>
        </w:tc>
      </w:tr>
      <w:tr>
        <w:trPr>
          <w:trHeight w:val="222"/>
        </w:trPr>
        <w:tc>
          <w:tcPr>
            <w:tcW w:w="920" w:type="dxa"/>
            <w:vAlign w:val="bottom"/>
          </w:tcPr>
          <w:p>
            <w:pPr>
              <w:spacing w:after="0"/>
              <w:rPr>
                <w:sz w:val="20"/>
                <w:szCs w:val="20"/>
                <w:color w:val="auto"/>
              </w:rPr>
            </w:pPr>
            <w:r>
              <w:rPr>
                <w:rFonts w:ascii="Arial" w:cs="Arial" w:eastAsia="Arial" w:hAnsi="Arial"/>
                <w:sz w:val="18"/>
                <w:szCs w:val="18"/>
                <w:b w:val="1"/>
                <w:bCs w:val="1"/>
                <w:color w:val="auto"/>
              </w:rPr>
              <w:t>10.3</w:t>
            </w:r>
            <w:r>
              <w:rPr>
                <w:rFonts w:ascii="Arial" w:cs="Arial" w:eastAsia="Arial" w:hAnsi="Arial"/>
                <w:sz w:val="11"/>
                <w:szCs w:val="11"/>
                <w:b w:val="1"/>
                <w:bCs w:val="1"/>
                <w:color w:val="auto"/>
              </w:rPr>
              <w:t>1,2</w:t>
            </w:r>
          </w:p>
        </w:tc>
        <w:tc>
          <w:tcPr>
            <w:tcW w:w="6820" w:type="dxa"/>
            <w:vAlign w:val="bottom"/>
          </w:tcPr>
          <w:p>
            <w:pPr>
              <w:ind w:left="340"/>
              <w:spacing w:after="0"/>
              <w:rPr>
                <w:sz w:val="20"/>
                <w:szCs w:val="20"/>
                <w:color w:val="auto"/>
              </w:rPr>
            </w:pPr>
            <w:r>
              <w:rPr>
                <w:rFonts w:ascii="Arial" w:cs="Arial" w:eastAsia="Arial" w:hAnsi="Arial"/>
                <w:sz w:val="18"/>
                <w:szCs w:val="18"/>
                <w:color w:val="auto"/>
                <w:w w:val="89"/>
              </w:rPr>
              <w:t>Amendment to Employment Agreement, dated April 6, 2011, between CME Group Inc. and</w:t>
            </w:r>
          </w:p>
        </w:tc>
        <w:tc>
          <w:tcPr>
            <w:tcW w:w="0" w:type="dxa"/>
            <w:vAlign w:val="bottom"/>
          </w:tcPr>
          <w:p>
            <w:pPr>
              <w:spacing w:after="0"/>
              <w:rPr>
                <w:sz w:val="1"/>
                <w:szCs w:val="1"/>
                <w:color w:val="auto"/>
              </w:rPr>
            </w:pPr>
          </w:p>
        </w:tc>
      </w:tr>
      <w:tr>
        <w:trPr>
          <w:trHeight w:val="216"/>
        </w:trPr>
        <w:tc>
          <w:tcPr>
            <w:tcW w:w="920" w:type="dxa"/>
            <w:vAlign w:val="bottom"/>
            <w:vMerge w:val="restart"/>
          </w:tcPr>
          <w:p>
            <w:pPr>
              <w:spacing w:after="0"/>
              <w:rPr>
                <w:sz w:val="20"/>
                <w:szCs w:val="20"/>
                <w:color w:val="auto"/>
              </w:rPr>
            </w:pPr>
            <w:r>
              <w:rPr>
                <w:rFonts w:ascii="Arial" w:cs="Arial" w:eastAsia="Arial" w:hAnsi="Arial"/>
                <w:sz w:val="18"/>
                <w:szCs w:val="18"/>
                <w:b w:val="1"/>
                <w:bCs w:val="1"/>
                <w:color w:val="auto"/>
              </w:rPr>
              <w:t>10.4</w:t>
            </w:r>
            <w:r>
              <w:rPr>
                <w:rFonts w:ascii="Arial" w:cs="Arial" w:eastAsia="Arial" w:hAnsi="Arial"/>
                <w:sz w:val="11"/>
                <w:szCs w:val="11"/>
                <w:b w:val="1"/>
                <w:bCs w:val="1"/>
                <w:color w:val="auto"/>
              </w:rPr>
              <w:t>1</w:t>
            </w:r>
          </w:p>
        </w:tc>
        <w:tc>
          <w:tcPr>
            <w:tcW w:w="6820" w:type="dxa"/>
            <w:vAlign w:val="bottom"/>
          </w:tcPr>
          <w:p>
            <w:pPr>
              <w:ind w:left="340"/>
              <w:spacing w:after="0"/>
              <w:rPr>
                <w:sz w:val="20"/>
                <w:szCs w:val="20"/>
                <w:color w:val="auto"/>
              </w:rPr>
            </w:pPr>
            <w:r>
              <w:rPr>
                <w:rFonts w:ascii="Arial" w:cs="Arial" w:eastAsia="Arial" w:hAnsi="Arial"/>
                <w:sz w:val="18"/>
                <w:szCs w:val="18"/>
                <w:color w:val="auto"/>
              </w:rPr>
              <w:t>Phupinder S. Gill.</w:t>
            </w: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6820" w:type="dxa"/>
            <w:vAlign w:val="bottom"/>
          </w:tcPr>
          <w:p>
            <w:pPr>
              <w:ind w:left="340"/>
              <w:spacing w:after="0"/>
              <w:rPr>
                <w:sz w:val="20"/>
                <w:szCs w:val="20"/>
                <w:color w:val="auto"/>
              </w:rPr>
            </w:pPr>
            <w:r>
              <w:rPr>
                <w:rFonts w:ascii="Arial" w:cs="Arial" w:eastAsia="Arial" w:hAnsi="Arial"/>
                <w:sz w:val="18"/>
                <w:szCs w:val="18"/>
                <w:color w:val="auto"/>
              </w:rPr>
              <w:t>Second Amendment to Chicago Mercantile Exchange Inc. Senior Management</w:t>
            </w:r>
          </w:p>
        </w:tc>
        <w:tc>
          <w:tcPr>
            <w:tcW w:w="0" w:type="dxa"/>
            <w:vAlign w:val="bottom"/>
          </w:tcPr>
          <w:p>
            <w:pPr>
              <w:spacing w:after="0"/>
              <w:rPr>
                <w:sz w:val="1"/>
                <w:szCs w:val="1"/>
                <w:color w:val="auto"/>
              </w:rPr>
            </w:pPr>
          </w:p>
        </w:tc>
      </w:tr>
      <w:tr>
        <w:trPr>
          <w:trHeight w:val="216"/>
        </w:trPr>
        <w:tc>
          <w:tcPr>
            <w:tcW w:w="920" w:type="dxa"/>
            <w:vAlign w:val="bottom"/>
            <w:vMerge w:val="restart"/>
          </w:tcPr>
          <w:p>
            <w:pPr>
              <w:spacing w:after="0"/>
              <w:rPr>
                <w:sz w:val="20"/>
                <w:szCs w:val="20"/>
                <w:color w:val="auto"/>
              </w:rPr>
            </w:pPr>
            <w:r>
              <w:rPr>
                <w:rFonts w:ascii="Arial" w:cs="Arial" w:eastAsia="Arial" w:hAnsi="Arial"/>
                <w:sz w:val="18"/>
                <w:szCs w:val="18"/>
                <w:b w:val="1"/>
                <w:bCs w:val="1"/>
                <w:color w:val="auto"/>
              </w:rPr>
              <w:t>10.5</w:t>
            </w:r>
            <w:r>
              <w:rPr>
                <w:rFonts w:ascii="Arial" w:cs="Arial" w:eastAsia="Arial" w:hAnsi="Arial"/>
                <w:sz w:val="11"/>
                <w:szCs w:val="11"/>
                <w:b w:val="1"/>
                <w:bCs w:val="1"/>
                <w:color w:val="auto"/>
              </w:rPr>
              <w:t>1</w:t>
            </w:r>
          </w:p>
        </w:tc>
        <w:tc>
          <w:tcPr>
            <w:tcW w:w="6820" w:type="dxa"/>
            <w:vAlign w:val="bottom"/>
          </w:tcPr>
          <w:p>
            <w:pPr>
              <w:ind w:left="340"/>
              <w:spacing w:after="0"/>
              <w:rPr>
                <w:sz w:val="20"/>
                <w:szCs w:val="20"/>
                <w:color w:val="auto"/>
              </w:rPr>
            </w:pPr>
            <w:r>
              <w:rPr>
                <w:rFonts w:ascii="Arial" w:cs="Arial" w:eastAsia="Arial" w:hAnsi="Arial"/>
                <w:sz w:val="18"/>
                <w:szCs w:val="18"/>
                <w:color w:val="auto"/>
              </w:rPr>
              <w:t>Supplemental Deferred Savings Plan, executed as of April 25, 2011.</w:t>
            </w: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6820" w:type="dxa"/>
            <w:vAlign w:val="bottom"/>
          </w:tcPr>
          <w:p>
            <w:pPr>
              <w:ind w:left="340"/>
              <w:spacing w:after="0"/>
              <w:rPr>
                <w:sz w:val="20"/>
                <w:szCs w:val="20"/>
                <w:color w:val="auto"/>
              </w:rPr>
            </w:pPr>
            <w:r>
              <w:rPr>
                <w:rFonts w:ascii="Arial" w:cs="Arial" w:eastAsia="Arial" w:hAnsi="Arial"/>
                <w:sz w:val="18"/>
                <w:szCs w:val="18"/>
                <w:color w:val="auto"/>
                <w:w w:val="89"/>
              </w:rPr>
              <w:t>Second Amendment to the Amended and Restated CME Group Inc. Annual Incentive Plan</w:t>
            </w:r>
          </w:p>
        </w:tc>
        <w:tc>
          <w:tcPr>
            <w:tcW w:w="0" w:type="dxa"/>
            <w:vAlign w:val="bottom"/>
          </w:tcPr>
          <w:p>
            <w:pPr>
              <w:spacing w:after="0"/>
              <w:rPr>
                <w:sz w:val="1"/>
                <w:szCs w:val="1"/>
                <w:color w:val="auto"/>
              </w:rPr>
            </w:pPr>
          </w:p>
        </w:tc>
      </w:tr>
      <w:tr>
        <w:trPr>
          <w:trHeight w:val="216"/>
        </w:trPr>
        <w:tc>
          <w:tcPr>
            <w:tcW w:w="920" w:type="dxa"/>
            <w:vAlign w:val="bottom"/>
            <w:vMerge w:val="restart"/>
          </w:tcPr>
          <w:p>
            <w:pPr>
              <w:spacing w:after="0"/>
              <w:rPr>
                <w:sz w:val="20"/>
                <w:szCs w:val="20"/>
                <w:color w:val="auto"/>
              </w:rPr>
            </w:pPr>
            <w:r>
              <w:rPr>
                <w:rFonts w:ascii="Arial" w:cs="Arial" w:eastAsia="Arial" w:hAnsi="Arial"/>
                <w:sz w:val="18"/>
                <w:szCs w:val="18"/>
                <w:b w:val="1"/>
                <w:bCs w:val="1"/>
                <w:color w:val="auto"/>
              </w:rPr>
              <w:t>10.6</w:t>
            </w:r>
            <w:r>
              <w:rPr>
                <w:rFonts w:ascii="Arial" w:cs="Arial" w:eastAsia="Arial" w:hAnsi="Arial"/>
                <w:sz w:val="11"/>
                <w:szCs w:val="11"/>
                <w:b w:val="1"/>
                <w:bCs w:val="1"/>
                <w:color w:val="auto"/>
              </w:rPr>
              <w:t>1</w:t>
            </w:r>
          </w:p>
        </w:tc>
        <w:tc>
          <w:tcPr>
            <w:tcW w:w="6820" w:type="dxa"/>
            <w:vAlign w:val="bottom"/>
          </w:tcPr>
          <w:p>
            <w:pPr>
              <w:ind w:left="340"/>
              <w:spacing w:after="0"/>
              <w:rPr>
                <w:sz w:val="20"/>
                <w:szCs w:val="20"/>
                <w:color w:val="auto"/>
              </w:rPr>
            </w:pPr>
            <w:r>
              <w:rPr>
                <w:rFonts w:ascii="Arial" w:cs="Arial" w:eastAsia="Arial" w:hAnsi="Arial"/>
                <w:sz w:val="18"/>
                <w:szCs w:val="18"/>
                <w:color w:val="auto"/>
              </w:rPr>
              <w:t>for Named Executive Officers, executed as of April 25, 2011.</w:t>
            </w: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6820" w:type="dxa"/>
            <w:vAlign w:val="bottom"/>
          </w:tcPr>
          <w:p>
            <w:pPr>
              <w:ind w:left="340"/>
              <w:spacing w:after="0"/>
              <w:rPr>
                <w:sz w:val="20"/>
                <w:szCs w:val="20"/>
                <w:color w:val="auto"/>
              </w:rPr>
            </w:pPr>
            <w:r>
              <w:rPr>
                <w:rFonts w:ascii="Arial" w:cs="Arial" w:eastAsia="Arial" w:hAnsi="Arial"/>
                <w:sz w:val="18"/>
                <w:szCs w:val="18"/>
                <w:color w:val="auto"/>
                <w:w w:val="89"/>
              </w:rPr>
              <w:t>Second Amendment to the Amended and Restated CME Group Inc. Annual Incentive Plan,</w:t>
            </w:r>
          </w:p>
        </w:tc>
        <w:tc>
          <w:tcPr>
            <w:tcW w:w="0" w:type="dxa"/>
            <w:vAlign w:val="bottom"/>
          </w:tcPr>
          <w:p>
            <w:pPr>
              <w:spacing w:after="0"/>
              <w:rPr>
                <w:sz w:val="1"/>
                <w:szCs w:val="1"/>
                <w:color w:val="auto"/>
              </w:rPr>
            </w:pPr>
          </w:p>
        </w:tc>
      </w:tr>
      <w:tr>
        <w:trPr>
          <w:trHeight w:val="216"/>
        </w:trPr>
        <w:tc>
          <w:tcPr>
            <w:tcW w:w="920" w:type="dxa"/>
            <w:vAlign w:val="bottom"/>
            <w:vMerge w:val="restart"/>
          </w:tcPr>
          <w:p>
            <w:pPr>
              <w:spacing w:after="0"/>
              <w:rPr>
                <w:sz w:val="20"/>
                <w:szCs w:val="20"/>
                <w:color w:val="auto"/>
              </w:rPr>
            </w:pPr>
            <w:r>
              <w:rPr>
                <w:rFonts w:ascii="Arial" w:cs="Arial" w:eastAsia="Arial" w:hAnsi="Arial"/>
                <w:sz w:val="18"/>
                <w:szCs w:val="18"/>
                <w:b w:val="1"/>
                <w:bCs w:val="1"/>
                <w:color w:val="auto"/>
              </w:rPr>
              <w:t>10.7</w:t>
            </w:r>
            <w:r>
              <w:rPr>
                <w:rFonts w:ascii="Arial" w:cs="Arial" w:eastAsia="Arial" w:hAnsi="Arial"/>
                <w:sz w:val="11"/>
                <w:szCs w:val="11"/>
                <w:b w:val="1"/>
                <w:bCs w:val="1"/>
                <w:color w:val="auto"/>
              </w:rPr>
              <w:t>1</w:t>
            </w:r>
          </w:p>
        </w:tc>
        <w:tc>
          <w:tcPr>
            <w:tcW w:w="6820" w:type="dxa"/>
            <w:vAlign w:val="bottom"/>
          </w:tcPr>
          <w:p>
            <w:pPr>
              <w:ind w:left="340"/>
              <w:spacing w:after="0"/>
              <w:rPr>
                <w:sz w:val="20"/>
                <w:szCs w:val="20"/>
                <w:color w:val="auto"/>
              </w:rPr>
            </w:pPr>
            <w:r>
              <w:rPr>
                <w:rFonts w:ascii="Arial" w:cs="Arial" w:eastAsia="Arial" w:hAnsi="Arial"/>
                <w:sz w:val="18"/>
                <w:szCs w:val="18"/>
                <w:color w:val="auto"/>
              </w:rPr>
              <w:t>executed as of April 25, 2011.</w:t>
            </w: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6820" w:type="dxa"/>
            <w:vAlign w:val="bottom"/>
          </w:tcPr>
          <w:p>
            <w:pPr>
              <w:ind w:left="340"/>
              <w:spacing w:after="0"/>
              <w:rPr>
                <w:sz w:val="20"/>
                <w:szCs w:val="20"/>
                <w:color w:val="auto"/>
              </w:rPr>
            </w:pPr>
            <w:r>
              <w:rPr>
                <w:rFonts w:ascii="Arial" w:cs="Arial" w:eastAsia="Arial" w:hAnsi="Arial"/>
                <w:sz w:val="18"/>
                <w:szCs w:val="18"/>
                <w:color w:val="auto"/>
                <w:w w:val="95"/>
              </w:rPr>
              <w:t>Form of equity grant letter for performance based shares based on specific Company</w:t>
            </w:r>
          </w:p>
        </w:tc>
        <w:tc>
          <w:tcPr>
            <w:tcW w:w="0" w:type="dxa"/>
            <w:vAlign w:val="bottom"/>
          </w:tcPr>
          <w:p>
            <w:pPr>
              <w:spacing w:after="0"/>
              <w:rPr>
                <w:sz w:val="1"/>
                <w:szCs w:val="1"/>
                <w:color w:val="auto"/>
              </w:rPr>
            </w:pPr>
          </w:p>
        </w:tc>
      </w:tr>
      <w:tr>
        <w:trPr>
          <w:trHeight w:val="216"/>
        </w:trPr>
        <w:tc>
          <w:tcPr>
            <w:tcW w:w="920" w:type="dxa"/>
            <w:vAlign w:val="bottom"/>
            <w:vMerge w:val="restart"/>
          </w:tcPr>
          <w:p>
            <w:pPr>
              <w:spacing w:after="0"/>
              <w:rPr>
                <w:sz w:val="20"/>
                <w:szCs w:val="20"/>
                <w:color w:val="auto"/>
              </w:rPr>
            </w:pPr>
            <w:r>
              <w:rPr>
                <w:rFonts w:ascii="Arial" w:cs="Arial" w:eastAsia="Arial" w:hAnsi="Arial"/>
                <w:sz w:val="18"/>
                <w:szCs w:val="18"/>
                <w:b w:val="1"/>
                <w:bCs w:val="1"/>
                <w:color w:val="auto"/>
              </w:rPr>
              <w:t>10.8</w:t>
            </w:r>
            <w:r>
              <w:rPr>
                <w:rFonts w:ascii="Arial" w:cs="Arial" w:eastAsia="Arial" w:hAnsi="Arial"/>
                <w:sz w:val="11"/>
                <w:szCs w:val="11"/>
                <w:b w:val="1"/>
                <w:bCs w:val="1"/>
                <w:color w:val="auto"/>
              </w:rPr>
              <w:t>1</w:t>
            </w:r>
          </w:p>
        </w:tc>
        <w:tc>
          <w:tcPr>
            <w:tcW w:w="6820" w:type="dxa"/>
            <w:vAlign w:val="bottom"/>
          </w:tcPr>
          <w:p>
            <w:pPr>
              <w:ind w:left="340"/>
              <w:spacing w:after="0"/>
              <w:rPr>
                <w:sz w:val="20"/>
                <w:szCs w:val="20"/>
                <w:color w:val="auto"/>
              </w:rPr>
            </w:pPr>
            <w:r>
              <w:rPr>
                <w:rFonts w:ascii="Arial" w:cs="Arial" w:eastAsia="Arial" w:hAnsi="Arial"/>
                <w:sz w:val="18"/>
                <w:szCs w:val="18"/>
                <w:color w:val="auto"/>
              </w:rPr>
              <w:t>initiatives.</w:t>
            </w:r>
          </w:p>
        </w:tc>
        <w:tc>
          <w:tcPr>
            <w:tcW w:w="0" w:type="dxa"/>
            <w:vAlign w:val="bottom"/>
          </w:tcPr>
          <w:p>
            <w:pPr>
              <w:spacing w:after="0"/>
              <w:rPr>
                <w:sz w:val="1"/>
                <w:szCs w:val="1"/>
                <w:color w:val="auto"/>
              </w:rPr>
            </w:pPr>
          </w:p>
        </w:tc>
      </w:tr>
      <w:tr>
        <w:trPr>
          <w:trHeight w:val="210"/>
        </w:trPr>
        <w:tc>
          <w:tcPr>
            <w:tcW w:w="920" w:type="dxa"/>
            <w:vAlign w:val="bottom"/>
            <w:vMerge w:val="continue"/>
          </w:tcPr>
          <w:p>
            <w:pPr>
              <w:spacing w:after="0"/>
              <w:rPr>
                <w:sz w:val="18"/>
                <w:szCs w:val="18"/>
                <w:color w:val="auto"/>
              </w:rPr>
            </w:pPr>
          </w:p>
        </w:tc>
        <w:tc>
          <w:tcPr>
            <w:tcW w:w="6820" w:type="dxa"/>
            <w:vAlign w:val="bottom"/>
          </w:tcPr>
          <w:p>
            <w:pPr>
              <w:ind w:left="340"/>
              <w:spacing w:after="0"/>
              <w:rPr>
                <w:sz w:val="20"/>
                <w:szCs w:val="20"/>
                <w:color w:val="auto"/>
              </w:rPr>
            </w:pPr>
            <w:r>
              <w:rPr>
                <w:rFonts w:ascii="Arial" w:cs="Arial" w:eastAsia="Arial" w:hAnsi="Arial"/>
                <w:sz w:val="18"/>
                <w:szCs w:val="18"/>
                <w:color w:val="auto"/>
              </w:rPr>
              <w:t>Form of equity grant letter for annual grant of performance shares.</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b w:val="1"/>
                <w:bCs w:val="1"/>
                <w:color w:val="auto"/>
              </w:rPr>
              <w:t>31.1</w:t>
            </w:r>
          </w:p>
        </w:tc>
        <w:tc>
          <w:tcPr>
            <w:tcW w:w="6820" w:type="dxa"/>
            <w:vAlign w:val="bottom"/>
          </w:tcPr>
          <w:p>
            <w:pPr>
              <w:ind w:left="340"/>
              <w:spacing w:after="0"/>
              <w:rPr>
                <w:sz w:val="20"/>
                <w:szCs w:val="20"/>
                <w:color w:val="auto"/>
              </w:rPr>
            </w:pPr>
            <w:r>
              <w:rPr>
                <w:rFonts w:ascii="Arial" w:cs="Arial" w:eastAsia="Arial" w:hAnsi="Arial"/>
                <w:sz w:val="18"/>
                <w:szCs w:val="18"/>
                <w:color w:val="auto"/>
              </w:rPr>
              <w:t>Section 302 Certification—Craig S. Donohue</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b w:val="1"/>
                <w:bCs w:val="1"/>
                <w:color w:val="auto"/>
              </w:rPr>
              <w:t>31.2</w:t>
            </w:r>
          </w:p>
        </w:tc>
        <w:tc>
          <w:tcPr>
            <w:tcW w:w="6820" w:type="dxa"/>
            <w:vAlign w:val="bottom"/>
          </w:tcPr>
          <w:p>
            <w:pPr>
              <w:ind w:left="340"/>
              <w:spacing w:after="0"/>
              <w:rPr>
                <w:sz w:val="20"/>
                <w:szCs w:val="20"/>
                <w:color w:val="auto"/>
              </w:rPr>
            </w:pPr>
            <w:r>
              <w:rPr>
                <w:rFonts w:ascii="Arial" w:cs="Arial" w:eastAsia="Arial" w:hAnsi="Arial"/>
                <w:sz w:val="18"/>
                <w:szCs w:val="18"/>
                <w:color w:val="auto"/>
              </w:rPr>
              <w:t>Section 302 Certification—James E. Parisi</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b w:val="1"/>
                <w:bCs w:val="1"/>
                <w:color w:val="auto"/>
              </w:rPr>
              <w:t>32.1</w:t>
            </w:r>
          </w:p>
        </w:tc>
        <w:tc>
          <w:tcPr>
            <w:tcW w:w="6820" w:type="dxa"/>
            <w:vAlign w:val="bottom"/>
          </w:tcPr>
          <w:p>
            <w:pPr>
              <w:ind w:left="340"/>
              <w:spacing w:after="0"/>
              <w:rPr>
                <w:sz w:val="20"/>
                <w:szCs w:val="20"/>
                <w:color w:val="auto"/>
              </w:rPr>
            </w:pPr>
            <w:r>
              <w:rPr>
                <w:rFonts w:ascii="Arial" w:cs="Arial" w:eastAsia="Arial" w:hAnsi="Arial"/>
                <w:sz w:val="18"/>
                <w:szCs w:val="18"/>
                <w:color w:val="auto"/>
              </w:rPr>
              <w:t>Section 906 Certification</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b w:val="1"/>
                <w:bCs w:val="1"/>
                <w:color w:val="auto"/>
              </w:rPr>
              <w:t>101.INS</w:t>
            </w:r>
          </w:p>
        </w:tc>
        <w:tc>
          <w:tcPr>
            <w:tcW w:w="6820" w:type="dxa"/>
            <w:vAlign w:val="bottom"/>
          </w:tcPr>
          <w:p>
            <w:pPr>
              <w:ind w:left="3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b w:val="1"/>
                <w:bCs w:val="1"/>
                <w:color w:val="auto"/>
              </w:rPr>
              <w:t>101.SCH</w:t>
            </w:r>
          </w:p>
        </w:tc>
        <w:tc>
          <w:tcPr>
            <w:tcW w:w="6820" w:type="dxa"/>
            <w:vAlign w:val="bottom"/>
          </w:tcPr>
          <w:p>
            <w:pPr>
              <w:ind w:left="34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b w:val="1"/>
                <w:bCs w:val="1"/>
                <w:color w:val="auto"/>
              </w:rPr>
              <w:t>101.CAL</w:t>
            </w:r>
          </w:p>
        </w:tc>
        <w:tc>
          <w:tcPr>
            <w:tcW w:w="6820" w:type="dxa"/>
            <w:vAlign w:val="bottom"/>
          </w:tcPr>
          <w:p>
            <w:pPr>
              <w:ind w:left="34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b w:val="1"/>
                <w:bCs w:val="1"/>
                <w:color w:val="auto"/>
              </w:rPr>
              <w:t>101.DEF</w:t>
            </w:r>
          </w:p>
        </w:tc>
        <w:tc>
          <w:tcPr>
            <w:tcW w:w="6820" w:type="dxa"/>
            <w:vAlign w:val="bottom"/>
          </w:tcPr>
          <w:p>
            <w:pPr>
              <w:ind w:left="340"/>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b w:val="1"/>
                <w:bCs w:val="1"/>
                <w:color w:val="auto"/>
              </w:rPr>
              <w:t>101.LAB</w:t>
            </w:r>
          </w:p>
        </w:tc>
        <w:tc>
          <w:tcPr>
            <w:tcW w:w="6820" w:type="dxa"/>
            <w:vAlign w:val="bottom"/>
          </w:tcPr>
          <w:p>
            <w:pPr>
              <w:ind w:left="34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28"/>
        </w:trPr>
        <w:tc>
          <w:tcPr>
            <w:tcW w:w="920" w:type="dxa"/>
            <w:vAlign w:val="bottom"/>
          </w:tcPr>
          <w:p>
            <w:pPr>
              <w:spacing w:after="0"/>
              <w:rPr>
                <w:sz w:val="20"/>
                <w:szCs w:val="20"/>
                <w:color w:val="auto"/>
              </w:rPr>
            </w:pPr>
            <w:r>
              <w:rPr>
                <w:rFonts w:ascii="Arial" w:cs="Arial" w:eastAsia="Arial" w:hAnsi="Arial"/>
                <w:sz w:val="18"/>
                <w:szCs w:val="18"/>
                <w:b w:val="1"/>
                <w:bCs w:val="1"/>
                <w:color w:val="auto"/>
              </w:rPr>
              <w:t>101.PRE</w:t>
            </w:r>
          </w:p>
        </w:tc>
        <w:tc>
          <w:tcPr>
            <w:tcW w:w="6820" w:type="dxa"/>
            <w:vAlign w:val="bottom"/>
          </w:tcPr>
          <w:p>
            <w:pPr>
              <w:ind w:left="34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3" w:lineRule="exact"/>
        <w:rPr>
          <w:sz w:val="20"/>
          <w:szCs w:val="20"/>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5" w:lineRule="exact"/>
        <w:rPr>
          <w:rFonts w:ascii="Arial" w:cs="Arial" w:eastAsia="Arial" w:hAnsi="Arial"/>
          <w:sz w:val="18"/>
          <w:szCs w:val="18"/>
          <w:color w:val="auto"/>
        </w:rPr>
      </w:pPr>
    </w:p>
    <w:p>
      <w:pPr>
        <w:ind w:left="800" w:hanging="346"/>
        <w:spacing w:after="0" w:line="323" w:lineRule="auto"/>
        <w:tabs>
          <w:tab w:leader="none" w:pos="8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connection with the addition of performance shares to the Company’s equity program, the existing employment agreements for Messrs. Duffy, Donohue and Gill were amended with Mr. Donohue’s agreement being amended and restated to reflect the changes to the program.</w:t>
      </w:r>
    </w:p>
    <w:p>
      <w:pPr>
        <w:spacing w:after="0" w:line="7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80"/>
          </w:cols>
          <w:pgMar w:left="240" w:top="459" w:right="6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SIGNATURES</w:t>
      </w:r>
    </w:p>
    <w:p>
      <w:pPr>
        <w:spacing w:after="0" w:line="12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48"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CME Group Inc.</w:t>
      </w:r>
    </w:p>
    <w:p>
      <w:pPr>
        <w:spacing w:after="0" w:line="21"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tabs>
          <w:tab w:leader="none" w:pos="5900" w:val="left"/>
          <w:tab w:leader="none" w:pos="8080" w:val="left"/>
        </w:tabs>
        <w:rPr>
          <w:sz w:val="20"/>
          <w:szCs w:val="20"/>
          <w:color w:val="auto"/>
        </w:rPr>
      </w:pPr>
      <w:r>
        <w:rPr>
          <w:rFonts w:ascii="Arial" w:cs="Arial" w:eastAsia="Arial" w:hAnsi="Arial"/>
          <w:sz w:val="18"/>
          <w:szCs w:val="18"/>
          <w:color w:val="auto"/>
        </w:rPr>
        <w:t>Dated: August 5,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b w:val="1"/>
          <w:bCs w:val="1"/>
          <w:color w:val="auto"/>
        </w:rPr>
        <w:t>/</w:t>
      </w:r>
      <w:r>
        <w:rPr>
          <w:rFonts w:ascii="Arial" w:cs="Arial" w:eastAsia="Arial" w:hAnsi="Arial"/>
          <w:sz w:val="23"/>
          <w:szCs w:val="23"/>
          <w:b w:val="1"/>
          <w:bCs w:val="1"/>
          <w:color w:val="auto"/>
          <w:vertAlign w:val="superscript"/>
        </w:rPr>
        <w:t>S</w:t>
      </w:r>
      <w:r>
        <w:rPr>
          <w:rFonts w:ascii="Arial" w:cs="Arial" w:eastAsia="Arial" w:hAnsi="Arial"/>
          <w:sz w:val="15"/>
          <w:szCs w:val="15"/>
          <w:b w:val="1"/>
          <w:bCs w:val="1"/>
          <w:color w:val="auto"/>
        </w:rPr>
        <w:t>/ J</w:t>
      </w:r>
      <w:r>
        <w:rPr>
          <w:rFonts w:ascii="Arial" w:cs="Arial" w:eastAsia="Arial" w:hAnsi="Arial"/>
          <w:sz w:val="23"/>
          <w:szCs w:val="23"/>
          <w:b w:val="1"/>
          <w:bCs w:val="1"/>
          <w:color w:val="auto"/>
          <w:vertAlign w:val="superscript"/>
        </w:rPr>
        <w:t>AMES</w:t>
      </w:r>
      <w:r>
        <w:rPr>
          <w:rFonts w:ascii="Arial" w:cs="Arial" w:eastAsia="Arial" w:hAnsi="Arial"/>
          <w:sz w:val="15"/>
          <w:szCs w:val="15"/>
          <w:b w:val="1"/>
          <w:bCs w:val="1"/>
          <w:color w:val="auto"/>
        </w:rPr>
        <w:t xml:space="preserve"> E. P</w:t>
      </w:r>
      <w:r>
        <w:rPr>
          <w:rFonts w:ascii="Arial" w:cs="Arial" w:eastAsia="Arial" w:hAnsi="Arial"/>
          <w:sz w:val="23"/>
          <w:szCs w:val="23"/>
          <w:b w:val="1"/>
          <w:bCs w:val="1"/>
          <w:color w:val="auto"/>
          <w:vertAlign w:val="superscript"/>
        </w:rPr>
        <w:t>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-20320</wp:posOffset>
            </wp:positionV>
            <wp:extent cx="32588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jc w:val="center"/>
        <w:ind w:left="6300"/>
        <w:spacing w:after="0"/>
        <w:rPr>
          <w:sz w:val="20"/>
          <w:szCs w:val="20"/>
          <w:color w:val="auto"/>
        </w:rPr>
      </w:pPr>
      <w:r>
        <w:rPr>
          <w:rFonts w:ascii="Arial" w:cs="Arial" w:eastAsia="Arial" w:hAnsi="Arial"/>
          <w:sz w:val="18"/>
          <w:szCs w:val="18"/>
          <w:b w:val="1"/>
          <w:bCs w:val="1"/>
          <w:color w:val="auto"/>
        </w:rPr>
        <w:t>Chief Financial Officer &amp; Managing</w:t>
      </w:r>
    </w:p>
    <w:p>
      <w:pPr>
        <w:spacing w:after="0" w:line="1" w:lineRule="exact"/>
        <w:rPr>
          <w:sz w:val="20"/>
          <w:szCs w:val="20"/>
          <w:color w:val="auto"/>
        </w:rPr>
      </w:pPr>
    </w:p>
    <w:p>
      <w:pPr>
        <w:jc w:val="center"/>
        <w:ind w:left="6300"/>
        <w:spacing w:after="0"/>
        <w:rPr>
          <w:sz w:val="20"/>
          <w:szCs w:val="20"/>
          <w:color w:val="auto"/>
        </w:rPr>
      </w:pPr>
      <w:r>
        <w:rPr>
          <w:rFonts w:ascii="Arial" w:cs="Arial" w:eastAsia="Arial" w:hAnsi="Arial"/>
          <w:sz w:val="18"/>
          <w:szCs w:val="18"/>
          <w:b w:val="1"/>
          <w:bCs w:val="1"/>
          <w:color w:val="auto"/>
        </w:rPr>
        <w:t>Director Finance</w:t>
      </w:r>
    </w:p>
    <w:p>
      <w:pPr>
        <w:spacing w:after="0" w:line="9" w:lineRule="exact"/>
        <w:rPr>
          <w:sz w:val="20"/>
          <w:szCs w:val="20"/>
          <w:color w:val="auto"/>
        </w:rPr>
      </w:pPr>
    </w:p>
    <w:p>
      <w:pPr>
        <w:jc w:val="center"/>
        <w:ind w:left="6300"/>
        <w:spacing w:after="0"/>
        <w:rPr>
          <w:sz w:val="20"/>
          <w:szCs w:val="20"/>
          <w:color w:val="auto"/>
        </w:rPr>
      </w:pPr>
      <w:r>
        <w:rPr>
          <w:rFonts w:ascii="Arial" w:cs="Arial" w:eastAsia="Arial" w:hAnsi="Arial"/>
          <w:sz w:val="18"/>
          <w:szCs w:val="18"/>
          <w:b w:val="1"/>
          <w:bCs w:val="1"/>
          <w:color w:val="auto"/>
        </w:rPr>
        <w:t>and Corporate Development</w:t>
      </w:r>
    </w:p>
    <w:p>
      <w:pPr>
        <w:spacing w:after="0" w:line="16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40"/>
          </w:cols>
          <w:pgMar w:left="240" w:top="459" w:right="71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EMPLOYMENT AGREEMENT</w:t>
      </w:r>
    </w:p>
    <w:p>
      <w:pPr>
        <w:spacing w:after="0" w:line="177"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WHEREAS, Terrence A. Duffy (“Executive”) and CME Group Inc. (“CME”) have entered into an employment agreement, originally dated as of November 9, 2010 (the “Agreement”);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the parties wish to amend the Agreement to clarify the applicability of certain provisions thereof in connection with CME’s equity program.</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the Agreement is hereby amended in the following manner, effective as of the date set forth below.</w:t>
      </w:r>
    </w:p>
    <w:p>
      <w:pPr>
        <w:spacing w:after="0" w:line="171"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following is hereby substituted for clause (ii) of subsection 6(a) of the Agreement:</w:t>
      </w:r>
    </w:p>
    <w:p>
      <w:pPr>
        <w:spacing w:after="0" w:line="90" w:lineRule="exact"/>
        <w:rPr>
          <w:rFonts w:ascii="Arial" w:cs="Arial" w:eastAsia="Arial" w:hAnsi="Arial"/>
          <w:sz w:val="18"/>
          <w:szCs w:val="18"/>
          <w:color w:val="auto"/>
        </w:rPr>
      </w:pPr>
    </w:p>
    <w:p>
      <w:pPr>
        <w:ind w:left="460" w:right="380" w:firstLine="4"/>
        <w:spacing w:after="0" w:line="332" w:lineRule="auto"/>
        <w:tabs>
          <w:tab w:leader="none" w:pos="719"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stock option, SAR, restricted stock, restricted stock unit, performance share, or performance stock unit awards, as those terms are defined in the Plan, granted after the Effective Date under the Plan or a successor plan (“New Agreement Awards”) will be subject to subsection 6(i).</w:t>
      </w:r>
    </w:p>
    <w:p>
      <w:pPr>
        <w:spacing w:after="0" w:line="85" w:lineRule="exact"/>
        <w:rPr>
          <w:rFonts w:ascii="Arial" w:cs="Arial" w:eastAsia="Arial" w:hAnsi="Arial"/>
          <w:sz w:val="16"/>
          <w:szCs w:val="16"/>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last sentence of subsection 6(a) of the Agreement is hereby deleted.</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following is hereby substituted for clause (ii) of subsection 6(b) of the Agreement:</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New Agreement Awards will be subject to subsection 6(i) and</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third sentence of subsection 6(b) of the Agreement is hereby deleted.</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following is hereby substituted for subsection 6(d)(3) of the Agreement:</w:t>
      </w:r>
    </w:p>
    <w:p>
      <w:pPr>
        <w:spacing w:after="0" w:line="90" w:lineRule="exact"/>
        <w:rPr>
          <w:sz w:val="20"/>
          <w:szCs w:val="20"/>
          <w:color w:val="auto"/>
        </w:rPr>
      </w:pPr>
    </w:p>
    <w:p>
      <w:pPr>
        <w:ind w:left="720" w:hanging="256"/>
        <w:spacing w:after="0"/>
        <w:tabs>
          <w:tab w:leader="none" w:pos="7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New Agreement Awards will be subject to subsection 6(i); and</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following is hereby substituted for third and fourth sentences of subsection 6(e) of the Agreement:</w:t>
      </w:r>
    </w:p>
    <w:p>
      <w:pPr>
        <w:spacing w:after="0" w:line="90"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In addition, if Executive is employed on the last day of the Agreement Term, then all New Agreement Awards will at that time be subject to the provisions of subsection 6(i) and his termination for any reason after the last day of the Agreement Term shall otherwise be treated as a termination under this subsection 6(e).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7. The following Section 6(i) is hereby added to the Agreement:</w:t>
      </w:r>
    </w:p>
    <w:p>
      <w:pPr>
        <w:spacing w:after="0" w:line="90" w:lineRule="exact"/>
        <w:rPr>
          <w:sz w:val="20"/>
          <w:szCs w:val="20"/>
          <w:color w:val="auto"/>
        </w:rPr>
      </w:pPr>
    </w:p>
    <w:p>
      <w:pPr>
        <w:ind w:left="460" w:right="60" w:hanging="452"/>
        <w:spacing w:after="0" w:line="259"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Executive’s employment terminates during the Agreement Term by reason of death, disability under subsection 6(b), or termination without Cause under subsection 6(d), or if Executive is employed by CME on the last day of the Agreement Term and his employment terminates after the last day of the Agreement Term for any reason, then:</w:t>
      </w:r>
    </w:p>
    <w:p>
      <w:pPr>
        <w:spacing w:after="0" w:line="59" w:lineRule="exact"/>
        <w:rPr>
          <w:rFonts w:ascii="Arial" w:cs="Arial" w:eastAsia="Arial" w:hAnsi="Arial"/>
          <w:sz w:val="18"/>
          <w:szCs w:val="18"/>
          <w:color w:val="auto"/>
        </w:rPr>
      </w:pPr>
    </w:p>
    <w:p>
      <w:pPr>
        <w:ind w:left="460" w:right="120" w:firstLine="4"/>
        <w:spacing w:after="0" w:line="256" w:lineRule="auto"/>
        <w:tabs>
          <w:tab w:leader="none" w:pos="709"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Service Requirement applicable to any outstanding Full Value New Agreement Award (including without limitation any Performance-Based New Agreement Award) that has not been satisfied before the Vesting Date will be deemed satisfied on that date, and distribution with respect to such awards will be made to Executive promptly after the Vesting Date (as those terms are defined below). However, any Full Value New Agreement Awards that, on the Vesting Date, remain subject to vesting based upon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4" w:name="page35"/>
    <w:bookmarkEnd w:id="34"/>
    <w:p>
      <w:pPr>
        <w:ind w:left="460"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attainment of Performance Requirements (“Performance-Based New Agreement Awards”) shall remain outstanding and eligible to vest following termination and shall fully vest and settle based upon the attainment of the applicable performance goals as and when determined by the CME Compensation Committee. “Service Requirement” means a vesting contingency based solely on the completion of a period of continued service (including vesting based on the circumstances of termination of service), and “Performance Requirement” means a vesting contingency other than a Service Requirement. “Full Value New Agreement Award” means a New Agreement Award in the form of a restricted stock, restricted stock unit, performance share, or performance stock unit award as those terms are defined in the Plan. “Vesting Date” is the date Executive’s employment terminates during the Agreement Term by reason of death, disability under subsection 6(b), or termination without Cause under subsection 6(d), or if Executive is employed by CME on the last day of the Agreement Term, the last day of the Agreement Term.</w:t>
      </w:r>
    </w:p>
    <w:p>
      <w:pPr>
        <w:spacing w:after="0" w:line="37" w:lineRule="exact"/>
        <w:rPr>
          <w:sz w:val="20"/>
          <w:szCs w:val="20"/>
          <w:color w:val="auto"/>
        </w:rPr>
      </w:pPr>
    </w:p>
    <w:p>
      <w:pPr>
        <w:jc w:val="both"/>
        <w:ind w:left="460" w:right="20" w:firstLine="4"/>
        <w:spacing w:after="0" w:line="254" w:lineRule="auto"/>
        <w:tabs>
          <w:tab w:leader="none" w:pos="709"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Service Requirement applicable to any outstanding New Agreement Stock Right Award that has not been satisfied before the Vesting Date will be deemed satisfied on that date, and all outstanding New Agreement Stock Right Awards not previously exercisable will become exercisable on that date. If Executive is employed on the last day of the Agreement Term or if his termination date would constitute a Vesting Date, the New Agreement Stock Right Award will remain exercisable for 48 months after his date of termination (but not beyond the maximum term of the New Agreement Stock Right Award). “New Agreement Stock Right Award” means a New Agreement Award that is in the form of a stock option or SAR award as those terms are defined in the Plan.</w:t>
      </w:r>
    </w:p>
    <w:p>
      <w:pPr>
        <w:spacing w:after="0" w:line="63"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to the contrary, Performance-Based New Agreement Awards shall be in the form of restricted stock and as of the date the target annual New Agreement Awards opportunity is established by the CME Compensation Committee shall not exceed 25% of Executive’s target annual New Agreement Awards opportunity.</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provisions of this subsection 6(i) will remain in effect after the end of the Term.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Agreement is hereby modified as set forth above, effective as of April 6, 2011.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CME Group Inc.</w:t>
      </w:r>
    </w:p>
    <w:p>
      <w:pPr>
        <w:spacing w:after="0" w:line="225" w:lineRule="exact"/>
        <w:rPr>
          <w:sz w:val="20"/>
          <w:szCs w:val="20"/>
          <w:color w:val="auto"/>
        </w:rPr>
      </w:pPr>
    </w:p>
    <w:p>
      <w:pPr>
        <w:jc w:val="center"/>
        <w:ind w:right="9720"/>
        <w:spacing w:after="0"/>
        <w:rPr>
          <w:sz w:val="20"/>
          <w:szCs w:val="20"/>
          <w:color w:val="auto"/>
        </w:rPr>
      </w:pPr>
      <w:r>
        <w:rPr>
          <w:rFonts w:ascii="Arial" w:cs="Arial" w:eastAsia="Arial" w:hAnsi="Arial"/>
          <w:sz w:val="18"/>
          <w:szCs w:val="18"/>
          <w:color w:val="auto"/>
        </w:rPr>
        <w:t>/s/ Alex J. Pollock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jc w:val="center"/>
        <w:ind w:right="9740"/>
        <w:spacing w:after="0"/>
        <w:tabs>
          <w:tab w:leader="none" w:pos="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Alex J. Pollock</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Chairman of the Compensation Committee of</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CME Group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Executive</w:t>
      </w:r>
    </w:p>
    <w:p>
      <w:pPr>
        <w:spacing w:after="0" w:line="225" w:lineRule="exact"/>
        <w:rPr>
          <w:sz w:val="20"/>
          <w:szCs w:val="20"/>
          <w:color w:val="auto"/>
        </w:rPr>
      </w:pPr>
    </w:p>
    <w:p>
      <w:pPr>
        <w:jc w:val="center"/>
        <w:ind w:right="9500"/>
        <w:spacing w:after="0"/>
        <w:rPr>
          <w:sz w:val="20"/>
          <w:szCs w:val="20"/>
          <w:color w:val="auto"/>
        </w:rPr>
      </w:pPr>
      <w:r>
        <w:rPr>
          <w:rFonts w:ascii="Arial" w:cs="Arial" w:eastAsia="Arial" w:hAnsi="Arial"/>
          <w:sz w:val="18"/>
          <w:szCs w:val="18"/>
          <w:color w:val="auto"/>
        </w:rPr>
        <w:t>/s/ Terrence A.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jc w:val="center"/>
        <w:ind w:right="9520"/>
        <w:spacing w:after="0"/>
        <w:tabs>
          <w:tab w:leader="none" w:pos="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Terrence A. Duffy</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10.2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1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THIS AGREEMENT, amended this 14 day of April, 2011, by and between CME GROUP INC. (“</w:t>
      </w:r>
      <w:r>
        <w:rPr>
          <w:rFonts w:ascii="Arial" w:cs="Arial" w:eastAsia="Arial" w:hAnsi="Arial"/>
          <w:sz w:val="18"/>
          <w:szCs w:val="18"/>
          <w:i w:val="1"/>
          <w:iCs w:val="1"/>
          <w:color w:val="auto"/>
        </w:rPr>
        <w:t>Employer</w:t>
      </w:r>
      <w:r>
        <w:rPr>
          <w:rFonts w:ascii="Arial" w:cs="Arial" w:eastAsia="Arial" w:hAnsi="Arial"/>
          <w:sz w:val="18"/>
          <w:szCs w:val="18"/>
          <w:color w:val="auto"/>
        </w:rPr>
        <w:t>”), a Delaware corporation, having its principal place of business at 30 South Wacker Drive, Chicago, Illinois, and CRAIG S. DONOHUE (“</w:t>
      </w:r>
      <w:r>
        <w:rPr>
          <w:rFonts w:ascii="Arial" w:cs="Arial" w:eastAsia="Arial" w:hAnsi="Arial"/>
          <w:sz w:val="18"/>
          <w:szCs w:val="18"/>
          <w:i w:val="1"/>
          <w:iCs w:val="1"/>
          <w:color w:val="auto"/>
        </w:rPr>
        <w:t>Executive</w:t>
      </w:r>
      <w:r>
        <w:rPr>
          <w:rFonts w:ascii="Arial" w:cs="Arial" w:eastAsia="Arial" w:hAnsi="Arial"/>
          <w:sz w:val="18"/>
          <w:szCs w:val="18"/>
          <w:color w:val="auto"/>
        </w:rPr>
        <w: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7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WHEREAS, on November 7, 2003, Chicago Mercantile Exchange Inc. (</w:t>
      </w:r>
      <w:r>
        <w:rPr>
          <w:rFonts w:ascii="Arial" w:cs="Arial" w:eastAsia="Arial" w:hAnsi="Arial"/>
          <w:sz w:val="18"/>
          <w:szCs w:val="18"/>
          <w:i w:val="1"/>
          <w:iCs w:val="1"/>
          <w:color w:val="auto"/>
        </w:rPr>
        <w:t>“CME”</w:t>
      </w:r>
      <w:r>
        <w:rPr>
          <w:rFonts w:ascii="Arial" w:cs="Arial" w:eastAsia="Arial" w:hAnsi="Arial"/>
          <w:sz w:val="18"/>
          <w:szCs w:val="18"/>
          <w:color w:val="auto"/>
        </w:rPr>
        <w:t>) and Executive entered into an agreement (the “</w:t>
      </w:r>
      <w:r>
        <w:rPr>
          <w:rFonts w:ascii="Arial" w:cs="Arial" w:eastAsia="Arial" w:hAnsi="Arial"/>
          <w:sz w:val="18"/>
          <w:szCs w:val="18"/>
          <w:i w:val="1"/>
          <w:iCs w:val="1"/>
          <w:color w:val="auto"/>
        </w:rPr>
        <w:t>Original Agreement</w:t>
      </w:r>
      <w:r>
        <w:rPr>
          <w:rFonts w:ascii="Arial" w:cs="Arial" w:eastAsia="Arial" w:hAnsi="Arial"/>
          <w:sz w:val="18"/>
          <w:szCs w:val="18"/>
          <w:color w:val="auto"/>
        </w:rPr>
        <w:t>”) whereby CME agreed to employ Employee as Chief Executive Officer and Employee accepted such employment;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Original Agreement was restated in its entirety by a new agreement dated April 3, 2006 (the “</w:t>
      </w:r>
      <w:r>
        <w:rPr>
          <w:rFonts w:ascii="Arial" w:cs="Arial" w:eastAsia="Arial" w:hAnsi="Arial"/>
          <w:sz w:val="18"/>
          <w:szCs w:val="18"/>
          <w:i w:val="1"/>
          <w:iCs w:val="1"/>
          <w:color w:val="auto"/>
        </w:rPr>
        <w:t>2006 Agreement</w:t>
      </w:r>
      <w:r>
        <w:rPr>
          <w:rFonts w:ascii="Arial" w:cs="Arial" w:eastAsia="Arial" w:hAnsi="Arial"/>
          <w:sz w:val="18"/>
          <w:szCs w:val="18"/>
          <w:color w:val="auto"/>
        </w:rPr>
        <w:t>”);</w:t>
      </w:r>
    </w:p>
    <w:p>
      <w:pPr>
        <w:spacing w:after="0" w:line="17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WHEREAS, the 2006 Agreement, as amended, expired on December 31, 2009 subject to renewal by mutual written agreement, and Employer has an interest in ensuring continuity of its leadership;</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WHEREAS, Employer wishes to continue the services of Executive in the capacity of Chief Executive Officer upon the terms and conditions hereinafter set forth and Executive wishes to accept such employment;</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WHEREAS, on August 5, 2009, the 2006 Agreement was replaced by this Agreement so that, on and after the date of this Agreement, this Agreement, as amended from time to time, shall contain the terms and conditions governing the employment of Executive in the capacity as Chief Executive Officer of Employer; and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it is considered desirable to amend the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mutual promises contained herein, the parties mutually agree as follows:</w:t>
      </w:r>
    </w:p>
    <w:p>
      <w:pPr>
        <w:spacing w:after="0" w:line="165" w:lineRule="exact"/>
        <w:rPr>
          <w:sz w:val="20"/>
          <w:szCs w:val="20"/>
          <w:color w:val="auto"/>
        </w:rPr>
      </w:pPr>
    </w:p>
    <w:p>
      <w:pPr>
        <w:jc w:val="both"/>
        <w:ind w:right="80" w:firstLine="464"/>
        <w:spacing w:after="0" w:line="258" w:lineRule="auto"/>
        <w:tabs>
          <w:tab w:leader="none" w:pos="632"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Employment. </w:t>
      </w:r>
      <w:r>
        <w:rPr>
          <w:rFonts w:ascii="Arial" w:cs="Arial" w:eastAsia="Arial" w:hAnsi="Arial"/>
          <w:sz w:val="18"/>
          <w:szCs w:val="18"/>
          <w:color w:val="auto"/>
        </w:rPr>
        <w:t>Subject to the terms of the Agreement, Employer hereby agrees to continue to employ Executive during the Agreement Term as Chief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and Executive hereby accepts such employment. Executive shall report to Employer’s Board of Directors, or any successor to the Board of Directors (hereinafter, “Board” shall mean the Board of Directors of Employer and/or any successor thereto). The duties and responsibilities of Executive and his relations with the Board, its Chairman and its officers shall be consistent with</w:t>
      </w:r>
    </w:p>
    <w:p>
      <w:pPr>
        <w:sectPr>
          <w:pgSz w:w="11900" w:h="16838" w:orient="portrait"/>
          <w:cols w:equalWidth="0" w:num="1">
            <w:col w:w="11420"/>
          </w:cols>
          <w:pgMar w:left="240" w:top="125" w:right="239" w:bottom="1440" w:gutter="0" w:footer="0" w:header="0"/>
        </w:sectPr>
      </w:pPr>
    </w:p>
    <w:bookmarkStart w:id="36" w:name="page37"/>
    <w:bookmarkEnd w:id="36"/>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practice during his term as Chief Executive Officer to date. Executive’s duties shall include, but not be limited to, the performance of all duties associated with executive oversight and management of Employer. Executive will provide such business and professional services in the performance of his duties that are consistent with Executive’s position as Chief Executive Officer. Executive shall devote his full time, ability and attention to the business of Employer during the Agreement Term. During the Agreement Term, Executive shall comply with the Company’s share ownership guidelines as in effect from time to time.</w:t>
      </w:r>
    </w:p>
    <w:p>
      <w:pPr>
        <w:spacing w:after="0" w:line="113"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Notwithstanding anything to the contrary contained herein, nothing in the Agreement shall preclude Executive from participating in the affairs of any governmental, educational or other charitable institution, engaging in professional speaking and writing activities, and/or serving as a member of the board of directors of a publicly held corporation (except for a competitor of Employer), provided Executive notifies the Governance Committee of the Board prior to his participating in any such activities and as long as the Governance Committee does not determine that any such activities unreasonably interferes with or diminishes Employee’s obligations under the Agreement. Executive shall be entitled to retain all fees, royalties and other compensation derived from such activities, in addition to the compensation and other benefits payable to him under the Agreement, but shall disclose such fees to Employer.</w:t>
      </w:r>
    </w:p>
    <w:p>
      <w:pPr>
        <w:spacing w:after="0" w:line="114" w:lineRule="exact"/>
        <w:rPr>
          <w:sz w:val="20"/>
          <w:szCs w:val="20"/>
          <w:color w:val="auto"/>
        </w:rPr>
      </w:pPr>
    </w:p>
    <w:p>
      <w:pPr>
        <w:ind w:right="360" w:firstLine="464"/>
        <w:spacing w:after="0" w:line="262" w:lineRule="auto"/>
        <w:tabs>
          <w:tab w:leader="none" w:pos="632"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Agreement Term</w:t>
      </w:r>
      <w:r>
        <w:rPr>
          <w:rFonts w:ascii="Arial" w:cs="Arial" w:eastAsia="Arial" w:hAnsi="Arial"/>
          <w:sz w:val="18"/>
          <w:szCs w:val="18"/>
          <w:color w:val="auto"/>
        </w:rPr>
        <w:t>. Executive shall be employed hereunder for a term commencing on August 5, 2009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“Effective Date”</w:t>
      </w:r>
      <w:r>
        <w:rPr>
          <w:rFonts w:ascii="Arial" w:cs="Arial" w:eastAsia="Arial" w:hAnsi="Arial"/>
          <w:sz w:val="18"/>
          <w:szCs w:val="18"/>
          <w:color w:val="auto"/>
        </w:rPr>
        <w:t>), and expiring on</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2012, unless sooner terminated as herein provided (“</w:t>
      </w:r>
      <w:r>
        <w:rPr>
          <w:rFonts w:ascii="Arial" w:cs="Arial" w:eastAsia="Arial" w:hAnsi="Arial"/>
          <w:sz w:val="18"/>
          <w:szCs w:val="18"/>
          <w:i w:val="1"/>
          <w:iCs w:val="1"/>
          <w:color w:val="auto"/>
        </w:rPr>
        <w:t>Agreement Term</w:t>
      </w:r>
      <w:r>
        <w:rPr>
          <w:rFonts w:ascii="Arial" w:cs="Arial" w:eastAsia="Arial" w:hAnsi="Arial"/>
          <w:sz w:val="18"/>
          <w:szCs w:val="18"/>
          <w:color w:val="auto"/>
        </w:rPr>
        <w:t>”). The Agreement Term may be extended or renewed only by the mutual written agreement of the parties.</w:t>
      </w:r>
    </w:p>
    <w:p>
      <w:pPr>
        <w:spacing w:after="0" w:line="132" w:lineRule="exact"/>
        <w:rPr>
          <w:rFonts w:ascii="Arial" w:cs="Arial" w:eastAsia="Arial" w:hAnsi="Arial"/>
          <w:sz w:val="18"/>
          <w:szCs w:val="18"/>
          <w:color w:val="auto"/>
        </w:rPr>
      </w:pPr>
    </w:p>
    <w:p>
      <w:pPr>
        <w:ind w:left="640" w:hanging="17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Compensation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80" w:right="220" w:hanging="567"/>
        <w:spacing w:after="0" w:line="275" w:lineRule="auto"/>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b w:val="1"/>
          <w:bCs w:val="1"/>
          <w:color w:val="auto"/>
        </w:rPr>
        <w:t>Annual Base Salary</w:t>
      </w:r>
      <w:r>
        <w:rPr>
          <w:rFonts w:ascii="Arial" w:cs="Arial" w:eastAsia="Arial" w:hAnsi="Arial"/>
          <w:sz w:val="18"/>
          <w:szCs w:val="18"/>
          <w:color w:val="auto"/>
        </w:rPr>
        <w:t>. Effective January 1, 2010, Employer shall pay to Executive a Base Salary at a rate of $1,000,000 per year. The Base</w:t>
      </w:r>
      <w:r>
        <w:rPr>
          <w:rFonts w:ascii="Arial" w:cs="Arial" w:eastAsia="Arial" w:hAnsi="Arial"/>
          <w:sz w:val="18"/>
          <w:szCs w:val="18"/>
          <w:b w:val="1"/>
          <w:bCs w:val="1"/>
          <w:color w:val="auto"/>
        </w:rPr>
        <w:t xml:space="preserve"> </w:t>
      </w:r>
      <w:r>
        <w:rPr>
          <w:rFonts w:ascii="Arial" w:cs="Arial" w:eastAsia="Arial" w:hAnsi="Arial"/>
          <w:sz w:val="18"/>
          <w:szCs w:val="18"/>
          <w:color w:val="auto"/>
        </w:rPr>
        <w:t>Salary shall be payable in accordance with Employer’s normal payment schedule.</w:t>
      </w:r>
    </w:p>
    <w:p>
      <w:pPr>
        <w:spacing w:after="0" w:line="38" w:lineRule="exact"/>
        <w:rPr>
          <w:rFonts w:ascii="Arial" w:cs="Arial" w:eastAsia="Arial" w:hAnsi="Arial"/>
          <w:sz w:val="18"/>
          <w:szCs w:val="18"/>
          <w:color w:val="auto"/>
        </w:rPr>
      </w:pPr>
    </w:p>
    <w:p>
      <w:pPr>
        <w:ind w:left="1480" w:right="40" w:hanging="567"/>
        <w:spacing w:after="0" w:line="296" w:lineRule="auto"/>
        <w:tabs>
          <w:tab w:leader="none" w:pos="1480" w:val="left"/>
        </w:tabs>
        <w:numPr>
          <w:ilvl w:val="1"/>
          <w:numId w:val="25"/>
        </w:numPr>
        <w:rPr>
          <w:rFonts w:ascii="Arial" w:cs="Arial" w:eastAsia="Arial" w:hAnsi="Arial"/>
          <w:sz w:val="16"/>
          <w:szCs w:val="16"/>
          <w:color w:val="auto"/>
        </w:rPr>
      </w:pPr>
      <w:r>
        <w:rPr>
          <w:rFonts w:ascii="Arial" w:cs="Arial" w:eastAsia="Arial" w:hAnsi="Arial"/>
          <w:sz w:val="16"/>
          <w:szCs w:val="16"/>
          <w:b w:val="1"/>
          <w:bCs w:val="1"/>
          <w:color w:val="auto"/>
        </w:rPr>
        <w:t>Bonuses</w:t>
      </w:r>
      <w:r>
        <w:rPr>
          <w:rFonts w:ascii="Arial" w:cs="Arial" w:eastAsia="Arial" w:hAnsi="Arial"/>
          <w:sz w:val="16"/>
          <w:szCs w:val="16"/>
          <w:color w:val="auto"/>
        </w:rPr>
        <w:t>. Executive shall be eligible to participate in Employer’s Annual Incentive Plan (the “</w:t>
      </w:r>
      <w:r>
        <w:rPr>
          <w:rFonts w:ascii="Arial" w:cs="Arial" w:eastAsia="Arial" w:hAnsi="Arial"/>
          <w:sz w:val="16"/>
          <w:szCs w:val="16"/>
          <w:i w:val="1"/>
          <w:iCs w:val="1"/>
          <w:color w:val="auto"/>
        </w:rPr>
        <w:t>AIP</w:t>
      </w:r>
      <w:r>
        <w:rPr>
          <w:rFonts w:ascii="Arial" w:cs="Arial" w:eastAsia="Arial" w:hAnsi="Arial"/>
          <w:sz w:val="16"/>
          <w:szCs w:val="16"/>
          <w:color w:val="auto"/>
        </w:rPr>
        <w:t>”) as in existence or as amended from time</w:t>
      </w:r>
      <w:r>
        <w:rPr>
          <w:rFonts w:ascii="Arial" w:cs="Arial" w:eastAsia="Arial" w:hAnsi="Arial"/>
          <w:sz w:val="16"/>
          <w:szCs w:val="16"/>
          <w:b w:val="1"/>
          <w:bCs w:val="1"/>
          <w:color w:val="auto"/>
        </w:rPr>
        <w:t xml:space="preserve"> </w:t>
      </w:r>
      <w:r>
        <w:rPr>
          <w:rFonts w:ascii="Arial" w:cs="Arial" w:eastAsia="Arial" w:hAnsi="Arial"/>
          <w:sz w:val="16"/>
          <w:szCs w:val="16"/>
          <w:color w:val="auto"/>
        </w:rPr>
        <w:t>to time in accordance with its terms. Effective for 2010 and subsequent years in the Agreement Term, Executive’s threshold annual incentive shall be 75% of his Base Salary (“</w:t>
      </w:r>
      <w:r>
        <w:rPr>
          <w:rFonts w:ascii="Arial" w:cs="Arial" w:eastAsia="Arial" w:hAnsi="Arial"/>
          <w:sz w:val="16"/>
          <w:szCs w:val="16"/>
          <w:i w:val="1"/>
          <w:iCs w:val="1"/>
          <w:color w:val="auto"/>
        </w:rPr>
        <w:t>AIP Threshold</w:t>
      </w:r>
      <w:r>
        <w:rPr>
          <w:rFonts w:ascii="Arial" w:cs="Arial" w:eastAsia="Arial" w:hAnsi="Arial"/>
          <w:sz w:val="16"/>
          <w:szCs w:val="16"/>
          <w:color w:val="auto"/>
        </w:rPr>
        <w:t>”); target annual incentive shall be 150% of his Base Salary (“</w:t>
      </w:r>
      <w:r>
        <w:rPr>
          <w:rFonts w:ascii="Arial" w:cs="Arial" w:eastAsia="Arial" w:hAnsi="Arial"/>
          <w:sz w:val="16"/>
          <w:szCs w:val="16"/>
          <w:i w:val="1"/>
          <w:iCs w:val="1"/>
          <w:color w:val="auto"/>
        </w:rPr>
        <w:t>AIP Target</w:t>
      </w:r>
      <w:r>
        <w:rPr>
          <w:rFonts w:ascii="Arial" w:cs="Arial" w:eastAsia="Arial" w:hAnsi="Arial"/>
          <w:sz w:val="16"/>
          <w:szCs w:val="16"/>
          <w:color w:val="auto"/>
        </w:rPr>
        <w:t>”) and maximum annual incentive shall be 300% of his Base Salary. Any amendment of the AIP shall not diminish Executive’s threshold, target or maximum annual incentives relative to the target incentives of the other members of the management team.</w:t>
      </w:r>
    </w:p>
    <w:p>
      <w:pPr>
        <w:sectPr>
          <w:pgSz w:w="11900" w:h="16838" w:orient="portrait"/>
          <w:cols w:equalWidth="0" w:num="1">
            <w:col w:w="11420"/>
          </w:cols>
          <w:pgMar w:left="240" w:top="280" w:right="239" w:bottom="1440" w:gutter="0" w:footer="0" w:header="0"/>
        </w:sectPr>
      </w:pPr>
    </w:p>
    <w:bookmarkStart w:id="37" w:name="page38"/>
    <w:bookmarkEnd w:id="37"/>
    <w:p>
      <w:pPr>
        <w:ind w:left="567" w:right="20" w:hanging="567"/>
        <w:spacing w:after="0" w:line="287" w:lineRule="auto"/>
        <w:tabs>
          <w:tab w:leader="none" w:pos="567"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Equity Compensation</w:t>
      </w:r>
      <w:r>
        <w:rPr>
          <w:rFonts w:ascii="Arial" w:cs="Arial" w:eastAsia="Arial" w:hAnsi="Arial"/>
          <w:sz w:val="16"/>
          <w:szCs w:val="16"/>
          <w:color w:val="auto"/>
        </w:rPr>
        <w:t>. Executive shall be eligible to participate in the Chicago Mercantile Exchange Holdings Inc., Amended and Restated</w:t>
      </w:r>
      <w:r>
        <w:rPr>
          <w:rFonts w:ascii="Arial" w:cs="Arial" w:eastAsia="Arial" w:hAnsi="Arial"/>
          <w:sz w:val="16"/>
          <w:szCs w:val="16"/>
          <w:b w:val="1"/>
          <w:bCs w:val="1"/>
          <w:color w:val="auto"/>
        </w:rPr>
        <w:t xml:space="preserve"> </w:t>
      </w:r>
      <w:r>
        <w:rPr>
          <w:rFonts w:ascii="Arial" w:cs="Arial" w:eastAsia="Arial" w:hAnsi="Arial"/>
          <w:sz w:val="16"/>
          <w:szCs w:val="16"/>
          <w:color w:val="auto"/>
        </w:rPr>
        <w:t>Omnibus Stock Plan (“</w:t>
      </w:r>
      <w:r>
        <w:rPr>
          <w:rFonts w:ascii="Arial" w:cs="Arial" w:eastAsia="Arial" w:hAnsi="Arial"/>
          <w:sz w:val="16"/>
          <w:szCs w:val="16"/>
          <w:i w:val="1"/>
          <w:iCs w:val="1"/>
          <w:color w:val="auto"/>
        </w:rPr>
        <w:t>EIP</w:t>
      </w:r>
      <w:r>
        <w:rPr>
          <w:rFonts w:ascii="Arial" w:cs="Arial" w:eastAsia="Arial" w:hAnsi="Arial"/>
          <w:sz w:val="16"/>
          <w:szCs w:val="16"/>
          <w:color w:val="auto"/>
        </w:rPr>
        <w:t>”), as in existence or as amended from time to time, in accordance with the terms of the Plan for executives in the Office of the Chief Executive Officer. Effective for 2009 and subsequent years in the Agreement Term, Executive shall have a target grant of not less than 350% of his Base Salary (“</w:t>
      </w:r>
      <w:r>
        <w:rPr>
          <w:rFonts w:ascii="Arial" w:cs="Arial" w:eastAsia="Arial" w:hAnsi="Arial"/>
          <w:sz w:val="16"/>
          <w:szCs w:val="16"/>
          <w:i w:val="1"/>
          <w:iCs w:val="1"/>
          <w:color w:val="auto"/>
        </w:rPr>
        <w:t>EIP Target</w:t>
      </w:r>
      <w:r>
        <w:rPr>
          <w:rFonts w:ascii="Arial" w:cs="Arial" w:eastAsia="Arial" w:hAnsi="Arial"/>
          <w:sz w:val="16"/>
          <w:szCs w:val="16"/>
          <w:color w:val="auto"/>
        </w:rPr>
        <w:t>”). Effective for 2011 and subsequent years in the Agreement Term, the grant shall be satisfied in the following manner: (i) 50% of the EIP Target amount in the form of time-based restricted stock (referred to herein as “restricted stock”); (ii) 25% of the EIP Target amount in the form of non-qualified stock options and (iii) 25% of the EIP Target amount in the form of performance shares tied to the performance of the Company (as described in Exhibit A attached hereto and referred to herein as “performance shares”). Any amendment of the EIP shall not diminish Executive’s target grant relative to the target grants of the other executives in the Office of the Chief Executive Officer. Employer shall cause the EIP and all future grants thereunder to be modified to permit Executive to transfer awards granted thereunder for estate and tax planning purposes to members of Executive’s immediate family or to one or more trusts for the benefit of such family members, partnerships in which such family members are the only partners, or corporations in which such family members are the only stockholders.</w:t>
      </w:r>
    </w:p>
    <w:p>
      <w:pPr>
        <w:spacing w:after="0" w:line="39" w:lineRule="exact"/>
        <w:rPr>
          <w:rFonts w:ascii="Arial" w:cs="Arial" w:eastAsia="Arial" w:hAnsi="Arial"/>
          <w:sz w:val="16"/>
          <w:szCs w:val="16"/>
          <w:color w:val="auto"/>
        </w:rPr>
      </w:pPr>
    </w:p>
    <w:p>
      <w:pPr>
        <w:ind w:left="567" w:hanging="567"/>
        <w:spacing w:after="0" w:line="291" w:lineRule="auto"/>
        <w:tabs>
          <w:tab w:leader="none" w:pos="567" w:val="left"/>
        </w:tabs>
        <w:numPr>
          <w:ilvl w:val="0"/>
          <w:numId w:val="26"/>
        </w:numPr>
        <w:rPr>
          <w:rFonts w:ascii="Arial" w:cs="Arial" w:eastAsia="Arial" w:hAnsi="Arial"/>
          <w:sz w:val="16"/>
          <w:szCs w:val="16"/>
          <w:color w:val="auto"/>
        </w:rPr>
      </w:pPr>
      <w:r>
        <w:rPr>
          <w:rFonts w:ascii="Arial" w:cs="Arial" w:eastAsia="Arial" w:hAnsi="Arial"/>
          <w:sz w:val="16"/>
          <w:szCs w:val="16"/>
          <w:color w:val="auto"/>
        </w:rPr>
        <w:t>If a “</w:t>
      </w:r>
      <w:r>
        <w:rPr>
          <w:rFonts w:ascii="Arial" w:cs="Arial" w:eastAsia="Arial" w:hAnsi="Arial"/>
          <w:sz w:val="16"/>
          <w:szCs w:val="16"/>
          <w:i w:val="1"/>
          <w:iCs w:val="1"/>
          <w:color w:val="auto"/>
        </w:rPr>
        <w:t>Change of Control</w:t>
      </w:r>
      <w:r>
        <w:rPr>
          <w:rFonts w:ascii="Arial" w:cs="Arial" w:eastAsia="Arial" w:hAnsi="Arial"/>
          <w:sz w:val="16"/>
          <w:szCs w:val="16"/>
          <w:color w:val="auto"/>
        </w:rPr>
        <w:t>” (as defined in Employer’s Amended and Restated Omnibus Stock Plan (“</w:t>
      </w:r>
      <w:r>
        <w:rPr>
          <w:rFonts w:ascii="Arial" w:cs="Arial" w:eastAsia="Arial" w:hAnsi="Arial"/>
          <w:sz w:val="16"/>
          <w:szCs w:val="16"/>
          <w:i w:val="1"/>
          <w:iCs w:val="1"/>
          <w:color w:val="auto"/>
        </w:rPr>
        <w:t>Plan</w:t>
      </w:r>
      <w:r>
        <w:rPr>
          <w:rFonts w:ascii="Arial" w:cs="Arial" w:eastAsia="Arial" w:hAnsi="Arial"/>
          <w:sz w:val="16"/>
          <w:szCs w:val="16"/>
          <w:color w:val="auto"/>
        </w:rPr>
        <w:t>”)) occurs prior to the Executive’s termination of employment with Employer, all options and restricted stock and performance shares previously granted to Executive that have not fully vested, whether pursuant to this Agreement, the Original Agreement, the 2006 Agreement or otherwise, will have vesting accelerated so as to fully vest one year from the date of a Change in Control, provided that during such one-year period the Employer does not terminate Executive for Cause (as defined in Section 6, below) in which case Executive shall not be entitled to any options, restricted stock or performance shares that had not fully vested prior to a Change in Control. Executive may exercise</w:t>
      </w:r>
    </w:p>
    <w:p>
      <w:pPr>
        <w:sectPr>
          <w:pgSz w:w="11900" w:h="16838" w:orient="portrait"/>
          <w:cols w:equalWidth="0" w:num="1">
            <w:col w:w="10487"/>
          </w:cols>
          <w:pgMar w:left="1153" w:top="274" w:right="259" w:bottom="1440" w:gutter="0" w:footer="0" w:header="0"/>
        </w:sectPr>
      </w:pPr>
    </w:p>
    <w:bookmarkStart w:id="38" w:name="page39"/>
    <w:bookmarkEnd w:id="38"/>
    <w:p>
      <w:pPr>
        <w:ind w:left="1016" w:right="1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other vested options in accordance with the terms of the Plan. Thereafter, the options will continue to be subject to the terms, definitions and provisions of the Plan and any related option agreement. If Executive is involuntarily terminated without Cause or resigns with Good Reason within sixty (60) days prior to a Change of Control or anytime within the one year after a Change of Control, all unvested options, restricted stock and performance shares held by the Executive on the date of Change of Control shall become 100% vested, and all options, restricted stock and performance shares that would have been granted to Executive had the Executive been employed on the date of Change of Control shall become granted and 100% vested, and Executive shall have until the date that is four years after the date the Executive’s employment terminates to exercise any New Agreement Options (as defined below) that are then vested but unexercised, or that become vested as a result of the foregoing.</w:t>
      </w:r>
    </w:p>
    <w:p>
      <w:pPr>
        <w:spacing w:after="0" w:line="112" w:lineRule="exact"/>
        <w:rPr>
          <w:sz w:val="20"/>
          <w:szCs w:val="20"/>
          <w:color w:val="auto"/>
        </w:rPr>
      </w:pPr>
    </w:p>
    <w:p>
      <w:pPr>
        <w:ind w:left="-464" w:right="140" w:firstLine="464"/>
        <w:spacing w:after="0" w:line="313" w:lineRule="auto"/>
        <w:tabs>
          <w:tab w:leader="none" w:pos="168" w:val="left"/>
        </w:tabs>
        <w:numPr>
          <w:ilvl w:val="0"/>
          <w:numId w:val="27"/>
        </w:numPr>
        <w:rPr>
          <w:rFonts w:ascii="Arial" w:cs="Arial" w:eastAsia="Arial" w:hAnsi="Arial"/>
          <w:sz w:val="15"/>
          <w:szCs w:val="15"/>
          <w:color w:val="auto"/>
        </w:rPr>
      </w:pPr>
      <w:r>
        <w:rPr>
          <w:rFonts w:ascii="Arial" w:cs="Arial" w:eastAsia="Arial" w:hAnsi="Arial"/>
          <w:sz w:val="15"/>
          <w:szCs w:val="15"/>
          <w:b w:val="1"/>
          <w:bCs w:val="1"/>
          <w:color w:val="auto"/>
        </w:rPr>
        <w:t>Benefits</w:t>
      </w:r>
      <w:r>
        <w:rPr>
          <w:rFonts w:ascii="Arial" w:cs="Arial" w:eastAsia="Arial" w:hAnsi="Arial"/>
          <w:sz w:val="15"/>
          <w:szCs w:val="15"/>
          <w:color w:val="auto"/>
        </w:rPr>
        <w:t>. Executive shall be entitled to insurance, vacation and other employee benefits and perquisites commensurate with his position in accordance</w:t>
      </w:r>
      <w:r>
        <w:rPr>
          <w:rFonts w:ascii="Arial" w:cs="Arial" w:eastAsia="Arial" w:hAnsi="Arial"/>
          <w:sz w:val="15"/>
          <w:szCs w:val="15"/>
          <w:b w:val="1"/>
          <w:bCs w:val="1"/>
          <w:color w:val="auto"/>
        </w:rPr>
        <w:t xml:space="preserve"> </w:t>
      </w:r>
      <w:r>
        <w:rPr>
          <w:rFonts w:ascii="Arial" w:cs="Arial" w:eastAsia="Arial" w:hAnsi="Arial"/>
          <w:sz w:val="15"/>
          <w:szCs w:val="15"/>
          <w:color w:val="auto"/>
        </w:rPr>
        <w:t>with Employer’s policies for executives in effect from time to time. Without limiting the generality of the immediately preceding sentence, for each year during the Term of this Agreement, Executive shall be entitled to fully vested “make-whole” benefit accruals (or cash equivalents if the plan is terminated) under the Chicago Mercantile Exchange Inc. Senior Management Supplemental Deferred Savings Plan (</w:t>
      </w:r>
      <w:r>
        <w:rPr>
          <w:rFonts w:ascii="Arial" w:cs="Arial" w:eastAsia="Arial" w:hAnsi="Arial"/>
          <w:sz w:val="15"/>
          <w:szCs w:val="15"/>
          <w:i w:val="1"/>
          <w:iCs w:val="1"/>
          <w:color w:val="auto"/>
        </w:rPr>
        <w:t>“Deferred Savings Plan”</w:t>
      </w:r>
      <w:r>
        <w:rPr>
          <w:rFonts w:ascii="Arial" w:cs="Arial" w:eastAsia="Arial" w:hAnsi="Arial"/>
          <w:sz w:val="15"/>
          <w:szCs w:val="15"/>
          <w:color w:val="auto"/>
        </w:rPr>
        <w:t>) equal to the amount of 401(k) Savings Plan Discretionary Contribution or Pension Plan contributions that would have been accrued under such plans but for the Internal Revenue Code limitation on compensation that can be considered under a qualified retirement plan, which accruals shall be made in accordance with the terms of the Deferred Savings Plan, as in effect from time to time. Executive acknowledges receipt of a summary of Employer’s employee benefits policies in effect as of the date of this Agreement</w:t>
      </w:r>
    </w:p>
    <w:p>
      <w:pPr>
        <w:spacing w:after="0" w:line="100" w:lineRule="exact"/>
        <w:rPr>
          <w:rFonts w:ascii="Arial" w:cs="Arial" w:eastAsia="Arial" w:hAnsi="Arial"/>
          <w:sz w:val="15"/>
          <w:szCs w:val="15"/>
          <w:color w:val="auto"/>
        </w:rPr>
      </w:pPr>
    </w:p>
    <w:p>
      <w:pPr>
        <w:ind w:left="-464" w:right="160" w:firstLine="464"/>
        <w:spacing w:after="0" w:line="275" w:lineRule="auto"/>
        <w:tabs>
          <w:tab w:leader="none" w:pos="168"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Expense Reimbursement</w:t>
      </w:r>
      <w:r>
        <w:rPr>
          <w:rFonts w:ascii="Arial" w:cs="Arial" w:eastAsia="Arial" w:hAnsi="Arial"/>
          <w:sz w:val="18"/>
          <w:szCs w:val="18"/>
          <w:color w:val="auto"/>
        </w:rPr>
        <w:t>. During the Agreement Term, Employer shall reimburse Executive, in accordance with Employer’s policies and procedures,</w:t>
      </w:r>
      <w:r>
        <w:rPr>
          <w:rFonts w:ascii="Arial" w:cs="Arial" w:eastAsia="Arial" w:hAnsi="Arial"/>
          <w:sz w:val="18"/>
          <w:szCs w:val="18"/>
          <w:b w:val="1"/>
          <w:bCs w:val="1"/>
          <w:color w:val="auto"/>
        </w:rPr>
        <w:t xml:space="preserve"> </w:t>
      </w:r>
      <w:r>
        <w:rPr>
          <w:rFonts w:ascii="Arial" w:cs="Arial" w:eastAsia="Arial" w:hAnsi="Arial"/>
          <w:sz w:val="18"/>
          <w:szCs w:val="18"/>
          <w:color w:val="auto"/>
        </w:rPr>
        <w:t>for all proper expenses incurred by him in the performance of his duties hereunder.</w:t>
      </w:r>
    </w:p>
    <w:p>
      <w:pPr>
        <w:spacing w:after="0" w:line="119" w:lineRule="exact"/>
        <w:rPr>
          <w:rFonts w:ascii="Arial" w:cs="Arial" w:eastAsia="Arial" w:hAnsi="Arial"/>
          <w:sz w:val="18"/>
          <w:szCs w:val="18"/>
          <w:color w:val="auto"/>
        </w:rPr>
      </w:pPr>
    </w:p>
    <w:p>
      <w:pPr>
        <w:ind w:left="176" w:hanging="176"/>
        <w:spacing w:after="0"/>
        <w:tabs>
          <w:tab w:leader="none" w:pos="176"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Termination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016" w:hanging="567"/>
        <w:spacing w:after="0" w:line="262" w:lineRule="auto"/>
        <w:tabs>
          <w:tab w:leader="none" w:pos="1016" w:val="left"/>
        </w:tabs>
        <w:numPr>
          <w:ilvl w:val="1"/>
          <w:numId w:val="27"/>
        </w:numPr>
        <w:rPr>
          <w:rFonts w:ascii="Arial" w:cs="Arial" w:eastAsia="Arial" w:hAnsi="Arial"/>
          <w:sz w:val="18"/>
          <w:szCs w:val="18"/>
          <w:color w:val="auto"/>
        </w:rPr>
      </w:pPr>
      <w:r>
        <w:rPr>
          <w:rFonts w:ascii="Arial" w:cs="Arial" w:eastAsia="Arial" w:hAnsi="Arial"/>
          <w:sz w:val="18"/>
          <w:szCs w:val="18"/>
          <w:b w:val="1"/>
          <w:bCs w:val="1"/>
          <w:color w:val="auto"/>
        </w:rPr>
        <w:t>Death</w:t>
      </w:r>
      <w:r>
        <w:rPr>
          <w:rFonts w:ascii="Arial" w:cs="Arial" w:eastAsia="Arial" w:hAnsi="Arial"/>
          <w:sz w:val="18"/>
          <w:szCs w:val="18"/>
          <w:color w:val="auto"/>
        </w:rPr>
        <w:t>. Upon the death of Executive, this Agreement shall automatically terminate and all rights of Executive and his heirs, executors and</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administrators to compensation and other benefits under this Agreement shall cease, except for compensation which shall have accrued to the date</w:t>
      </w:r>
    </w:p>
    <w:p>
      <w:pPr>
        <w:sectPr>
          <w:pgSz w:w="11900" w:h="16838" w:orient="portrait"/>
          <w:cols w:equalWidth="0" w:num="1">
            <w:col w:w="10956"/>
          </w:cols>
          <w:pgMar w:left="704" w:top="280" w:right="239" w:bottom="1440" w:gutter="0" w:footer="0" w:header="0"/>
        </w:sectPr>
      </w:pPr>
    </w:p>
    <w:bookmarkStart w:id="39" w:name="page40"/>
    <w:bookmarkEnd w:id="39"/>
    <w:p>
      <w:pPr>
        <w:ind w:left="567"/>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death, including accrued Base Salary and a prorated AIP Target payment for the year of termination, and other employee benefits to which Executive is entitled upon his death, in accordance with the terms of the plans and programs of Employer including without limitation any accrued, but unpaid, AIP payments attributable to completed fiscal years and full vesting of all outstanding options, restricted stock and performance shares previously granted to Executive after the Effective Date (“</w:t>
      </w:r>
      <w:r>
        <w:rPr>
          <w:rFonts w:ascii="Arial" w:cs="Arial" w:eastAsia="Arial" w:hAnsi="Arial"/>
          <w:sz w:val="16"/>
          <w:szCs w:val="16"/>
          <w:i w:val="1"/>
          <w:iCs w:val="1"/>
          <w:color w:val="auto"/>
        </w:rPr>
        <w:t>New Agreement Awards</w:t>
      </w:r>
      <w:r>
        <w:rPr>
          <w:rFonts w:ascii="Arial" w:cs="Arial" w:eastAsia="Arial" w:hAnsi="Arial"/>
          <w:sz w:val="16"/>
          <w:szCs w:val="16"/>
          <w:color w:val="auto"/>
        </w:rPr>
        <w:t xml:space="preserve">”) that have not fully vested with the delivery of any performance shares made in accordance with the terms and conditions set forth in Exhibit A. The exercise period for options included in the New Agreement Awards (the </w:t>
      </w:r>
      <w:r>
        <w:rPr>
          <w:rFonts w:ascii="Arial" w:cs="Arial" w:eastAsia="Arial" w:hAnsi="Arial"/>
          <w:sz w:val="16"/>
          <w:szCs w:val="16"/>
          <w:i w:val="1"/>
          <w:iCs w:val="1"/>
          <w:color w:val="auto"/>
        </w:rPr>
        <w:t>“New Agreement Options”</w:t>
      </w:r>
      <w:r>
        <w:rPr>
          <w:rFonts w:ascii="Arial" w:cs="Arial" w:eastAsia="Arial" w:hAnsi="Arial"/>
          <w:sz w:val="16"/>
          <w:szCs w:val="16"/>
          <w:color w:val="auto"/>
        </w:rPr>
        <w:t>) shall be four years from the date of termination.</w:t>
      </w:r>
    </w:p>
    <w:p>
      <w:pPr>
        <w:spacing w:after="0" w:line="33" w:lineRule="exact"/>
        <w:rPr>
          <w:sz w:val="20"/>
          <w:szCs w:val="20"/>
          <w:color w:val="auto"/>
        </w:rPr>
      </w:pPr>
    </w:p>
    <w:p>
      <w:pPr>
        <w:ind w:left="567" w:hanging="567"/>
        <w:spacing w:after="0" w:line="287" w:lineRule="auto"/>
        <w:tabs>
          <w:tab w:leader="none" w:pos="567" w:val="left"/>
        </w:tabs>
        <w:numPr>
          <w:ilvl w:val="0"/>
          <w:numId w:val="28"/>
        </w:numPr>
        <w:rPr>
          <w:rFonts w:ascii="Arial" w:cs="Arial" w:eastAsia="Arial" w:hAnsi="Arial"/>
          <w:sz w:val="16"/>
          <w:szCs w:val="16"/>
          <w:color w:val="auto"/>
        </w:rPr>
      </w:pPr>
      <w:r>
        <w:rPr>
          <w:rFonts w:ascii="Arial" w:cs="Arial" w:eastAsia="Arial" w:hAnsi="Arial"/>
          <w:sz w:val="16"/>
          <w:szCs w:val="16"/>
          <w:b w:val="1"/>
          <w:bCs w:val="1"/>
          <w:color w:val="auto"/>
        </w:rPr>
        <w:t>Disability</w:t>
      </w:r>
      <w:r>
        <w:rPr>
          <w:rFonts w:ascii="Arial" w:cs="Arial" w:eastAsia="Arial" w:hAnsi="Arial"/>
          <w:sz w:val="16"/>
          <w:szCs w:val="16"/>
          <w:color w:val="auto"/>
        </w:rPr>
        <w:t>. Employer may, at its option, terminate this Agreement upon written notice to Executive if Executive, because of physical or</w:t>
      </w:r>
      <w:r>
        <w:rPr>
          <w:rFonts w:ascii="Arial" w:cs="Arial" w:eastAsia="Arial" w:hAnsi="Arial"/>
          <w:sz w:val="16"/>
          <w:szCs w:val="16"/>
          <w:b w:val="1"/>
          <w:bCs w:val="1"/>
          <w:color w:val="auto"/>
        </w:rPr>
        <w:t xml:space="preserve"> </w:t>
      </w:r>
      <w:r>
        <w:rPr>
          <w:rFonts w:ascii="Arial" w:cs="Arial" w:eastAsia="Arial" w:hAnsi="Arial"/>
          <w:sz w:val="16"/>
          <w:szCs w:val="16"/>
          <w:color w:val="auto"/>
        </w:rPr>
        <w:t>mental incapacity or disability, fails to perform the essential functions of his position required of him hereunder for a continuous period of 90 days or any 120 days within any 12-month period. Upon such termination, all obligations of Employer hereunder shall cease, except for payment of accrued Base Salary and a prorated AIP Target payment for the year of termination, and other employee benefits to which Executive is entitled upon his termination hereunder, in accordance with the terms of the plans and programs of Employer, including without limitation any accrued, but unpaid, AIP payments attributable to completed fiscal years and full vesting of all New Agreement Awards that have not fully vested with the delivery of any performance shares made in accordance with the terms and conditions set forth in Exhibit A. The exercise period for the New Agreement Options shall be four years from the date of termination. In the event of any dispute regarding the existence of Executive’s disability hereunder, the matter shall be resolved as follows: (1) by the determination of a physician selected by the Board; (2) Executive shall have the right to challenge that determination by presenting a contrary determination from a physician of his choice; (3) in such event, a physician selected by agreement of the Executive and the Board will make the final determination. The Executive shall submit to appropriate medical examinations for purposes of making the medical determinations hereunder.</w:t>
      </w:r>
    </w:p>
    <w:p>
      <w:pPr>
        <w:sectPr>
          <w:pgSz w:w="11900" w:h="16838" w:orient="portrait"/>
          <w:cols w:equalWidth="0" w:num="1">
            <w:col w:w="10487"/>
          </w:cols>
          <w:pgMar w:left="1153" w:top="280" w:right="259" w:bottom="1440" w:gutter="0" w:footer="0" w:header="0"/>
        </w:sectPr>
      </w:pPr>
    </w:p>
    <w:bookmarkStart w:id="40" w:name="page41"/>
    <w:bookmarkEnd w:id="40"/>
    <w:p>
      <w:pPr>
        <w:ind w:left="567" w:hanging="567"/>
        <w:spacing w:after="0" w:line="275" w:lineRule="auto"/>
        <w:tabs>
          <w:tab w:leader="none" w:pos="567"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Cause</w:t>
      </w:r>
      <w:r>
        <w:rPr>
          <w:rFonts w:ascii="Arial" w:cs="Arial" w:eastAsia="Arial" w:hAnsi="Arial"/>
          <w:sz w:val="18"/>
          <w:szCs w:val="18"/>
          <w:color w:val="auto"/>
        </w:rPr>
        <w:t>. Employer may, at its option, terminate Executive’s employment under this Agreement for Cause. As used in this Agreement, the term</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Cause</w:t>
      </w:r>
      <w:r>
        <w:rPr>
          <w:rFonts w:ascii="Arial" w:cs="Arial" w:eastAsia="Arial" w:hAnsi="Arial"/>
          <w:sz w:val="18"/>
          <w:szCs w:val="18"/>
          <w:color w:val="auto"/>
        </w:rPr>
        <w:t>” shall mean any one or more of the following:</w:t>
      </w:r>
    </w:p>
    <w:p>
      <w:pPr>
        <w:spacing w:after="0" w:line="44" w:lineRule="exact"/>
        <w:rPr>
          <w:rFonts w:ascii="Arial" w:cs="Arial" w:eastAsia="Arial" w:hAnsi="Arial"/>
          <w:sz w:val="18"/>
          <w:szCs w:val="18"/>
          <w:color w:val="auto"/>
        </w:rPr>
      </w:pPr>
    </w:p>
    <w:p>
      <w:pPr>
        <w:ind w:left="1007" w:right="20" w:hanging="440"/>
        <w:spacing w:after="0" w:line="298" w:lineRule="auto"/>
        <w:tabs>
          <w:tab w:leader="none" w:pos="1007" w:val="left"/>
        </w:tabs>
        <w:numPr>
          <w:ilvl w:val="1"/>
          <w:numId w:val="29"/>
        </w:numPr>
        <w:rPr>
          <w:rFonts w:ascii="Arial" w:cs="Arial" w:eastAsia="Arial" w:hAnsi="Arial"/>
          <w:sz w:val="16"/>
          <w:szCs w:val="16"/>
          <w:color w:val="auto"/>
        </w:rPr>
      </w:pPr>
      <w:r>
        <w:rPr>
          <w:rFonts w:ascii="Arial" w:cs="Arial" w:eastAsia="Arial" w:hAnsi="Arial"/>
          <w:sz w:val="16"/>
          <w:szCs w:val="16"/>
          <w:color w:val="auto"/>
        </w:rPr>
        <w:t>any bad faith refusal by Executive to perform his duties and responsibilities under this Agreement or material violation of any rule, regulation or guideline imposed by a regulatory or self -regulatory body having jurisdiction over Employer, as determined after investigation by the Board. Executive, after having been given written notice by Employer, shall have seven (7) days to demonstrate to the satisfaction of the Board that Executive has been able to cure or refute such refusal or violation;</w:t>
      </w:r>
    </w:p>
    <w:p>
      <w:pPr>
        <w:spacing w:after="0" w:line="31" w:lineRule="exact"/>
        <w:rPr>
          <w:rFonts w:ascii="Arial" w:cs="Arial" w:eastAsia="Arial" w:hAnsi="Arial"/>
          <w:sz w:val="16"/>
          <w:szCs w:val="16"/>
          <w:color w:val="auto"/>
        </w:rPr>
      </w:pPr>
    </w:p>
    <w:p>
      <w:pPr>
        <w:ind w:left="1007" w:right="100" w:hanging="440"/>
        <w:spacing w:after="0" w:line="256" w:lineRule="auto"/>
        <w:tabs>
          <w:tab w:leader="none" w:pos="1007" w:val="left"/>
        </w:tabs>
        <w:numPr>
          <w:ilvl w:val="1"/>
          <w:numId w:val="29"/>
        </w:numPr>
        <w:rPr>
          <w:rFonts w:ascii="Arial" w:cs="Arial" w:eastAsia="Arial" w:hAnsi="Arial"/>
          <w:sz w:val="18"/>
          <w:szCs w:val="18"/>
          <w:color w:val="auto"/>
        </w:rPr>
      </w:pPr>
      <w:r>
        <w:rPr>
          <w:rFonts w:ascii="Arial" w:cs="Arial" w:eastAsia="Arial" w:hAnsi="Arial"/>
          <w:sz w:val="18"/>
          <w:szCs w:val="18"/>
          <w:color w:val="auto"/>
        </w:rPr>
        <w:t xml:space="preserve">any intentional act of fraud, embezzlement, theft or misappropriation of Employer’s funds by Executive, as determined after investigation by the Board, or Executive’s admission or conviction of or plea of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 felony or of any crime involving fraud, embezzlement, theft or misrepresentation and which the Board reasonably believes has had or will have a detrimental effect on the Employer’s reputation or business or the Executive’s reputation;</w:t>
      </w:r>
    </w:p>
    <w:p>
      <w:pPr>
        <w:spacing w:after="0" w:line="62" w:lineRule="exact"/>
        <w:rPr>
          <w:rFonts w:ascii="Arial" w:cs="Arial" w:eastAsia="Arial" w:hAnsi="Arial"/>
          <w:sz w:val="18"/>
          <w:szCs w:val="18"/>
          <w:color w:val="auto"/>
        </w:rPr>
      </w:pPr>
    </w:p>
    <w:p>
      <w:pPr>
        <w:ind w:left="1007" w:right="20" w:hanging="440"/>
        <w:spacing w:after="0" w:line="268" w:lineRule="auto"/>
        <w:tabs>
          <w:tab w:leader="none" w:pos="1007"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gross negligence or willful misconduct of Executive resulting in a material financial loss or liability to Employer, or damage to the reputation of Employer, as determined after investigation by the Board; or</w:t>
      </w:r>
    </w:p>
    <w:p>
      <w:pPr>
        <w:spacing w:after="0" w:line="50" w:lineRule="exact"/>
        <w:rPr>
          <w:rFonts w:ascii="Arial" w:cs="Arial" w:eastAsia="Arial" w:hAnsi="Arial"/>
          <w:sz w:val="18"/>
          <w:szCs w:val="18"/>
          <w:color w:val="auto"/>
        </w:rPr>
      </w:pPr>
    </w:p>
    <w:p>
      <w:pPr>
        <w:ind w:left="1007" w:hanging="440"/>
        <w:spacing w:after="0"/>
        <w:tabs>
          <w:tab w:leader="none" w:pos="1007"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breach by Executive of any one or more of the covenants contained in Section 7, 8 or 9 hereof.</w:t>
      </w:r>
    </w:p>
    <w:p>
      <w:pPr>
        <w:spacing w:after="0" w:line="90" w:lineRule="exact"/>
        <w:rPr>
          <w:sz w:val="20"/>
          <w:szCs w:val="20"/>
          <w:color w:val="auto"/>
        </w:rPr>
      </w:pPr>
    </w:p>
    <w:p>
      <w:pPr>
        <w:ind w:left="587" w:right="620"/>
        <w:spacing w:after="0" w:line="268" w:lineRule="auto"/>
        <w:rPr>
          <w:sz w:val="20"/>
          <w:szCs w:val="20"/>
          <w:color w:val="auto"/>
        </w:rPr>
      </w:pPr>
      <w:r>
        <w:rPr>
          <w:rFonts w:ascii="Arial" w:cs="Arial" w:eastAsia="Arial" w:hAnsi="Arial"/>
          <w:sz w:val="18"/>
          <w:szCs w:val="18"/>
          <w:color w:val="auto"/>
        </w:rPr>
        <w:t>The exercise of the right of Employer to terminate this Agreement pursuant to this Section 6(c) shall not abrogate any other rights or remedies of Employer in respect of the breach giving rise to such termination.</w:t>
      </w:r>
    </w:p>
    <w:p>
      <w:pPr>
        <w:spacing w:after="0" w:line="51" w:lineRule="exact"/>
        <w:rPr>
          <w:sz w:val="20"/>
          <w:szCs w:val="20"/>
          <w:color w:val="auto"/>
        </w:rPr>
      </w:pPr>
    </w:p>
    <w:p>
      <w:pPr>
        <w:ind w:left="587" w:right="560"/>
        <w:spacing w:after="0" w:line="268" w:lineRule="auto"/>
        <w:rPr>
          <w:sz w:val="20"/>
          <w:szCs w:val="20"/>
          <w:color w:val="auto"/>
        </w:rPr>
      </w:pPr>
      <w:r>
        <w:rPr>
          <w:rFonts w:ascii="Arial" w:cs="Arial" w:eastAsia="Arial" w:hAnsi="Arial"/>
          <w:sz w:val="18"/>
          <w:szCs w:val="18"/>
          <w:color w:val="auto"/>
        </w:rPr>
        <w:t>If Employer terminates Executive’s employment for Cause, Executive shall be entitled to accrued Base Salary through the date of the termination of his employment, as well as all other employee benefits to which</w:t>
      </w:r>
    </w:p>
    <w:p>
      <w:pPr>
        <w:sectPr>
          <w:pgSz w:w="11900" w:h="16838" w:orient="portrait"/>
          <w:cols w:equalWidth="0" w:num="1">
            <w:col w:w="10507"/>
          </w:cols>
          <w:pgMar w:left="1153" w:top="274" w:right="239" w:bottom="1440" w:gutter="0" w:footer="0" w:header="0"/>
        </w:sectPr>
      </w:pPr>
    </w:p>
    <w:bookmarkStart w:id="41" w:name="page42"/>
    <w:bookmarkEnd w:id="41"/>
    <w:p>
      <w:pPr>
        <w:ind w:left="587"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is entitled upon his termination of employment with Employer, in accordance with the terms of the plans and programs of Employer including without limitation any accrued, but unpaid, AIP payments attributable to completed fiscal years. Upon termination for Cause, Executive shall forfeit any unvested or unearned compensation or long-term incentives, unless otherwise provided herein or specified in the terms of the plans and programs of Employer.</w:t>
      </w:r>
    </w:p>
    <w:p>
      <w:pPr>
        <w:spacing w:after="0" w:line="56" w:lineRule="exact"/>
        <w:rPr>
          <w:sz w:val="20"/>
          <w:szCs w:val="20"/>
          <w:color w:val="auto"/>
        </w:rPr>
      </w:pPr>
    </w:p>
    <w:p>
      <w:pPr>
        <w:jc w:val="both"/>
        <w:ind w:left="567" w:right="20" w:hanging="567"/>
        <w:spacing w:after="0" w:line="310" w:lineRule="auto"/>
        <w:tabs>
          <w:tab w:leader="none" w:pos="567"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auto"/>
        </w:rPr>
        <w:t>Termination Without Cause</w:t>
      </w:r>
      <w:r>
        <w:rPr>
          <w:rFonts w:ascii="Arial" w:cs="Arial" w:eastAsia="Arial" w:hAnsi="Arial"/>
          <w:sz w:val="16"/>
          <w:szCs w:val="16"/>
          <w:color w:val="auto"/>
        </w:rPr>
        <w:t>. Upon 30 days prior written notice to Executive, Employer may terminate this Agreement for any reason other</w:t>
      </w:r>
      <w:r>
        <w:rPr>
          <w:rFonts w:ascii="Arial" w:cs="Arial" w:eastAsia="Arial" w:hAnsi="Arial"/>
          <w:sz w:val="16"/>
          <w:szCs w:val="16"/>
          <w:b w:val="1"/>
          <w:bCs w:val="1"/>
          <w:color w:val="auto"/>
        </w:rPr>
        <w:t xml:space="preserve"> </w:t>
      </w:r>
      <w:r>
        <w:rPr>
          <w:rFonts w:ascii="Arial" w:cs="Arial" w:eastAsia="Arial" w:hAnsi="Arial"/>
          <w:sz w:val="16"/>
          <w:szCs w:val="16"/>
          <w:color w:val="auto"/>
        </w:rPr>
        <w:t>than a reason set forth in subsections (a), (b) or (c) of this Section 6. If, during the Agreement Term, Employer terminates the employment of Executive hereunder for any reason other than a reason set forth in subsections (a), (b) or (c) of this Section 6:</w:t>
      </w:r>
    </w:p>
    <w:p>
      <w:pPr>
        <w:spacing w:after="0" w:line="22" w:lineRule="exact"/>
        <w:rPr>
          <w:rFonts w:ascii="Arial" w:cs="Arial" w:eastAsia="Arial" w:hAnsi="Arial"/>
          <w:sz w:val="16"/>
          <w:szCs w:val="16"/>
          <w:color w:val="auto"/>
        </w:rPr>
      </w:pPr>
    </w:p>
    <w:p>
      <w:pPr>
        <w:jc w:val="both"/>
        <w:ind w:left="1007" w:right="80" w:hanging="440"/>
        <w:spacing w:after="0" w:line="256" w:lineRule="auto"/>
        <w:tabs>
          <w:tab w:leader="none" w:pos="1007" w:val="left"/>
        </w:tabs>
        <w:numPr>
          <w:ilvl w:val="1"/>
          <w:numId w:val="30"/>
        </w:numPr>
        <w:rPr>
          <w:rFonts w:ascii="Arial" w:cs="Arial" w:eastAsia="Arial" w:hAnsi="Arial"/>
          <w:sz w:val="18"/>
          <w:szCs w:val="18"/>
          <w:color w:val="auto"/>
        </w:rPr>
      </w:pPr>
      <w:r>
        <w:rPr>
          <w:rFonts w:ascii="Arial" w:cs="Arial" w:eastAsia="Arial" w:hAnsi="Arial"/>
          <w:sz w:val="18"/>
          <w:szCs w:val="18"/>
          <w:color w:val="auto"/>
        </w:rPr>
        <w:t>Executive shall be entitled to receive accrued Base Salary through the date of the termination of his employment, and other employee benefits to which Executive is entitled upon his termination of employment with Employer, in accordance with the terms of the plans and programs of Employer including without limitation any accrued, but unpaid, AIP payments attributable to completed fiscal years; and</w:t>
      </w:r>
    </w:p>
    <w:p>
      <w:pPr>
        <w:spacing w:after="0" w:line="62" w:lineRule="exact"/>
        <w:rPr>
          <w:rFonts w:ascii="Arial" w:cs="Arial" w:eastAsia="Arial" w:hAnsi="Arial"/>
          <w:sz w:val="18"/>
          <w:szCs w:val="18"/>
          <w:color w:val="auto"/>
        </w:rPr>
      </w:pPr>
    </w:p>
    <w:p>
      <w:pPr>
        <w:ind w:left="1007" w:hanging="440"/>
        <w:spacing w:after="0" w:line="291" w:lineRule="auto"/>
        <w:tabs>
          <w:tab w:leader="none" w:pos="1007" w:val="left"/>
        </w:tabs>
        <w:numPr>
          <w:ilvl w:val="1"/>
          <w:numId w:val="30"/>
        </w:numPr>
        <w:rPr>
          <w:rFonts w:ascii="Arial" w:cs="Arial" w:eastAsia="Arial" w:hAnsi="Arial"/>
          <w:sz w:val="16"/>
          <w:szCs w:val="16"/>
          <w:color w:val="auto"/>
        </w:rPr>
      </w:pPr>
      <w:r>
        <w:rPr>
          <w:rFonts w:ascii="Arial" w:cs="Arial" w:eastAsia="Arial" w:hAnsi="Arial"/>
          <w:sz w:val="16"/>
          <w:szCs w:val="16"/>
          <w:color w:val="auto"/>
        </w:rPr>
        <w:t>Subject to Executive’s execution and delivery prior to the Release Deadline (as defined below) of a general release in a form and of a substance satisfactory to Employer acting in good faith (a “</w:t>
      </w:r>
      <w:r>
        <w:rPr>
          <w:rFonts w:ascii="Arial" w:cs="Arial" w:eastAsia="Arial" w:hAnsi="Arial"/>
          <w:sz w:val="16"/>
          <w:szCs w:val="16"/>
          <w:i w:val="1"/>
          <w:iCs w:val="1"/>
          <w:color w:val="auto"/>
        </w:rPr>
        <w:t>Release</w:t>
      </w:r>
      <w:r>
        <w:rPr>
          <w:rFonts w:ascii="Arial" w:cs="Arial" w:eastAsia="Arial" w:hAnsi="Arial"/>
          <w:sz w:val="16"/>
          <w:szCs w:val="16"/>
          <w:color w:val="auto"/>
        </w:rPr>
        <w:t>”), Executive shall be entitled to a one time lump sum severance payment equal to two (2) times the sum of his Base Salary plus his AIP Threshold each as of the date of Executive’s termination, which shall be paid six (6) months after the date Executive terminates employment pursuant to Paragraph 6(d). For purposes hereof, the “</w:t>
      </w:r>
      <w:r>
        <w:rPr>
          <w:rFonts w:ascii="Arial" w:cs="Arial" w:eastAsia="Arial" w:hAnsi="Arial"/>
          <w:sz w:val="16"/>
          <w:szCs w:val="16"/>
          <w:i w:val="1"/>
          <w:iCs w:val="1"/>
          <w:color w:val="auto"/>
        </w:rPr>
        <w:t>Release Deadline</w:t>
      </w:r>
      <w:r>
        <w:rPr>
          <w:rFonts w:ascii="Arial" w:cs="Arial" w:eastAsia="Arial" w:hAnsi="Arial"/>
          <w:sz w:val="16"/>
          <w:szCs w:val="16"/>
          <w:color w:val="auto"/>
        </w:rPr>
        <w:t>” means the deadline prescribed by Employer for the execution of a Release, which deadline shall in no event be later than 60 days following the date the Executive’s employment terminates.</w:t>
      </w:r>
    </w:p>
    <w:p>
      <w:pPr>
        <w:spacing w:after="0" w:line="39" w:lineRule="exact"/>
        <w:rPr>
          <w:rFonts w:ascii="Arial" w:cs="Arial" w:eastAsia="Arial" w:hAnsi="Arial"/>
          <w:sz w:val="16"/>
          <w:szCs w:val="16"/>
          <w:color w:val="auto"/>
        </w:rPr>
      </w:pPr>
    </w:p>
    <w:p>
      <w:pPr>
        <w:ind w:left="1007" w:hanging="440"/>
        <w:spacing w:after="0"/>
        <w:tabs>
          <w:tab w:leader="none" w:pos="1007" w:val="left"/>
        </w:tabs>
        <w:numPr>
          <w:ilvl w:val="1"/>
          <w:numId w:val="30"/>
        </w:numPr>
        <w:rPr>
          <w:rFonts w:ascii="Arial" w:cs="Arial" w:eastAsia="Arial" w:hAnsi="Arial"/>
          <w:sz w:val="16"/>
          <w:szCs w:val="16"/>
          <w:color w:val="auto"/>
        </w:rPr>
      </w:pPr>
      <w:r>
        <w:rPr>
          <w:rFonts w:ascii="Arial" w:cs="Arial" w:eastAsia="Arial" w:hAnsi="Arial"/>
          <w:sz w:val="16"/>
          <w:szCs w:val="16"/>
          <w:color w:val="auto"/>
        </w:rPr>
        <w:t>Executive shall be vested in any outstanding New Agreement Awards under the EIP Plan (but shall not participate in any awards</w:t>
      </w:r>
    </w:p>
    <w:p>
      <w:pPr>
        <w:sectPr>
          <w:pgSz w:w="11900" w:h="16838" w:orient="portrait"/>
          <w:cols w:equalWidth="0" w:num="1">
            <w:col w:w="10487"/>
          </w:cols>
          <w:pgMar w:left="1153" w:top="280" w:right="259" w:bottom="1440" w:gutter="0" w:footer="0" w:header="0"/>
        </w:sectPr>
      </w:pPr>
    </w:p>
    <w:bookmarkStart w:id="42" w:name="page43"/>
    <w:bookmarkEnd w:id="42"/>
    <w:p>
      <w:pPr>
        <w:ind w:left="740"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subsequent to the date Executive received notice of termination) to the extent that such New Agreement Awards would have vested if Executive had continued as Chief Executive Officer through the termination date of this Agreement with the delivery of any performance shares made in accordance with the terms and conditions set forth in Exhibit A; and Executive shall have until the date that is four years after the date the Executive’s employment terminates to exercise any New Agreement Options that are then vested but unexercised, or that become vested as a result of the foregoing; and</w:t>
      </w:r>
    </w:p>
    <w:p>
      <w:pPr>
        <w:spacing w:after="0" w:line="35" w:lineRule="exact"/>
        <w:rPr>
          <w:sz w:val="20"/>
          <w:szCs w:val="20"/>
          <w:color w:val="auto"/>
        </w:rPr>
      </w:pPr>
    </w:p>
    <w:p>
      <w:pPr>
        <w:ind w:left="720" w:right="280" w:hanging="440"/>
        <w:spacing w:after="0" w:line="332" w:lineRule="auto"/>
        <w:tabs>
          <w:tab w:leader="none" w:pos="7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Executive shall be entitled to the following with respect to the life, disability, accident and healthcare insurance plans, programs or arrangements in which Executive was participating immediately prior to such employment termination</w:t>
      </w:r>
    </w:p>
    <w:p>
      <w:pPr>
        <w:spacing w:after="0" w:line="4" w:lineRule="exact"/>
        <w:rPr>
          <w:rFonts w:ascii="Arial" w:cs="Arial" w:eastAsia="Arial" w:hAnsi="Arial"/>
          <w:sz w:val="16"/>
          <w:szCs w:val="16"/>
          <w:color w:val="auto"/>
        </w:rPr>
      </w:pPr>
    </w:p>
    <w:p>
      <w:pPr>
        <w:ind w:left="1180" w:hanging="446"/>
        <w:spacing w:after="0" w:line="287" w:lineRule="auto"/>
        <w:rPr>
          <w:rFonts w:ascii="Arial" w:cs="Arial" w:eastAsia="Arial" w:hAnsi="Arial"/>
          <w:sz w:val="16"/>
          <w:szCs w:val="16"/>
          <w:color w:val="auto"/>
        </w:rPr>
      </w:pPr>
      <w:r>
        <w:rPr>
          <w:rFonts w:ascii="Arial" w:cs="Arial" w:eastAsia="Arial" w:hAnsi="Arial"/>
          <w:sz w:val="18"/>
          <w:szCs w:val="18"/>
          <w:color w:val="auto"/>
        </w:rPr>
        <w:t>a.</w:t>
      </w:r>
      <w:r>
        <w:rPr>
          <w:rFonts w:ascii="Arial" w:cs="Arial" w:eastAsia="Arial" w:hAnsi="Arial"/>
          <w:sz w:val="16"/>
          <w:szCs w:val="16"/>
          <w:color w:val="auto"/>
        </w:rPr>
        <w:t>Executive shall be entitled to elect to continue coverage for himself and his eligible dependents, for up to twenty-four (24) months following employment termination, under the medical and dental plans of Employer in which Executive was participating immediately prior to such employment termination. Executive’s monthly cost for such coverage shall be (i) the applicable COBRA premium for such coverage (which cost shall be applicable during the eighteen (18) month period following termination) and (ii) the monthly premium cost paid by Employer for Executive’s coverage (which cost shall be applicable following expiration of the 18 month COBRA period). Employer shall pay to Executive an amount, in a lump sum, equal to 150% of the Executive’s total potential monthly cost for all such coverage (based upon the rates in effect on the date of termination and assuming a five percent (5%) increase in such cost for the period from months 13 to month 24), which amount shall be paid notwithstanding whether or to what extent Executive elects continued coverage. For the avoidance of doubt, the parties acknowledge that Executive’s right to elect COBRA coverage is not subject to execution of a Release.</w:t>
      </w:r>
    </w:p>
    <w:p>
      <w:pPr>
        <w:sectPr>
          <w:pgSz w:w="11900" w:h="16838" w:orient="portrait"/>
          <w:cols w:equalWidth="0" w:num="1">
            <w:col w:w="10180"/>
          </w:cols>
          <w:pgMar w:left="1440" w:top="280" w:right="279" w:bottom="1440" w:gutter="0" w:footer="0" w:header="0"/>
        </w:sectPr>
      </w:pPr>
    </w:p>
    <w:bookmarkStart w:id="43" w:name="page44"/>
    <w:bookmarkEnd w:id="43"/>
    <w:p>
      <w:pPr>
        <w:ind w:left="1180" w:hanging="441"/>
        <w:spacing w:after="0" w:line="306" w:lineRule="auto"/>
        <w:tabs>
          <w:tab w:leader="none" w:pos="1180" w:val="left"/>
        </w:tabs>
        <w:numPr>
          <w:ilvl w:val="0"/>
          <w:numId w:val="3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Group Life/Accidental Death and Dismemberment – Executive shall receive continued coverage under Employer’s group life/accidental death and dismemberment plan at substantially the same cost to Executive as determined immediately prior to his last day of employment for 24 months after the date his employment terminates.</w:t>
      </w:r>
    </w:p>
    <w:p>
      <w:pPr>
        <w:spacing w:after="0" w:line="25" w:lineRule="exact"/>
        <w:rPr>
          <w:rFonts w:ascii="Arial" w:cs="Arial" w:eastAsia="Arial" w:hAnsi="Arial"/>
          <w:sz w:val="16"/>
          <w:szCs w:val="16"/>
          <w:color w:val="auto"/>
        </w:rPr>
      </w:pPr>
    </w:p>
    <w:p>
      <w:pPr>
        <w:jc w:val="both"/>
        <w:ind w:left="1180" w:right="320" w:hanging="441"/>
        <w:spacing w:after="0" w:line="259" w:lineRule="auto"/>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Excess Life – Executive shall receive continued coverage under any excess life insurance coverage Employer purchased for Executive at substantially the same cost to Executive as determined immediately prior to his last day of employment for 24 months after the date his employment terminates.</w:t>
      </w:r>
    </w:p>
    <w:p>
      <w:pPr>
        <w:spacing w:after="0" w:line="59" w:lineRule="exact"/>
        <w:rPr>
          <w:rFonts w:ascii="Arial" w:cs="Arial" w:eastAsia="Arial" w:hAnsi="Arial"/>
          <w:sz w:val="18"/>
          <w:szCs w:val="18"/>
          <w:color w:val="auto"/>
        </w:rPr>
      </w:pPr>
    </w:p>
    <w:p>
      <w:pPr>
        <w:ind w:left="1180" w:right="80" w:hanging="441"/>
        <w:spacing w:after="0" w:line="259" w:lineRule="auto"/>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Group Long-Term Disability – Executive shall receive a lump sum payment equal to 24 times 150% of the monthly premium paid by Employer for Executive’s coverage under Employer’s group long-term disability plan immediately prior to Executive’s last day of employment.</w:t>
      </w:r>
    </w:p>
    <w:p>
      <w:pPr>
        <w:spacing w:after="0" w:line="59" w:lineRule="exact"/>
        <w:rPr>
          <w:rFonts w:ascii="Arial" w:cs="Arial" w:eastAsia="Arial" w:hAnsi="Arial"/>
          <w:sz w:val="18"/>
          <w:szCs w:val="18"/>
          <w:color w:val="auto"/>
        </w:rPr>
      </w:pPr>
    </w:p>
    <w:p>
      <w:pPr>
        <w:ind w:left="1180" w:right="20" w:hanging="441"/>
        <w:spacing w:after="0" w:line="259" w:lineRule="auto"/>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Excess Long-Term Disability – Executive shall receive continued coverage under any excess long-term disability coverage Employer purchased for Executive at substantially the same cost to Executive as determined immediately prior to his last day of employment for 24 months after the date his employment terminates.</w:t>
      </w:r>
    </w:p>
    <w:p>
      <w:pPr>
        <w:spacing w:after="0" w:line="59" w:lineRule="exact"/>
        <w:rPr>
          <w:sz w:val="20"/>
          <w:szCs w:val="20"/>
          <w:color w:val="auto"/>
        </w:rPr>
      </w:pPr>
    </w:p>
    <w:p>
      <w:pPr>
        <w:ind w:left="740"/>
        <w:spacing w:after="0" w:line="256" w:lineRule="auto"/>
        <w:rPr>
          <w:sz w:val="20"/>
          <w:szCs w:val="20"/>
          <w:color w:val="auto"/>
        </w:rPr>
      </w:pPr>
      <w:r>
        <w:rPr>
          <w:rFonts w:ascii="Arial" w:cs="Arial" w:eastAsia="Arial" w:hAnsi="Arial"/>
          <w:sz w:val="18"/>
          <w:szCs w:val="18"/>
          <w:color w:val="auto"/>
        </w:rPr>
        <w:t>Payment of the lump sum amounts payable under this Paragraph 6(d)(4) up to the maximum amount allowed for de minimis payments under IRS Code Section 409A shall be paid within fourteen (14) days of the later of the delivery of a Release or the date on which the Release becomes irrevocable. The remainder of the lump sum amounts, if any, shall be paid six (6) months after the date Executive terminates employment pursuant to Paragraph 6(d).</w:t>
      </w:r>
    </w:p>
    <w:p>
      <w:pPr>
        <w:sectPr>
          <w:pgSz w:w="11900" w:h="16838" w:orient="portrait"/>
          <w:cols w:equalWidth="0" w:num="1">
            <w:col w:w="10200"/>
          </w:cols>
          <w:pgMar w:left="1440" w:top="280" w:right="259" w:bottom="1440" w:gutter="0" w:footer="0" w:header="0"/>
        </w:sectPr>
      </w:pPr>
    </w:p>
    <w:bookmarkStart w:id="44" w:name="page45"/>
    <w:bookmarkEnd w:id="44"/>
    <w:p>
      <w:pPr>
        <w:ind w:left="567" w:hanging="567"/>
        <w:spacing w:after="0" w:line="288" w:lineRule="auto"/>
        <w:tabs>
          <w:tab w:leader="none" w:pos="567" w:val="left"/>
        </w:tabs>
        <w:numPr>
          <w:ilvl w:val="0"/>
          <w:numId w:val="33"/>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Voluntary Termination for Good Reason</w:t>
      </w:r>
      <w:r>
        <w:rPr>
          <w:rFonts w:ascii="Arial" w:cs="Arial" w:eastAsia="Arial" w:hAnsi="Arial"/>
          <w:sz w:val="16"/>
          <w:szCs w:val="16"/>
          <w:color w:val="auto"/>
        </w:rPr>
        <w:t>. Upon 60 days prior written notice to Employer (or such shorter period as may be permitted by</w:t>
      </w:r>
      <w:r>
        <w:rPr>
          <w:rFonts w:ascii="Arial" w:cs="Arial" w:eastAsia="Arial" w:hAnsi="Arial"/>
          <w:sz w:val="16"/>
          <w:szCs w:val="16"/>
          <w:b w:val="1"/>
          <w:bCs w:val="1"/>
          <w:color w:val="auto"/>
        </w:rPr>
        <w:t xml:space="preserve"> </w:t>
      </w:r>
      <w:r>
        <w:rPr>
          <w:rFonts w:ascii="Arial" w:cs="Arial" w:eastAsia="Arial" w:hAnsi="Arial"/>
          <w:sz w:val="16"/>
          <w:szCs w:val="16"/>
          <w:color w:val="auto"/>
        </w:rPr>
        <w:t>Employer), Executive may voluntarily terminate his employment with Employer prior to the end of the Agreement Term for Good Reason. For purposes of this Agreement, “</w:t>
      </w:r>
      <w:r>
        <w:rPr>
          <w:rFonts w:ascii="Arial" w:cs="Arial" w:eastAsia="Arial" w:hAnsi="Arial"/>
          <w:sz w:val="16"/>
          <w:szCs w:val="16"/>
          <w:i w:val="1"/>
          <w:iCs w:val="1"/>
          <w:color w:val="auto"/>
        </w:rPr>
        <w:t>Good Reason</w:t>
      </w:r>
      <w:r>
        <w:rPr>
          <w:rFonts w:ascii="Arial" w:cs="Arial" w:eastAsia="Arial" w:hAnsi="Arial"/>
          <w:sz w:val="16"/>
          <w:szCs w:val="16"/>
          <w:color w:val="auto"/>
        </w:rPr>
        <w:t>” shall mean any of the following: (1) diminution in Executive’s title, (2) material diminution in Executive’s duties, power or authority that is not cured by Employer within 15 days of Executive providing written notice thereof; provided however, that changes or adjustments in furtherance of the transition from Executive to a successor beginning 12 months prior to the conclusion of this Agreement shall not be treated as a material diminution of Executive’s duties, power or authority; (3) the failure of Executive to be nominated for election to the Board, (4) a Change in Control (as defined in the Plan); (5) without Executive’s express written consent, relocation of Executive’s work situs to a location that is not in the Chicago metropolitan area; or (6) a material breach of this Agreement by Employer that is not cured within 15 days of Executive providing written notice thereof. If Executive exercises his right to terminate under this Section 6(e):</w:t>
      </w:r>
    </w:p>
    <w:p>
      <w:pPr>
        <w:spacing w:after="0" w:line="40" w:lineRule="exact"/>
        <w:rPr>
          <w:rFonts w:ascii="Arial" w:cs="Arial" w:eastAsia="Arial" w:hAnsi="Arial"/>
          <w:sz w:val="16"/>
          <w:szCs w:val="16"/>
          <w:color w:val="auto"/>
        </w:rPr>
      </w:pPr>
    </w:p>
    <w:p>
      <w:pPr>
        <w:jc w:val="both"/>
        <w:ind w:left="1007" w:right="80" w:hanging="440"/>
        <w:spacing w:after="0" w:line="256" w:lineRule="auto"/>
        <w:tabs>
          <w:tab w:leader="none" w:pos="1007" w:val="left"/>
        </w:tabs>
        <w:numPr>
          <w:ilvl w:val="1"/>
          <w:numId w:val="33"/>
        </w:numPr>
        <w:rPr>
          <w:rFonts w:ascii="Arial" w:cs="Arial" w:eastAsia="Arial" w:hAnsi="Arial"/>
          <w:sz w:val="18"/>
          <w:szCs w:val="18"/>
          <w:color w:val="auto"/>
        </w:rPr>
      </w:pPr>
      <w:r>
        <w:rPr>
          <w:rFonts w:ascii="Arial" w:cs="Arial" w:eastAsia="Arial" w:hAnsi="Arial"/>
          <w:sz w:val="18"/>
          <w:szCs w:val="18"/>
          <w:color w:val="auto"/>
        </w:rPr>
        <w:t>Executive shall be entitled to receive accrued Base Salary through the date of the termination of his employment, and other employee benefits to which Executive is entitled upon his termination of employment with Employer, in accordance with the terms of the plans and programs of Employer including without limitation any accrued, but unpaid, AIP payments attributable to completed fiscal years; and</w:t>
      </w:r>
    </w:p>
    <w:p>
      <w:pPr>
        <w:spacing w:after="0" w:line="62" w:lineRule="exact"/>
        <w:rPr>
          <w:rFonts w:ascii="Arial" w:cs="Arial" w:eastAsia="Arial" w:hAnsi="Arial"/>
          <w:sz w:val="18"/>
          <w:szCs w:val="18"/>
          <w:color w:val="auto"/>
        </w:rPr>
      </w:pPr>
    </w:p>
    <w:p>
      <w:pPr>
        <w:ind w:left="1007" w:hanging="440"/>
        <w:spacing w:after="0"/>
        <w:tabs>
          <w:tab w:leader="none" w:pos="1007" w:val="left"/>
        </w:tabs>
        <w:numPr>
          <w:ilvl w:val="1"/>
          <w:numId w:val="33"/>
        </w:numPr>
        <w:rPr>
          <w:rFonts w:ascii="Arial" w:cs="Arial" w:eastAsia="Arial" w:hAnsi="Arial"/>
          <w:sz w:val="16"/>
          <w:szCs w:val="16"/>
          <w:color w:val="auto"/>
        </w:rPr>
      </w:pPr>
      <w:r>
        <w:rPr>
          <w:rFonts w:ascii="Arial" w:cs="Arial" w:eastAsia="Arial" w:hAnsi="Arial"/>
          <w:sz w:val="16"/>
          <w:szCs w:val="16"/>
          <w:color w:val="auto"/>
        </w:rPr>
        <w:t>subject to Executive’s execution and delivery of a Release prior to the Release Deadline (as such terms are defined in paragraph 6(d)</w:t>
      </w:r>
    </w:p>
    <w:p>
      <w:pPr>
        <w:spacing w:after="0" w:line="38" w:lineRule="exact"/>
        <w:rPr>
          <w:rFonts w:ascii="Arial" w:cs="Arial" w:eastAsia="Arial" w:hAnsi="Arial"/>
          <w:sz w:val="16"/>
          <w:szCs w:val="16"/>
          <w:color w:val="auto"/>
        </w:rPr>
      </w:pPr>
    </w:p>
    <w:p>
      <w:pPr>
        <w:ind w:left="1007" w:right="100"/>
        <w:spacing w:after="0" w:line="255" w:lineRule="auto"/>
        <w:rPr>
          <w:rFonts w:ascii="Arial" w:cs="Arial" w:eastAsia="Arial" w:hAnsi="Arial"/>
          <w:sz w:val="16"/>
          <w:szCs w:val="16"/>
          <w:color w:val="auto"/>
        </w:rPr>
      </w:pPr>
      <w:r>
        <w:rPr>
          <w:rFonts w:ascii="Arial" w:cs="Arial" w:eastAsia="Arial" w:hAnsi="Arial"/>
          <w:sz w:val="18"/>
          <w:szCs w:val="18"/>
          <w:color w:val="auto"/>
        </w:rPr>
        <w:t>(2)), a one time lump sum severance payment equal to two (2) times the sum of his Base Salary plus his AIP Threshold each as of the date of Executive’s termination, which shall be paid six (6) months after the date Executive terminates employment pursuant to Paragraph 6(e).</w:t>
      </w:r>
    </w:p>
    <w:p>
      <w:pPr>
        <w:sectPr>
          <w:pgSz w:w="11900" w:h="16838" w:orient="portrait"/>
          <w:cols w:equalWidth="0" w:num="1">
            <w:col w:w="10487"/>
          </w:cols>
          <w:pgMar w:left="1153" w:top="274" w:right="259" w:bottom="1440" w:gutter="0" w:footer="0" w:header="0"/>
        </w:sectPr>
      </w:pPr>
    </w:p>
    <w:bookmarkStart w:id="45" w:name="page46"/>
    <w:bookmarkEnd w:id="45"/>
    <w:p>
      <w:pPr>
        <w:ind w:left="720" w:hanging="440"/>
        <w:spacing w:after="0" w:line="256"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shall be vested in any outstanding New Agreement Awards granted under the EIP Plan with the delivery of any performance shares made in accordance with the terms and conditions set forth in Exhibit A and Executive shall have until the date that is four years after the date the Executive’s employment terminates to exercise any New Agreement Options that are vested or that become vested as a result of the foregoing; and</w:t>
      </w:r>
    </w:p>
    <w:p>
      <w:pPr>
        <w:spacing w:after="0" w:line="62" w:lineRule="exact"/>
        <w:rPr>
          <w:rFonts w:ascii="Arial" w:cs="Arial" w:eastAsia="Arial" w:hAnsi="Arial"/>
          <w:sz w:val="18"/>
          <w:szCs w:val="18"/>
          <w:color w:val="auto"/>
        </w:rPr>
      </w:pPr>
    </w:p>
    <w:p>
      <w:pPr>
        <w:ind w:left="720" w:right="300" w:hanging="440"/>
        <w:spacing w:after="0" w:line="332" w:lineRule="auto"/>
        <w:tabs>
          <w:tab w:leader="none" w:pos="7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Executive shall be entitled to the following with respect to the life, disability, accident and healthcare insurance plans, programs or arrangements in which Executive was participating immediately prior to such employment termination</w:t>
      </w:r>
    </w:p>
    <w:p>
      <w:pPr>
        <w:spacing w:after="0" w:line="4" w:lineRule="exact"/>
        <w:rPr>
          <w:rFonts w:ascii="Arial" w:cs="Arial" w:eastAsia="Arial" w:hAnsi="Arial"/>
          <w:sz w:val="16"/>
          <w:szCs w:val="16"/>
          <w:color w:val="auto"/>
        </w:rPr>
      </w:pPr>
    </w:p>
    <w:p>
      <w:pPr>
        <w:ind w:left="1180" w:right="20" w:hanging="446"/>
        <w:spacing w:after="0" w:line="287" w:lineRule="auto"/>
        <w:rPr>
          <w:rFonts w:ascii="Arial" w:cs="Arial" w:eastAsia="Arial" w:hAnsi="Arial"/>
          <w:sz w:val="16"/>
          <w:szCs w:val="16"/>
          <w:color w:val="auto"/>
        </w:rPr>
      </w:pPr>
      <w:r>
        <w:rPr>
          <w:rFonts w:ascii="Arial" w:cs="Arial" w:eastAsia="Arial" w:hAnsi="Arial"/>
          <w:sz w:val="18"/>
          <w:szCs w:val="18"/>
          <w:color w:val="auto"/>
        </w:rPr>
        <w:t>a.</w:t>
      </w:r>
      <w:r>
        <w:rPr>
          <w:rFonts w:ascii="Arial" w:cs="Arial" w:eastAsia="Arial" w:hAnsi="Arial"/>
          <w:sz w:val="16"/>
          <w:szCs w:val="16"/>
          <w:color w:val="auto"/>
        </w:rPr>
        <w:t>Executive shall be entitled to elect to continue coverage for himself and his eligible dependents, for up to twenty-four (24) months following employment termination, under the medical and dental plans of Employer in which Executive was participating immediately prior to such employment termination. Executive’s monthly cost for such coverage shall be (i) the applicable COBRA premium for such coverage (which cost shall be applicable during the eighteen (18) month period following termination) and (ii) the monthly premium cost paid by Employer for Executive’s coverage (which cost shall be applicable following expiration of the 18 month COBRA period). Employer shall pay to Executive an amount, in a lump sum, equal to 150% of the Executive’s total potential monthly cost for all such coverage (based upon the rates in effect on the date of termination and assuming a five percent (5%) increase in such cost for the period from months 13 to month 24), which amount shall be paid notwithstanding whether or to what extent Executive elects continued coverage. For the avoidance of doubt, the parties acknowledge that Executive’s right to elect COBRA coverage is not subject to execution of a Release.</w:t>
      </w:r>
    </w:p>
    <w:p>
      <w:pPr>
        <w:sectPr>
          <w:pgSz w:w="11900" w:h="16838" w:orient="portrait"/>
          <w:cols w:equalWidth="0" w:num="1">
            <w:col w:w="10200"/>
          </w:cols>
          <w:pgMar w:left="1440" w:top="280" w:right="259" w:bottom="1440" w:gutter="0" w:footer="0" w:header="0"/>
        </w:sectPr>
      </w:pPr>
    </w:p>
    <w:bookmarkStart w:id="46" w:name="page47"/>
    <w:bookmarkEnd w:id="46"/>
    <w:p>
      <w:pPr>
        <w:ind w:left="1467" w:hanging="441"/>
        <w:spacing w:after="0" w:line="306" w:lineRule="auto"/>
        <w:tabs>
          <w:tab w:leader="none" w:pos="1467" w:val="left"/>
        </w:tabs>
        <w:numPr>
          <w:ilvl w:val="0"/>
          <w:numId w:val="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Group Life/Accidental Death and Dismemberment – Executive shall receive continued coverage under Employer’s group life/accidental death and dismemberment plan at substantially the same cost to Executive as determined immediately prior to his last day of employment for 24 months after the date his employment terminates.</w:t>
      </w:r>
    </w:p>
    <w:p>
      <w:pPr>
        <w:spacing w:after="0" w:line="25" w:lineRule="exact"/>
        <w:rPr>
          <w:rFonts w:ascii="Arial" w:cs="Arial" w:eastAsia="Arial" w:hAnsi="Arial"/>
          <w:sz w:val="16"/>
          <w:szCs w:val="16"/>
          <w:color w:val="auto"/>
        </w:rPr>
      </w:pPr>
    </w:p>
    <w:p>
      <w:pPr>
        <w:jc w:val="both"/>
        <w:ind w:left="1467" w:right="320" w:hanging="441"/>
        <w:spacing w:after="0" w:line="259" w:lineRule="auto"/>
        <w:tabs>
          <w:tab w:leader="none" w:pos="1467"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Excess Life – Executive shall receive continued coverage under any excess life insurance coverage Employer purchased for Executive at substantially the same cost to Executive as determined immediately prior to his last day of employment for 24 months after the date his employment terminates.</w:t>
      </w:r>
    </w:p>
    <w:p>
      <w:pPr>
        <w:spacing w:after="0" w:line="59" w:lineRule="exact"/>
        <w:rPr>
          <w:rFonts w:ascii="Arial" w:cs="Arial" w:eastAsia="Arial" w:hAnsi="Arial"/>
          <w:sz w:val="18"/>
          <w:szCs w:val="18"/>
          <w:color w:val="auto"/>
        </w:rPr>
      </w:pPr>
    </w:p>
    <w:p>
      <w:pPr>
        <w:ind w:left="1467" w:right="80" w:hanging="441"/>
        <w:spacing w:after="0" w:line="259" w:lineRule="auto"/>
        <w:tabs>
          <w:tab w:leader="none" w:pos="1467" w:val="left"/>
        </w:tabs>
        <w:numPr>
          <w:ilvl w:val="0"/>
          <w:numId w:val="35"/>
        </w:numPr>
        <w:rPr>
          <w:rFonts w:ascii="Arial" w:cs="Arial" w:eastAsia="Arial" w:hAnsi="Arial"/>
          <w:sz w:val="18"/>
          <w:szCs w:val="18"/>
          <w:color w:val="auto"/>
        </w:rPr>
      </w:pPr>
      <w:r>
        <w:rPr>
          <w:rFonts w:ascii="Arial" w:cs="Arial" w:eastAsia="Arial" w:hAnsi="Arial"/>
          <w:sz w:val="18"/>
          <w:szCs w:val="18"/>
          <w:color w:val="auto"/>
        </w:rPr>
        <w:t>Group Long-Term Disability – Executive shall receive a lump sum payment equal to 24 times 150% of the monthly premium paid by Employer for Executive’s coverage under Employer’s group long-term disability plan immediately prior to Executive’s last day of employment.</w:t>
      </w:r>
    </w:p>
    <w:p>
      <w:pPr>
        <w:spacing w:after="0" w:line="59" w:lineRule="exact"/>
        <w:rPr>
          <w:rFonts w:ascii="Arial" w:cs="Arial" w:eastAsia="Arial" w:hAnsi="Arial"/>
          <w:sz w:val="18"/>
          <w:szCs w:val="18"/>
          <w:color w:val="auto"/>
        </w:rPr>
      </w:pPr>
    </w:p>
    <w:p>
      <w:pPr>
        <w:ind w:left="1467" w:right="20" w:hanging="441"/>
        <w:spacing w:after="0" w:line="259" w:lineRule="auto"/>
        <w:tabs>
          <w:tab w:leader="none" w:pos="1467"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Excess Long-Term Disability – Executive shall receive continued coverage under any excess long-term disability coverage Employer purchased for Executive at substantially the same cost to Executive as determined immediately prior to his last day of employment for 24 months after the date his employment terminates.</w:t>
      </w:r>
    </w:p>
    <w:p>
      <w:pPr>
        <w:spacing w:after="0" w:line="59" w:lineRule="exact"/>
        <w:rPr>
          <w:sz w:val="20"/>
          <w:szCs w:val="20"/>
          <w:color w:val="auto"/>
        </w:rPr>
      </w:pPr>
    </w:p>
    <w:p>
      <w:pPr>
        <w:ind w:left="587" w:right="20"/>
        <w:spacing w:after="0" w:line="256" w:lineRule="auto"/>
        <w:rPr>
          <w:sz w:val="20"/>
          <w:szCs w:val="20"/>
          <w:color w:val="auto"/>
        </w:rPr>
      </w:pPr>
      <w:r>
        <w:rPr>
          <w:rFonts w:ascii="Arial" w:cs="Arial" w:eastAsia="Arial" w:hAnsi="Arial"/>
          <w:sz w:val="18"/>
          <w:szCs w:val="18"/>
          <w:color w:val="auto"/>
        </w:rPr>
        <w:t>Payment of the lump sum amounts payable under this Paragraph 6(e)(4) up to the maximum amount allowed for de minimis payments under IRS Code Section 409A shall be paid within fourteen (14) days of the later of the delivery of a Release or the date on which the Release becomes irrevocable. The remainder of the lump sum amounts, if any, shall be paid six (6) months after the date Executive terminates employment pursuant to Paragraph 6(e).</w:t>
      </w:r>
    </w:p>
    <w:p>
      <w:pPr>
        <w:spacing w:after="0" w:line="56" w:lineRule="exact"/>
        <w:rPr>
          <w:sz w:val="20"/>
          <w:szCs w:val="20"/>
          <w:color w:val="auto"/>
        </w:rPr>
      </w:pPr>
    </w:p>
    <w:p>
      <w:pPr>
        <w:ind w:left="567" w:hanging="567"/>
        <w:spacing w:after="0"/>
        <w:tabs>
          <w:tab w:leader="none" w:pos="567" w:val="left"/>
        </w:tabs>
        <w:numPr>
          <w:ilvl w:val="0"/>
          <w:numId w:val="36"/>
        </w:numPr>
        <w:rPr>
          <w:rFonts w:ascii="Arial" w:cs="Arial" w:eastAsia="Arial" w:hAnsi="Arial"/>
          <w:sz w:val="16"/>
          <w:szCs w:val="16"/>
          <w:color w:val="auto"/>
        </w:rPr>
      </w:pPr>
      <w:r>
        <w:rPr>
          <w:rFonts w:ascii="Arial" w:cs="Arial" w:eastAsia="Arial" w:hAnsi="Arial"/>
          <w:sz w:val="16"/>
          <w:szCs w:val="16"/>
          <w:b w:val="1"/>
          <w:bCs w:val="1"/>
          <w:color w:val="auto"/>
        </w:rPr>
        <w:t>Voluntary Termination</w:t>
      </w:r>
      <w:r>
        <w:rPr>
          <w:rFonts w:ascii="Arial" w:cs="Arial" w:eastAsia="Arial" w:hAnsi="Arial"/>
          <w:sz w:val="16"/>
          <w:szCs w:val="16"/>
          <w:color w:val="auto"/>
        </w:rPr>
        <w:t>. Upon sixty (60) days prior written notice to Employer (or such shorter period as may be permitted by Employer),</w:t>
      </w:r>
    </w:p>
    <w:p>
      <w:pPr>
        <w:sectPr>
          <w:pgSz w:w="11900" w:h="16838" w:orient="portrait"/>
          <w:cols w:equalWidth="0" w:num="1">
            <w:col w:w="10487"/>
          </w:cols>
          <w:pgMar w:left="1153" w:top="280" w:right="259" w:bottom="1440" w:gutter="0" w:footer="0" w:header="0"/>
        </w:sectPr>
      </w:pPr>
    </w:p>
    <w:bookmarkStart w:id="47" w:name="page48"/>
    <w:bookmarkEnd w:id="47"/>
    <w:p>
      <w:pPr>
        <w:ind w:left="1016"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may voluntarily terminate his employment with Employer prior to the end of the Agreement Term for any reason. If Executive voluntarily terminates his employment pursuant to this subsection (f), he shall be entitled to receive accrued Base Salary through the date of the termination of his employment and other employee benefits to which Executive is entitled upon his termination of employment with Employer, in accordance with the terms of the plans and programs of Employer including without limitation any accrued, but unpaid, AIP payments attributable to completed fiscal years.</w:t>
      </w:r>
    </w:p>
    <w:p>
      <w:pPr>
        <w:spacing w:after="0" w:line="56" w:lineRule="exact"/>
        <w:rPr>
          <w:sz w:val="20"/>
          <w:szCs w:val="20"/>
          <w:color w:val="auto"/>
        </w:rPr>
      </w:pPr>
    </w:p>
    <w:p>
      <w:pPr>
        <w:ind w:left="1016" w:right="140" w:hanging="567"/>
        <w:spacing w:after="0" w:line="291" w:lineRule="auto"/>
        <w:tabs>
          <w:tab w:leader="none" w:pos="1016" w:val="left"/>
        </w:tabs>
        <w:numPr>
          <w:ilvl w:val="1"/>
          <w:numId w:val="37"/>
        </w:numPr>
        <w:rPr>
          <w:rFonts w:ascii="Arial" w:cs="Arial" w:eastAsia="Arial" w:hAnsi="Arial"/>
          <w:sz w:val="16"/>
          <w:szCs w:val="16"/>
          <w:color w:val="auto"/>
        </w:rPr>
      </w:pPr>
      <w:r>
        <w:rPr>
          <w:rFonts w:ascii="Arial" w:cs="Arial" w:eastAsia="Arial" w:hAnsi="Arial"/>
          <w:sz w:val="16"/>
          <w:szCs w:val="16"/>
          <w:b w:val="1"/>
          <w:bCs w:val="1"/>
          <w:color w:val="auto"/>
        </w:rPr>
        <w:t xml:space="preserve">Termination of Agreement Term. </w:t>
      </w:r>
      <w:r>
        <w:rPr>
          <w:rFonts w:ascii="Arial" w:cs="Arial" w:eastAsia="Arial" w:hAnsi="Arial"/>
          <w:sz w:val="16"/>
          <w:szCs w:val="16"/>
          <w:color w:val="auto"/>
        </w:rPr>
        <w:t>If the Agreement expires by its terms on December 31, 2012 (or such earlier date as mutually agreed</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the parties), Executive shall be entitled to receive (i) accrued Base Salary through the date of the termination of his employment, (ii) any accrued, but unpaid, AIP payments attributable to completed fiscal years, (iii) full vesting of all New Agreement Awards that have not fully vested with the delivery of any performance shares made in accordance with the terms and conditions set forth in Exhibit A (and Executive shall have until the fourth anniversary of the termination date to exercise any New Agreement Options that are then vested but unexercised, or that become vested as a result of the foregoing), and (iv) all other employee benefits to which Executive is entitled upon his termination of employment with Employer, in accordance with the terms of the plans and programs of Employer.</w:t>
      </w:r>
    </w:p>
    <w:p>
      <w:pPr>
        <w:spacing w:after="0" w:line="32" w:lineRule="exact"/>
        <w:rPr>
          <w:rFonts w:ascii="Arial" w:cs="Arial" w:eastAsia="Arial" w:hAnsi="Arial"/>
          <w:sz w:val="16"/>
          <w:szCs w:val="16"/>
          <w:color w:val="auto"/>
        </w:rPr>
      </w:pPr>
    </w:p>
    <w:p>
      <w:pPr>
        <w:jc w:val="both"/>
        <w:ind w:left="1016" w:right="20" w:hanging="567"/>
        <w:spacing w:after="0" w:line="262" w:lineRule="auto"/>
        <w:tabs>
          <w:tab w:leader="none" w:pos="1016" w:val="left"/>
        </w:tabs>
        <w:numPr>
          <w:ilvl w:val="1"/>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Mitigation. </w:t>
      </w:r>
      <w:r>
        <w:rPr>
          <w:rFonts w:ascii="Arial" w:cs="Arial" w:eastAsia="Arial" w:hAnsi="Arial"/>
          <w:sz w:val="18"/>
          <w:szCs w:val="18"/>
          <w:color w:val="auto"/>
        </w:rPr>
        <w:t>In no event shall Executive be obligated to seek other employment or take any other action by way of mitigation of the amounts</w:t>
      </w:r>
      <w:r>
        <w:rPr>
          <w:rFonts w:ascii="Arial" w:cs="Arial" w:eastAsia="Arial" w:hAnsi="Arial"/>
          <w:sz w:val="18"/>
          <w:szCs w:val="18"/>
          <w:b w:val="1"/>
          <w:bCs w:val="1"/>
          <w:color w:val="auto"/>
        </w:rPr>
        <w:t xml:space="preserve"> </w:t>
      </w:r>
      <w:r>
        <w:rPr>
          <w:rFonts w:ascii="Arial" w:cs="Arial" w:eastAsia="Arial" w:hAnsi="Arial"/>
          <w:sz w:val="18"/>
          <w:szCs w:val="18"/>
          <w:color w:val="auto"/>
        </w:rPr>
        <w:t>payable to Executive under any of the provisions of this Agreement, and such amounts shall not be reduced whether or not Executive obtains other employment.</w:t>
      </w:r>
    </w:p>
    <w:p>
      <w:pPr>
        <w:spacing w:after="0" w:line="51" w:lineRule="exact"/>
        <w:rPr>
          <w:rFonts w:ascii="Arial" w:cs="Arial" w:eastAsia="Arial" w:hAnsi="Arial"/>
          <w:sz w:val="18"/>
          <w:szCs w:val="18"/>
          <w:color w:val="auto"/>
        </w:rPr>
      </w:pPr>
    </w:p>
    <w:p>
      <w:pPr>
        <w:ind w:left="1016" w:right="140" w:hanging="567"/>
        <w:spacing w:after="0" w:line="339" w:lineRule="auto"/>
        <w:tabs>
          <w:tab w:leader="none" w:pos="1016" w:val="left"/>
        </w:tabs>
        <w:numPr>
          <w:ilvl w:val="1"/>
          <w:numId w:val="37"/>
        </w:numPr>
        <w:rPr>
          <w:rFonts w:ascii="Arial" w:cs="Arial" w:eastAsia="Arial" w:hAnsi="Arial"/>
          <w:sz w:val="16"/>
          <w:szCs w:val="16"/>
          <w:color w:val="auto"/>
        </w:rPr>
      </w:pPr>
      <w:r>
        <w:rPr>
          <w:rFonts w:ascii="Arial" w:cs="Arial" w:eastAsia="Arial" w:hAnsi="Arial"/>
          <w:sz w:val="16"/>
          <w:szCs w:val="16"/>
          <w:b w:val="1"/>
          <w:bCs w:val="1"/>
          <w:color w:val="auto"/>
        </w:rPr>
        <w:t>Treatment of Pre Effective Date Options and Awards</w:t>
      </w:r>
      <w:r>
        <w:rPr>
          <w:rFonts w:ascii="Arial" w:cs="Arial" w:eastAsia="Arial" w:hAnsi="Arial"/>
          <w:sz w:val="16"/>
          <w:szCs w:val="16"/>
          <w:color w:val="auto"/>
        </w:rPr>
        <w:t>. All awards of options and restricted stock granted prior to the Effective Date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governed by the terms and conditions of such awards at the time of grant (including the applicable provisions of the 2006 Agreement).</w:t>
      </w:r>
    </w:p>
    <w:p>
      <w:pPr>
        <w:spacing w:after="0" w:line="74" w:lineRule="exact"/>
        <w:rPr>
          <w:rFonts w:ascii="Arial" w:cs="Arial" w:eastAsia="Arial" w:hAnsi="Arial"/>
          <w:sz w:val="16"/>
          <w:szCs w:val="16"/>
          <w:color w:val="auto"/>
        </w:rPr>
      </w:pPr>
    </w:p>
    <w:p>
      <w:pPr>
        <w:ind w:left="-464" w:firstLine="464"/>
        <w:spacing w:after="0" w:line="275" w:lineRule="auto"/>
        <w:tabs>
          <w:tab w:leader="none" w:pos="168"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Confidential Information and Non-Compete</w:t>
      </w:r>
      <w:r>
        <w:rPr>
          <w:rFonts w:ascii="Arial" w:cs="Arial" w:eastAsia="Arial" w:hAnsi="Arial"/>
          <w:sz w:val="18"/>
          <w:szCs w:val="18"/>
          <w:color w:val="auto"/>
        </w:rPr>
        <w:t>. Executive acknowledges that the successful development of Employer’s services and products,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Employer’s trading programs and systems, current and potential customer and business relationships, and business</w:t>
      </w:r>
    </w:p>
    <w:p>
      <w:pPr>
        <w:sectPr>
          <w:pgSz w:w="11900" w:h="16838" w:orient="portrait"/>
          <w:cols w:equalWidth="0" w:num="1">
            <w:col w:w="10956"/>
          </w:cols>
          <w:pgMar w:left="704" w:top="280" w:right="239" w:bottom="1440" w:gutter="0" w:footer="0" w:header="0"/>
        </w:sectPr>
      </w:pPr>
    </w:p>
    <w:bookmarkStart w:id="48" w:name="page49"/>
    <w:bookmarkEnd w:id="48"/>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strategies and plans requires substantial time and expense. Such efforts generate for Employer valuable and proprietary information (“</w:t>
      </w:r>
      <w:r>
        <w:rPr>
          <w:rFonts w:ascii="Arial" w:cs="Arial" w:eastAsia="Arial" w:hAnsi="Arial"/>
          <w:sz w:val="18"/>
          <w:szCs w:val="18"/>
          <w:i w:val="1"/>
          <w:iCs w:val="1"/>
          <w:color w:val="auto"/>
        </w:rPr>
        <w:t>Confidential Information</w:t>
      </w:r>
      <w:r>
        <w:rPr>
          <w:rFonts w:ascii="Arial" w:cs="Arial" w:eastAsia="Arial" w:hAnsi="Arial"/>
          <w:sz w:val="18"/>
          <w:szCs w:val="18"/>
          <w:color w:val="auto"/>
        </w:rPr>
        <w:t>”) which gives Employer a business advantage over others who do not have such information. Confidential Information includes, but is not limited to the following: trade secrets, technical, business, proprietary or financial information of Employer not generally known to the public, business plans, proposals, past and current prospect and customer lists, trading methodologies, systems and programs, training materials, research data bases and computer software; but shall not include information or ideas acquired by Executive prior to his employment with Employer if such pre-existing information is generally known in the industry and is not proprietary to Employer.</w:t>
      </w:r>
    </w:p>
    <w:p>
      <w:pPr>
        <w:spacing w:after="0" w:line="63" w:lineRule="exact"/>
        <w:rPr>
          <w:sz w:val="20"/>
          <w:szCs w:val="20"/>
          <w:color w:val="auto"/>
        </w:rPr>
      </w:pPr>
    </w:p>
    <w:p>
      <w:pPr>
        <w:ind w:left="1480" w:right="60" w:hanging="567"/>
        <w:spacing w:after="0" w:line="287" w:lineRule="auto"/>
        <w:tabs>
          <w:tab w:leader="none" w:pos="14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Executive shall not at anytime during the Agreement Term </w:t>
      </w:r>
      <w:r>
        <w:rPr>
          <w:rFonts w:ascii="Arial" w:cs="Arial" w:eastAsia="Arial" w:hAnsi="Arial"/>
          <w:sz w:val="16"/>
          <w:szCs w:val="16"/>
          <w:i w:val="1"/>
          <w:iCs w:val="1"/>
          <w:color w:val="auto"/>
        </w:rPr>
        <w:t>or thereafter</w:t>
      </w:r>
      <w:r>
        <w:rPr>
          <w:rFonts w:ascii="Arial" w:cs="Arial" w:eastAsia="Arial" w:hAnsi="Arial"/>
          <w:sz w:val="16"/>
          <w:szCs w:val="16"/>
          <w:color w:val="auto"/>
        </w:rPr>
        <w:t>, make use of or disclose, directly or indirectly to any competitor or potential competitor of Employer, or divulge, disclose or communicate to any person, firm, corporation, or other legal entity in any manner whatsoever, or for his own benefit and that of any person or entity other than Employer, any Confidential Information. This subsection shall not apply to the extent Executive remains employed by Employer and is required to disclose Confidential Information to any regulatory agency or as otherwise required by law. This subsection shall not apply following termination for any reason to the extent Executive is required by law to testify in a legislative, judicial or regulatory proceeding, or is otherwise required by law to disclose Confidential Information; provided, however, that following termination for any reason, Executive will promptly notify Employer if Executive is requested by any entity or person to divulge Confidential information, and will use his best efforts to ensure that Employer has sufficient time to intervene and/or object to such disclosure or otherwise act to protect its interests. Executive shall not disclose any Confidential Information while any such objection is pending.</w:t>
      </w:r>
    </w:p>
    <w:p>
      <w:pPr>
        <w:spacing w:after="0" w:line="41" w:lineRule="exact"/>
        <w:rPr>
          <w:rFonts w:ascii="Arial" w:cs="Arial" w:eastAsia="Arial" w:hAnsi="Arial"/>
          <w:sz w:val="16"/>
          <w:szCs w:val="16"/>
          <w:color w:val="auto"/>
        </w:rPr>
      </w:pPr>
    </w:p>
    <w:p>
      <w:pPr>
        <w:ind w:left="1480" w:right="40" w:hanging="567"/>
        <w:spacing w:after="0" w:line="298" w:lineRule="auto"/>
        <w:tabs>
          <w:tab w:leader="none" w:pos="14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Executive agrees that while employed and for a period of one (1) year following the termination of his employment with Employer for any reason, the Executive will not accept employment with or act or provide services as an independent contractor or consultant for or on behalf of any derivatives exchange or for any person, organization or entity providing clearing services. Executive acknowledges that such restriction is necessary to protect the Confidential Information he learned through his employment with Employer.</w:t>
      </w:r>
    </w:p>
    <w:p>
      <w:pPr>
        <w:sectPr>
          <w:pgSz w:w="11900" w:h="16838" w:orient="portrait"/>
          <w:cols w:equalWidth="0" w:num="1">
            <w:col w:w="11360"/>
          </w:cols>
          <w:pgMar w:left="240" w:top="280" w:right="299" w:bottom="1440" w:gutter="0" w:footer="0" w:header="0"/>
        </w:sectPr>
      </w:pPr>
    </w:p>
    <w:bookmarkStart w:id="49" w:name="page50"/>
    <w:bookmarkEnd w:id="49"/>
    <w:p>
      <w:pPr>
        <w:ind w:left="1016" w:right="40" w:hanging="567"/>
        <w:spacing w:after="0" w:line="256" w:lineRule="auto"/>
        <w:tabs>
          <w:tab w:leader="none" w:pos="1016" w:val="left"/>
        </w:tabs>
        <w:numPr>
          <w:ilvl w:val="1"/>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termination for any reason, Executive shall return to Employer all records, memoranda, notes, plans, reports, computer tapes and equipment, software and other documents or data which constitute Confidential Information which he may then possess or have under his control (together with all copies thereof) and all credit cards, keys and other materials and equipment which are Employer’s property that he has in his possession or control.</w:t>
      </w:r>
    </w:p>
    <w:p>
      <w:pPr>
        <w:spacing w:after="0" w:line="62" w:lineRule="exact"/>
        <w:rPr>
          <w:rFonts w:ascii="Arial" w:cs="Arial" w:eastAsia="Arial" w:hAnsi="Arial"/>
          <w:sz w:val="18"/>
          <w:szCs w:val="18"/>
          <w:color w:val="auto"/>
        </w:rPr>
      </w:pPr>
    </w:p>
    <w:p>
      <w:pPr>
        <w:jc w:val="both"/>
        <w:ind w:left="1016" w:right="100" w:hanging="567"/>
        <w:spacing w:after="0" w:line="306" w:lineRule="auto"/>
        <w:tabs>
          <w:tab w:leader="none" w:pos="1016" w:val="left"/>
        </w:tabs>
        <w:numPr>
          <w:ilvl w:val="1"/>
          <w:numId w:val="40"/>
        </w:numPr>
        <w:rPr>
          <w:rFonts w:ascii="Arial" w:cs="Arial" w:eastAsia="Arial" w:hAnsi="Arial"/>
          <w:sz w:val="16"/>
          <w:szCs w:val="16"/>
          <w:color w:val="auto"/>
        </w:rPr>
      </w:pPr>
      <w:r>
        <w:rPr>
          <w:rFonts w:ascii="Arial" w:cs="Arial" w:eastAsia="Arial" w:hAnsi="Arial"/>
          <w:sz w:val="16"/>
          <w:szCs w:val="16"/>
          <w:color w:val="auto"/>
        </w:rPr>
        <w:t>If a court holds that the restrictions stated herein are unreasonable, the parties hereto agree that the maximum period, scope or geographical area reasonable under the circumstances shall be substituted for the stated period, scope or area and that the court shall be allowed to revise the restrictions contained herein to cover the maximum period, scope and area permitted by law.</w:t>
      </w:r>
    </w:p>
    <w:p>
      <w:pPr>
        <w:spacing w:after="0" w:line="100" w:lineRule="exact"/>
        <w:rPr>
          <w:rFonts w:ascii="Arial" w:cs="Arial" w:eastAsia="Arial" w:hAnsi="Arial"/>
          <w:sz w:val="16"/>
          <w:szCs w:val="16"/>
          <w:color w:val="auto"/>
        </w:rPr>
      </w:pPr>
    </w:p>
    <w:p>
      <w:pPr>
        <w:ind w:left="176" w:hanging="176"/>
        <w:spacing w:after="0"/>
        <w:tabs>
          <w:tab w:leader="none" w:pos="176"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Non-solicitation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016" w:right="300" w:hanging="567"/>
        <w:spacing w:after="0" w:line="357" w:lineRule="auto"/>
        <w:tabs>
          <w:tab w:leader="none" w:pos="1016" w:val="left"/>
        </w:tabs>
        <w:numPr>
          <w:ilvl w:val="1"/>
          <w:numId w:val="41"/>
        </w:numPr>
        <w:rPr>
          <w:rFonts w:ascii="Arial" w:cs="Arial" w:eastAsia="Arial" w:hAnsi="Arial"/>
          <w:sz w:val="15"/>
          <w:szCs w:val="15"/>
          <w:color w:val="auto"/>
        </w:rPr>
      </w:pPr>
      <w:r>
        <w:rPr>
          <w:rFonts w:ascii="Arial" w:cs="Arial" w:eastAsia="Arial" w:hAnsi="Arial"/>
          <w:sz w:val="15"/>
          <w:szCs w:val="15"/>
          <w:b w:val="1"/>
          <w:bCs w:val="1"/>
          <w:color w:val="auto"/>
        </w:rPr>
        <w:t>General</w:t>
      </w:r>
      <w:r>
        <w:rPr>
          <w:rFonts w:ascii="Arial" w:cs="Arial" w:eastAsia="Arial" w:hAnsi="Arial"/>
          <w:sz w:val="15"/>
          <w:szCs w:val="15"/>
          <w:color w:val="auto"/>
        </w:rPr>
        <w:t>. Executive acknowledges that Employer invests in recruiting and training, and shares Confidential Information with, it its</w:t>
      </w:r>
      <w:r>
        <w:rPr>
          <w:rFonts w:ascii="Arial" w:cs="Arial" w:eastAsia="Arial" w:hAnsi="Arial"/>
          <w:sz w:val="15"/>
          <w:szCs w:val="15"/>
          <w:b w:val="1"/>
          <w:bCs w:val="1"/>
          <w:color w:val="auto"/>
        </w:rPr>
        <w:t xml:space="preserve"> </w:t>
      </w:r>
      <w:r>
        <w:rPr>
          <w:rFonts w:ascii="Arial" w:cs="Arial" w:eastAsia="Arial" w:hAnsi="Arial"/>
          <w:sz w:val="15"/>
          <w:szCs w:val="15"/>
          <w:color w:val="auto"/>
        </w:rPr>
        <w:t>employees. As a result, Executive acknowledges that Employer’s employees are of special, unique and extraordinary value to Employer.</w:t>
      </w:r>
    </w:p>
    <w:p>
      <w:pPr>
        <w:jc w:val="both"/>
        <w:ind w:left="1016" w:right="40" w:hanging="567"/>
        <w:spacing w:after="0" w:line="262" w:lineRule="auto"/>
        <w:tabs>
          <w:tab w:leader="none" w:pos="1016" w:val="left"/>
        </w:tabs>
        <w:numPr>
          <w:ilvl w:val="1"/>
          <w:numId w:val="41"/>
        </w:numPr>
        <w:rPr>
          <w:rFonts w:ascii="Arial" w:cs="Arial" w:eastAsia="Arial" w:hAnsi="Arial"/>
          <w:sz w:val="18"/>
          <w:szCs w:val="18"/>
          <w:color w:val="auto"/>
        </w:rPr>
      </w:pPr>
      <w:r>
        <w:rPr>
          <w:rFonts w:ascii="Arial" w:cs="Arial" w:eastAsia="Arial" w:hAnsi="Arial"/>
          <w:sz w:val="18"/>
          <w:szCs w:val="18"/>
          <w:b w:val="1"/>
          <w:bCs w:val="1"/>
          <w:color w:val="auto"/>
        </w:rPr>
        <w:t>Non-solicitation</w:t>
      </w:r>
      <w:r>
        <w:rPr>
          <w:rFonts w:ascii="Arial" w:cs="Arial" w:eastAsia="Arial" w:hAnsi="Arial"/>
          <w:sz w:val="18"/>
          <w:szCs w:val="18"/>
          <w:color w:val="auto"/>
        </w:rPr>
        <w:t>. Executive further agrees that for a period of one (1) year following the termination of his employment with Employer for</w:t>
      </w:r>
      <w:r>
        <w:rPr>
          <w:rFonts w:ascii="Arial" w:cs="Arial" w:eastAsia="Arial" w:hAnsi="Arial"/>
          <w:sz w:val="18"/>
          <w:szCs w:val="18"/>
          <w:b w:val="1"/>
          <w:bCs w:val="1"/>
          <w:color w:val="auto"/>
        </w:rPr>
        <w:t xml:space="preserve"> </w:t>
      </w:r>
      <w:r>
        <w:rPr>
          <w:rFonts w:ascii="Arial" w:cs="Arial" w:eastAsia="Arial" w:hAnsi="Arial"/>
          <w:sz w:val="18"/>
          <w:szCs w:val="18"/>
          <w:color w:val="auto"/>
        </w:rPr>
        <w:t>any reason he shall not in any manner, directly or indirectly, induce or attempt to induce any employee of Employer to terminate or abandon his or her employment with Employer for any purpose whatsoever.</w:t>
      </w:r>
    </w:p>
    <w:p>
      <w:pPr>
        <w:spacing w:after="0" w:line="51" w:lineRule="exact"/>
        <w:rPr>
          <w:rFonts w:ascii="Arial" w:cs="Arial" w:eastAsia="Arial" w:hAnsi="Arial"/>
          <w:sz w:val="18"/>
          <w:szCs w:val="18"/>
          <w:color w:val="auto"/>
        </w:rPr>
      </w:pPr>
    </w:p>
    <w:p>
      <w:pPr>
        <w:ind w:left="1016" w:right="220" w:hanging="567"/>
        <w:spacing w:after="0" w:line="310" w:lineRule="auto"/>
        <w:tabs>
          <w:tab w:leader="none" w:pos="1016" w:val="left"/>
        </w:tabs>
        <w:numPr>
          <w:ilvl w:val="1"/>
          <w:numId w:val="41"/>
        </w:numPr>
        <w:rPr>
          <w:rFonts w:ascii="Arial" w:cs="Arial" w:eastAsia="Arial" w:hAnsi="Arial"/>
          <w:sz w:val="16"/>
          <w:szCs w:val="16"/>
          <w:color w:val="auto"/>
        </w:rPr>
      </w:pPr>
      <w:r>
        <w:rPr>
          <w:rFonts w:ascii="Arial" w:cs="Arial" w:eastAsia="Arial" w:hAnsi="Arial"/>
          <w:sz w:val="16"/>
          <w:szCs w:val="16"/>
          <w:b w:val="1"/>
          <w:bCs w:val="1"/>
          <w:color w:val="auto"/>
        </w:rPr>
        <w:t>Reformation</w:t>
      </w:r>
      <w:r>
        <w:rPr>
          <w:rFonts w:ascii="Arial" w:cs="Arial" w:eastAsia="Arial" w:hAnsi="Arial"/>
          <w:sz w:val="16"/>
          <w:szCs w:val="16"/>
          <w:color w:val="auto"/>
        </w:rPr>
        <w:t>. If a court holds that the restrictions stated in this Section 8 are unreasonable, the parties hereto agree that the maximum</w:t>
      </w:r>
      <w:r>
        <w:rPr>
          <w:rFonts w:ascii="Arial" w:cs="Arial" w:eastAsia="Arial" w:hAnsi="Arial"/>
          <w:sz w:val="16"/>
          <w:szCs w:val="16"/>
          <w:b w:val="1"/>
          <w:bCs w:val="1"/>
          <w:color w:val="auto"/>
        </w:rPr>
        <w:t xml:space="preserve"> </w:t>
      </w:r>
      <w:r>
        <w:rPr>
          <w:rFonts w:ascii="Arial" w:cs="Arial" w:eastAsia="Arial" w:hAnsi="Arial"/>
          <w:sz w:val="16"/>
          <w:szCs w:val="16"/>
          <w:color w:val="auto"/>
        </w:rPr>
        <w:t>period, scope or geographical area reasonable under the circumstances shall be substituted for the stated period, scope or area and that the court shall be allowed to revise the restrictions contained herein to cover the maximum period, scope and area permitted by law.</w:t>
      </w:r>
    </w:p>
    <w:p>
      <w:pPr>
        <w:spacing w:after="0" w:line="97" w:lineRule="exact"/>
        <w:rPr>
          <w:rFonts w:ascii="Arial" w:cs="Arial" w:eastAsia="Arial" w:hAnsi="Arial"/>
          <w:sz w:val="16"/>
          <w:szCs w:val="16"/>
          <w:color w:val="auto"/>
        </w:rPr>
      </w:pPr>
    </w:p>
    <w:p>
      <w:pPr>
        <w:ind w:left="-464" w:firstLine="464"/>
        <w:spacing w:after="0" w:line="275" w:lineRule="auto"/>
        <w:tabs>
          <w:tab w:leader="none" w:pos="168"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Intellectual Property</w:t>
      </w:r>
      <w:r>
        <w:rPr>
          <w:rFonts w:ascii="Arial" w:cs="Arial" w:eastAsia="Arial" w:hAnsi="Arial"/>
          <w:sz w:val="18"/>
          <w:szCs w:val="18"/>
          <w:color w:val="auto"/>
        </w:rPr>
        <w:t>. During the Agreement Term, Executive shall disclose to Employer and treat as confidential information all ideas, methodologies,</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and technology applications that he develops during the course of his employment with Employer that relates</w:t>
      </w:r>
    </w:p>
    <w:p>
      <w:pPr>
        <w:sectPr>
          <w:pgSz w:w="11900" w:h="16838" w:orient="portrait"/>
          <w:cols w:equalWidth="0" w:num="1">
            <w:col w:w="10896"/>
          </w:cols>
          <w:pgMar w:left="704" w:top="280" w:right="299" w:bottom="1440" w:gutter="0" w:footer="0" w:header="0"/>
        </w:sectPr>
      </w:pPr>
    </w:p>
    <w:bookmarkStart w:id="50" w:name="page51"/>
    <w:bookmarkEnd w:id="50"/>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directly or indirectly to Employer’s business. Executive hereby assigns to Employer his entire right, title and interest in and to all discoveries and improvements, patentable or otherwise, trade secrets and ideas, writings and copyrightable material, which may be conceived by Executive or developed or acquired by him during his employment with Employer, which may pertain directly or indirectly to the business of the Employer. Executive shall at any time during or after the Agreement Term, upon Employer’s request, execute, acknowledge and deliver to Employer all instruments and do all other acts which are necessary or desirable to enable Employer to file and prosecute applications for, and to acquire, maintain and enforce, all patents, trademarks and copyrights in all countries with respect to intellectual property developed or which was being developed during Executive’s employment with Employer.</w:t>
      </w:r>
    </w:p>
    <w:p>
      <w:pPr>
        <w:spacing w:after="0" w:line="114" w:lineRule="exact"/>
        <w:rPr>
          <w:sz w:val="20"/>
          <w:szCs w:val="20"/>
          <w:color w:val="auto"/>
        </w:rPr>
      </w:pPr>
    </w:p>
    <w:p>
      <w:pPr>
        <w:ind w:right="100" w:firstLine="464"/>
        <w:spacing w:after="0" w:line="291" w:lineRule="auto"/>
        <w:tabs>
          <w:tab w:leader="none" w:pos="720" w:val="left"/>
        </w:tabs>
        <w:numPr>
          <w:ilvl w:val="0"/>
          <w:numId w:val="42"/>
        </w:numPr>
        <w:rPr>
          <w:rFonts w:ascii="Arial" w:cs="Arial" w:eastAsia="Arial" w:hAnsi="Arial"/>
          <w:sz w:val="16"/>
          <w:szCs w:val="16"/>
          <w:color w:val="auto"/>
        </w:rPr>
      </w:pPr>
      <w:r>
        <w:rPr>
          <w:rFonts w:ascii="Arial" w:cs="Arial" w:eastAsia="Arial" w:hAnsi="Arial"/>
          <w:sz w:val="16"/>
          <w:szCs w:val="16"/>
          <w:b w:val="1"/>
          <w:bCs w:val="1"/>
          <w:color w:val="auto"/>
        </w:rPr>
        <w:t>Remedies</w:t>
      </w:r>
      <w:r>
        <w:rPr>
          <w:rFonts w:ascii="Arial" w:cs="Arial" w:eastAsia="Arial" w:hAnsi="Arial"/>
          <w:sz w:val="16"/>
          <w:szCs w:val="16"/>
          <w:color w:val="auto"/>
        </w:rPr>
        <w:t>. Executive agrees that given the nature of Employer’s business, the scope and duration of the restrictions in Sections 7, 8 and 9 are</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reasonable and necessary to protect the legitimate business interests of Employer and do not unduly interfere with Executive’s career or economic pursuits. Executive recognizes and agrees that a breach of any or all of the provisions of Sections 7, 8 and 9 will constitute immediate and irreparable harm to Employer’s business, for which damages cannot be readily calculated and for which damages is an inadequate remedy. Accordingly, Executive acknowledges that Employer shall therefore be entitled to seek an injunction or injunctions to prevent any breach or threatened breach of any such Section. Executive agrees to reimburse Employer for all costs and expenses, including reasonable attorney’s fees and costs, incurred by Employer in connection with the enforcement of its rights under Sections 7, 8 and 9 of this Agreement.</w:t>
      </w:r>
    </w:p>
    <w:p>
      <w:pPr>
        <w:spacing w:after="0" w:line="113" w:lineRule="exact"/>
        <w:rPr>
          <w:rFonts w:ascii="Arial" w:cs="Arial" w:eastAsia="Arial" w:hAnsi="Arial"/>
          <w:sz w:val="16"/>
          <w:szCs w:val="16"/>
          <w:color w:val="auto"/>
        </w:rPr>
      </w:pPr>
    </w:p>
    <w:p>
      <w:pPr>
        <w:ind w:right="180" w:firstLine="464"/>
        <w:spacing w:after="0" w:line="301" w:lineRule="auto"/>
        <w:tabs>
          <w:tab w:leader="none" w:pos="713" w:val="left"/>
        </w:tabs>
        <w:numPr>
          <w:ilvl w:val="0"/>
          <w:numId w:val="42"/>
        </w:numPr>
        <w:rPr>
          <w:rFonts w:ascii="Arial" w:cs="Arial" w:eastAsia="Arial" w:hAnsi="Arial"/>
          <w:sz w:val="16"/>
          <w:szCs w:val="16"/>
          <w:color w:val="auto"/>
        </w:rPr>
      </w:pPr>
      <w:r>
        <w:rPr>
          <w:rFonts w:ascii="Arial" w:cs="Arial" w:eastAsia="Arial" w:hAnsi="Arial"/>
          <w:sz w:val="16"/>
          <w:szCs w:val="16"/>
          <w:b w:val="1"/>
          <w:bCs w:val="1"/>
          <w:color w:val="auto"/>
        </w:rPr>
        <w:t>Indemnification</w:t>
      </w:r>
      <w:r>
        <w:rPr>
          <w:rFonts w:ascii="Arial" w:cs="Arial" w:eastAsia="Arial" w:hAnsi="Arial"/>
          <w:sz w:val="16"/>
          <w:szCs w:val="16"/>
          <w:color w:val="auto"/>
        </w:rPr>
        <w:t>. To the fullest extent provided by law, Employer will indemnify Executive against and hold him harmless from liabilities of</w:t>
      </w:r>
      <w:r>
        <w:rPr>
          <w:rFonts w:ascii="Arial" w:cs="Arial" w:eastAsia="Arial" w:hAnsi="Arial"/>
          <w:sz w:val="16"/>
          <w:szCs w:val="16"/>
          <w:b w:val="1"/>
          <w:bCs w:val="1"/>
          <w:color w:val="auto"/>
        </w:rPr>
        <w:t xml:space="preserve"> </w:t>
      </w:r>
      <w:r>
        <w:rPr>
          <w:rFonts w:ascii="Arial" w:cs="Arial" w:eastAsia="Arial" w:hAnsi="Arial"/>
          <w:sz w:val="16"/>
          <w:szCs w:val="16"/>
          <w:color w:val="auto"/>
        </w:rPr>
        <w:t>whatsoever kind and nature which may be imposed on, incurred by or asserted against him at any time related to actions taken on behalf of the Employer, including any claims that arise after Executive’s termination of employment for any reason. Employer will purchase Directors and Officer’s insurance coverage that will continue in effect both during the Agreement Term and, while potential liability exists, thereafter.</w:t>
      </w:r>
    </w:p>
    <w:p>
      <w:pPr>
        <w:spacing w:after="0" w:line="103" w:lineRule="exact"/>
        <w:rPr>
          <w:rFonts w:ascii="Arial" w:cs="Arial" w:eastAsia="Arial" w:hAnsi="Arial"/>
          <w:sz w:val="16"/>
          <w:szCs w:val="16"/>
          <w:color w:val="auto"/>
        </w:rPr>
      </w:pPr>
    </w:p>
    <w:p>
      <w:pPr>
        <w:ind w:right="320" w:firstLine="464"/>
        <w:spacing w:after="0" w:line="275"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Survival</w:t>
      </w:r>
      <w:r>
        <w:rPr>
          <w:rFonts w:ascii="Arial" w:cs="Arial" w:eastAsia="Arial" w:hAnsi="Arial"/>
          <w:sz w:val="18"/>
          <w:szCs w:val="18"/>
          <w:color w:val="auto"/>
        </w:rPr>
        <w:t>. Sections 7, 8, 9, 10 and 11 of this Agreement shall survive and continue in full force and effect in accordance with their respective terms,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termination of the Agreement.</w:t>
      </w:r>
    </w:p>
    <w:p>
      <w:pPr>
        <w:spacing w:after="0" w:line="119" w:lineRule="exact"/>
        <w:rPr>
          <w:rFonts w:ascii="Arial" w:cs="Arial" w:eastAsia="Arial" w:hAnsi="Arial"/>
          <w:sz w:val="18"/>
          <w:szCs w:val="18"/>
          <w:color w:val="auto"/>
        </w:rPr>
      </w:pPr>
    </w:p>
    <w:p>
      <w:pPr>
        <w:ind w:firstLine="464"/>
        <w:spacing w:after="0" w:line="338" w:lineRule="auto"/>
        <w:tabs>
          <w:tab w:leader="none" w:pos="720" w:val="left"/>
        </w:tabs>
        <w:numPr>
          <w:ilvl w:val="0"/>
          <w:numId w:val="42"/>
        </w:numPr>
        <w:rPr>
          <w:rFonts w:ascii="Arial" w:cs="Arial" w:eastAsia="Arial" w:hAnsi="Arial"/>
          <w:sz w:val="16"/>
          <w:szCs w:val="16"/>
          <w:color w:val="auto"/>
        </w:rPr>
      </w:pPr>
      <w:r>
        <w:rPr>
          <w:rFonts w:ascii="Arial" w:cs="Arial" w:eastAsia="Arial" w:hAnsi="Arial"/>
          <w:sz w:val="16"/>
          <w:szCs w:val="16"/>
          <w:b w:val="1"/>
          <w:bCs w:val="1"/>
          <w:color w:val="auto"/>
        </w:rPr>
        <w:t>Arbitration</w:t>
      </w:r>
      <w:r>
        <w:rPr>
          <w:rFonts w:ascii="Arial" w:cs="Arial" w:eastAsia="Arial" w:hAnsi="Arial"/>
          <w:sz w:val="16"/>
          <w:szCs w:val="16"/>
          <w:color w:val="auto"/>
        </w:rPr>
        <w:t>. Except with respect to Sections 7, 8, and 9 any dispute or controversy between Employer and Executive, whether arising out of or relating</w:t>
      </w:r>
      <w:r>
        <w:rPr>
          <w:rFonts w:ascii="Arial" w:cs="Arial" w:eastAsia="Arial" w:hAnsi="Arial"/>
          <w:sz w:val="16"/>
          <w:szCs w:val="16"/>
          <w:b w:val="1"/>
          <w:bCs w:val="1"/>
          <w:color w:val="auto"/>
        </w:rPr>
        <w:t xml:space="preserve"> </w:t>
      </w:r>
      <w:r>
        <w:rPr>
          <w:rFonts w:ascii="Arial" w:cs="Arial" w:eastAsia="Arial" w:hAnsi="Arial"/>
          <w:sz w:val="16"/>
          <w:szCs w:val="16"/>
          <w:color w:val="auto"/>
        </w:rPr>
        <w:t>to this Agreement, the breach of this Agreement, or otherwise, shall be settled by arbitration in Chicago, Illinois, in accordance with the following:</w:t>
      </w:r>
    </w:p>
    <w:p>
      <w:pPr>
        <w:ind w:left="1480" w:right="280" w:hanging="567"/>
        <w:spacing w:after="0" w:line="268" w:lineRule="auto"/>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Arbitration hearings will be conducted by the American Arbitration Association (“</w:t>
      </w:r>
      <w:r>
        <w:rPr>
          <w:rFonts w:ascii="Arial" w:cs="Arial" w:eastAsia="Arial" w:hAnsi="Arial"/>
          <w:sz w:val="18"/>
          <w:szCs w:val="18"/>
          <w:i w:val="1"/>
          <w:iCs w:val="1"/>
          <w:color w:val="auto"/>
        </w:rPr>
        <w:t>AAA</w:t>
      </w:r>
      <w:r>
        <w:rPr>
          <w:rFonts w:ascii="Arial" w:cs="Arial" w:eastAsia="Arial" w:hAnsi="Arial"/>
          <w:sz w:val="18"/>
          <w:szCs w:val="18"/>
          <w:color w:val="auto"/>
        </w:rPr>
        <w:t>”). Except as modified herein, arbitration hearings will be conducted in accordance with AAA’s employment dispute rules.</w:t>
      </w:r>
    </w:p>
    <w:p>
      <w:pPr>
        <w:sectPr>
          <w:pgSz w:w="11900" w:h="16838" w:orient="portrait"/>
          <w:cols w:equalWidth="0" w:num="1">
            <w:col w:w="11400"/>
          </w:cols>
          <w:pgMar w:left="240" w:top="280" w:right="259" w:bottom="1440" w:gutter="0" w:footer="0" w:header="0"/>
        </w:sectPr>
      </w:pPr>
    </w:p>
    <w:bookmarkStart w:id="51" w:name="page52"/>
    <w:bookmarkEnd w:id="51"/>
    <w:p>
      <w:pPr>
        <w:ind w:left="1020" w:right="300" w:hanging="567"/>
        <w:spacing w:after="0" w:line="259" w:lineRule="auto"/>
        <w:tabs>
          <w:tab w:leader="none" w:pos="1020" w:val="left"/>
        </w:tabs>
        <w:numPr>
          <w:ilvl w:val="1"/>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 and federal laws contain statues of limitation which prescribe the time frames within which parties must file a law suit to have their disputes resolved through the court system. These same statutes of limitation will apply in determining the time frame during which the parties must file a request for arbitration.</w:t>
      </w:r>
    </w:p>
    <w:p>
      <w:pPr>
        <w:spacing w:after="0" w:line="59" w:lineRule="exact"/>
        <w:rPr>
          <w:rFonts w:ascii="Arial" w:cs="Arial" w:eastAsia="Arial" w:hAnsi="Arial"/>
          <w:sz w:val="18"/>
          <w:szCs w:val="18"/>
          <w:color w:val="auto"/>
        </w:rPr>
      </w:pPr>
    </w:p>
    <w:p>
      <w:pPr>
        <w:ind w:left="1020" w:right="100" w:hanging="567"/>
        <w:spacing w:after="0" w:line="332" w:lineRule="auto"/>
        <w:tabs>
          <w:tab w:leader="none" w:pos="1020" w:val="left"/>
        </w:tabs>
        <w:numPr>
          <w:ilvl w:val="1"/>
          <w:numId w:val="43"/>
        </w:numPr>
        <w:rPr>
          <w:rFonts w:ascii="Arial" w:cs="Arial" w:eastAsia="Arial" w:hAnsi="Arial"/>
          <w:sz w:val="16"/>
          <w:szCs w:val="16"/>
          <w:color w:val="auto"/>
        </w:rPr>
      </w:pPr>
      <w:r>
        <w:rPr>
          <w:rFonts w:ascii="Arial" w:cs="Arial" w:eastAsia="Arial" w:hAnsi="Arial"/>
          <w:sz w:val="16"/>
          <w:szCs w:val="16"/>
          <w:color w:val="auto"/>
        </w:rPr>
        <w:t>If Executive seeks arbitration, Executive shall submit a filing fee to the AAA in an amount equal to the lesser of the court filing fee charged in the state or federal court in Chicago, Illinois. The AAA will bill Employer for the balance of the filing and arbitrator’s fees.</w:t>
      </w:r>
    </w:p>
    <w:p>
      <w:pPr>
        <w:spacing w:after="0" w:line="4" w:lineRule="exact"/>
        <w:rPr>
          <w:rFonts w:ascii="Arial" w:cs="Arial" w:eastAsia="Arial" w:hAnsi="Arial"/>
          <w:sz w:val="16"/>
          <w:szCs w:val="16"/>
          <w:color w:val="auto"/>
        </w:rPr>
      </w:pPr>
    </w:p>
    <w:p>
      <w:pPr>
        <w:ind w:left="1020" w:hanging="567"/>
        <w:spacing w:after="0" w:line="306" w:lineRule="auto"/>
        <w:tabs>
          <w:tab w:leader="none" w:pos="1020" w:val="left"/>
        </w:tabs>
        <w:numPr>
          <w:ilvl w:val="1"/>
          <w:numId w:val="43"/>
        </w:numPr>
        <w:rPr>
          <w:rFonts w:ascii="Arial" w:cs="Arial" w:eastAsia="Arial" w:hAnsi="Arial"/>
          <w:sz w:val="16"/>
          <w:szCs w:val="16"/>
          <w:color w:val="auto"/>
        </w:rPr>
      </w:pPr>
      <w:r>
        <w:rPr>
          <w:rFonts w:ascii="Arial" w:cs="Arial" w:eastAsia="Arial" w:hAnsi="Arial"/>
          <w:sz w:val="16"/>
          <w:szCs w:val="16"/>
          <w:color w:val="auto"/>
        </w:rPr>
        <w:t>The arbitrator shall have the same authority to award (and shall be limited to awarding) any remedy or relief that a court of competent jurisdiction could award, including compensatory damages, attorney fees, punitive damages and reinstatement. Employer and Executive may be represented by legal counsel or any other individual at their own expense during an arbitration hearing.</w:t>
      </w:r>
    </w:p>
    <w:p>
      <w:pPr>
        <w:spacing w:after="0" w:line="25" w:lineRule="exact"/>
        <w:rPr>
          <w:rFonts w:ascii="Arial" w:cs="Arial" w:eastAsia="Arial" w:hAnsi="Arial"/>
          <w:sz w:val="16"/>
          <w:szCs w:val="16"/>
          <w:color w:val="auto"/>
        </w:rPr>
      </w:pPr>
    </w:p>
    <w:p>
      <w:pPr>
        <w:ind w:left="1020" w:hanging="567"/>
        <w:spacing w:after="0"/>
        <w:tabs>
          <w:tab w:leader="none" w:pos="10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Judgment on the award rendered by the arbitrator may be entered in any court having jurisdiction thereof.</w:t>
      </w:r>
    </w:p>
    <w:p>
      <w:pPr>
        <w:spacing w:after="0" w:line="90" w:lineRule="exact"/>
        <w:rPr>
          <w:rFonts w:ascii="Arial" w:cs="Arial" w:eastAsia="Arial" w:hAnsi="Arial"/>
          <w:sz w:val="18"/>
          <w:szCs w:val="18"/>
          <w:color w:val="auto"/>
        </w:rPr>
      </w:pPr>
    </w:p>
    <w:p>
      <w:pPr>
        <w:ind w:left="1020" w:right="160" w:hanging="567"/>
        <w:spacing w:after="0" w:line="259" w:lineRule="auto"/>
        <w:tabs>
          <w:tab w:leader="none" w:pos="10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Except as necessary in court proceedings to enforce this arbitration provision or an award rendered hereunder, or to obtain interim relief, neither a party nor an arbitrator may disclose the existence, content or results of any arbitration hereunder without the prior written consent of Employer and Executive.</w:t>
      </w:r>
    </w:p>
    <w:p>
      <w:pPr>
        <w:spacing w:after="0" w:line="134" w:lineRule="exact"/>
        <w:rPr>
          <w:rFonts w:ascii="Arial" w:cs="Arial" w:eastAsia="Arial" w:hAnsi="Arial"/>
          <w:sz w:val="18"/>
          <w:szCs w:val="18"/>
          <w:color w:val="auto"/>
        </w:rPr>
      </w:pPr>
    </w:p>
    <w:p>
      <w:pPr>
        <w:ind w:left="-460" w:right="20" w:firstLine="464"/>
        <w:spacing w:after="0" w:line="256" w:lineRule="auto"/>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 All notices and other communications required or permitted hereunder shall be in writing and shall be deemed given when (i)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personally or by overnight courier to the following address of the other party hereto (or such other address for such party as shall be specified by notice given pursuant to this Section) or (ii) sent by facsimile to the following facsimile number of the other party hereto (or such other facsimile number for such party as shall be specified by notice given pursuant to this Section), with the confirmatory copy delivered by overnight courier to the address of such party pursuant to this Section 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to Employer, to:</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Terrence A. Duffy</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Executive Chairman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CME Group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 South Wacker Drive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Chicago, IL 60606</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(312) 930-3100</w:t>
      </w:r>
    </w:p>
    <w:p>
      <w:pPr>
        <w:sectPr>
          <w:pgSz w:w="11900" w:h="16838" w:orient="portrait"/>
          <w:cols w:equalWidth="0" w:num="1">
            <w:col w:w="10940"/>
          </w:cols>
          <w:pgMar w:left="700" w:top="280" w:right="259" w:bottom="1440" w:gutter="0" w:footer="0" w:header="0"/>
        </w:sectPr>
      </w:pPr>
    </w:p>
    <w:bookmarkStart w:id="52" w:name="page53"/>
    <w:bookmarkEnd w:id="5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a copy to:</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Kathleen M. Cronin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Managing Director, General Counsel and Corporate Secretary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CME Group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 South Wacker Drive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Chicago, IL 60606</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(312) 930-3488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If to Executive, to:</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Craig S. Donohue</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CME Group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 South Wacker Drive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Chicago, IL 60606</w:t>
      </w:r>
    </w:p>
    <w:p>
      <w:pPr>
        <w:spacing w:after="0" w:line="9" w:lineRule="exact"/>
        <w:rPr>
          <w:sz w:val="20"/>
          <w:szCs w:val="20"/>
          <w:color w:val="auto"/>
        </w:rPr>
      </w:pPr>
    </w:p>
    <w:p>
      <w:pPr>
        <w:ind w:left="880" w:hanging="419"/>
        <w:spacing w:after="0"/>
        <w:tabs>
          <w:tab w:leader="none" w:pos="880" w:val="left"/>
        </w:tabs>
        <w:numPr>
          <w:ilvl w:val="1"/>
          <w:numId w:val="45"/>
        </w:numPr>
        <w:rPr>
          <w:rFonts w:ascii="Arial" w:cs="Arial" w:eastAsia="Arial" w:hAnsi="Arial"/>
          <w:sz w:val="16"/>
          <w:szCs w:val="16"/>
          <w:color w:val="auto"/>
        </w:rPr>
      </w:pPr>
      <w:r>
        <w:rPr>
          <w:rFonts w:ascii="Arial" w:cs="Arial" w:eastAsia="Arial" w:hAnsi="Arial"/>
          <w:sz w:val="16"/>
          <w:szCs w:val="16"/>
          <w:color w:val="auto"/>
        </w:rPr>
        <w:t>930-3100</w:t>
      </w:r>
    </w:p>
    <w:p>
      <w:pPr>
        <w:spacing w:after="0" w:line="181" w:lineRule="exact"/>
        <w:rPr>
          <w:rFonts w:ascii="Arial" w:cs="Arial" w:eastAsia="Arial" w:hAnsi="Arial"/>
          <w:sz w:val="16"/>
          <w:szCs w:val="16"/>
          <w:color w:val="auto"/>
        </w:rPr>
      </w:pPr>
    </w:p>
    <w:p>
      <w:pPr>
        <w:ind w:left="-460" w:firstLine="464"/>
        <w:spacing w:after="0" w:line="256" w:lineRule="auto"/>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Whenever possible, each provision of this Agreement shall be interpreted in such manner as to be effective, valid and if appropriate,</w:t>
      </w:r>
      <w:r>
        <w:rPr>
          <w:rFonts w:ascii="Arial" w:cs="Arial" w:eastAsia="Arial" w:hAnsi="Arial"/>
          <w:sz w:val="18"/>
          <w:szCs w:val="18"/>
          <w:b w:val="1"/>
          <w:bCs w:val="1"/>
          <w:color w:val="auto"/>
        </w:rPr>
        <w:t xml:space="preserve"> </w:t>
      </w:r>
      <w:r>
        <w:rPr>
          <w:rFonts w:ascii="Arial" w:cs="Arial" w:eastAsia="Arial" w:hAnsi="Arial"/>
          <w:sz w:val="18"/>
          <w:szCs w:val="18"/>
          <w:color w:val="auto"/>
        </w:rPr>
        <w:t>reformed under applicable law, but if any provision of this Agreement is held to be invalid, illegal or unenforceable under applicable law or rule in any jurisdiction, such invalidity, illegality or unenforceability shall not affect the validity, legality or enforceability of any other provision of this Agreement or the validity, legality or enforceability of such provision in any other jurisdiction, but this Agreement shall be reformed, construed and enforced in such jurisdiction as if such invalid, illegal or unenforceable provision had never been contained herein.</w:t>
      </w:r>
    </w:p>
    <w:p>
      <w:pPr>
        <w:spacing w:after="0" w:line="138" w:lineRule="exact"/>
        <w:rPr>
          <w:rFonts w:ascii="Arial" w:cs="Arial" w:eastAsia="Arial" w:hAnsi="Arial"/>
          <w:sz w:val="18"/>
          <w:szCs w:val="18"/>
          <w:color w:val="auto"/>
        </w:rPr>
      </w:pPr>
    </w:p>
    <w:p>
      <w:pPr>
        <w:ind w:left="-460" w:right="160" w:firstLine="464"/>
        <w:spacing w:after="0" w:line="275" w:lineRule="auto"/>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 This Agreement constitutes the entire Agreement and understanding between the parties with respect to the subject matter hereof</w:t>
      </w:r>
      <w:r>
        <w:rPr>
          <w:rFonts w:ascii="Arial" w:cs="Arial" w:eastAsia="Arial" w:hAnsi="Arial"/>
          <w:sz w:val="18"/>
          <w:szCs w:val="18"/>
          <w:b w:val="1"/>
          <w:bCs w:val="1"/>
          <w:color w:val="auto"/>
        </w:rPr>
        <w:t xml:space="preserve"> </w:t>
      </w:r>
      <w:r>
        <w:rPr>
          <w:rFonts w:ascii="Arial" w:cs="Arial" w:eastAsia="Arial" w:hAnsi="Arial"/>
          <w:sz w:val="18"/>
          <w:szCs w:val="18"/>
          <w:color w:val="auto"/>
        </w:rPr>
        <w:t>and supersedes and</w:t>
      </w:r>
    </w:p>
    <w:p>
      <w:pPr>
        <w:sectPr>
          <w:pgSz w:w="11900" w:h="16838" w:orient="portrait"/>
          <w:cols w:equalWidth="0" w:num="1">
            <w:col w:w="10900"/>
          </w:cols>
          <w:pgMar w:left="700" w:top="280" w:right="299" w:bottom="1440" w:gutter="0" w:footer="0" w:header="0"/>
        </w:sectPr>
      </w:pPr>
    </w:p>
    <w:bookmarkStart w:id="53" w:name="page54"/>
    <w:bookmarkEnd w:id="53"/>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preempts any prior understandings, agreements or representations by or between the parties, written or oral, which may have related in any manner to the subject matter hereof including without limitation the Original Agreement and the 2006 Agreement (except to the extent specifically provided in Section 6(i) hereof). No other agreement or amendment to this Agreement shall be binding upon either party including, without limitation, any agreement or amendment made hereafter unless in writing, signed by both parties.</w:t>
      </w:r>
    </w:p>
    <w:p>
      <w:pPr>
        <w:spacing w:after="0" w:line="137" w:lineRule="exact"/>
        <w:rPr>
          <w:sz w:val="20"/>
          <w:szCs w:val="20"/>
          <w:color w:val="auto"/>
        </w:rPr>
      </w:pPr>
    </w:p>
    <w:p>
      <w:pPr>
        <w:ind w:right="180" w:firstLine="464"/>
        <w:spacing w:after="0" w:line="275"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Successors and Assigns</w:t>
      </w:r>
      <w:r>
        <w:rPr>
          <w:rFonts w:ascii="Arial" w:cs="Arial" w:eastAsia="Arial" w:hAnsi="Arial"/>
          <w:sz w:val="18"/>
          <w:szCs w:val="18"/>
          <w:color w:val="auto"/>
        </w:rPr>
        <w:t>. This Agreement shall be enforceable by Executive and his heirs, executors, administrators and legal representatives, and by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and its successors and assigns.</w:t>
      </w:r>
    </w:p>
    <w:p>
      <w:pPr>
        <w:spacing w:after="0" w:line="119" w:lineRule="exact"/>
        <w:rPr>
          <w:rFonts w:ascii="Arial" w:cs="Arial" w:eastAsia="Arial" w:hAnsi="Arial"/>
          <w:sz w:val="18"/>
          <w:szCs w:val="18"/>
          <w:color w:val="auto"/>
        </w:rPr>
      </w:pPr>
    </w:p>
    <w:p>
      <w:pPr>
        <w:ind w:right="140" w:firstLine="464"/>
        <w:spacing w:after="0" w:line="275"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Agreement shall be governed by and construed and enforced in accordance with the laws of the State of Illinois without regard</w:t>
      </w:r>
      <w:r>
        <w:rPr>
          <w:rFonts w:ascii="Arial" w:cs="Arial" w:eastAsia="Arial" w:hAnsi="Arial"/>
          <w:sz w:val="18"/>
          <w:szCs w:val="18"/>
          <w:b w:val="1"/>
          <w:bCs w:val="1"/>
          <w:color w:val="auto"/>
        </w:rPr>
        <w:t xml:space="preserve"> </w:t>
      </w:r>
      <w:r>
        <w:rPr>
          <w:rFonts w:ascii="Arial" w:cs="Arial" w:eastAsia="Arial" w:hAnsi="Arial"/>
          <w:sz w:val="18"/>
          <w:szCs w:val="18"/>
          <w:color w:val="auto"/>
        </w:rPr>
        <w:t>to any state’s principles of conflict of laws.</w:t>
      </w:r>
    </w:p>
    <w:p>
      <w:pPr>
        <w:spacing w:after="0" w:line="119" w:lineRule="exact"/>
        <w:rPr>
          <w:rFonts w:ascii="Arial" w:cs="Arial" w:eastAsia="Arial" w:hAnsi="Arial"/>
          <w:sz w:val="18"/>
          <w:szCs w:val="18"/>
          <w:color w:val="auto"/>
        </w:rPr>
      </w:pPr>
    </w:p>
    <w:p>
      <w:pPr>
        <w:ind w:left="720" w:hanging="256"/>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Acknowledgment</w:t>
      </w:r>
      <w:r>
        <w:rPr>
          <w:rFonts w:ascii="Arial" w:cs="Arial" w:eastAsia="Arial" w:hAnsi="Arial"/>
          <w:sz w:val="18"/>
          <w:szCs w:val="18"/>
          <w:color w:val="auto"/>
        </w:rPr>
        <w:t>. Executive acknowledges that he has read, understood, and accepts the provisions of this Agreement.</w:t>
      </w:r>
    </w:p>
    <w:p>
      <w:pPr>
        <w:spacing w:after="0" w:line="171" w:lineRule="exact"/>
        <w:rPr>
          <w:rFonts w:ascii="Arial" w:cs="Arial" w:eastAsia="Arial" w:hAnsi="Arial"/>
          <w:sz w:val="18"/>
          <w:szCs w:val="18"/>
          <w:color w:val="auto"/>
        </w:rPr>
      </w:pPr>
    </w:p>
    <w:p>
      <w:pPr>
        <w:ind w:right="120" w:firstLine="464"/>
        <w:spacing w:after="0" w:line="275"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Agreement may be signed in counterparts, each of which shall be deemed an original but all of which together will constitute one</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same instrument.</w:t>
      </w:r>
    </w:p>
    <w:p>
      <w:pPr>
        <w:spacing w:after="0" w:line="119" w:lineRule="exact"/>
        <w:rPr>
          <w:rFonts w:ascii="Arial" w:cs="Arial" w:eastAsia="Arial" w:hAnsi="Arial"/>
          <w:sz w:val="18"/>
          <w:szCs w:val="18"/>
          <w:color w:val="auto"/>
        </w:rPr>
      </w:pPr>
    </w:p>
    <w:p>
      <w:pPr>
        <w:ind w:firstLine="464"/>
        <w:spacing w:after="0" w:line="287" w:lineRule="auto"/>
        <w:tabs>
          <w:tab w:leader="none" w:pos="720" w:val="left"/>
        </w:tabs>
        <w:numPr>
          <w:ilvl w:val="0"/>
          <w:numId w:val="47"/>
        </w:numPr>
        <w:rPr>
          <w:rFonts w:ascii="Arial" w:cs="Arial" w:eastAsia="Arial" w:hAnsi="Arial"/>
          <w:sz w:val="16"/>
          <w:szCs w:val="16"/>
          <w:color w:val="auto"/>
        </w:rPr>
      </w:pPr>
      <w:r>
        <w:rPr>
          <w:rFonts w:ascii="Arial" w:cs="Arial" w:eastAsia="Arial" w:hAnsi="Arial"/>
          <w:sz w:val="16"/>
          <w:szCs w:val="16"/>
          <w:b w:val="1"/>
          <w:bCs w:val="1"/>
          <w:color w:val="auto"/>
        </w:rPr>
        <w:t>IRS Code Section 409A</w:t>
      </w:r>
      <w:r>
        <w:rPr>
          <w:rFonts w:ascii="Arial" w:cs="Arial" w:eastAsia="Arial" w:hAnsi="Arial"/>
          <w:sz w:val="16"/>
          <w:szCs w:val="16"/>
          <w:color w:val="auto"/>
        </w:rPr>
        <w:t>. To the extent applicable, it is intended that the Agreement comply with the provisions of Section 409A. The Agreement will</w:t>
      </w:r>
      <w:r>
        <w:rPr>
          <w:rFonts w:ascii="Arial" w:cs="Arial" w:eastAsia="Arial" w:hAnsi="Arial"/>
          <w:sz w:val="16"/>
          <w:szCs w:val="16"/>
          <w:b w:val="1"/>
          <w:bCs w:val="1"/>
          <w:color w:val="auto"/>
        </w:rPr>
        <w:t xml:space="preserve"> </w:t>
      </w:r>
      <w:r>
        <w:rPr>
          <w:rFonts w:ascii="Arial" w:cs="Arial" w:eastAsia="Arial" w:hAnsi="Arial"/>
          <w:sz w:val="16"/>
          <w:szCs w:val="16"/>
          <w:color w:val="auto"/>
        </w:rPr>
        <w:t>be administered and interpreted in a manner consistent with this intent, and any provision that would cause the Agreement to fail to satisfy Section 409A will have no force and effect until amended to comply therewith (which amendment may be retroactive to the extent permitted by Section 409A). Notwithstanding anything contained herein to the contrary, Executive shall not be considered to have terminated employment with Employer for purposes of the Agreement and no payments shall be due to Executive under the Agreement which are payable upon termination of employment unless Executive would be considered to have incurred a “separation from service” from Employer within the meaning of Section 409A. In addition, for purposes of the Agreement, each amount to be paid or benefit to be provided to Executive pursuant to the Agreement shall be construed as a separate identified payment for purposes of Section 409A. With respect to expenses eligible for reimbursement under the terms of the Agreement, (i) the amount of such expenses eligible for reimbursement in any taxable year shall not affect the expenses eligible for reimbursement in another taxable year and (ii) any reimbursements of such expenses shall be made no later than the end of the calendar year following the calendar year in which the related expenses were incurred, except, in each case, to the extent that the right to reimbursement does not provide for a “deferral of compensation” within the meaning of Section 409A.</w:t>
      </w:r>
    </w:p>
    <w:p>
      <w:pPr>
        <w:sectPr>
          <w:pgSz w:w="11900" w:h="16838" w:orient="portrait"/>
          <w:cols w:equalWidth="0" w:num="1">
            <w:col w:w="11400"/>
          </w:cols>
          <w:pgMar w:left="240" w:top="280"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executed this Agreement as of the date first written above.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CME GROUP INC.</w:t>
            </w:r>
          </w:p>
        </w:tc>
        <w:tc>
          <w:tcPr>
            <w:tcW w:w="124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b w:val="1"/>
                <w:bCs w:val="1"/>
                <w:color w:val="auto"/>
              </w:rPr>
              <w:t>CRAIG S. DONOHUE</w:t>
            </w:r>
          </w:p>
        </w:tc>
      </w:tr>
      <w:tr>
        <w:trPr>
          <w:trHeight w:val="433"/>
        </w:trPr>
        <w:tc>
          <w:tcPr>
            <w:tcW w:w="5280" w:type="dxa"/>
            <w:vAlign w:val="bottom"/>
            <w:gridSpan w:val="2"/>
          </w:tcPr>
          <w:p>
            <w:pPr>
              <w:spacing w:after="0"/>
              <w:rPr>
                <w:sz w:val="20"/>
                <w:szCs w:val="20"/>
                <w:color w:val="auto"/>
              </w:rPr>
            </w:pPr>
            <w:r>
              <w:rPr>
                <w:rFonts w:ascii="Arial" w:cs="Arial" w:eastAsia="Arial" w:hAnsi="Arial"/>
                <w:sz w:val="18"/>
                <w:szCs w:val="18"/>
                <w:color w:val="auto"/>
              </w:rPr>
              <w:t>By:    /s/ Terrence A. Duffy</w:t>
            </w:r>
          </w:p>
        </w:tc>
        <w:tc>
          <w:tcPr>
            <w:tcW w:w="1240" w:type="dxa"/>
            <w:vAlign w:val="bottom"/>
          </w:tcPr>
          <w:p>
            <w:pPr>
              <w:spacing w:after="0"/>
              <w:rPr>
                <w:sz w:val="24"/>
                <w:szCs w:val="24"/>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/s/ Craig S. Donohue</w:t>
            </w:r>
          </w:p>
        </w:tc>
      </w:tr>
      <w:tr>
        <w:trPr>
          <w:trHeight w:val="20"/>
        </w:trPr>
        <w:tc>
          <w:tcPr>
            <w:tcW w:w="380" w:type="dxa"/>
            <w:vAlign w:val="bottom"/>
          </w:tcPr>
          <w:p>
            <w:pPr>
              <w:spacing w:after="0" w:line="20" w:lineRule="exact"/>
              <w:rPr>
                <w:sz w:val="1"/>
                <w:szCs w:val="1"/>
                <w:color w:val="auto"/>
              </w:rPr>
            </w:pPr>
          </w:p>
        </w:tc>
        <w:tc>
          <w:tcPr>
            <w:tcW w:w="49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900" w:type="dxa"/>
            <w:vAlign w:val="bottom"/>
            <w:shd w:val="clear" w:color="auto" w:fill="000000"/>
          </w:tcPr>
          <w:p>
            <w:pPr>
              <w:spacing w:after="0" w:line="20" w:lineRule="exact"/>
              <w:rPr>
                <w:sz w:val="1"/>
                <w:szCs w:val="1"/>
                <w:color w:val="auto"/>
              </w:rPr>
            </w:pPr>
          </w:p>
        </w:tc>
      </w:tr>
    </w:tbl>
    <w:p>
      <w:pPr>
        <w:sectPr>
          <w:pgSz w:w="11900" w:h="16838" w:orient="portrait"/>
          <w:cols w:equalWidth="0" w:num="1">
            <w:col w:w="11420"/>
          </w:cols>
          <w:pgMar w:left="240" w:top="280" w:right="239" w:bottom="1440" w:gutter="0" w:footer="0" w:header="0"/>
        </w:sectPr>
      </w:pPr>
    </w:p>
    <w:bookmarkStart w:id="55" w:name="page56"/>
    <w:bookmarkEnd w:id="55"/>
    <w:p>
      <w:pPr>
        <w:jc w:val="center"/>
        <w:ind w:right="-3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7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Terms of Performance Shares</w:t>
      </w:r>
    </w:p>
    <w:p>
      <w:pPr>
        <w:spacing w:after="0" w:line="206" w:lineRule="exact"/>
        <w:rPr>
          <w:sz w:val="20"/>
          <w:szCs w:val="20"/>
          <w:color w:val="auto"/>
        </w:rPr>
      </w:pPr>
    </w:p>
    <w:p>
      <w:pPr>
        <w:ind w:left="452" w:hanging="452"/>
        <w:spacing w:after="0"/>
        <w:tabs>
          <w:tab w:leader="none" w:pos="452"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Performance Metrics. </w:t>
      </w:r>
      <w:r>
        <w:rPr>
          <w:rFonts w:ascii="Arial" w:cs="Arial" w:eastAsia="Arial" w:hAnsi="Arial"/>
          <w:sz w:val="18"/>
          <w:szCs w:val="18"/>
          <w:color w:val="auto"/>
        </w:rPr>
        <w:t>Target award split equally with:</w:t>
      </w:r>
    </w:p>
    <w:p>
      <w:pPr>
        <w:spacing w:after="0" w:line="96"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50% based on annual cash earnings results (based on annual cash earnings goals set for annual bonus plan)</w:t>
      </w:r>
    </w:p>
    <w:p>
      <w:pPr>
        <w:spacing w:after="0" w:line="195" w:lineRule="exact"/>
        <w:rPr>
          <w:sz w:val="20"/>
          <w:szCs w:val="20"/>
          <w:color w:val="auto"/>
        </w:rPr>
      </w:pPr>
    </w:p>
    <w:tbl>
      <w:tblPr>
        <w:tblLayout w:type="fixed"/>
        <w:tblInd w:w="912" w:type="dxa"/>
        <w:tblCellMar>
          <w:top w:w="0" w:type="dxa"/>
          <w:left w:w="0" w:type="dxa"/>
          <w:bottom w:w="0" w:type="dxa"/>
          <w:right w:w="0" w:type="dxa"/>
        </w:tblCellMar>
      </w:tblPr>
      <w:tr>
        <w:trPr>
          <w:trHeight w:val="161"/>
        </w:trPr>
        <w:tc>
          <w:tcPr>
            <w:tcW w:w="1820" w:type="dxa"/>
            <w:vAlign w:val="bottom"/>
            <w:vMerge w:val="restart"/>
          </w:tcPr>
          <w:p>
            <w:pPr>
              <w:spacing w:after="0"/>
              <w:rPr>
                <w:sz w:val="20"/>
                <w:szCs w:val="20"/>
                <w:color w:val="auto"/>
              </w:rPr>
            </w:pPr>
            <w:r>
              <w:rPr>
                <w:rFonts w:ascii="Arial" w:cs="Arial" w:eastAsia="Arial" w:hAnsi="Arial"/>
                <w:sz w:val="14"/>
                <w:szCs w:val="14"/>
                <w:b w:val="1"/>
                <w:bCs w:val="1"/>
                <w:color w:val="auto"/>
                <w:w w:val="91"/>
              </w:rPr>
              <w:t>• Cash Earnings Performance</w:t>
            </w:r>
          </w:p>
        </w:tc>
        <w:tc>
          <w:tcPr>
            <w:tcW w:w="2780" w:type="dxa"/>
            <w:vAlign w:val="bottom"/>
            <w:vMerge w:val="restart"/>
          </w:tcPr>
          <w:p>
            <w:pPr>
              <w:spacing w:after="0"/>
              <w:rPr>
                <w:sz w:val="14"/>
                <w:szCs w:val="14"/>
                <w:color w:val="auto"/>
              </w:rPr>
            </w:pPr>
          </w:p>
        </w:tc>
        <w:tc>
          <w:tcPr>
            <w:tcW w:w="600" w:type="dxa"/>
            <w:vAlign w:val="bottom"/>
          </w:tcPr>
          <w:p>
            <w:pPr>
              <w:ind w:left="80"/>
              <w:spacing w:after="0"/>
              <w:rPr>
                <w:sz w:val="20"/>
                <w:szCs w:val="20"/>
                <w:color w:val="auto"/>
              </w:rPr>
            </w:pPr>
            <w:r>
              <w:rPr>
                <w:rFonts w:ascii="Arial" w:cs="Arial" w:eastAsia="Arial" w:hAnsi="Arial"/>
                <w:sz w:val="14"/>
                <w:szCs w:val="14"/>
                <w:b w:val="1"/>
                <w:bCs w:val="1"/>
                <w:color w:val="auto"/>
                <w:w w:val="99"/>
              </w:rPr>
              <w:t>• Below</w:t>
            </w:r>
          </w:p>
        </w:tc>
        <w:tc>
          <w:tcPr>
            <w:tcW w:w="540" w:type="dxa"/>
            <w:vAlign w:val="bottom"/>
          </w:tcPr>
          <w:p>
            <w:pPr>
              <w:spacing w:after="0"/>
              <w:rPr>
                <w:sz w:val="14"/>
                <w:szCs w:val="14"/>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 Threshold</w:t>
            </w:r>
          </w:p>
        </w:tc>
        <w:tc>
          <w:tcPr>
            <w:tcW w:w="920" w:type="dxa"/>
            <w:vAlign w:val="bottom"/>
          </w:tcPr>
          <w:p>
            <w:pPr>
              <w:ind w:left="240"/>
              <w:spacing w:after="0"/>
              <w:rPr>
                <w:sz w:val="20"/>
                <w:szCs w:val="20"/>
                <w:color w:val="auto"/>
              </w:rPr>
            </w:pPr>
            <w:r>
              <w:rPr>
                <w:rFonts w:ascii="Arial" w:cs="Arial" w:eastAsia="Arial" w:hAnsi="Arial"/>
                <w:sz w:val="14"/>
                <w:szCs w:val="14"/>
                <w:b w:val="1"/>
                <w:bCs w:val="1"/>
                <w:color w:val="auto"/>
              </w:rPr>
              <w:t>• Target</w:t>
            </w:r>
          </w:p>
        </w:tc>
        <w:tc>
          <w:tcPr>
            <w:tcW w:w="540" w:type="dxa"/>
            <w:vAlign w:val="bottom"/>
          </w:tcPr>
          <w:p>
            <w:pPr>
              <w:spacing w:after="0"/>
              <w:rPr>
                <w:sz w:val="14"/>
                <w:szCs w:val="14"/>
                <w:color w:val="auto"/>
              </w:rPr>
            </w:pPr>
          </w:p>
        </w:tc>
        <w:tc>
          <w:tcPr>
            <w:tcW w:w="980" w:type="dxa"/>
            <w:vAlign w:val="bottom"/>
          </w:tcPr>
          <w:p>
            <w:pPr>
              <w:ind w:left="160"/>
              <w:spacing w:after="0"/>
              <w:rPr>
                <w:sz w:val="20"/>
                <w:szCs w:val="20"/>
                <w:color w:val="auto"/>
              </w:rPr>
            </w:pPr>
            <w:r>
              <w:rPr>
                <w:rFonts w:ascii="Arial" w:cs="Arial" w:eastAsia="Arial" w:hAnsi="Arial"/>
                <w:sz w:val="14"/>
                <w:szCs w:val="14"/>
                <w:b w:val="1"/>
                <w:bCs w:val="1"/>
                <w:color w:val="auto"/>
              </w:rPr>
              <w:t>• Maximum</w:t>
            </w:r>
          </w:p>
        </w:tc>
        <w:tc>
          <w:tcPr>
            <w:tcW w:w="0" w:type="dxa"/>
            <w:vAlign w:val="bottom"/>
          </w:tcPr>
          <w:p>
            <w:pPr>
              <w:spacing w:after="0"/>
              <w:rPr>
                <w:sz w:val="1"/>
                <w:szCs w:val="1"/>
                <w:color w:val="auto"/>
              </w:rPr>
            </w:pPr>
          </w:p>
        </w:tc>
      </w:tr>
      <w:tr>
        <w:trPr>
          <w:trHeight w:val="168"/>
        </w:trPr>
        <w:tc>
          <w:tcPr>
            <w:tcW w:w="1820" w:type="dxa"/>
            <w:vAlign w:val="bottom"/>
            <w:tcBorders>
              <w:bottom w:val="single" w:sz="8" w:color="auto"/>
            </w:tcBorders>
            <w:vMerge w:val="continue"/>
          </w:tcPr>
          <w:p>
            <w:pPr>
              <w:spacing w:after="0"/>
              <w:rPr>
                <w:sz w:val="14"/>
                <w:szCs w:val="14"/>
                <w:color w:val="auto"/>
              </w:rPr>
            </w:pPr>
          </w:p>
        </w:tc>
        <w:tc>
          <w:tcPr>
            <w:tcW w:w="2780" w:type="dxa"/>
            <w:vAlign w:val="bottom"/>
            <w:vMerge w:val="continue"/>
          </w:tcPr>
          <w:p>
            <w:pPr>
              <w:spacing w:after="0"/>
              <w:rPr>
                <w:sz w:val="14"/>
                <w:szCs w:val="14"/>
                <w:color w:val="auto"/>
              </w:rPr>
            </w:pPr>
          </w:p>
        </w:tc>
        <w:tc>
          <w:tcPr>
            <w:tcW w:w="600" w:type="dxa"/>
            <w:vAlign w:val="bottom"/>
          </w:tcPr>
          <w:p>
            <w:pPr>
              <w:spacing w:after="0" w:line="148" w:lineRule="exact"/>
              <w:rPr>
                <w:sz w:val="20"/>
                <w:szCs w:val="20"/>
                <w:color w:val="auto"/>
              </w:rPr>
            </w:pPr>
            <w:r>
              <w:rPr>
                <w:rFonts w:ascii="Arial" w:cs="Arial" w:eastAsia="Arial" w:hAnsi="Arial"/>
                <w:sz w:val="14"/>
                <w:szCs w:val="14"/>
                <w:b w:val="1"/>
                <w:bCs w:val="1"/>
                <w:color w:val="auto"/>
                <w:w w:val="85"/>
              </w:rPr>
              <w:t>Threshold</w:t>
            </w:r>
          </w:p>
        </w:tc>
        <w:tc>
          <w:tcPr>
            <w:tcW w:w="540" w:type="dxa"/>
            <w:vAlign w:val="bottom"/>
          </w:tcPr>
          <w:p>
            <w:pPr>
              <w:spacing w:after="0"/>
              <w:rPr>
                <w:sz w:val="14"/>
                <w:szCs w:val="14"/>
                <w:color w:val="auto"/>
              </w:rPr>
            </w:pPr>
          </w:p>
        </w:tc>
        <w:tc>
          <w:tcPr>
            <w:tcW w:w="14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 (80% of goal)</w:t>
            </w:r>
          </w:p>
        </w:tc>
        <w:tc>
          <w:tcPr>
            <w:tcW w:w="920" w:type="dxa"/>
            <w:vAlign w:val="bottom"/>
          </w:tcPr>
          <w:p>
            <w:pPr>
              <w:spacing w:after="0" w:line="148" w:lineRule="exact"/>
              <w:rPr>
                <w:sz w:val="20"/>
                <w:szCs w:val="20"/>
                <w:color w:val="auto"/>
              </w:rPr>
            </w:pPr>
            <w:r>
              <w:rPr>
                <w:rFonts w:ascii="Arial" w:cs="Arial" w:eastAsia="Arial" w:hAnsi="Arial"/>
                <w:sz w:val="14"/>
                <w:szCs w:val="14"/>
                <w:b w:val="1"/>
                <w:bCs w:val="1"/>
                <w:color w:val="auto"/>
                <w:w w:val="86"/>
              </w:rPr>
              <w:t>• (100% of goal)</w:t>
            </w:r>
          </w:p>
        </w:tc>
        <w:tc>
          <w:tcPr>
            <w:tcW w:w="540" w:type="dxa"/>
            <w:vAlign w:val="bottom"/>
          </w:tcPr>
          <w:p>
            <w:pPr>
              <w:spacing w:after="0"/>
              <w:rPr>
                <w:sz w:val="14"/>
                <w:szCs w:val="14"/>
                <w:color w:val="auto"/>
              </w:rPr>
            </w:pPr>
          </w:p>
        </w:tc>
        <w:tc>
          <w:tcPr>
            <w:tcW w:w="980" w:type="dxa"/>
            <w:vAlign w:val="bottom"/>
          </w:tcPr>
          <w:p>
            <w:pPr>
              <w:ind w:left="20"/>
              <w:spacing w:after="0" w:line="148" w:lineRule="exact"/>
              <w:rPr>
                <w:sz w:val="20"/>
                <w:szCs w:val="20"/>
                <w:color w:val="auto"/>
              </w:rPr>
            </w:pPr>
            <w:r>
              <w:rPr>
                <w:rFonts w:ascii="Arial" w:cs="Arial" w:eastAsia="Arial" w:hAnsi="Arial"/>
                <w:sz w:val="14"/>
                <w:szCs w:val="14"/>
                <w:b w:val="1"/>
                <w:bCs w:val="1"/>
                <w:color w:val="auto"/>
                <w:w w:val="90"/>
              </w:rPr>
              <w:t>• (120% of goal)</w:t>
            </w:r>
          </w:p>
        </w:tc>
        <w:tc>
          <w:tcPr>
            <w:tcW w:w="0" w:type="dxa"/>
            <w:vAlign w:val="bottom"/>
          </w:tcPr>
          <w:p>
            <w:pPr>
              <w:spacing w:after="0"/>
              <w:rPr>
                <w:sz w:val="1"/>
                <w:szCs w:val="1"/>
                <w:color w:val="auto"/>
              </w:rPr>
            </w:pPr>
          </w:p>
        </w:tc>
      </w:tr>
      <w:tr>
        <w:trPr>
          <w:trHeight w:val="203"/>
        </w:trPr>
        <w:tc>
          <w:tcPr>
            <w:tcW w:w="46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 of Target Award Earned</w:t>
            </w:r>
          </w:p>
        </w:tc>
        <w:tc>
          <w:tcPr>
            <w:tcW w:w="6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   0</w:t>
            </w:r>
          </w:p>
        </w:tc>
        <w:tc>
          <w:tcPr>
            <w:tcW w:w="5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   50%</w:t>
            </w:r>
          </w:p>
        </w:tc>
        <w:tc>
          <w:tcPr>
            <w:tcW w:w="5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   100%</w:t>
            </w:r>
          </w:p>
        </w:tc>
        <w:tc>
          <w:tcPr>
            <w:tcW w:w="5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   200%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Straight-line interpolation applied to performance/earn-out between threshold and target and between target and maximum</w:t>
      </w:r>
    </w:p>
    <w:p>
      <w:pPr>
        <w:spacing w:after="0" w:line="90" w:lineRule="exact"/>
        <w:rPr>
          <w:sz w:val="20"/>
          <w:szCs w:val="20"/>
          <w:color w:val="auto"/>
        </w:rPr>
      </w:pPr>
    </w:p>
    <w:p>
      <w:pPr>
        <w:ind w:left="892" w:hanging="446"/>
        <w:spacing w:after="0"/>
        <w:tabs>
          <w:tab w:leader="none" w:pos="892" w:val="left"/>
        </w:tabs>
        <w:numPr>
          <w:ilvl w:val="0"/>
          <w:numId w:val="49"/>
        </w:numPr>
        <w:rPr>
          <w:rFonts w:ascii="Arial" w:cs="Arial" w:eastAsia="Arial" w:hAnsi="Arial"/>
          <w:sz w:val="18"/>
          <w:szCs w:val="18"/>
          <w:color w:val="auto"/>
        </w:rPr>
      </w:pPr>
      <w:r>
        <w:rPr>
          <w:rFonts w:ascii="Arial" w:cs="Arial" w:eastAsia="Arial" w:hAnsi="Arial"/>
          <w:sz w:val="18"/>
          <w:szCs w:val="18"/>
          <w:color w:val="auto"/>
        </w:rPr>
        <w:t>50% based on annual TSR results relative to S&amp;P 500</w:t>
      </w:r>
    </w:p>
    <w:p>
      <w:pPr>
        <w:spacing w:after="0" w:line="195" w:lineRule="exact"/>
        <w:rPr>
          <w:sz w:val="20"/>
          <w:szCs w:val="20"/>
          <w:color w:val="auto"/>
        </w:rPr>
      </w:pPr>
    </w:p>
    <w:tbl>
      <w:tblPr>
        <w:tblLayout w:type="fixed"/>
        <w:tblInd w:w="912" w:type="dxa"/>
        <w:tblCellMar>
          <w:top w:w="0" w:type="dxa"/>
          <w:left w:w="0" w:type="dxa"/>
          <w:bottom w:w="0" w:type="dxa"/>
          <w:right w:w="0" w:type="dxa"/>
        </w:tblCellMar>
      </w:tblPr>
      <w:tr>
        <w:trPr>
          <w:trHeight w:val="161"/>
        </w:trPr>
        <w:tc>
          <w:tcPr>
            <w:tcW w:w="1740" w:type="dxa"/>
            <w:vAlign w:val="bottom"/>
            <w:vMerge w:val="restart"/>
          </w:tcPr>
          <w:p>
            <w:pPr>
              <w:spacing w:after="0"/>
              <w:rPr>
                <w:sz w:val="20"/>
                <w:szCs w:val="20"/>
                <w:color w:val="auto"/>
              </w:rPr>
            </w:pPr>
            <w:r>
              <w:rPr>
                <w:rFonts w:ascii="Arial" w:cs="Arial" w:eastAsia="Arial" w:hAnsi="Arial"/>
                <w:sz w:val="14"/>
                <w:szCs w:val="14"/>
                <w:b w:val="1"/>
                <w:bCs w:val="1"/>
                <w:color w:val="auto"/>
                <w:w w:val="93"/>
              </w:rPr>
              <w:t>• Relative TSR Performance</w:t>
            </w:r>
          </w:p>
        </w:tc>
        <w:tc>
          <w:tcPr>
            <w:tcW w:w="3520" w:type="dxa"/>
            <w:vAlign w:val="bottom"/>
            <w:vMerge w:val="restart"/>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 Below 25th</w:t>
            </w: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740" w:type="dxa"/>
            <w:vAlign w:val="bottom"/>
            <w:tcBorders>
              <w:bottom w:val="single" w:sz="8" w:color="auto"/>
            </w:tcBorders>
            <w:vMerge w:val="continue"/>
          </w:tcPr>
          <w:p>
            <w:pPr>
              <w:spacing w:after="0"/>
              <w:rPr>
                <w:sz w:val="14"/>
                <w:szCs w:val="14"/>
                <w:color w:val="auto"/>
              </w:rPr>
            </w:pPr>
          </w:p>
        </w:tc>
        <w:tc>
          <w:tcPr>
            <w:tcW w:w="3520" w:type="dxa"/>
            <w:vAlign w:val="bottom"/>
            <w:vMerge w:val="continue"/>
          </w:tcPr>
          <w:p>
            <w:pPr>
              <w:spacing w:after="0"/>
              <w:rPr>
                <w:sz w:val="14"/>
                <w:szCs w:val="14"/>
                <w:color w:val="auto"/>
              </w:rPr>
            </w:pPr>
          </w:p>
        </w:tc>
        <w:tc>
          <w:tcPr>
            <w:tcW w:w="1220" w:type="dxa"/>
            <w:vAlign w:val="bottom"/>
            <w:gridSpan w:val="2"/>
          </w:tcPr>
          <w:p>
            <w:pPr>
              <w:ind w:left="240"/>
              <w:spacing w:after="0" w:line="148" w:lineRule="exact"/>
              <w:rPr>
                <w:sz w:val="20"/>
                <w:szCs w:val="20"/>
                <w:color w:val="auto"/>
              </w:rPr>
            </w:pPr>
            <w:r>
              <w:rPr>
                <w:rFonts w:ascii="Arial" w:cs="Arial" w:eastAsia="Arial" w:hAnsi="Arial"/>
                <w:sz w:val="14"/>
                <w:szCs w:val="14"/>
                <w:b w:val="1"/>
                <w:bCs w:val="1"/>
                <w:color w:val="auto"/>
              </w:rPr>
              <w:t>%ile</w:t>
            </w:r>
          </w:p>
        </w:tc>
        <w:tc>
          <w:tcPr>
            <w:tcW w:w="10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 25th %ile</w:t>
            </w:r>
          </w:p>
        </w:tc>
        <w:tc>
          <w:tcPr>
            <w:tcW w:w="80" w:type="dxa"/>
            <w:vAlign w:val="bottom"/>
          </w:tcPr>
          <w:p>
            <w:pPr>
              <w:spacing w:after="0"/>
              <w:rPr>
                <w:sz w:val="14"/>
                <w:szCs w:val="14"/>
                <w:color w:val="auto"/>
              </w:rPr>
            </w:pPr>
          </w:p>
        </w:tc>
        <w:tc>
          <w:tcPr>
            <w:tcW w:w="760" w:type="dxa"/>
            <w:vAlign w:val="bottom"/>
          </w:tcPr>
          <w:p>
            <w:pPr>
              <w:jc w:val="right"/>
              <w:ind w:right="22"/>
              <w:spacing w:after="0" w:line="148" w:lineRule="exact"/>
              <w:rPr>
                <w:sz w:val="20"/>
                <w:szCs w:val="20"/>
                <w:color w:val="auto"/>
              </w:rPr>
            </w:pPr>
            <w:r>
              <w:rPr>
                <w:rFonts w:ascii="Arial" w:cs="Arial" w:eastAsia="Arial" w:hAnsi="Arial"/>
                <w:sz w:val="14"/>
                <w:szCs w:val="14"/>
                <w:b w:val="1"/>
                <w:bCs w:val="1"/>
                <w:color w:val="auto"/>
                <w:w w:val="92"/>
              </w:rPr>
              <w:t>• 50th %ile</w:t>
            </w:r>
          </w:p>
        </w:tc>
        <w:tc>
          <w:tcPr>
            <w:tcW w:w="440" w:type="dxa"/>
            <w:vAlign w:val="bottom"/>
          </w:tcPr>
          <w:p>
            <w:pPr>
              <w:spacing w:after="0"/>
              <w:rPr>
                <w:sz w:val="14"/>
                <w:szCs w:val="14"/>
                <w:color w:val="auto"/>
              </w:rPr>
            </w:pPr>
          </w:p>
        </w:tc>
        <w:tc>
          <w:tcPr>
            <w:tcW w:w="7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2"/>
              </w:rPr>
              <w:t>• 75th %ile</w:t>
            </w:r>
          </w:p>
        </w:tc>
        <w:tc>
          <w:tcPr>
            <w:tcW w:w="0" w:type="dxa"/>
            <w:vAlign w:val="bottom"/>
          </w:tcPr>
          <w:p>
            <w:pPr>
              <w:spacing w:after="0"/>
              <w:rPr>
                <w:sz w:val="1"/>
                <w:szCs w:val="1"/>
                <w:color w:val="auto"/>
              </w:rPr>
            </w:pPr>
          </w:p>
        </w:tc>
      </w:tr>
      <w:tr>
        <w:trPr>
          <w:trHeight w:val="203"/>
        </w:trPr>
        <w:tc>
          <w:tcPr>
            <w:tcW w:w="52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 of Target Award Earned</w:t>
            </w:r>
          </w:p>
        </w:tc>
        <w:tc>
          <w:tcPr>
            <w:tcW w:w="7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   0</w:t>
            </w:r>
          </w:p>
        </w:tc>
        <w:tc>
          <w:tcPr>
            <w:tcW w:w="4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   50%</w:t>
            </w: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4"/>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w:t>
            </w:r>
          </w:p>
        </w:tc>
        <w:tc>
          <w:tcPr>
            <w:tcW w:w="4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   200%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492"/>
        <w:spacing w:after="0"/>
        <w:rPr>
          <w:sz w:val="20"/>
          <w:szCs w:val="20"/>
          <w:color w:val="auto"/>
        </w:rPr>
      </w:pPr>
      <w:r>
        <w:rPr>
          <w:rFonts w:ascii="Arial" w:cs="Arial" w:eastAsia="Arial" w:hAnsi="Arial"/>
          <w:sz w:val="16"/>
          <w:szCs w:val="16"/>
          <w:color w:val="auto"/>
        </w:rPr>
        <w:t>Straight-line interpolation applied to performance/earn-out between 25th and 50th percentiles and between 50th and 75th percentiles</w:t>
      </w:r>
    </w:p>
    <w:p>
      <w:pPr>
        <w:spacing w:after="0" w:line="113" w:lineRule="exact"/>
        <w:rPr>
          <w:sz w:val="20"/>
          <w:szCs w:val="20"/>
          <w:color w:val="auto"/>
        </w:rPr>
      </w:pPr>
    </w:p>
    <w:p>
      <w:pPr>
        <w:ind w:left="1452" w:hanging="547"/>
        <w:spacing w:after="0"/>
        <w:tabs>
          <w:tab w:leader="none" w:pos="1452"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December 31 to December 31 to capture market reaction to each year’s results</w:t>
      </w:r>
    </w:p>
    <w:p>
      <w:pPr>
        <w:spacing w:after="0" w:line="90" w:lineRule="exact"/>
        <w:rPr>
          <w:rFonts w:ascii="Arial" w:cs="Arial" w:eastAsia="Arial" w:hAnsi="Arial"/>
          <w:sz w:val="18"/>
          <w:szCs w:val="18"/>
          <w:color w:val="auto"/>
        </w:rPr>
      </w:pPr>
    </w:p>
    <w:p>
      <w:pPr>
        <w:ind w:left="1452" w:hanging="547"/>
        <w:spacing w:after="0"/>
        <w:tabs>
          <w:tab w:leader="none" w:pos="1452" w:val="left"/>
        </w:tabs>
        <w:numPr>
          <w:ilvl w:val="1"/>
          <w:numId w:val="50"/>
        </w:numPr>
        <w:rPr>
          <w:rFonts w:ascii="Arial" w:cs="Arial" w:eastAsia="Arial" w:hAnsi="Arial"/>
          <w:sz w:val="18"/>
          <w:szCs w:val="18"/>
          <w:color w:val="auto"/>
        </w:rPr>
      </w:pPr>
      <w:r>
        <w:rPr>
          <w:rFonts w:ascii="Arial" w:cs="Arial" w:eastAsia="Arial" w:hAnsi="Arial"/>
          <w:sz w:val="18"/>
          <w:szCs w:val="18"/>
          <w:color w:val="auto"/>
        </w:rPr>
        <w:t>Use 60-day trading average to determine stock price change for TSR calculation</w:t>
      </w:r>
    </w:p>
    <w:p>
      <w:pPr>
        <w:spacing w:after="0" w:line="84" w:lineRule="exact"/>
        <w:rPr>
          <w:rFonts w:ascii="Arial" w:cs="Arial" w:eastAsia="Arial" w:hAnsi="Arial"/>
          <w:sz w:val="18"/>
          <w:szCs w:val="18"/>
          <w:color w:val="auto"/>
        </w:rPr>
      </w:pPr>
    </w:p>
    <w:p>
      <w:pPr>
        <w:ind w:left="452" w:hanging="452"/>
        <w:spacing w:after="0"/>
        <w:tabs>
          <w:tab w:leader="none" w:pos="452"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Performance Period. </w:t>
      </w:r>
      <w:r>
        <w:rPr>
          <w:rFonts w:ascii="Arial" w:cs="Arial" w:eastAsia="Arial" w:hAnsi="Arial"/>
          <w:sz w:val="18"/>
          <w:szCs w:val="18"/>
          <w:color w:val="auto"/>
        </w:rPr>
        <w:t>One year of annual cash earning and annual relative TSR performance.</w:t>
      </w:r>
    </w:p>
    <w:p>
      <w:pPr>
        <w:spacing w:after="0" w:line="90" w:lineRule="exact"/>
        <w:rPr>
          <w:rFonts w:ascii="Arial" w:cs="Arial" w:eastAsia="Arial" w:hAnsi="Arial"/>
          <w:sz w:val="18"/>
          <w:szCs w:val="18"/>
          <w:color w:val="auto"/>
        </w:rPr>
      </w:pPr>
    </w:p>
    <w:p>
      <w:pPr>
        <w:ind w:left="452" w:hanging="452"/>
        <w:spacing w:after="0" w:line="301" w:lineRule="auto"/>
        <w:tabs>
          <w:tab w:leader="none" w:pos="452" w:val="left"/>
        </w:tabs>
        <w:numPr>
          <w:ilvl w:val="0"/>
          <w:numId w:val="50"/>
        </w:numPr>
        <w:rPr>
          <w:rFonts w:ascii="Arial" w:cs="Arial" w:eastAsia="Arial" w:hAnsi="Arial"/>
          <w:sz w:val="16"/>
          <w:szCs w:val="16"/>
          <w:color w:val="auto"/>
        </w:rPr>
      </w:pPr>
      <w:r>
        <w:rPr>
          <w:rFonts w:ascii="Arial" w:cs="Arial" w:eastAsia="Arial" w:hAnsi="Arial"/>
          <w:sz w:val="16"/>
          <w:szCs w:val="16"/>
          <w:b w:val="1"/>
          <w:bCs w:val="1"/>
          <w:color w:val="auto"/>
        </w:rPr>
        <w:t xml:space="preserve">Impact of Termination of Employment. </w:t>
      </w:r>
      <w:r>
        <w:rPr>
          <w:rFonts w:ascii="Arial" w:cs="Arial" w:eastAsia="Arial" w:hAnsi="Arial"/>
          <w:sz w:val="16"/>
          <w:szCs w:val="16"/>
          <w:color w:val="auto"/>
        </w:rPr>
        <w:t>To the extent that performance shares are to be delivered to Executive in connection with or following</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Executive’s termination of employment, then except as set forth in paragraph 4 below, the number of performance shares delivered to Executive shall be based on actual performance for the performance period covered by each such grant, with such performance shares delivered by March 15th of the calendar year following the end of the applicable performance period or if March 15</w:t>
      </w:r>
      <w:r>
        <w:rPr>
          <w:rFonts w:ascii="Arial" w:cs="Arial" w:eastAsia="Arial" w:hAnsi="Arial"/>
          <w:sz w:val="10"/>
          <w:szCs w:val="10"/>
          <w:color w:val="auto"/>
        </w:rPr>
        <w:t>th</w:t>
      </w:r>
      <w:r>
        <w:rPr>
          <w:rFonts w:ascii="Arial" w:cs="Arial" w:eastAsia="Arial" w:hAnsi="Arial"/>
          <w:sz w:val="16"/>
          <w:szCs w:val="16"/>
          <w:color w:val="auto"/>
        </w:rPr>
        <w:t xml:space="preserve"> is not a business day the closest business day thereto.</w:t>
      </w:r>
    </w:p>
    <w:p>
      <w:pPr>
        <w:spacing w:after="0" w:line="22" w:lineRule="exact"/>
        <w:rPr>
          <w:rFonts w:ascii="Arial" w:cs="Arial" w:eastAsia="Arial" w:hAnsi="Arial"/>
          <w:sz w:val="16"/>
          <w:szCs w:val="16"/>
          <w:color w:val="auto"/>
        </w:rPr>
      </w:pPr>
    </w:p>
    <w:p>
      <w:pPr>
        <w:ind w:left="452" w:right="160" w:hanging="452"/>
        <w:spacing w:after="0" w:line="339" w:lineRule="auto"/>
        <w:tabs>
          <w:tab w:leader="none" w:pos="452" w:val="left"/>
        </w:tabs>
        <w:numPr>
          <w:ilvl w:val="0"/>
          <w:numId w:val="50"/>
        </w:numPr>
        <w:rPr>
          <w:rFonts w:ascii="Arial" w:cs="Arial" w:eastAsia="Arial" w:hAnsi="Arial"/>
          <w:sz w:val="16"/>
          <w:szCs w:val="16"/>
          <w:color w:val="auto"/>
        </w:rPr>
      </w:pPr>
      <w:r>
        <w:rPr>
          <w:rFonts w:ascii="Arial" w:cs="Arial" w:eastAsia="Arial" w:hAnsi="Arial"/>
          <w:sz w:val="16"/>
          <w:szCs w:val="16"/>
          <w:b w:val="1"/>
          <w:bCs w:val="1"/>
          <w:color w:val="auto"/>
        </w:rPr>
        <w:t xml:space="preserve">Impact of Change of Control. </w:t>
      </w:r>
      <w:r>
        <w:rPr>
          <w:rFonts w:ascii="Arial" w:cs="Arial" w:eastAsia="Arial" w:hAnsi="Arial"/>
          <w:sz w:val="16"/>
          <w:szCs w:val="16"/>
          <w:color w:val="auto"/>
        </w:rPr>
        <w:t>Upon a Change of Control (as defined in Section 2.8 of the CME Group Inc. Amended and Restated Omnibus Stock Plan</w:t>
      </w:r>
      <w:r>
        <w:rPr>
          <w:rFonts w:ascii="Arial" w:cs="Arial" w:eastAsia="Arial" w:hAnsi="Arial"/>
          <w:sz w:val="16"/>
          <w:szCs w:val="16"/>
          <w:b w:val="1"/>
          <w:bCs w:val="1"/>
          <w:color w:val="auto"/>
        </w:rPr>
        <w:t xml:space="preserve"> </w:t>
      </w:r>
      <w:r>
        <w:rPr>
          <w:rFonts w:ascii="Arial" w:cs="Arial" w:eastAsia="Arial" w:hAnsi="Arial"/>
          <w:sz w:val="16"/>
          <w:szCs w:val="16"/>
          <w:color w:val="auto"/>
        </w:rPr>
        <w:t>as in effect on March 31, 2010 (the “Plan”), any outstanding performance shares shall be treated as set forth in Section 10.11 of the Plan.</w:t>
      </w:r>
    </w:p>
    <w:p>
      <w:pPr>
        <w:sectPr>
          <w:pgSz w:w="11900" w:h="16838" w:orient="portrait"/>
          <w:cols w:equalWidth="0" w:num="1">
            <w:col w:w="11392"/>
          </w:cols>
          <w:pgMar w:left="248" w:top="280" w:right="25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10.3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EMPLOYMENT AGREEMENT</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WHEREAS, Phupinder S. Gill (“Executive”) and CME Group Inc. (“CME”) have entered into an amended and restated employment agreement, with an original effective date of August 5, 2009 (the “Agreement”);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the parties wish to amend the Agreement to clarify the applicability of certain provisions thereof in connection with CME’s equity program.</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the Agreement is hereby amended in the following manner, effective as of the date set forth below.</w:t>
      </w:r>
    </w:p>
    <w:p>
      <w:pPr>
        <w:spacing w:after="0" w:line="171" w:lineRule="exact"/>
        <w:rPr>
          <w:sz w:val="20"/>
          <w:szCs w:val="20"/>
          <w:color w:val="auto"/>
        </w:rPr>
      </w:pPr>
    </w:p>
    <w:p>
      <w:pPr>
        <w:ind w:left="180" w:hanging="172"/>
        <w:spacing w:after="0"/>
        <w:tabs>
          <w:tab w:leader="none" w:pos="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following is hereby substituted for clause (ii) of subsection 6(a) of the Agreement:</w:t>
      </w:r>
    </w:p>
    <w:p>
      <w:pPr>
        <w:spacing w:after="0" w:line="90" w:lineRule="exact"/>
        <w:rPr>
          <w:rFonts w:ascii="Arial" w:cs="Arial" w:eastAsia="Arial" w:hAnsi="Arial"/>
          <w:sz w:val="18"/>
          <w:szCs w:val="18"/>
          <w:color w:val="auto"/>
        </w:rPr>
      </w:pPr>
    </w:p>
    <w:p>
      <w:pPr>
        <w:ind w:left="460" w:right="380" w:firstLine="4"/>
        <w:spacing w:after="0" w:line="332" w:lineRule="auto"/>
        <w:tabs>
          <w:tab w:leader="none" w:pos="719"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stock option, SAR, restricted stock, restricted stock unit, performance share, or performance stock unit awards, as those terms are defined in the Plan, granted after the Effective Date under the Plan or a successor plan (“New Agreement Awards”) will be subject to subsection 6(i).</w:t>
      </w:r>
    </w:p>
    <w:p>
      <w:pPr>
        <w:spacing w:after="0" w:line="85" w:lineRule="exact"/>
        <w:rPr>
          <w:rFonts w:ascii="Arial" w:cs="Arial" w:eastAsia="Arial" w:hAnsi="Arial"/>
          <w:sz w:val="16"/>
          <w:szCs w:val="16"/>
          <w:color w:val="auto"/>
        </w:rPr>
      </w:pPr>
    </w:p>
    <w:p>
      <w:pPr>
        <w:ind w:left="180" w:hanging="172"/>
        <w:spacing w:after="0"/>
        <w:tabs>
          <w:tab w:leader="none" w:pos="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last sentence of subsection 6(a) of the Agreement is hereby deleted.</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following is hereby substituted for clause (ii) of subsection 6(b) of the Agreement:</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New Agreement Awards will be subject to subsection 6(i) and</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third sentence of subsection 6(b) of the Agreement is hereby deleted.</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following is hereby substituted for subsection 6(d)(3) of the Agreement:</w:t>
      </w:r>
    </w:p>
    <w:p>
      <w:pPr>
        <w:spacing w:after="0" w:line="90" w:lineRule="exact"/>
        <w:rPr>
          <w:sz w:val="20"/>
          <w:szCs w:val="20"/>
          <w:color w:val="auto"/>
        </w:rPr>
      </w:pPr>
    </w:p>
    <w:p>
      <w:pPr>
        <w:ind w:left="720" w:hanging="256"/>
        <w:spacing w:after="0"/>
        <w:tabs>
          <w:tab w:leader="none" w:pos="7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New Agreement Awards will be subject to subsection 6(i); and</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following is hereby substituted for third and fourth sentences of subsection 6(e) of the Agreement:</w:t>
      </w:r>
    </w:p>
    <w:p>
      <w:pPr>
        <w:spacing w:after="0" w:line="90"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In addition, if Executive is employed on the last day of the Agreement Term, then all New Agreement Awards will at that time be subject to the provisions of subsection 6(i) and his termination for any reason after the last day of the Agreement Term shall otherwise be treated as a termination under this subsection 6(e).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7. The following Section 6(i) is hereby added to the Agreement:</w:t>
      </w:r>
    </w:p>
    <w:p>
      <w:pPr>
        <w:spacing w:after="0" w:line="90" w:lineRule="exact"/>
        <w:rPr>
          <w:sz w:val="20"/>
          <w:szCs w:val="20"/>
          <w:color w:val="auto"/>
        </w:rPr>
      </w:pPr>
    </w:p>
    <w:p>
      <w:pPr>
        <w:ind w:left="460" w:right="60" w:hanging="452"/>
        <w:spacing w:after="0" w:line="259"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Executive’s employment terminates during the Agreement Term by reason of death, disability under subsection 6(b), or termination without Cause under subsection 6(d), or if Executive is employed by CME on the last day of the Agreement Term and his employment terminates after the last day of the Agreement Term for any reason, then:</w:t>
      </w:r>
    </w:p>
    <w:p>
      <w:pPr>
        <w:spacing w:after="0" w:line="59" w:lineRule="exact"/>
        <w:rPr>
          <w:rFonts w:ascii="Arial" w:cs="Arial" w:eastAsia="Arial" w:hAnsi="Arial"/>
          <w:sz w:val="18"/>
          <w:szCs w:val="18"/>
          <w:color w:val="auto"/>
        </w:rPr>
      </w:pPr>
    </w:p>
    <w:p>
      <w:pPr>
        <w:ind w:left="460" w:right="120" w:firstLine="4"/>
        <w:spacing w:after="0" w:line="306" w:lineRule="auto"/>
        <w:tabs>
          <w:tab w:leader="none" w:pos="709" w:val="left"/>
        </w:tabs>
        <w:numPr>
          <w:ilvl w:val="1"/>
          <w:numId w:val="54"/>
        </w:numPr>
        <w:rPr>
          <w:rFonts w:ascii="Arial" w:cs="Arial" w:eastAsia="Arial" w:hAnsi="Arial"/>
          <w:sz w:val="16"/>
          <w:szCs w:val="16"/>
          <w:color w:val="auto"/>
        </w:rPr>
      </w:pPr>
      <w:r>
        <w:rPr>
          <w:rFonts w:ascii="Arial" w:cs="Arial" w:eastAsia="Arial" w:hAnsi="Arial"/>
          <w:sz w:val="16"/>
          <w:szCs w:val="16"/>
          <w:color w:val="auto"/>
        </w:rPr>
        <w:t>Any Service Requirement applicable to any outstanding Full Value New Agreement Award (including without limitation any Performance-Based New Agreement Award) that has not been satisfied before the Vesting Date will be deemed satisfied on that date, and distribution with respect to such awards will be made to Executive promptly after the Vesting Date (as those terms are defined below). However, any Full Value New</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7" w:name="page58"/>
    <w:bookmarkEnd w:id="57"/>
    <w:p>
      <w:pPr>
        <w:ind w:left="4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Awards that, on the Vesting Date, remain subject to vesting based upon the attainment of Performance Requirements (“Performance-Based New Agreement Awards”) shall remain outstanding and eligible to vest following termination and shall fully vest and settle based upon the attainment of the applicable performance goals as and when determined by the CME Compensation Committee. “Service Requirement” means a vesting contingency based solely on the completion of a period of continued service (including vesting based on the circumstances of termination of service), and “Performance Requirement” means a vesting contingency other than a Service Requirement. “Full Value New Agreement Award” means a New Agreement Award in the form of a restricted stock, restricted stock unit, performance share, or performance stock unit award as those terms are defined in the Plan. “Vesting Date” is the date Executive’s employment terminates during the Agreement Term by reason of death, disability under subsection 6(b), or termination without Cause under subsection 6(d), or if Executive is employed by CME on the last day of the Agreement Term, the last day of the Agreement Term.</w:t>
      </w:r>
    </w:p>
    <w:p>
      <w:pPr>
        <w:spacing w:after="0" w:line="37" w:lineRule="exact"/>
        <w:rPr>
          <w:sz w:val="20"/>
          <w:szCs w:val="20"/>
          <w:color w:val="auto"/>
        </w:rPr>
      </w:pPr>
    </w:p>
    <w:p>
      <w:pPr>
        <w:jc w:val="both"/>
        <w:ind w:left="460" w:right="80" w:firstLine="4"/>
        <w:spacing w:after="0" w:line="254" w:lineRule="auto"/>
        <w:tabs>
          <w:tab w:leader="none" w:pos="709"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Service Requirement applicable to any outstanding New Agreement Stock Right Award that has not been satisfied before the Vesting Date will be deemed satisfied on that date, and all outstanding New Agreement Stock Right Awards not previously exercisable will become exercisable on that date. If Executive is employed on the last day of the Agreement Term or if his termination date would constitute a Vesting Date, the New Agreement Stock Right Award will remain exercisable for 48 months after his date of termination (but not beyond the maximum term of the New Agreement Stock Right Award). “New Agreement Stock Right Award” means a New Agreement Award that is in the form of a stock option or SAR award as those terms are defined in the Plan.</w:t>
      </w:r>
    </w:p>
    <w:p>
      <w:pPr>
        <w:spacing w:after="0" w:line="63" w:lineRule="exact"/>
        <w:rPr>
          <w:rFonts w:ascii="Arial" w:cs="Arial" w:eastAsia="Arial" w:hAnsi="Arial"/>
          <w:sz w:val="18"/>
          <w:szCs w:val="18"/>
          <w:color w:val="auto"/>
        </w:rPr>
      </w:pPr>
    </w:p>
    <w:p>
      <w:pPr>
        <w:ind w:left="460" w:right="60" w:hanging="452"/>
        <w:spacing w:after="0" w:line="259"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to the contrary, Performance-Based New Agreement Awards shall be in the form of restricted stock and as of the date the target annual New Agreement Awards opportunity is established by the CME Compensation Committee shall not exceed 25% of Executive’s target annual New Agreement Awards opportunity.</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provisions of this subsection 6(i) will remain in effect after the end of the Term.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Agreement is hereby modified as set forth above, effective as of April 6, 2011.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CME 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Terrence A. Duffy</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By:</w:t>
            </w:r>
          </w:p>
        </w:tc>
        <w:tc>
          <w:tcPr>
            <w:tcW w:w="41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Terrence A. Duffy</w:t>
            </w:r>
          </w:p>
        </w:tc>
      </w:tr>
      <w:tr>
        <w:trPr>
          <w:trHeight w:val="222"/>
        </w:trPr>
        <w:tc>
          <w:tcPr>
            <w:tcW w:w="420" w:type="dxa"/>
            <w:vAlign w:val="bottom"/>
          </w:tcPr>
          <w:p>
            <w:pPr>
              <w:spacing w:after="0"/>
              <w:rPr>
                <w:sz w:val="19"/>
                <w:szCs w:val="19"/>
                <w:color w:val="auto"/>
              </w:rPr>
            </w:pPr>
          </w:p>
        </w:tc>
        <w:tc>
          <w:tcPr>
            <w:tcW w:w="4160" w:type="dxa"/>
            <w:vAlign w:val="bottom"/>
          </w:tcPr>
          <w:p>
            <w:pPr>
              <w:ind w:left="140"/>
              <w:spacing w:after="0"/>
              <w:rPr>
                <w:sz w:val="20"/>
                <w:szCs w:val="20"/>
                <w:color w:val="auto"/>
              </w:rPr>
            </w:pPr>
            <w:r>
              <w:rPr>
                <w:rFonts w:ascii="Arial" w:cs="Arial" w:eastAsia="Arial" w:hAnsi="Arial"/>
                <w:sz w:val="18"/>
                <w:szCs w:val="18"/>
                <w:color w:val="auto"/>
              </w:rPr>
              <w:t>Executive Chairman of CME Group Inc.</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Executive</w:t>
            </w:r>
          </w:p>
        </w:tc>
      </w:tr>
      <w:tr>
        <w:trPr>
          <w:trHeight w:val="433"/>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Phupinder S. Gill</w:t>
            </w:r>
          </w:p>
        </w:tc>
      </w:tr>
      <w:tr>
        <w:trPr>
          <w:trHeight w:val="222"/>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160" w:type="dxa"/>
            <w:vAlign w:val="bottom"/>
          </w:tcPr>
          <w:p>
            <w:pPr>
              <w:ind w:left="140"/>
              <w:spacing w:after="0"/>
              <w:rPr>
                <w:sz w:val="20"/>
                <w:szCs w:val="20"/>
                <w:color w:val="auto"/>
              </w:rPr>
            </w:pPr>
            <w:r>
              <w:rPr>
                <w:rFonts w:ascii="Arial" w:cs="Arial" w:eastAsia="Arial" w:hAnsi="Arial"/>
                <w:sz w:val="18"/>
                <w:szCs w:val="18"/>
                <w:color w:val="auto"/>
              </w:rPr>
              <w:t>Phupinder S. Gill</w:t>
            </w:r>
          </w:p>
        </w:tc>
      </w:tr>
    </w:tbl>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10.4</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Amendment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CHICAGO MERCANTILE EXCHANGE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SENIOR MANAGEMENT SUPPLEMENTAL DEFERRED SAVINGS PLAN</w:t>
      </w:r>
    </w:p>
    <w:p>
      <w:pPr>
        <w:spacing w:after="0" w:line="165"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(As Amended and Restated Effective January 1, 2009)</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Section 3.4(b) is amended by replacing the phrase “or by reason of elective deferrals under this Plan” with the following:</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“or by reason of the Pension Plan’s exclusion from the compensation base used in determining accruals (“Pensionable Compensation”) of</w:t>
      </w:r>
    </w:p>
    <w:p>
      <w:pPr>
        <w:spacing w:after="0" w:line="15" w:lineRule="exact"/>
        <w:rPr>
          <w:sz w:val="20"/>
          <w:szCs w:val="20"/>
          <w:color w:val="auto"/>
        </w:rPr>
      </w:pPr>
    </w:p>
    <w:p>
      <w:pPr>
        <w:ind w:left="920" w:right="140" w:firstLine="1"/>
        <w:spacing w:after="0" w:line="292" w:lineRule="auto"/>
        <w:tabs>
          <w:tab w:leader="none" w:pos="1169" w:val="left"/>
        </w:tabs>
        <w:numPr>
          <w:ilvl w:val="0"/>
          <w:numId w:val="57"/>
        </w:numPr>
        <w:rPr>
          <w:rFonts w:ascii="Arial" w:cs="Arial" w:eastAsia="Arial" w:hAnsi="Arial"/>
          <w:sz w:val="16"/>
          <w:szCs w:val="16"/>
          <w:color w:val="auto"/>
        </w:rPr>
      </w:pPr>
      <w:r>
        <w:rPr>
          <w:rFonts w:ascii="Arial" w:cs="Arial" w:eastAsia="Arial" w:hAnsi="Arial"/>
          <w:sz w:val="16"/>
          <w:szCs w:val="16"/>
          <w:color w:val="auto"/>
        </w:rPr>
        <w:t>elective deferrals under this Plan, (y) bonus award amounts under either the Amended and Restated CME Group Inc. Incentive Plan for Named Executive Officers or the Amended and Restated CME Group Inc. Annual Incentive Plan (the “Bonus Plans”) that would qualify as Pensionable Compensation but for the Participant’s election to receive such amounts in unrestricted shares of common stock of CME Group Inc. (“Company Stock”) rather than in cash, and (z) amounts includible in the Participant’s gross income under Section 83 of the Code upon the vesting of restricted shares of Company Stock issued to the Participant as payment of a bonus award under the Bonus Plans.”</w:t>
      </w:r>
    </w:p>
    <w:p>
      <w:pPr>
        <w:spacing w:after="0" w:line="11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WITNESS WHEREOF, Chicago Mercantile Exchange Inc. has caused this amendment to be executed by its duly authorized officer on this 25th day of April, 2011.</w:t>
      </w:r>
    </w:p>
    <w:p>
      <w:pPr>
        <w:spacing w:after="0" w:line="17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Kathleen M. Cronin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Its: </w:t>
      </w:r>
      <w:r>
        <w:rPr>
          <w:rFonts w:ascii="Arial" w:cs="Arial" w:eastAsia="Arial" w:hAnsi="Arial"/>
          <w:sz w:val="18"/>
          <w:szCs w:val="18"/>
          <w:u w:val="single" w:color="auto"/>
          <w:color w:val="auto"/>
        </w:rPr>
        <w:t>/s/ Managing Director, General Counsel &amp; Corporate Secretary</w:t>
      </w:r>
    </w:p>
    <w:p>
      <w:pPr>
        <w:sectPr>
          <w:pgSz w:w="11900" w:h="16838" w:orient="portrait"/>
          <w:cols w:equalWidth="0" w:num="1">
            <w:col w:w="11420"/>
          </w:cols>
          <w:pgMar w:left="240" w:top="125"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10.5</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Amendment to the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CME GROUP INC. ANNUAL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NAMED EXECUTIVE OFFICERS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and Restated as of May 13, 2009)</w:t>
      </w:r>
    </w:p>
    <w:p>
      <w:pPr>
        <w:spacing w:after="0" w:line="171" w:lineRule="exact"/>
        <w:rPr>
          <w:sz w:val="20"/>
          <w:szCs w:val="20"/>
          <w:color w:val="auto"/>
        </w:rPr>
      </w:pPr>
    </w:p>
    <w:p>
      <w:pPr>
        <w:ind w:left="640" w:hanging="176"/>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Section 5(c) is amended by replacing it in its entirety with the following:</w:t>
      </w:r>
    </w:p>
    <w:p>
      <w:pPr>
        <w:spacing w:after="0" w:line="171" w:lineRule="exact"/>
        <w:rPr>
          <w:rFonts w:ascii="Arial" w:cs="Arial" w:eastAsia="Arial" w:hAnsi="Arial"/>
          <w:sz w:val="18"/>
          <w:szCs w:val="18"/>
          <w:color w:val="auto"/>
        </w:rPr>
      </w:pPr>
    </w:p>
    <w:p>
      <w:pPr>
        <w:ind w:right="160" w:firstLine="921"/>
        <w:spacing w:after="0" w:line="294" w:lineRule="auto"/>
        <w:tabs>
          <w:tab w:leader="none" w:pos="1152" w:val="left"/>
        </w:tabs>
        <w:numPr>
          <w:ilvl w:val="1"/>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Time and Form of Payment</w:t>
      </w:r>
      <w:r>
        <w:rPr>
          <w:rFonts w:ascii="Arial" w:cs="Arial" w:eastAsia="Arial" w:hAnsi="Arial"/>
          <w:sz w:val="16"/>
          <w:szCs w:val="16"/>
          <w:color w:val="auto"/>
        </w:rPr>
        <w:t>. All payments in respect of Awards granted under this Plan shall be made in cash or, to the extent consented to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 Participant or determined by the Committee at the time an Award is granted, in whole or in part in Common Stock issued under the CME Group Inc. Amended and Restated Omnibus Stock Plan (the “Omnibus Plan”) and valued at its Fair Market Value (as defined in the Omnibus Plan) on the date of payment. Any such payment shall be made within two and one-half (2 </w:t>
      </w:r>
      <w:r>
        <w:rPr>
          <w:rFonts w:ascii="Arial" w:cs="Arial" w:eastAsia="Arial" w:hAnsi="Arial"/>
          <w:sz w:val="10"/>
          <w:szCs w:val="10"/>
          <w:color w:val="auto"/>
        </w:rPr>
        <w:t>1/2</w:t>
      </w:r>
      <w:r>
        <w:rPr>
          <w:rFonts w:ascii="Arial" w:cs="Arial" w:eastAsia="Arial" w:hAnsi="Arial"/>
          <w:sz w:val="16"/>
          <w:szCs w:val="16"/>
          <w:color w:val="auto"/>
        </w:rPr>
        <w:t>) months after the end of the Performance Period, but in no event shall such payments be made later than December 31 of the year after the end of the Performance Period.</w:t>
      </w:r>
    </w:p>
    <w:p>
      <w:pPr>
        <w:spacing w:after="0" w:line="116"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IN WITNESS WHEREOF, Chicago Mercantile Exchange Inc. has caused this amendment to be executed by its duly authorized officer on this 25th day of April, 2011.</w:t>
      </w:r>
    </w:p>
    <w:p>
      <w:pPr>
        <w:spacing w:after="0" w:line="17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Kathleen M. Cronin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Its: </w:t>
      </w:r>
      <w:r>
        <w:rPr>
          <w:rFonts w:ascii="Arial" w:cs="Arial" w:eastAsia="Arial" w:hAnsi="Arial"/>
          <w:sz w:val="18"/>
          <w:szCs w:val="18"/>
          <w:u w:val="single" w:color="auto"/>
          <w:color w:val="auto"/>
        </w:rPr>
        <w:t>/s/ Managing Director, General Counsel &amp; Corporate Secretary</w:t>
      </w:r>
    </w:p>
    <w:p>
      <w:pPr>
        <w:sectPr>
          <w:pgSz w:w="11900" w:h="16838" w:orient="portrait"/>
          <w:cols w:equalWidth="0" w:num="1">
            <w:col w:w="11420"/>
          </w:cols>
          <w:pgMar w:left="240" w:top="125"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10.6</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Amendment to the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CME GROUP INC. ANNUAL INCENTIVE PLAN</w:t>
      </w:r>
    </w:p>
    <w:p>
      <w:pPr>
        <w:spacing w:after="0" w:line="165" w:lineRule="exact"/>
        <w:rPr>
          <w:sz w:val="20"/>
          <w:szCs w:val="20"/>
          <w:color w:val="auto"/>
        </w:rPr>
      </w:pPr>
    </w:p>
    <w:p>
      <w:pPr>
        <w:ind w:left="640" w:hanging="17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Section 5(c) is amended by replacing it in its entirety with the following:</w:t>
      </w:r>
    </w:p>
    <w:p>
      <w:pPr>
        <w:spacing w:after="0" w:line="171" w:lineRule="exact"/>
        <w:rPr>
          <w:rFonts w:ascii="Arial" w:cs="Arial" w:eastAsia="Arial" w:hAnsi="Arial"/>
          <w:sz w:val="18"/>
          <w:szCs w:val="18"/>
          <w:color w:val="auto"/>
        </w:rPr>
      </w:pPr>
    </w:p>
    <w:p>
      <w:pPr>
        <w:ind w:right="160" w:firstLine="921"/>
        <w:spacing w:after="0" w:line="294" w:lineRule="auto"/>
        <w:tabs>
          <w:tab w:leader="none" w:pos="1152" w:val="left"/>
        </w:tabs>
        <w:numPr>
          <w:ilvl w:val="1"/>
          <w:numId w:val="59"/>
        </w:numPr>
        <w:rPr>
          <w:rFonts w:ascii="Arial" w:cs="Arial" w:eastAsia="Arial" w:hAnsi="Arial"/>
          <w:sz w:val="16"/>
          <w:szCs w:val="16"/>
          <w:color w:val="auto"/>
        </w:rPr>
      </w:pPr>
      <w:r>
        <w:rPr>
          <w:rFonts w:ascii="Arial" w:cs="Arial" w:eastAsia="Arial" w:hAnsi="Arial"/>
          <w:sz w:val="16"/>
          <w:szCs w:val="16"/>
          <w:b w:val="1"/>
          <w:bCs w:val="1"/>
          <w:i w:val="1"/>
          <w:iCs w:val="1"/>
          <w:color w:val="auto"/>
        </w:rPr>
        <w:t>Time and Form of Payment</w:t>
      </w:r>
      <w:r>
        <w:rPr>
          <w:rFonts w:ascii="Arial" w:cs="Arial" w:eastAsia="Arial" w:hAnsi="Arial"/>
          <w:sz w:val="16"/>
          <w:szCs w:val="16"/>
          <w:color w:val="auto"/>
        </w:rPr>
        <w:t>. All payments in respect of Awards granted under this Plan shall be made in cash or, to the extent consented to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 Participant or determined by the Committee at the time an Award is granted, in whole or in part in Common Stock issued under the CME Group Inc. Amended and Restated Omnibus Stock Plan (the “Omnibus Plan”) and valued at its Fair Market Value (as defined in the Omnibus Plan) on the date of payment. Any such payment shall be made within two and one-half (2 </w:t>
      </w:r>
      <w:r>
        <w:rPr>
          <w:rFonts w:ascii="Arial" w:cs="Arial" w:eastAsia="Arial" w:hAnsi="Arial"/>
          <w:sz w:val="10"/>
          <w:szCs w:val="10"/>
          <w:color w:val="auto"/>
        </w:rPr>
        <w:t>1/2</w:t>
      </w:r>
      <w:r>
        <w:rPr>
          <w:rFonts w:ascii="Arial" w:cs="Arial" w:eastAsia="Arial" w:hAnsi="Arial"/>
          <w:sz w:val="16"/>
          <w:szCs w:val="16"/>
          <w:color w:val="auto"/>
        </w:rPr>
        <w:t>) months after the end of the Performance Period, but in no event shall such payments be made later than December 31 of the year after the end of the Performance Period.</w:t>
      </w:r>
    </w:p>
    <w:p>
      <w:pPr>
        <w:spacing w:after="0" w:line="116"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IN WITNESS WHEREOF, Chicago Mercantile Exchange Inc. has caused this amendment to be executed by its duly authorized officer on this 25th day of April, 2011.</w:t>
      </w:r>
    </w:p>
    <w:p>
      <w:pPr>
        <w:spacing w:after="0" w:line="17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Kathleen M. Cronin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Its: </w:t>
      </w:r>
      <w:r>
        <w:rPr>
          <w:rFonts w:ascii="Arial" w:cs="Arial" w:eastAsia="Arial" w:hAnsi="Arial"/>
          <w:sz w:val="18"/>
          <w:szCs w:val="18"/>
          <w:u w:val="single" w:color="auto"/>
          <w:color w:val="auto"/>
        </w:rPr>
        <w:t>/s/ Managing Director, General Counsel &amp; Corporate Secretary</w:t>
      </w:r>
    </w:p>
    <w:p>
      <w:pPr>
        <w:sectPr>
          <w:pgSz w:w="11900" w:h="16838" w:orient="portrait"/>
          <w:cols w:equalWidth="0" w:num="1">
            <w:col w:w="11420"/>
          </w:cols>
          <w:pgMar w:left="240" w:top="125"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397635" cy="2057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9763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380"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Congratulations! We are pleased to provide you with a long-term incentive opportunity under the CME Group Inc. Amended and Restated Omnibus Stock Plan (the “Plan”). This long-term incentive opportunity is in recognition of the anticipated positive impact you will make toward the future success of the</w:t>
      </w:r>
    </w:p>
    <w:p>
      <w:pPr>
        <w:ind w:right="40"/>
        <w:spacing w:after="0" w:line="281" w:lineRule="auto"/>
        <w:rPr>
          <w:sz w:val="20"/>
          <w:szCs w:val="20"/>
          <w:color w:val="auto"/>
        </w:rPr>
      </w:pPr>
      <w:r>
        <w:rPr>
          <w:rFonts w:ascii="Arial" w:cs="Arial" w:eastAsia="Arial" w:hAnsi="Arial"/>
          <w:sz w:val="16"/>
          <w:szCs w:val="16"/>
          <w:color w:val="auto"/>
        </w:rPr>
        <w:t>initiative (“ Incentive”). Your Incentive provides you with the opportunity to earn a range of performance shares based on the performance of the initiative relative to performance goals set for the related performance periods. If earned, the ultimate payout for each goal will be in the form of CME Group Inc.</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480" w:type="dxa"/>
            <w:vAlign w:val="bottom"/>
            <w:gridSpan w:val="8"/>
          </w:tcPr>
          <w:p>
            <w:pPr>
              <w:spacing w:after="0"/>
              <w:rPr>
                <w:sz w:val="20"/>
                <w:szCs w:val="20"/>
                <w:color w:val="auto"/>
              </w:rPr>
            </w:pPr>
            <w:r>
              <w:rPr>
                <w:rFonts w:ascii="Arial" w:cs="Arial" w:eastAsia="Arial" w:hAnsi="Arial"/>
                <w:sz w:val="18"/>
                <w:szCs w:val="18"/>
                <w:color w:val="auto"/>
                <w:w w:val="92"/>
              </w:rPr>
              <w:t>stock, which is a means for you to share in the success of the overall company. Certain terms of your</w:t>
            </w:r>
          </w:p>
        </w:tc>
        <w:tc>
          <w:tcPr>
            <w:tcW w:w="3900" w:type="dxa"/>
            <w:vAlign w:val="bottom"/>
          </w:tcPr>
          <w:p>
            <w:pPr>
              <w:ind w:left="220"/>
              <w:spacing w:after="0"/>
              <w:rPr>
                <w:sz w:val="20"/>
                <w:szCs w:val="20"/>
                <w:color w:val="auto"/>
              </w:rPr>
            </w:pPr>
            <w:r>
              <w:rPr>
                <w:rFonts w:ascii="Arial" w:cs="Arial" w:eastAsia="Arial" w:hAnsi="Arial"/>
                <w:sz w:val="18"/>
                <w:szCs w:val="18"/>
                <w:color w:val="auto"/>
              </w:rPr>
              <w:t>Incentive opportunity follow:</w:t>
            </w:r>
          </w:p>
        </w:tc>
      </w:tr>
      <w:tr>
        <w:trPr>
          <w:trHeight w:val="414"/>
        </w:trPr>
        <w:tc>
          <w:tcPr>
            <w:tcW w:w="198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87"/>
              </w:rPr>
              <w:t>Performance Share Terms</w:t>
            </w:r>
          </w:p>
        </w:tc>
        <w:tc>
          <w:tcPr>
            <w:tcW w:w="1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399"/>
        </w:trPr>
        <w:tc>
          <w:tcPr>
            <w:tcW w:w="3160" w:type="dxa"/>
            <w:vAlign w:val="bottom"/>
            <w:gridSpan w:val="6"/>
          </w:tcPr>
          <w:p>
            <w:pPr>
              <w:spacing w:after="0"/>
              <w:rPr>
                <w:sz w:val="20"/>
                <w:szCs w:val="20"/>
                <w:color w:val="auto"/>
              </w:rPr>
            </w:pPr>
            <w:r>
              <w:rPr>
                <w:rFonts w:ascii="Arial" w:cs="Arial" w:eastAsia="Arial" w:hAnsi="Arial"/>
                <w:sz w:val="18"/>
                <w:szCs w:val="18"/>
                <w:color w:val="auto"/>
              </w:rPr>
              <w:t>Performance Shares:</w:t>
            </w:r>
          </w:p>
        </w:tc>
        <w:tc>
          <w:tcPr>
            <w:tcW w:w="2180" w:type="dxa"/>
            <w:vAlign w:val="bottom"/>
          </w:tcPr>
          <w:p>
            <w:pPr>
              <w:ind w:left="1180"/>
              <w:spacing w:after="0"/>
              <w:rPr>
                <w:sz w:val="20"/>
                <w:szCs w:val="20"/>
                <w:color w:val="auto"/>
              </w:rPr>
            </w:pPr>
            <w:r>
              <w:rPr>
                <w:rFonts w:ascii="Arial" w:cs="Arial" w:eastAsia="Arial" w:hAnsi="Arial"/>
                <w:sz w:val="18"/>
                <w:szCs w:val="18"/>
                <w:color w:val="auto"/>
              </w:rPr>
              <w:t>Your total</w:t>
            </w:r>
          </w:p>
        </w:tc>
        <w:tc>
          <w:tcPr>
            <w:tcW w:w="6040" w:type="dxa"/>
            <w:vAlign w:val="bottom"/>
            <w:gridSpan w:val="2"/>
          </w:tcPr>
          <w:p>
            <w:pPr>
              <w:ind w:left="320"/>
              <w:spacing w:after="0"/>
              <w:rPr>
                <w:sz w:val="20"/>
                <w:szCs w:val="20"/>
                <w:color w:val="auto"/>
              </w:rPr>
            </w:pPr>
            <w:r>
              <w:rPr>
                <w:rFonts w:ascii="Arial" w:cs="Arial" w:eastAsia="Arial" w:hAnsi="Arial"/>
                <w:sz w:val="18"/>
                <w:szCs w:val="18"/>
                <w:color w:val="auto"/>
                <w:w w:val="87"/>
              </w:rPr>
              <w:t>Incentive has a target of [total shares] Performance Shares for the achievement of</w:t>
            </w:r>
          </w:p>
        </w:tc>
      </w:tr>
      <w:tr>
        <w:trPr>
          <w:trHeight w:val="228"/>
        </w:trPr>
        <w:tc>
          <w:tcPr>
            <w:tcW w:w="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20" w:type="dxa"/>
            <w:vAlign w:val="bottom"/>
            <w:gridSpan w:val="3"/>
          </w:tcPr>
          <w:p>
            <w:pPr>
              <w:ind w:left="1180"/>
              <w:spacing w:after="0"/>
              <w:rPr>
                <w:sz w:val="20"/>
                <w:szCs w:val="20"/>
                <w:color w:val="auto"/>
              </w:rPr>
            </w:pPr>
            <w:r>
              <w:rPr>
                <w:rFonts w:ascii="Arial" w:cs="Arial" w:eastAsia="Arial" w:hAnsi="Arial"/>
                <w:sz w:val="18"/>
                <w:szCs w:val="18"/>
                <w:color w:val="auto"/>
                <w:w w:val="92"/>
              </w:rPr>
              <w:t>Performance Goals at the target levels. Payouts will be settled after the end of the Performance</w:t>
            </w: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20" w:type="dxa"/>
            <w:vAlign w:val="bottom"/>
            <w:gridSpan w:val="3"/>
          </w:tcPr>
          <w:p>
            <w:pPr>
              <w:ind w:left="1180"/>
              <w:spacing w:after="0"/>
              <w:rPr>
                <w:sz w:val="20"/>
                <w:szCs w:val="20"/>
                <w:color w:val="auto"/>
              </w:rPr>
            </w:pPr>
            <w:r>
              <w:rPr>
                <w:rFonts w:ascii="Arial" w:cs="Arial" w:eastAsia="Arial" w:hAnsi="Arial"/>
                <w:sz w:val="18"/>
                <w:szCs w:val="18"/>
                <w:color w:val="auto"/>
                <w:w w:val="87"/>
              </w:rPr>
              <w:t>Period for each respective grant by the issuance of shares of Class A common stock, $.01 par value,</w:t>
            </w: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20" w:type="dxa"/>
            <w:vAlign w:val="bottom"/>
            <w:gridSpan w:val="3"/>
          </w:tcPr>
          <w:p>
            <w:pPr>
              <w:ind w:left="1180"/>
              <w:spacing w:after="0"/>
              <w:rPr>
                <w:sz w:val="20"/>
                <w:szCs w:val="20"/>
                <w:color w:val="auto"/>
              </w:rPr>
            </w:pPr>
            <w:r>
              <w:rPr>
                <w:rFonts w:ascii="Arial" w:cs="Arial" w:eastAsia="Arial" w:hAnsi="Arial"/>
                <w:sz w:val="18"/>
                <w:szCs w:val="18"/>
                <w:color w:val="auto"/>
                <w:w w:val="90"/>
              </w:rPr>
              <w:t>of CME Group Inc. if the Performance Goals are achieved for the Performance Period as set forth</w:t>
            </w:r>
          </w:p>
        </w:tc>
      </w:tr>
      <w:tr>
        <w:trPr>
          <w:trHeight w:val="222"/>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180" w:type="dxa"/>
            <w:vAlign w:val="bottom"/>
          </w:tcPr>
          <w:p>
            <w:pPr>
              <w:ind w:left="1180"/>
              <w:spacing w:after="0"/>
              <w:rPr>
                <w:sz w:val="20"/>
                <w:szCs w:val="20"/>
                <w:color w:val="auto"/>
              </w:rPr>
            </w:pPr>
            <w:r>
              <w:rPr>
                <w:rFonts w:ascii="Arial" w:cs="Arial" w:eastAsia="Arial" w:hAnsi="Arial"/>
                <w:sz w:val="18"/>
                <w:szCs w:val="18"/>
                <w:color w:val="auto"/>
              </w:rPr>
              <w:t>below.</w:t>
            </w:r>
          </w:p>
        </w:tc>
        <w:tc>
          <w:tcPr>
            <w:tcW w:w="2140" w:type="dxa"/>
            <w:vAlign w:val="bottom"/>
          </w:tcPr>
          <w:p>
            <w:pPr>
              <w:spacing w:after="0"/>
              <w:rPr>
                <w:sz w:val="19"/>
                <w:szCs w:val="19"/>
                <w:color w:val="auto"/>
              </w:rPr>
            </w:pPr>
          </w:p>
        </w:tc>
        <w:tc>
          <w:tcPr>
            <w:tcW w:w="3900" w:type="dxa"/>
            <w:vAlign w:val="bottom"/>
          </w:tcPr>
          <w:p>
            <w:pPr>
              <w:spacing w:after="0"/>
              <w:rPr>
                <w:sz w:val="19"/>
                <w:szCs w:val="19"/>
                <w:color w:val="auto"/>
              </w:rPr>
            </w:pPr>
          </w:p>
        </w:tc>
      </w:tr>
      <w:tr>
        <w:trPr>
          <w:trHeight w:val="421"/>
        </w:trPr>
        <w:tc>
          <w:tcPr>
            <w:tcW w:w="20" w:type="dxa"/>
            <w:vAlign w:val="bottom"/>
          </w:tcPr>
          <w:p>
            <w:pPr>
              <w:spacing w:after="0"/>
              <w:rPr>
                <w:sz w:val="24"/>
                <w:szCs w:val="24"/>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5"/>
              </w:rPr>
              <w:t>Grant Date:</w:t>
            </w:r>
          </w:p>
        </w:tc>
        <w:tc>
          <w:tcPr>
            <w:tcW w:w="2320" w:type="dxa"/>
            <w:vAlign w:val="bottom"/>
            <w:gridSpan w:val="3"/>
          </w:tcPr>
          <w:p>
            <w:pPr>
              <w:spacing w:after="0"/>
              <w:rPr>
                <w:sz w:val="24"/>
                <w:szCs w:val="24"/>
                <w:color w:val="auto"/>
              </w:rPr>
            </w:pPr>
          </w:p>
        </w:tc>
        <w:tc>
          <w:tcPr>
            <w:tcW w:w="21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480"/>
        </w:trPr>
        <w:tc>
          <w:tcPr>
            <w:tcW w:w="3160" w:type="dxa"/>
            <w:vAlign w:val="bottom"/>
            <w:gridSpan w:val="6"/>
          </w:tcPr>
          <w:p>
            <w:pPr>
              <w:spacing w:after="0"/>
              <w:rPr>
                <w:sz w:val="20"/>
                <w:szCs w:val="20"/>
                <w:color w:val="auto"/>
              </w:rPr>
            </w:pPr>
            <w:r>
              <w:rPr>
                <w:rFonts w:ascii="Arial" w:cs="Arial" w:eastAsia="Arial" w:hAnsi="Arial"/>
                <w:sz w:val="18"/>
                <w:szCs w:val="18"/>
                <w:color w:val="auto"/>
              </w:rPr>
              <w:t>Goal 1:</w:t>
            </w:r>
          </w:p>
        </w:tc>
        <w:tc>
          <w:tcPr>
            <w:tcW w:w="4320" w:type="dxa"/>
            <w:vAlign w:val="bottom"/>
            <w:gridSpan w:val="2"/>
          </w:tcPr>
          <w:p>
            <w:pPr>
              <w:ind w:left="1180"/>
              <w:spacing w:after="0"/>
              <w:rPr>
                <w:sz w:val="20"/>
                <w:szCs w:val="20"/>
                <w:color w:val="auto"/>
              </w:rPr>
            </w:pPr>
            <w:r>
              <w:rPr>
                <w:rFonts w:ascii="Arial" w:cs="Arial" w:eastAsia="Arial" w:hAnsi="Arial"/>
                <w:sz w:val="18"/>
                <w:szCs w:val="18"/>
                <w:color w:val="auto"/>
                <w:w w:val="93"/>
              </w:rPr>
              <w:t>Performance Shares – [number of shares]</w:t>
            </w:r>
          </w:p>
        </w:tc>
        <w:tc>
          <w:tcPr>
            <w:tcW w:w="3900" w:type="dxa"/>
            <w:vAlign w:val="bottom"/>
          </w:tcPr>
          <w:p>
            <w:pPr>
              <w:spacing w:after="0"/>
              <w:rPr>
                <w:sz w:val="24"/>
                <w:szCs w:val="24"/>
                <w:color w:val="auto"/>
              </w:rPr>
            </w:pPr>
          </w:p>
        </w:tc>
      </w:tr>
      <w:tr>
        <w:trPr>
          <w:trHeight w:val="451"/>
        </w:trPr>
        <w:tc>
          <w:tcPr>
            <w:tcW w:w="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320" w:type="dxa"/>
            <w:vAlign w:val="bottom"/>
            <w:gridSpan w:val="2"/>
          </w:tcPr>
          <w:p>
            <w:pPr>
              <w:ind w:left="1180"/>
              <w:spacing w:after="0"/>
              <w:rPr>
                <w:sz w:val="20"/>
                <w:szCs w:val="20"/>
                <w:color w:val="auto"/>
              </w:rPr>
            </w:pPr>
            <w:r>
              <w:rPr>
                <w:rFonts w:ascii="Arial" w:cs="Arial" w:eastAsia="Arial" w:hAnsi="Arial"/>
                <w:sz w:val="18"/>
                <w:szCs w:val="18"/>
                <w:color w:val="auto"/>
              </w:rPr>
              <w:t>Performance Period –</w:t>
            </w:r>
          </w:p>
        </w:tc>
        <w:tc>
          <w:tcPr>
            <w:tcW w:w="3900" w:type="dxa"/>
            <w:vAlign w:val="bottom"/>
          </w:tcPr>
          <w:p>
            <w:pPr>
              <w:spacing w:after="0"/>
              <w:rPr>
                <w:sz w:val="24"/>
                <w:szCs w:val="24"/>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320" w:type="dxa"/>
            <w:vAlign w:val="bottom"/>
            <w:gridSpan w:val="2"/>
          </w:tcPr>
          <w:p>
            <w:pPr>
              <w:ind w:left="1180"/>
              <w:spacing w:after="0"/>
              <w:rPr>
                <w:sz w:val="20"/>
                <w:szCs w:val="20"/>
                <w:color w:val="auto"/>
              </w:rPr>
            </w:pPr>
            <w:r>
              <w:rPr>
                <w:rFonts w:ascii="Arial" w:cs="Arial" w:eastAsia="Arial" w:hAnsi="Arial"/>
                <w:sz w:val="18"/>
                <w:szCs w:val="18"/>
                <w:color w:val="auto"/>
              </w:rPr>
              <w:t>Performance Goal –</w:t>
            </w:r>
          </w:p>
        </w:tc>
        <w:tc>
          <w:tcPr>
            <w:tcW w:w="3900" w:type="dxa"/>
            <w:vAlign w:val="bottom"/>
          </w:tcPr>
          <w:p>
            <w:pPr>
              <w:spacing w:after="0"/>
              <w:rPr>
                <w:sz w:val="24"/>
                <w:szCs w:val="24"/>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320" w:type="dxa"/>
            <w:vAlign w:val="bottom"/>
            <w:gridSpan w:val="2"/>
          </w:tcPr>
          <w:p>
            <w:pPr>
              <w:ind w:left="1180"/>
              <w:spacing w:after="0"/>
              <w:rPr>
                <w:sz w:val="20"/>
                <w:szCs w:val="20"/>
                <w:color w:val="auto"/>
              </w:rPr>
            </w:pPr>
            <w:r>
              <w:rPr>
                <w:rFonts w:ascii="Arial" w:cs="Arial" w:eastAsia="Arial" w:hAnsi="Arial"/>
                <w:sz w:val="18"/>
                <w:szCs w:val="18"/>
                <w:color w:val="auto"/>
              </w:rPr>
              <w:t>Payment and Vesting Date –</w:t>
            </w:r>
          </w:p>
        </w:tc>
        <w:tc>
          <w:tcPr>
            <w:tcW w:w="3900" w:type="dxa"/>
            <w:vAlign w:val="bottom"/>
          </w:tcPr>
          <w:p>
            <w:pPr>
              <w:spacing w:after="0"/>
              <w:rPr>
                <w:sz w:val="24"/>
                <w:szCs w:val="24"/>
                <w:color w:val="auto"/>
              </w:rPr>
            </w:pPr>
          </w:p>
        </w:tc>
      </w:tr>
      <w:tr>
        <w:trPr>
          <w:trHeight w:val="461"/>
        </w:trPr>
        <w:tc>
          <w:tcPr>
            <w:tcW w:w="3160" w:type="dxa"/>
            <w:vAlign w:val="bottom"/>
            <w:gridSpan w:val="6"/>
          </w:tcPr>
          <w:p>
            <w:pPr>
              <w:spacing w:after="0"/>
              <w:rPr>
                <w:sz w:val="20"/>
                <w:szCs w:val="20"/>
                <w:color w:val="auto"/>
              </w:rPr>
            </w:pPr>
            <w:r>
              <w:rPr>
                <w:rFonts w:ascii="Arial" w:cs="Arial" w:eastAsia="Arial" w:hAnsi="Arial"/>
                <w:sz w:val="18"/>
                <w:szCs w:val="18"/>
                <w:color w:val="auto"/>
              </w:rPr>
              <w:t>Goal 2:</w:t>
            </w:r>
          </w:p>
        </w:tc>
        <w:tc>
          <w:tcPr>
            <w:tcW w:w="4320" w:type="dxa"/>
            <w:vAlign w:val="bottom"/>
            <w:gridSpan w:val="2"/>
          </w:tcPr>
          <w:p>
            <w:pPr>
              <w:ind w:left="1180"/>
              <w:spacing w:after="0"/>
              <w:rPr>
                <w:sz w:val="20"/>
                <w:szCs w:val="20"/>
                <w:color w:val="auto"/>
              </w:rPr>
            </w:pPr>
            <w:r>
              <w:rPr>
                <w:rFonts w:ascii="Arial" w:cs="Arial" w:eastAsia="Arial" w:hAnsi="Arial"/>
                <w:sz w:val="18"/>
                <w:szCs w:val="18"/>
                <w:color w:val="auto"/>
                <w:w w:val="93"/>
              </w:rPr>
              <w:t>Performance Shares – [number of shares]</w:t>
            </w:r>
          </w:p>
        </w:tc>
        <w:tc>
          <w:tcPr>
            <w:tcW w:w="3900" w:type="dxa"/>
            <w:vAlign w:val="bottom"/>
          </w:tcPr>
          <w:p>
            <w:pPr>
              <w:spacing w:after="0"/>
              <w:rPr>
                <w:sz w:val="24"/>
                <w:szCs w:val="24"/>
                <w:color w:val="auto"/>
              </w:rPr>
            </w:pPr>
          </w:p>
        </w:tc>
      </w:tr>
      <w:tr>
        <w:trPr>
          <w:trHeight w:val="451"/>
        </w:trPr>
        <w:tc>
          <w:tcPr>
            <w:tcW w:w="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320" w:type="dxa"/>
            <w:vAlign w:val="bottom"/>
            <w:gridSpan w:val="2"/>
          </w:tcPr>
          <w:p>
            <w:pPr>
              <w:ind w:left="1180"/>
              <w:spacing w:after="0"/>
              <w:rPr>
                <w:sz w:val="20"/>
                <w:szCs w:val="20"/>
                <w:color w:val="auto"/>
              </w:rPr>
            </w:pPr>
            <w:r>
              <w:rPr>
                <w:rFonts w:ascii="Arial" w:cs="Arial" w:eastAsia="Arial" w:hAnsi="Arial"/>
                <w:sz w:val="18"/>
                <w:szCs w:val="18"/>
                <w:color w:val="auto"/>
              </w:rPr>
              <w:t>Performance Period –</w:t>
            </w:r>
          </w:p>
        </w:tc>
        <w:tc>
          <w:tcPr>
            <w:tcW w:w="3900" w:type="dxa"/>
            <w:vAlign w:val="bottom"/>
          </w:tcPr>
          <w:p>
            <w:pPr>
              <w:spacing w:after="0"/>
              <w:rPr>
                <w:sz w:val="24"/>
                <w:szCs w:val="24"/>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320" w:type="dxa"/>
            <w:vAlign w:val="bottom"/>
            <w:gridSpan w:val="2"/>
          </w:tcPr>
          <w:p>
            <w:pPr>
              <w:ind w:left="1180"/>
              <w:spacing w:after="0"/>
              <w:rPr>
                <w:sz w:val="20"/>
                <w:szCs w:val="20"/>
                <w:color w:val="auto"/>
              </w:rPr>
            </w:pPr>
            <w:r>
              <w:rPr>
                <w:rFonts w:ascii="Arial" w:cs="Arial" w:eastAsia="Arial" w:hAnsi="Arial"/>
                <w:sz w:val="18"/>
                <w:szCs w:val="18"/>
                <w:color w:val="auto"/>
              </w:rPr>
              <w:t>Performance Goal –</w:t>
            </w:r>
          </w:p>
        </w:tc>
        <w:tc>
          <w:tcPr>
            <w:tcW w:w="3900" w:type="dxa"/>
            <w:vAlign w:val="bottom"/>
          </w:tcPr>
          <w:p>
            <w:pPr>
              <w:spacing w:after="0"/>
              <w:rPr>
                <w:sz w:val="24"/>
                <w:szCs w:val="24"/>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320" w:type="dxa"/>
            <w:vAlign w:val="bottom"/>
            <w:gridSpan w:val="2"/>
          </w:tcPr>
          <w:p>
            <w:pPr>
              <w:ind w:left="1180"/>
              <w:spacing w:after="0"/>
              <w:rPr>
                <w:sz w:val="20"/>
                <w:szCs w:val="20"/>
                <w:color w:val="auto"/>
              </w:rPr>
            </w:pPr>
            <w:r>
              <w:rPr>
                <w:rFonts w:ascii="Arial" w:cs="Arial" w:eastAsia="Arial" w:hAnsi="Arial"/>
                <w:sz w:val="18"/>
                <w:szCs w:val="18"/>
                <w:color w:val="auto"/>
              </w:rPr>
              <w:t>Payment and Vesting Date –</w:t>
            </w:r>
          </w:p>
        </w:tc>
        <w:tc>
          <w:tcPr>
            <w:tcW w:w="3900" w:type="dxa"/>
            <w:vAlign w:val="bottom"/>
          </w:tcPr>
          <w:p>
            <w:pPr>
              <w:spacing w:after="0"/>
              <w:rPr>
                <w:sz w:val="24"/>
                <w:szCs w:val="24"/>
                <w:color w:val="auto"/>
              </w:rPr>
            </w:pPr>
          </w:p>
        </w:tc>
      </w:tr>
      <w:tr>
        <w:trPr>
          <w:trHeight w:val="461"/>
        </w:trPr>
        <w:tc>
          <w:tcPr>
            <w:tcW w:w="3160" w:type="dxa"/>
            <w:vAlign w:val="bottom"/>
            <w:gridSpan w:val="6"/>
          </w:tcPr>
          <w:p>
            <w:pPr>
              <w:spacing w:after="0"/>
              <w:rPr>
                <w:sz w:val="20"/>
                <w:szCs w:val="20"/>
                <w:color w:val="auto"/>
              </w:rPr>
            </w:pPr>
            <w:r>
              <w:rPr>
                <w:rFonts w:ascii="Arial" w:cs="Arial" w:eastAsia="Arial" w:hAnsi="Arial"/>
                <w:sz w:val="18"/>
                <w:szCs w:val="18"/>
                <w:color w:val="auto"/>
              </w:rPr>
              <w:t>Goal 3:</w:t>
            </w:r>
          </w:p>
        </w:tc>
        <w:tc>
          <w:tcPr>
            <w:tcW w:w="8220" w:type="dxa"/>
            <w:vAlign w:val="bottom"/>
            <w:gridSpan w:val="3"/>
          </w:tcPr>
          <w:p>
            <w:pPr>
              <w:ind w:left="1180"/>
              <w:spacing w:after="0"/>
              <w:rPr>
                <w:sz w:val="20"/>
                <w:szCs w:val="20"/>
                <w:color w:val="auto"/>
              </w:rPr>
            </w:pPr>
            <w:r>
              <w:rPr>
                <w:rFonts w:ascii="Arial" w:cs="Arial" w:eastAsia="Arial" w:hAnsi="Arial"/>
                <w:sz w:val="18"/>
                <w:szCs w:val="18"/>
                <w:color w:val="auto"/>
              </w:rPr>
              <w:t>Performance Shares at Target – [number of shares]</w:t>
            </w:r>
          </w:p>
        </w:tc>
      </w:tr>
      <w:tr>
        <w:trPr>
          <w:trHeight w:val="451"/>
        </w:trPr>
        <w:tc>
          <w:tcPr>
            <w:tcW w:w="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320" w:type="dxa"/>
            <w:vAlign w:val="bottom"/>
            <w:gridSpan w:val="2"/>
          </w:tcPr>
          <w:p>
            <w:pPr>
              <w:ind w:left="1180"/>
              <w:spacing w:after="0"/>
              <w:rPr>
                <w:sz w:val="20"/>
                <w:szCs w:val="20"/>
                <w:color w:val="auto"/>
              </w:rPr>
            </w:pPr>
            <w:r>
              <w:rPr>
                <w:rFonts w:ascii="Arial" w:cs="Arial" w:eastAsia="Arial" w:hAnsi="Arial"/>
                <w:sz w:val="18"/>
                <w:szCs w:val="18"/>
                <w:color w:val="auto"/>
              </w:rPr>
              <w:t>Performance Period –</w:t>
            </w:r>
          </w:p>
        </w:tc>
        <w:tc>
          <w:tcPr>
            <w:tcW w:w="3900" w:type="dxa"/>
            <w:vAlign w:val="bottom"/>
          </w:tcPr>
          <w:p>
            <w:pPr>
              <w:spacing w:after="0"/>
              <w:rPr>
                <w:sz w:val="24"/>
                <w:szCs w:val="24"/>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320" w:type="dxa"/>
            <w:vAlign w:val="bottom"/>
            <w:gridSpan w:val="2"/>
          </w:tcPr>
          <w:p>
            <w:pPr>
              <w:ind w:left="1180"/>
              <w:spacing w:after="0"/>
              <w:rPr>
                <w:sz w:val="20"/>
                <w:szCs w:val="20"/>
                <w:color w:val="auto"/>
              </w:rPr>
            </w:pPr>
            <w:r>
              <w:rPr>
                <w:rFonts w:ascii="Arial" w:cs="Arial" w:eastAsia="Arial" w:hAnsi="Arial"/>
                <w:sz w:val="18"/>
                <w:szCs w:val="18"/>
                <w:color w:val="auto"/>
              </w:rPr>
              <w:t>Performance Goal –</w:t>
            </w:r>
          </w:p>
        </w:tc>
        <w:tc>
          <w:tcPr>
            <w:tcW w:w="3900" w:type="dxa"/>
            <w:vAlign w:val="bottom"/>
          </w:tcPr>
          <w:p>
            <w:pPr>
              <w:spacing w:after="0"/>
              <w:rPr>
                <w:sz w:val="24"/>
                <w:szCs w:val="24"/>
                <w:color w:val="auto"/>
              </w:rPr>
            </w:pPr>
          </w:p>
        </w:tc>
      </w:tr>
    </w:tbl>
    <w:p>
      <w:pPr>
        <w:spacing w:after="0" w:line="196"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Payment and Vesting Date –</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2860" w:type="dxa"/>
            <w:vAlign w:val="bottom"/>
            <w:gridSpan w:val="7"/>
          </w:tcPr>
          <w:p>
            <w:pPr>
              <w:spacing w:after="0"/>
              <w:rPr>
                <w:sz w:val="20"/>
                <w:szCs w:val="20"/>
                <w:color w:val="auto"/>
              </w:rPr>
            </w:pPr>
            <w:r>
              <w:rPr>
                <w:rFonts w:ascii="Arial" w:cs="Arial" w:eastAsia="Arial" w:hAnsi="Arial"/>
                <w:sz w:val="18"/>
                <w:szCs w:val="18"/>
                <w:color w:val="auto"/>
              </w:rPr>
              <w:t>Goal 4:</w:t>
            </w:r>
          </w:p>
        </w:tc>
        <w:tc>
          <w:tcPr>
            <w:tcW w:w="5200" w:type="dxa"/>
            <w:vAlign w:val="bottom"/>
          </w:tcPr>
          <w:p>
            <w:pPr>
              <w:ind w:left="1480"/>
              <w:spacing w:after="0"/>
              <w:rPr>
                <w:sz w:val="20"/>
                <w:szCs w:val="20"/>
                <w:color w:val="auto"/>
              </w:rPr>
            </w:pPr>
            <w:r>
              <w:rPr>
                <w:rFonts w:ascii="Arial" w:cs="Arial" w:eastAsia="Arial" w:hAnsi="Arial"/>
                <w:sz w:val="18"/>
                <w:szCs w:val="18"/>
                <w:color w:val="auto"/>
                <w:w w:val="89"/>
              </w:rPr>
              <w:t>Performance Shares at Target – [number of shares]</w:t>
            </w:r>
          </w:p>
        </w:tc>
        <w:tc>
          <w:tcPr>
            <w:tcW w:w="3040" w:type="dxa"/>
            <w:vAlign w:val="bottom"/>
          </w:tcPr>
          <w:p>
            <w:pPr>
              <w:spacing w:after="0"/>
              <w:rPr>
                <w:sz w:val="17"/>
                <w:szCs w:val="17"/>
                <w:color w:val="auto"/>
              </w:rPr>
            </w:pPr>
          </w:p>
        </w:tc>
      </w:tr>
      <w:tr>
        <w:trPr>
          <w:trHeight w:val="451"/>
        </w:trPr>
        <w:tc>
          <w:tcPr>
            <w:tcW w:w="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200" w:type="dxa"/>
            <w:vAlign w:val="bottom"/>
          </w:tcPr>
          <w:p>
            <w:pPr>
              <w:ind w:left="1480"/>
              <w:spacing w:after="0"/>
              <w:rPr>
                <w:sz w:val="20"/>
                <w:szCs w:val="20"/>
                <w:color w:val="auto"/>
              </w:rPr>
            </w:pPr>
            <w:r>
              <w:rPr>
                <w:rFonts w:ascii="Arial" w:cs="Arial" w:eastAsia="Arial" w:hAnsi="Arial"/>
                <w:sz w:val="18"/>
                <w:szCs w:val="18"/>
                <w:color w:val="auto"/>
              </w:rPr>
              <w:t>Performance Period –</w:t>
            </w:r>
          </w:p>
        </w:tc>
        <w:tc>
          <w:tcPr>
            <w:tcW w:w="3040" w:type="dxa"/>
            <w:vAlign w:val="bottom"/>
          </w:tcPr>
          <w:p>
            <w:pPr>
              <w:spacing w:after="0"/>
              <w:rPr>
                <w:sz w:val="24"/>
                <w:szCs w:val="24"/>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200" w:type="dxa"/>
            <w:vAlign w:val="bottom"/>
          </w:tcPr>
          <w:p>
            <w:pPr>
              <w:ind w:left="1480"/>
              <w:spacing w:after="0"/>
              <w:rPr>
                <w:sz w:val="20"/>
                <w:szCs w:val="20"/>
                <w:color w:val="auto"/>
              </w:rPr>
            </w:pPr>
            <w:r>
              <w:rPr>
                <w:rFonts w:ascii="Arial" w:cs="Arial" w:eastAsia="Arial" w:hAnsi="Arial"/>
                <w:sz w:val="18"/>
                <w:szCs w:val="18"/>
                <w:color w:val="auto"/>
              </w:rPr>
              <w:t>Performance Goal –</w:t>
            </w:r>
          </w:p>
        </w:tc>
        <w:tc>
          <w:tcPr>
            <w:tcW w:w="3040" w:type="dxa"/>
            <w:vAlign w:val="bottom"/>
          </w:tcPr>
          <w:p>
            <w:pPr>
              <w:spacing w:after="0"/>
              <w:rPr>
                <w:sz w:val="24"/>
                <w:szCs w:val="24"/>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200" w:type="dxa"/>
            <w:vAlign w:val="bottom"/>
          </w:tcPr>
          <w:p>
            <w:pPr>
              <w:ind w:left="1480"/>
              <w:spacing w:after="0"/>
              <w:rPr>
                <w:sz w:val="20"/>
                <w:szCs w:val="20"/>
                <w:color w:val="auto"/>
              </w:rPr>
            </w:pPr>
            <w:r>
              <w:rPr>
                <w:rFonts w:ascii="Arial" w:cs="Arial" w:eastAsia="Arial" w:hAnsi="Arial"/>
                <w:sz w:val="18"/>
                <w:szCs w:val="18"/>
                <w:color w:val="auto"/>
              </w:rPr>
              <w:t>Payment and Vesting Date –</w:t>
            </w:r>
          </w:p>
        </w:tc>
        <w:tc>
          <w:tcPr>
            <w:tcW w:w="3040" w:type="dxa"/>
            <w:vAlign w:val="bottom"/>
          </w:tcPr>
          <w:p>
            <w:pPr>
              <w:spacing w:after="0"/>
              <w:rPr>
                <w:sz w:val="24"/>
                <w:szCs w:val="24"/>
                <w:color w:val="auto"/>
              </w:rPr>
            </w:pPr>
          </w:p>
        </w:tc>
      </w:tr>
      <w:tr>
        <w:trPr>
          <w:trHeight w:val="380"/>
        </w:trPr>
        <w:tc>
          <w:tcPr>
            <w:tcW w:w="2860" w:type="dxa"/>
            <w:vAlign w:val="bottom"/>
            <w:gridSpan w:val="7"/>
          </w:tcPr>
          <w:p>
            <w:pPr>
              <w:spacing w:after="0"/>
              <w:rPr>
                <w:sz w:val="20"/>
                <w:szCs w:val="20"/>
                <w:color w:val="auto"/>
              </w:rPr>
            </w:pPr>
            <w:r>
              <w:rPr>
                <w:rFonts w:ascii="Arial" w:cs="Arial" w:eastAsia="Arial" w:hAnsi="Arial"/>
                <w:sz w:val="18"/>
                <w:szCs w:val="18"/>
                <w:color w:val="auto"/>
              </w:rPr>
              <w:t>Payment of Grants:</w:t>
            </w:r>
          </w:p>
        </w:tc>
        <w:tc>
          <w:tcPr>
            <w:tcW w:w="8240" w:type="dxa"/>
            <w:vAlign w:val="bottom"/>
            <w:gridSpan w:val="2"/>
          </w:tcPr>
          <w:p>
            <w:pPr>
              <w:ind w:left="1480"/>
              <w:spacing w:after="0"/>
              <w:rPr>
                <w:sz w:val="20"/>
                <w:szCs w:val="20"/>
                <w:color w:val="auto"/>
              </w:rPr>
            </w:pPr>
            <w:r>
              <w:rPr>
                <w:rFonts w:ascii="Arial" w:cs="Arial" w:eastAsia="Arial" w:hAnsi="Arial"/>
                <w:sz w:val="18"/>
                <w:szCs w:val="18"/>
                <w:color w:val="auto"/>
                <w:w w:val="89"/>
              </w:rPr>
              <w:t>The Performance Shares granted for each Goal shall be paid based on the actual performance</w:t>
            </w:r>
          </w:p>
        </w:tc>
      </w:tr>
      <w:tr>
        <w:trPr>
          <w:trHeight w:val="228"/>
        </w:trPr>
        <w:tc>
          <w:tcPr>
            <w:tcW w:w="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80" w:type="dxa"/>
            <w:vAlign w:val="bottom"/>
          </w:tcPr>
          <w:p>
            <w:pPr>
              <w:spacing w:after="0"/>
              <w:rPr>
                <w:sz w:val="19"/>
                <w:szCs w:val="19"/>
                <w:color w:val="auto"/>
              </w:rPr>
            </w:pPr>
          </w:p>
        </w:tc>
        <w:tc>
          <w:tcPr>
            <w:tcW w:w="8240" w:type="dxa"/>
            <w:vAlign w:val="bottom"/>
            <w:gridSpan w:val="2"/>
          </w:tcPr>
          <w:p>
            <w:pPr>
              <w:ind w:left="1480"/>
              <w:spacing w:after="0"/>
              <w:rPr>
                <w:sz w:val="20"/>
                <w:szCs w:val="20"/>
                <w:color w:val="auto"/>
              </w:rPr>
            </w:pPr>
            <w:r>
              <w:rPr>
                <w:rFonts w:ascii="Arial" w:cs="Arial" w:eastAsia="Arial" w:hAnsi="Arial"/>
                <w:sz w:val="18"/>
                <w:szCs w:val="18"/>
                <w:color w:val="auto"/>
                <w:w w:val="93"/>
              </w:rPr>
              <w:t>achieved under each of the respective Goals during the respective Performance Period, in</w:t>
            </w: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240" w:type="dxa"/>
            <w:vAlign w:val="bottom"/>
            <w:gridSpan w:val="2"/>
          </w:tcPr>
          <w:p>
            <w:pPr>
              <w:ind w:left="1480"/>
              <w:spacing w:after="0"/>
              <w:rPr>
                <w:sz w:val="20"/>
                <w:szCs w:val="20"/>
                <w:color w:val="auto"/>
              </w:rPr>
            </w:pPr>
            <w:r>
              <w:rPr>
                <w:rFonts w:ascii="Arial" w:cs="Arial" w:eastAsia="Arial" w:hAnsi="Arial"/>
                <w:sz w:val="18"/>
                <w:szCs w:val="18"/>
                <w:color w:val="auto"/>
                <w:w w:val="86"/>
              </w:rPr>
              <w:t>accordance with the Terms and Conditions attached hereto. The Goals shall not be deemed to be</w:t>
            </w: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240" w:type="dxa"/>
            <w:vAlign w:val="bottom"/>
            <w:gridSpan w:val="2"/>
          </w:tcPr>
          <w:p>
            <w:pPr>
              <w:ind w:left="1480"/>
              <w:spacing w:after="0"/>
              <w:rPr>
                <w:sz w:val="20"/>
                <w:szCs w:val="20"/>
                <w:color w:val="auto"/>
              </w:rPr>
            </w:pPr>
            <w:r>
              <w:rPr>
                <w:rFonts w:ascii="Arial" w:cs="Arial" w:eastAsia="Arial" w:hAnsi="Arial"/>
                <w:sz w:val="18"/>
                <w:szCs w:val="18"/>
                <w:color w:val="auto"/>
                <w:w w:val="91"/>
              </w:rPr>
              <w:t>attained until the Compensation Committee and/or its delegate confirms that they have been</w:t>
            </w: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240" w:type="dxa"/>
            <w:vAlign w:val="bottom"/>
            <w:gridSpan w:val="2"/>
          </w:tcPr>
          <w:p>
            <w:pPr>
              <w:ind w:left="1480"/>
              <w:spacing w:after="0"/>
              <w:rPr>
                <w:sz w:val="20"/>
                <w:szCs w:val="20"/>
                <w:color w:val="auto"/>
              </w:rPr>
            </w:pPr>
            <w:r>
              <w:rPr>
                <w:rFonts w:ascii="Arial" w:cs="Arial" w:eastAsia="Arial" w:hAnsi="Arial"/>
                <w:sz w:val="18"/>
                <w:szCs w:val="18"/>
                <w:color w:val="auto"/>
                <w:w w:val="88"/>
              </w:rPr>
              <w:t>attained. Performance Shares shall be settled in Class A common stock, $.01 par value of CME</w:t>
            </w:r>
          </w:p>
        </w:tc>
      </w:tr>
      <w:tr>
        <w:trPr>
          <w:trHeight w:val="222"/>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240" w:type="dxa"/>
            <w:vAlign w:val="bottom"/>
            <w:gridSpan w:val="2"/>
          </w:tcPr>
          <w:p>
            <w:pPr>
              <w:ind w:left="1480"/>
              <w:spacing w:after="0"/>
              <w:rPr>
                <w:sz w:val="20"/>
                <w:szCs w:val="20"/>
                <w:color w:val="auto"/>
              </w:rPr>
            </w:pPr>
            <w:r>
              <w:rPr>
                <w:rFonts w:ascii="Arial" w:cs="Arial" w:eastAsia="Arial" w:hAnsi="Arial"/>
                <w:sz w:val="18"/>
                <w:szCs w:val="18"/>
                <w:color w:val="auto"/>
              </w:rPr>
              <w:t>Group Inc. stock on the respective Payment and Vesting Date.</w:t>
            </w:r>
          </w:p>
        </w:tc>
      </w:tr>
      <w:tr>
        <w:trPr>
          <w:trHeight w:val="340"/>
        </w:trPr>
        <w:tc>
          <w:tcPr>
            <w:tcW w:w="20" w:type="dxa"/>
            <w:vAlign w:val="bottom"/>
          </w:tcPr>
          <w:p>
            <w:pPr>
              <w:spacing w:after="0"/>
              <w:rPr>
                <w:sz w:val="24"/>
                <w:szCs w:val="24"/>
                <w:color w:val="auto"/>
              </w:rPr>
            </w:pPr>
          </w:p>
        </w:tc>
        <w:tc>
          <w:tcPr>
            <w:tcW w:w="2840" w:type="dxa"/>
            <w:vAlign w:val="bottom"/>
            <w:gridSpan w:val="6"/>
          </w:tcPr>
          <w:p>
            <w:pPr>
              <w:spacing w:after="0"/>
              <w:rPr>
                <w:sz w:val="20"/>
                <w:szCs w:val="20"/>
                <w:color w:val="auto"/>
              </w:rPr>
            </w:pPr>
            <w:r>
              <w:rPr>
                <w:rFonts w:ascii="Arial" w:cs="Arial" w:eastAsia="Arial" w:hAnsi="Arial"/>
                <w:sz w:val="18"/>
                <w:szCs w:val="18"/>
                <w:color w:val="auto"/>
              </w:rPr>
              <w:t>Additional Terms</w:t>
            </w:r>
          </w:p>
        </w:tc>
        <w:tc>
          <w:tcPr>
            <w:tcW w:w="520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196"/>
        </w:trPr>
        <w:tc>
          <w:tcPr>
            <w:tcW w:w="2860" w:type="dxa"/>
            <w:vAlign w:val="bottom"/>
            <w:gridSpan w:val="7"/>
          </w:tcPr>
          <w:p>
            <w:pPr>
              <w:spacing w:after="0" w:line="196" w:lineRule="exact"/>
              <w:rPr>
                <w:sz w:val="20"/>
                <w:szCs w:val="20"/>
                <w:color w:val="auto"/>
              </w:rPr>
            </w:pPr>
            <w:r>
              <w:rPr>
                <w:rFonts w:ascii="Arial" w:cs="Arial" w:eastAsia="Arial" w:hAnsi="Arial"/>
                <w:sz w:val="18"/>
                <w:szCs w:val="18"/>
                <w:color w:val="auto"/>
              </w:rPr>
              <w:t>and Conditions:</w:t>
            </w:r>
          </w:p>
        </w:tc>
        <w:tc>
          <w:tcPr>
            <w:tcW w:w="5200" w:type="dxa"/>
            <w:vAlign w:val="bottom"/>
          </w:tcPr>
          <w:p>
            <w:pPr>
              <w:ind w:left="1480"/>
              <w:spacing w:after="0" w:line="196" w:lineRule="exact"/>
              <w:rPr>
                <w:sz w:val="20"/>
                <w:szCs w:val="20"/>
                <w:color w:val="auto"/>
              </w:rPr>
            </w:pPr>
            <w:r>
              <w:rPr>
                <w:rFonts w:ascii="Arial" w:cs="Arial" w:eastAsia="Arial" w:hAnsi="Arial"/>
                <w:sz w:val="18"/>
                <w:szCs w:val="18"/>
                <w:color w:val="auto"/>
                <w:w w:val="98"/>
              </w:rPr>
              <w:t>The Performance Shares granted as part of the</w:t>
            </w:r>
          </w:p>
        </w:tc>
        <w:tc>
          <w:tcPr>
            <w:tcW w:w="3040" w:type="dxa"/>
            <w:vAlign w:val="bottom"/>
          </w:tcPr>
          <w:p>
            <w:pPr>
              <w:ind w:left="140"/>
              <w:spacing w:after="0" w:line="196" w:lineRule="exact"/>
              <w:rPr>
                <w:sz w:val="20"/>
                <w:szCs w:val="20"/>
                <w:color w:val="auto"/>
              </w:rPr>
            </w:pPr>
            <w:r>
              <w:rPr>
                <w:rFonts w:ascii="Arial" w:cs="Arial" w:eastAsia="Arial" w:hAnsi="Arial"/>
                <w:sz w:val="18"/>
                <w:szCs w:val="18"/>
                <w:color w:val="auto"/>
                <w:w w:val="98"/>
              </w:rPr>
              <w:t>Incentive is subject to the Terms and</w:t>
            </w:r>
          </w:p>
        </w:tc>
      </w:tr>
      <w:tr>
        <w:trPr>
          <w:trHeight w:val="235"/>
        </w:trPr>
        <w:tc>
          <w:tcPr>
            <w:tcW w:w="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240" w:type="dxa"/>
            <w:vAlign w:val="bottom"/>
            <w:gridSpan w:val="2"/>
          </w:tcPr>
          <w:p>
            <w:pPr>
              <w:ind w:left="1480"/>
              <w:spacing w:after="0"/>
              <w:rPr>
                <w:sz w:val="20"/>
                <w:szCs w:val="20"/>
                <w:color w:val="auto"/>
              </w:rPr>
            </w:pPr>
            <w:r>
              <w:rPr>
                <w:rFonts w:ascii="Arial" w:cs="Arial" w:eastAsia="Arial" w:hAnsi="Arial"/>
                <w:sz w:val="18"/>
                <w:szCs w:val="18"/>
                <w:color w:val="auto"/>
              </w:rPr>
              <w:t>Conditions attached hereto, as well as the terms and conditions set forth in the Plan.</w:t>
            </w:r>
          </w:p>
        </w:tc>
      </w:tr>
      <w:tr>
        <w:trPr>
          <w:trHeight w:val="380"/>
        </w:trPr>
        <w:tc>
          <w:tcPr>
            <w:tcW w:w="2860" w:type="dxa"/>
            <w:vAlign w:val="bottom"/>
            <w:gridSpan w:val="7"/>
          </w:tcPr>
          <w:p>
            <w:pPr>
              <w:spacing w:after="0"/>
              <w:rPr>
                <w:sz w:val="20"/>
                <w:szCs w:val="20"/>
                <w:color w:val="auto"/>
              </w:rPr>
            </w:pPr>
            <w:r>
              <w:rPr>
                <w:rFonts w:ascii="Arial" w:cs="Arial" w:eastAsia="Arial" w:hAnsi="Arial"/>
                <w:sz w:val="18"/>
                <w:szCs w:val="18"/>
                <w:color w:val="auto"/>
              </w:rPr>
              <w:t>Dividends:</w:t>
            </w:r>
          </w:p>
        </w:tc>
        <w:tc>
          <w:tcPr>
            <w:tcW w:w="8240" w:type="dxa"/>
            <w:vAlign w:val="bottom"/>
            <w:gridSpan w:val="2"/>
          </w:tcPr>
          <w:p>
            <w:pPr>
              <w:ind w:left="1480"/>
              <w:spacing w:after="0"/>
              <w:rPr>
                <w:sz w:val="20"/>
                <w:szCs w:val="20"/>
                <w:color w:val="auto"/>
              </w:rPr>
            </w:pPr>
            <w:r>
              <w:rPr>
                <w:rFonts w:ascii="Arial" w:cs="Arial" w:eastAsia="Arial" w:hAnsi="Arial"/>
                <w:sz w:val="18"/>
                <w:szCs w:val="18"/>
                <w:color w:val="auto"/>
                <w:w w:val="92"/>
              </w:rPr>
              <w:t>The Performance Shares shall not accrue any dividends during the applicable Performance</w:t>
            </w:r>
          </w:p>
        </w:tc>
      </w:tr>
      <w:tr>
        <w:trPr>
          <w:trHeight w:val="228"/>
        </w:trPr>
        <w:tc>
          <w:tcPr>
            <w:tcW w:w="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240" w:type="dxa"/>
            <w:vAlign w:val="bottom"/>
            <w:gridSpan w:val="2"/>
          </w:tcPr>
          <w:p>
            <w:pPr>
              <w:ind w:left="1480"/>
              <w:spacing w:after="0"/>
              <w:rPr>
                <w:sz w:val="20"/>
                <w:szCs w:val="20"/>
                <w:color w:val="auto"/>
              </w:rPr>
            </w:pPr>
            <w:r>
              <w:rPr>
                <w:rFonts w:ascii="Arial" w:cs="Arial" w:eastAsia="Arial" w:hAnsi="Arial"/>
                <w:sz w:val="18"/>
                <w:szCs w:val="18"/>
                <w:color w:val="auto"/>
                <w:w w:val="90"/>
              </w:rPr>
              <w:t>Period(s), and any shares issued at the end of a Performance Period will not accrue dividends</w:t>
            </w:r>
          </w:p>
        </w:tc>
      </w:tr>
      <w:tr>
        <w:trPr>
          <w:trHeight w:val="222"/>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200" w:type="dxa"/>
            <w:vAlign w:val="bottom"/>
          </w:tcPr>
          <w:p>
            <w:pPr>
              <w:ind w:left="1480"/>
              <w:spacing w:after="0"/>
              <w:rPr>
                <w:sz w:val="20"/>
                <w:szCs w:val="20"/>
                <w:color w:val="auto"/>
              </w:rPr>
            </w:pPr>
            <w:r>
              <w:rPr>
                <w:rFonts w:ascii="Arial" w:cs="Arial" w:eastAsia="Arial" w:hAnsi="Arial"/>
                <w:sz w:val="18"/>
                <w:szCs w:val="18"/>
                <w:color w:val="auto"/>
              </w:rPr>
              <w:t>through the applicable vesting date, if any.</w:t>
            </w:r>
          </w:p>
        </w:tc>
        <w:tc>
          <w:tcPr>
            <w:tcW w:w="3040" w:type="dxa"/>
            <w:vAlign w:val="bottom"/>
          </w:tcPr>
          <w:p>
            <w:pPr>
              <w:spacing w:after="0"/>
              <w:rPr>
                <w:sz w:val="19"/>
                <w:szCs w:val="19"/>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94" w:lineRule="auto"/>
        <w:rPr>
          <w:sz w:val="20"/>
          <w:szCs w:val="20"/>
          <w:color w:val="auto"/>
        </w:rPr>
      </w:pPr>
      <w:r>
        <w:rPr>
          <w:rFonts w:ascii="Arial" w:cs="Arial" w:eastAsia="Arial" w:hAnsi="Arial"/>
          <w:sz w:val="16"/>
          <w:szCs w:val="16"/>
          <w:i w:val="1"/>
          <w:iCs w:val="1"/>
          <w:color w:val="auto"/>
        </w:rPr>
        <w:t xml:space="preserve">In addition to the terms stated in this grant letter, your equity grant shall be subject to the terms and conditions of the Plan, which are subject to change at any time. All documents relating to the Plan, including the Plan Document, Prospectus and Beneficiary Form, can be accessed online by logging on to your E*TRADE account at </w:t>
      </w:r>
      <w:r>
        <w:rPr>
          <w:rFonts w:ascii="Arial" w:cs="Arial" w:eastAsia="Arial" w:hAnsi="Arial"/>
          <w:sz w:val="16"/>
          <w:szCs w:val="16"/>
          <w:i w:val="1"/>
          <w:iCs w:val="1"/>
          <w:u w:val="single" w:color="auto"/>
          <w:color w:val="auto"/>
        </w:rPr>
        <w:t>www.etrade.com/stockplans</w:t>
      </w:r>
      <w:r>
        <w:rPr>
          <w:rFonts w:ascii="Arial" w:cs="Arial" w:eastAsia="Arial" w:hAnsi="Arial"/>
          <w:sz w:val="16"/>
          <w:szCs w:val="16"/>
          <w:i w:val="1"/>
          <w:iCs w:val="1"/>
          <w:color w:val="auto"/>
        </w:rPr>
        <w:t xml:space="preserve"> or by calling E*TRADE at 800-838-0908 or +1-650-599-0125 if outside the U.S. A copy of the current CME Group Form 10-K can be found at: </w:t>
      </w:r>
      <w:r>
        <w:rPr>
          <w:rFonts w:ascii="Arial" w:cs="Arial" w:eastAsia="Arial" w:hAnsi="Arial"/>
          <w:sz w:val="16"/>
          <w:szCs w:val="16"/>
          <w:i w:val="1"/>
          <w:iCs w:val="1"/>
          <w:u w:val="single" w:color="auto"/>
          <w:color w:val="auto"/>
        </w:rPr>
        <w:t>http://investor.cmegroup.com/investor-relations/financials.cfm</w:t>
      </w:r>
      <w:r>
        <w:rPr>
          <w:rFonts w:ascii="Arial" w:cs="Arial" w:eastAsia="Arial" w:hAnsi="Arial"/>
          <w:sz w:val="16"/>
          <w:szCs w:val="16"/>
          <w:i w:val="1"/>
          <w:iCs w:val="1"/>
          <w:color w:val="auto"/>
        </w:rPr>
        <w:t xml:space="preserve">. </w:t>
      </w:r>
      <w:r>
        <w:rPr>
          <w:rFonts w:ascii="Arial" w:cs="Arial" w:eastAsia="Arial" w:hAnsi="Arial"/>
          <w:sz w:val="16"/>
          <w:szCs w:val="16"/>
          <w:b w:val="1"/>
          <w:bCs w:val="1"/>
          <w:i w:val="1"/>
          <w:iCs w:val="1"/>
          <w:color w:val="auto"/>
        </w:rPr>
        <w:t>Please submit your completed W-9 Form (or W-8BEN Form</w:t>
      </w:r>
      <w:r>
        <w:rPr>
          <w:rFonts w:ascii="Arial" w:cs="Arial" w:eastAsia="Arial" w:hAnsi="Arial"/>
          <w:sz w:val="16"/>
          <w:szCs w:val="16"/>
          <w:i w:val="1"/>
          <w:iCs w:val="1"/>
          <w:color w:val="auto"/>
        </w:rPr>
        <w:t xml:space="preserve"> </w:t>
      </w:r>
      <w:r>
        <w:rPr>
          <w:rFonts w:ascii="Arial" w:cs="Arial" w:eastAsia="Arial" w:hAnsi="Arial"/>
          <w:sz w:val="16"/>
          <w:szCs w:val="16"/>
          <w:b w:val="1"/>
          <w:bCs w:val="1"/>
          <w:i w:val="1"/>
          <w:iCs w:val="1"/>
          <w:color w:val="auto"/>
        </w:rPr>
        <w:t>if outside the U.S.) and Beneficiary Designation Form to CME Group’s Compensation Department, 20 S. Wacker, 2N, Chicago, IL 60606.</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57" w:right="319" w:bottom="1440" w:gutter="0" w:footer="0" w:header="0"/>
        </w:sectPr>
      </w:pPr>
    </w:p>
    <w:bookmarkStart w:id="63" w:name="page64"/>
    <w:bookmarkEnd w:id="63"/>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TERMS AND CONDITIONS</w:t>
      </w:r>
    </w:p>
    <w:p>
      <w:pPr>
        <w:spacing w:after="0" w:line="212" w:lineRule="exact"/>
        <w:rPr>
          <w:sz w:val="20"/>
          <w:szCs w:val="20"/>
          <w:color w:val="auto"/>
        </w:rPr>
      </w:pPr>
    </w:p>
    <w:p>
      <w:pPr>
        <w:ind w:left="452" w:hanging="452"/>
        <w:spacing w:after="0" w:line="338" w:lineRule="auto"/>
        <w:tabs>
          <w:tab w:leader="none" w:pos="452"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 xml:space="preserve">Performance Shares Earned. </w:t>
      </w:r>
      <w:r>
        <w:rPr>
          <w:rFonts w:ascii="Arial" w:cs="Arial" w:eastAsia="Arial" w:hAnsi="Arial"/>
          <w:sz w:val="16"/>
          <w:szCs w:val="16"/>
          <w:color w:val="auto"/>
        </w:rPr>
        <w:t>The number of Performance Shares earned, if any, will be based on the actual performance achieved during the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Period relative to each Performance Goal. This determination shall be made in accordance with the following schedules:</w:t>
      </w:r>
    </w:p>
    <w:p>
      <w:pPr>
        <w:ind w:left="1472" w:right="6720" w:hanging="567"/>
        <w:spacing w:after="0" w:line="362" w:lineRule="auto"/>
        <w:tabs>
          <w:tab w:leader="none" w:pos="1472" w:val="left"/>
        </w:tabs>
        <w:numPr>
          <w:ilvl w:val="1"/>
          <w:numId w:val="60"/>
        </w:numPr>
        <w:rPr>
          <w:rFonts w:ascii="Arial" w:cs="Arial" w:eastAsia="Arial" w:hAnsi="Arial"/>
          <w:sz w:val="18"/>
          <w:szCs w:val="18"/>
          <w:color w:val="auto"/>
        </w:rPr>
      </w:pPr>
      <w:r>
        <w:rPr>
          <w:rFonts w:ascii="Arial" w:cs="Arial" w:eastAsia="Arial" w:hAnsi="Arial"/>
          <w:sz w:val="18"/>
          <w:szCs w:val="18"/>
          <w:color w:val="auto"/>
        </w:rPr>
        <w:t>Goal 1 – [enter number] Performance Shares: Performance Goal:</w:t>
      </w:r>
    </w:p>
    <w:p>
      <w:pPr>
        <w:spacing w:after="0" w:line="172" w:lineRule="exact"/>
        <w:rPr>
          <w:rFonts w:ascii="Arial" w:cs="Arial" w:eastAsia="Arial" w:hAnsi="Arial"/>
          <w:sz w:val="18"/>
          <w:szCs w:val="18"/>
          <w:color w:val="auto"/>
        </w:rPr>
      </w:pPr>
    </w:p>
    <w:p>
      <w:pPr>
        <w:ind w:left="1472" w:right="6720" w:hanging="567"/>
        <w:spacing w:after="0" w:line="362" w:lineRule="auto"/>
        <w:tabs>
          <w:tab w:leader="none" w:pos="1472" w:val="left"/>
        </w:tabs>
        <w:numPr>
          <w:ilvl w:val="1"/>
          <w:numId w:val="60"/>
        </w:numPr>
        <w:rPr>
          <w:rFonts w:ascii="Arial" w:cs="Arial" w:eastAsia="Arial" w:hAnsi="Arial"/>
          <w:sz w:val="18"/>
          <w:szCs w:val="18"/>
          <w:color w:val="auto"/>
        </w:rPr>
      </w:pPr>
      <w:r>
        <w:rPr>
          <w:rFonts w:ascii="Arial" w:cs="Arial" w:eastAsia="Arial" w:hAnsi="Arial"/>
          <w:sz w:val="18"/>
          <w:szCs w:val="18"/>
          <w:color w:val="auto"/>
        </w:rPr>
        <w:t>Goal 2 – [enter number] Performance Shares: Performance Goal:</w:t>
      </w:r>
    </w:p>
    <w:p>
      <w:pPr>
        <w:spacing w:after="0" w:line="172" w:lineRule="exact"/>
        <w:rPr>
          <w:rFonts w:ascii="Arial" w:cs="Arial" w:eastAsia="Arial" w:hAnsi="Arial"/>
          <w:sz w:val="18"/>
          <w:szCs w:val="18"/>
          <w:color w:val="auto"/>
        </w:rPr>
      </w:pPr>
    </w:p>
    <w:p>
      <w:pPr>
        <w:ind w:left="1472" w:hanging="567"/>
        <w:spacing w:after="0"/>
        <w:tabs>
          <w:tab w:leader="none" w:pos="1472" w:val="left"/>
        </w:tabs>
        <w:numPr>
          <w:ilvl w:val="1"/>
          <w:numId w:val="60"/>
        </w:numPr>
        <w:rPr>
          <w:rFonts w:ascii="Arial" w:cs="Arial" w:eastAsia="Arial" w:hAnsi="Arial"/>
          <w:sz w:val="18"/>
          <w:szCs w:val="18"/>
          <w:color w:val="auto"/>
        </w:rPr>
      </w:pPr>
      <w:r>
        <w:rPr>
          <w:rFonts w:ascii="Arial" w:cs="Arial" w:eastAsia="Arial" w:hAnsi="Arial"/>
          <w:sz w:val="18"/>
          <w:szCs w:val="18"/>
          <w:color w:val="auto"/>
        </w:rPr>
        <w:t>Goal 3 – [enter number] Performance Shares at Target:</w:t>
      </w:r>
    </w:p>
    <w:p>
      <w:pPr>
        <w:spacing w:after="0" w:line="84" w:lineRule="exact"/>
        <w:rPr>
          <w:sz w:val="20"/>
          <w:szCs w:val="20"/>
          <w:color w:val="auto"/>
        </w:rPr>
      </w:pPr>
    </w:p>
    <w:p>
      <w:pPr>
        <w:ind w:left="1612"/>
        <w:spacing w:after="0"/>
        <w:tabs>
          <w:tab w:leader="none" w:pos="6792" w:val="left"/>
        </w:tabs>
        <w:rPr>
          <w:sz w:val="20"/>
          <w:szCs w:val="20"/>
          <w:color w:val="auto"/>
        </w:rPr>
      </w:pPr>
      <w:r>
        <w:rPr>
          <w:rFonts w:ascii="Arial" w:cs="Arial" w:eastAsia="Arial" w:hAnsi="Arial"/>
          <w:sz w:val="18"/>
          <w:szCs w:val="18"/>
          <w:b w:val="1"/>
          <w:bCs w:val="1"/>
          <w:u w:val="single" w:color="auto"/>
          <w:color w:val="auto"/>
        </w:rPr>
        <w:t>Goal</w:t>
      </w:r>
      <w:r>
        <w:rPr>
          <w:sz w:val="20"/>
          <w:szCs w:val="20"/>
          <w:color w:val="auto"/>
        </w:rPr>
        <w:tab/>
      </w:r>
      <w:r>
        <w:rPr>
          <w:rFonts w:ascii="Arial" w:cs="Arial" w:eastAsia="Arial" w:hAnsi="Arial"/>
          <w:sz w:val="18"/>
          <w:szCs w:val="18"/>
          <w:b w:val="1"/>
          <w:bCs w:val="1"/>
          <w:u w:val="single" w:color="auto"/>
          <w:color w:val="auto"/>
        </w:rPr>
        <w:t>Performance Shares Earned</w:t>
      </w:r>
    </w:p>
    <w:p>
      <w:pPr>
        <w:spacing w:after="0" w:line="137" w:lineRule="exact"/>
        <w:rPr>
          <w:sz w:val="20"/>
          <w:szCs w:val="20"/>
          <w:color w:val="auto"/>
        </w:rPr>
      </w:pPr>
    </w:p>
    <w:p>
      <w:pPr>
        <w:ind w:left="6812"/>
        <w:spacing w:after="0"/>
        <w:rPr>
          <w:sz w:val="20"/>
          <w:szCs w:val="20"/>
          <w:color w:val="auto"/>
        </w:rPr>
      </w:pPr>
      <w:r>
        <w:rPr>
          <w:rFonts w:ascii="Arial" w:cs="Arial" w:eastAsia="Arial" w:hAnsi="Arial"/>
          <w:sz w:val="18"/>
          <w:szCs w:val="18"/>
          <w:color w:val="auto"/>
        </w:rPr>
        <w:t>200% of above portion of Target Performance Shares</w:t>
      </w:r>
    </w:p>
    <w:p>
      <w:pPr>
        <w:spacing w:after="0" w:line="117" w:lineRule="exact"/>
        <w:rPr>
          <w:sz w:val="20"/>
          <w:szCs w:val="20"/>
          <w:color w:val="auto"/>
        </w:rPr>
      </w:pPr>
    </w:p>
    <w:p>
      <w:pPr>
        <w:ind w:left="6812"/>
        <w:spacing w:after="0"/>
        <w:rPr>
          <w:sz w:val="20"/>
          <w:szCs w:val="20"/>
          <w:color w:val="auto"/>
        </w:rPr>
      </w:pPr>
      <w:r>
        <w:rPr>
          <w:rFonts w:ascii="Arial" w:cs="Arial" w:eastAsia="Arial" w:hAnsi="Arial"/>
          <w:sz w:val="18"/>
          <w:szCs w:val="18"/>
          <w:color w:val="auto"/>
        </w:rPr>
        <w:t>100% of above portion of Target Performance Shares</w:t>
      </w:r>
    </w:p>
    <w:p>
      <w:pPr>
        <w:spacing w:after="0" w:line="117" w:lineRule="exact"/>
        <w:rPr>
          <w:sz w:val="20"/>
          <w:szCs w:val="20"/>
          <w:color w:val="auto"/>
        </w:rPr>
      </w:pPr>
    </w:p>
    <w:p>
      <w:pPr>
        <w:ind w:left="6812"/>
        <w:spacing w:after="0"/>
        <w:rPr>
          <w:sz w:val="20"/>
          <w:szCs w:val="20"/>
          <w:color w:val="auto"/>
        </w:rPr>
      </w:pPr>
      <w:r>
        <w:rPr>
          <w:rFonts w:ascii="Arial" w:cs="Arial" w:eastAsia="Arial" w:hAnsi="Arial"/>
          <w:sz w:val="18"/>
          <w:szCs w:val="18"/>
          <w:color w:val="auto"/>
        </w:rPr>
        <w:t>50% of above portion of Target Performance Shares</w:t>
      </w:r>
    </w:p>
    <w:p>
      <w:pPr>
        <w:spacing w:after="0" w:line="117" w:lineRule="exact"/>
        <w:rPr>
          <w:sz w:val="20"/>
          <w:szCs w:val="20"/>
          <w:color w:val="auto"/>
        </w:rPr>
      </w:pPr>
    </w:p>
    <w:p>
      <w:pPr>
        <w:ind w:left="6812"/>
        <w:spacing w:after="0"/>
        <w:rPr>
          <w:sz w:val="20"/>
          <w:szCs w:val="20"/>
          <w:color w:val="auto"/>
        </w:rPr>
      </w:pPr>
      <w:r>
        <w:rPr>
          <w:rFonts w:ascii="Arial" w:cs="Arial" w:eastAsia="Arial" w:hAnsi="Arial"/>
          <w:sz w:val="18"/>
          <w:szCs w:val="18"/>
          <w:color w:val="auto"/>
        </w:rPr>
        <w:t>0% of above portion of Target Performance Shares</w:t>
      </w:r>
    </w:p>
    <w:p>
      <w:pPr>
        <w:spacing w:after="0" w:line="88" w:lineRule="exact"/>
        <w:rPr>
          <w:sz w:val="20"/>
          <w:szCs w:val="20"/>
          <w:color w:val="auto"/>
        </w:rPr>
      </w:pPr>
    </w:p>
    <w:p>
      <w:pPr>
        <w:ind w:left="1592"/>
        <w:spacing w:after="0"/>
        <w:rPr>
          <w:sz w:val="20"/>
          <w:szCs w:val="20"/>
          <w:color w:val="auto"/>
        </w:rPr>
      </w:pPr>
      <w:r>
        <w:rPr>
          <w:rFonts w:ascii="Arial" w:cs="Arial" w:eastAsia="Arial" w:hAnsi="Arial"/>
          <w:sz w:val="14"/>
          <w:szCs w:val="14"/>
          <w:color w:val="auto"/>
        </w:rPr>
        <w:t>Note: If actual performance falls between any of the levels above, then straight-line interpolation will be applied to determine the number of Shares earned.</w:t>
      </w:r>
    </w:p>
    <w:p>
      <w:pPr>
        <w:spacing w:after="0" w:line="274" w:lineRule="exact"/>
        <w:rPr>
          <w:sz w:val="20"/>
          <w:szCs w:val="20"/>
          <w:color w:val="auto"/>
        </w:rPr>
      </w:pPr>
    </w:p>
    <w:p>
      <w:pPr>
        <w:ind w:left="1472" w:hanging="567"/>
        <w:spacing w:after="0"/>
        <w:tabs>
          <w:tab w:leader="none" w:pos="1472" w:val="left"/>
        </w:tabs>
        <w:numPr>
          <w:ilvl w:val="0"/>
          <w:numId w:val="61"/>
        </w:numPr>
        <w:rPr>
          <w:rFonts w:ascii="Arial" w:cs="Arial" w:eastAsia="Arial" w:hAnsi="Arial"/>
          <w:sz w:val="18"/>
          <w:szCs w:val="18"/>
          <w:color w:val="auto"/>
        </w:rPr>
      </w:pPr>
      <w:r>
        <w:rPr>
          <w:rFonts w:ascii="Arial" w:cs="Arial" w:eastAsia="Arial" w:hAnsi="Arial"/>
          <w:sz w:val="18"/>
          <w:szCs w:val="18"/>
          <w:color w:val="auto"/>
        </w:rPr>
        <w:t>Goal 4 – [enter number] Performance Shares at Target:</w:t>
      </w:r>
    </w:p>
    <w:p>
      <w:pPr>
        <w:spacing w:after="0" w:line="84" w:lineRule="exact"/>
        <w:rPr>
          <w:sz w:val="20"/>
          <w:szCs w:val="20"/>
          <w:color w:val="auto"/>
        </w:rPr>
      </w:pPr>
    </w:p>
    <w:p>
      <w:pPr>
        <w:ind w:left="1612"/>
        <w:spacing w:after="0"/>
        <w:tabs>
          <w:tab w:leader="none" w:pos="6792" w:val="left"/>
        </w:tabs>
        <w:rPr>
          <w:sz w:val="20"/>
          <w:szCs w:val="20"/>
          <w:color w:val="auto"/>
        </w:rPr>
      </w:pPr>
      <w:r>
        <w:rPr>
          <w:rFonts w:ascii="Arial" w:cs="Arial" w:eastAsia="Arial" w:hAnsi="Arial"/>
          <w:sz w:val="18"/>
          <w:szCs w:val="18"/>
          <w:b w:val="1"/>
          <w:bCs w:val="1"/>
          <w:u w:val="single" w:color="auto"/>
          <w:color w:val="auto"/>
        </w:rPr>
        <w:t>Goal</w:t>
      </w:r>
      <w:r>
        <w:rPr>
          <w:sz w:val="20"/>
          <w:szCs w:val="20"/>
          <w:color w:val="auto"/>
        </w:rPr>
        <w:tab/>
      </w:r>
      <w:r>
        <w:rPr>
          <w:rFonts w:ascii="Arial" w:cs="Arial" w:eastAsia="Arial" w:hAnsi="Arial"/>
          <w:sz w:val="18"/>
          <w:szCs w:val="18"/>
          <w:b w:val="1"/>
          <w:bCs w:val="1"/>
          <w:u w:val="single" w:color="auto"/>
          <w:color w:val="auto"/>
        </w:rPr>
        <w:t>Performance Shares Earned</w:t>
      </w:r>
    </w:p>
    <w:p>
      <w:pPr>
        <w:spacing w:after="0" w:line="137" w:lineRule="exact"/>
        <w:rPr>
          <w:sz w:val="20"/>
          <w:szCs w:val="20"/>
          <w:color w:val="auto"/>
        </w:rPr>
      </w:pPr>
    </w:p>
    <w:p>
      <w:pPr>
        <w:ind w:left="6812"/>
        <w:spacing w:after="0"/>
        <w:rPr>
          <w:sz w:val="20"/>
          <w:szCs w:val="20"/>
          <w:color w:val="auto"/>
        </w:rPr>
      </w:pPr>
      <w:r>
        <w:rPr>
          <w:rFonts w:ascii="Arial" w:cs="Arial" w:eastAsia="Arial" w:hAnsi="Arial"/>
          <w:sz w:val="18"/>
          <w:szCs w:val="18"/>
          <w:color w:val="auto"/>
        </w:rPr>
        <w:t>200% of above portion of Target Performance Shares</w:t>
      </w:r>
    </w:p>
    <w:p>
      <w:pPr>
        <w:spacing w:after="0" w:line="117" w:lineRule="exact"/>
        <w:rPr>
          <w:sz w:val="20"/>
          <w:szCs w:val="20"/>
          <w:color w:val="auto"/>
        </w:rPr>
      </w:pPr>
    </w:p>
    <w:p>
      <w:pPr>
        <w:ind w:left="6812"/>
        <w:spacing w:after="0"/>
        <w:rPr>
          <w:sz w:val="20"/>
          <w:szCs w:val="20"/>
          <w:color w:val="auto"/>
        </w:rPr>
      </w:pPr>
      <w:r>
        <w:rPr>
          <w:rFonts w:ascii="Arial" w:cs="Arial" w:eastAsia="Arial" w:hAnsi="Arial"/>
          <w:sz w:val="18"/>
          <w:szCs w:val="18"/>
          <w:color w:val="auto"/>
        </w:rPr>
        <w:t>100% of above portion of Target Performance Shares</w:t>
      </w:r>
    </w:p>
    <w:p>
      <w:pPr>
        <w:spacing w:after="0" w:line="117" w:lineRule="exact"/>
        <w:rPr>
          <w:sz w:val="20"/>
          <w:szCs w:val="20"/>
          <w:color w:val="auto"/>
        </w:rPr>
      </w:pPr>
    </w:p>
    <w:p>
      <w:pPr>
        <w:ind w:left="6812"/>
        <w:spacing w:after="0"/>
        <w:rPr>
          <w:sz w:val="20"/>
          <w:szCs w:val="20"/>
          <w:color w:val="auto"/>
        </w:rPr>
      </w:pPr>
      <w:r>
        <w:rPr>
          <w:rFonts w:ascii="Arial" w:cs="Arial" w:eastAsia="Arial" w:hAnsi="Arial"/>
          <w:sz w:val="18"/>
          <w:szCs w:val="18"/>
          <w:color w:val="auto"/>
        </w:rPr>
        <w:t>50% of above portion of Target Performance Shares</w:t>
      </w:r>
    </w:p>
    <w:p>
      <w:pPr>
        <w:spacing w:after="0" w:line="117" w:lineRule="exact"/>
        <w:rPr>
          <w:sz w:val="20"/>
          <w:szCs w:val="20"/>
          <w:color w:val="auto"/>
        </w:rPr>
      </w:pPr>
    </w:p>
    <w:p>
      <w:pPr>
        <w:ind w:left="6812"/>
        <w:spacing w:after="0"/>
        <w:rPr>
          <w:sz w:val="20"/>
          <w:szCs w:val="20"/>
          <w:color w:val="auto"/>
        </w:rPr>
      </w:pPr>
      <w:r>
        <w:rPr>
          <w:rFonts w:ascii="Arial" w:cs="Arial" w:eastAsia="Arial" w:hAnsi="Arial"/>
          <w:sz w:val="18"/>
          <w:szCs w:val="18"/>
          <w:color w:val="auto"/>
        </w:rPr>
        <w:t>0% of above portion of Target Performance Shares</w:t>
      </w:r>
    </w:p>
    <w:p>
      <w:pPr>
        <w:spacing w:after="0" w:line="88" w:lineRule="exact"/>
        <w:rPr>
          <w:sz w:val="20"/>
          <w:szCs w:val="20"/>
          <w:color w:val="auto"/>
        </w:rPr>
      </w:pPr>
    </w:p>
    <w:p>
      <w:pPr>
        <w:ind w:left="1592"/>
        <w:spacing w:after="0"/>
        <w:rPr>
          <w:sz w:val="20"/>
          <w:szCs w:val="20"/>
          <w:color w:val="auto"/>
        </w:rPr>
      </w:pPr>
      <w:r>
        <w:rPr>
          <w:rFonts w:ascii="Arial" w:cs="Arial" w:eastAsia="Arial" w:hAnsi="Arial"/>
          <w:sz w:val="14"/>
          <w:szCs w:val="14"/>
          <w:color w:val="auto"/>
        </w:rPr>
        <w:t>Note: If actual performance falls between any of the levels above, then straight-line interpolation will be applied to determine the number of Shares earned.</w:t>
      </w:r>
    </w:p>
    <w:p>
      <w:pPr>
        <w:spacing w:after="0" w:line="268" w:lineRule="exact"/>
        <w:rPr>
          <w:sz w:val="20"/>
          <w:szCs w:val="20"/>
          <w:color w:val="auto"/>
        </w:rPr>
      </w:pPr>
    </w:p>
    <w:p>
      <w:pPr>
        <w:ind w:left="452" w:right="160" w:hanging="452"/>
        <w:spacing w:after="0" w:line="255" w:lineRule="auto"/>
        <w:tabs>
          <w:tab w:leader="none" w:pos="452"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Eligibility to Receive Grant and Condition of Receipt of Performance Shares. </w:t>
      </w:r>
      <w:r>
        <w:rPr>
          <w:rFonts w:ascii="Arial" w:cs="Arial" w:eastAsia="Arial" w:hAnsi="Arial"/>
          <w:sz w:val="18"/>
          <w:szCs w:val="18"/>
          <w:color w:val="auto"/>
        </w:rPr>
        <w:t>Notwithstanding any other eligibility requirements specified in these</w:t>
      </w:r>
      <w:r>
        <w:rPr>
          <w:rFonts w:ascii="Arial" w:cs="Arial" w:eastAsia="Arial" w:hAnsi="Arial"/>
          <w:sz w:val="18"/>
          <w:szCs w:val="18"/>
          <w:b w:val="1"/>
          <w:bCs w:val="1"/>
          <w:color w:val="auto"/>
        </w:rPr>
        <w:t xml:space="preserve"> </w:t>
      </w:r>
      <w:r>
        <w:rPr>
          <w:rFonts w:ascii="Arial" w:cs="Arial" w:eastAsia="Arial" w:hAnsi="Arial"/>
          <w:sz w:val="18"/>
          <w:szCs w:val="18"/>
          <w:color w:val="auto"/>
        </w:rPr>
        <w:t>grants or in the Plan, in order to be eligible to receive these grants and as a condition of receipt of payment of any earned Performance Shares under these grants, you must have entered into an agreement with the Company containing certain post-termination of employment restrictions regarding competition with the Company and non solicitation of the Company’s customers and employees prior to receiving this grant. The post-termination employment restrictions applicable to you are set forth in the Confidentiality, Non-Competition and Non-Solicitation Agreement with the Company, which is incorporated herein by reference.</w:t>
      </w:r>
    </w:p>
    <w:p>
      <w:pPr>
        <w:spacing w:after="0" w:line="13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92"/>
          </w:cols>
          <w:pgMar w:left="248" w:top="274" w:right="259" w:bottom="1440" w:gutter="0" w:footer="0" w:header="0"/>
        </w:sectPr>
      </w:pPr>
    </w:p>
    <w:bookmarkStart w:id="64" w:name="page65"/>
    <w:bookmarkEnd w:id="64"/>
    <w:p>
      <w:pPr>
        <w:jc w:val="both"/>
        <w:ind w:left="452" w:hanging="452"/>
        <w:spacing w:after="0" w:line="262" w:lineRule="auto"/>
        <w:tabs>
          <w:tab w:leader="none" w:pos="452"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Eligibility to Receive Performance Shares. </w:t>
      </w:r>
      <w:r>
        <w:rPr>
          <w:rFonts w:ascii="Arial" w:cs="Arial" w:eastAsia="Arial" w:hAnsi="Arial"/>
          <w:sz w:val="18"/>
          <w:szCs w:val="18"/>
          <w:color w:val="auto"/>
        </w:rPr>
        <w:t>Notwithstanding any other eligibility requirements specified in these grants or in the Plan, in order for you to</w:t>
      </w:r>
      <w:r>
        <w:rPr>
          <w:rFonts w:ascii="Arial" w:cs="Arial" w:eastAsia="Arial" w:hAnsi="Arial"/>
          <w:sz w:val="18"/>
          <w:szCs w:val="18"/>
          <w:b w:val="1"/>
          <w:bCs w:val="1"/>
          <w:color w:val="auto"/>
        </w:rPr>
        <w:t xml:space="preserve"> </w:t>
      </w:r>
      <w:r>
        <w:rPr>
          <w:rFonts w:ascii="Arial" w:cs="Arial" w:eastAsia="Arial" w:hAnsi="Arial"/>
          <w:sz w:val="18"/>
          <w:szCs w:val="18"/>
          <w:color w:val="auto"/>
        </w:rPr>
        <w:t>be eligible to receive payment of any earned Performance Shares after the end of the Performance Period, you must remain employed through the Payment and Vesting Date.</w:t>
      </w:r>
    </w:p>
    <w:p>
      <w:pPr>
        <w:spacing w:after="0" w:line="51" w:lineRule="exact"/>
        <w:rPr>
          <w:rFonts w:ascii="Arial" w:cs="Arial" w:eastAsia="Arial" w:hAnsi="Arial"/>
          <w:sz w:val="18"/>
          <w:szCs w:val="18"/>
          <w:color w:val="auto"/>
        </w:rPr>
      </w:pPr>
    </w:p>
    <w:p>
      <w:pPr>
        <w:ind w:left="452" w:right="20" w:hanging="452"/>
        <w:spacing w:after="0" w:line="262" w:lineRule="auto"/>
        <w:tabs>
          <w:tab w:leader="none" w:pos="452"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Termination of Service. </w:t>
      </w:r>
      <w:r>
        <w:rPr>
          <w:rFonts w:ascii="Arial" w:cs="Arial" w:eastAsia="Arial" w:hAnsi="Arial"/>
          <w:sz w:val="18"/>
          <w:szCs w:val="18"/>
          <w:color w:val="auto"/>
        </w:rPr>
        <w:t>If your employment is terminated by reason of death or Disability (as defined in the Plan), your eligibility for payment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Shares is governed by the terms of the Plan. If your employment is terminated for any other reason, any Performance Shares that are not paid and vested will be forfeited.</w:t>
      </w:r>
    </w:p>
    <w:p>
      <w:pPr>
        <w:spacing w:after="0" w:line="51" w:lineRule="exact"/>
        <w:rPr>
          <w:rFonts w:ascii="Arial" w:cs="Arial" w:eastAsia="Arial" w:hAnsi="Arial"/>
          <w:sz w:val="18"/>
          <w:szCs w:val="18"/>
          <w:color w:val="auto"/>
        </w:rPr>
      </w:pPr>
    </w:p>
    <w:p>
      <w:pPr>
        <w:ind w:left="452" w:hanging="452"/>
        <w:spacing w:after="0"/>
        <w:tabs>
          <w:tab w:leader="none" w:pos="452"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164"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32"/>
          </w:cols>
          <w:pgMar w:left="248" w:top="274" w:right="31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397635" cy="2057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9763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17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Congratulations! We are pleased to provide you with a long-term incentive opportunity under the CME Group Inc. Amended and Restated Omnibus Stock Plan (the “Plan”). This long-term incentive opportunity is in recognition of the anticipated positive impact you will make toward the future success of the company. Your grant provides you with the opportunity to earn a range of performance shares based on [insert performance criteria]. If earned, the ultimate payout for achieving the performance goals will be in the form of CME Group Inc. stock, which is a means for you to share in the success of the overall company. Certain terms of your long-term incentive opportunity follow: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87"/>
              </w:rPr>
              <w:t>Performance Share Terms</w:t>
            </w:r>
          </w:p>
        </w:tc>
        <w:tc>
          <w:tcPr>
            <w:tcW w:w="11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3160" w:type="dxa"/>
            <w:vAlign w:val="bottom"/>
            <w:gridSpan w:val="8"/>
          </w:tcPr>
          <w:p>
            <w:pPr>
              <w:spacing w:after="0"/>
              <w:rPr>
                <w:sz w:val="20"/>
                <w:szCs w:val="20"/>
                <w:color w:val="auto"/>
              </w:rPr>
            </w:pPr>
            <w:r>
              <w:rPr>
                <w:rFonts w:ascii="Arial" w:cs="Arial" w:eastAsia="Arial" w:hAnsi="Arial"/>
                <w:sz w:val="18"/>
                <w:szCs w:val="18"/>
                <w:color w:val="auto"/>
              </w:rPr>
              <w:t>Performance Shares:</w:t>
            </w:r>
          </w:p>
        </w:tc>
        <w:tc>
          <w:tcPr>
            <w:tcW w:w="3100" w:type="dxa"/>
            <w:vAlign w:val="bottom"/>
          </w:tcPr>
          <w:p>
            <w:pPr>
              <w:ind w:left="1180"/>
              <w:spacing w:after="0"/>
              <w:rPr>
                <w:sz w:val="20"/>
                <w:szCs w:val="20"/>
                <w:color w:val="auto"/>
              </w:rPr>
            </w:pPr>
            <w:r>
              <w:rPr>
                <w:rFonts w:ascii="Arial" w:cs="Arial" w:eastAsia="Arial" w:hAnsi="Arial"/>
                <w:sz w:val="18"/>
                <w:szCs w:val="18"/>
                <w:color w:val="auto"/>
                <w:w w:val="93"/>
              </w:rPr>
              <w:t>Your grant has a target of</w:t>
            </w:r>
          </w:p>
        </w:tc>
        <w:tc>
          <w:tcPr>
            <w:tcW w:w="5080" w:type="dxa"/>
            <w:vAlign w:val="bottom"/>
            <w:gridSpan w:val="2"/>
          </w:tcPr>
          <w:p>
            <w:pPr>
              <w:ind w:left="480"/>
              <w:spacing w:after="0"/>
              <w:rPr>
                <w:sz w:val="20"/>
                <w:szCs w:val="20"/>
                <w:color w:val="auto"/>
              </w:rPr>
            </w:pPr>
            <w:r>
              <w:rPr>
                <w:rFonts w:ascii="Arial" w:cs="Arial" w:eastAsia="Arial" w:hAnsi="Arial"/>
                <w:sz w:val="18"/>
                <w:szCs w:val="18"/>
                <w:color w:val="auto"/>
                <w:w w:val="86"/>
              </w:rPr>
              <w:t>Performance Shares for the achievement of Performance Goals at</w:t>
            </w:r>
          </w:p>
        </w:tc>
        <w:tc>
          <w:tcPr>
            <w:tcW w:w="0" w:type="dxa"/>
            <w:vAlign w:val="bottom"/>
          </w:tcPr>
          <w:p>
            <w:pPr>
              <w:spacing w:after="0"/>
              <w:rPr>
                <w:sz w:val="1"/>
                <w:szCs w:val="1"/>
                <w:color w:val="auto"/>
              </w:rPr>
            </w:pPr>
          </w:p>
        </w:tc>
      </w:tr>
      <w:tr>
        <w:trPr>
          <w:trHeight w:val="228"/>
        </w:trPr>
        <w:tc>
          <w:tcPr>
            <w:tcW w:w="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180" w:type="dxa"/>
            <w:vAlign w:val="bottom"/>
            <w:gridSpan w:val="3"/>
          </w:tcPr>
          <w:p>
            <w:pPr>
              <w:ind w:left="1180"/>
              <w:spacing w:after="0"/>
              <w:rPr>
                <w:sz w:val="20"/>
                <w:szCs w:val="20"/>
                <w:color w:val="auto"/>
              </w:rPr>
            </w:pPr>
            <w:r>
              <w:rPr>
                <w:rFonts w:ascii="Arial" w:cs="Arial" w:eastAsia="Arial" w:hAnsi="Arial"/>
                <w:sz w:val="18"/>
                <w:szCs w:val="18"/>
                <w:color w:val="auto"/>
                <w:w w:val="88"/>
              </w:rPr>
              <w:t>the target levels. Payouts will be settled after the end of the Performance Period by the issuance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180" w:type="dxa"/>
            <w:vAlign w:val="bottom"/>
            <w:gridSpan w:val="3"/>
          </w:tcPr>
          <w:p>
            <w:pPr>
              <w:ind w:left="1180"/>
              <w:spacing w:after="0"/>
              <w:rPr>
                <w:sz w:val="20"/>
                <w:szCs w:val="20"/>
                <w:color w:val="auto"/>
              </w:rPr>
            </w:pPr>
            <w:r>
              <w:rPr>
                <w:rFonts w:ascii="Arial" w:cs="Arial" w:eastAsia="Arial" w:hAnsi="Arial"/>
                <w:sz w:val="18"/>
                <w:szCs w:val="18"/>
                <w:color w:val="auto"/>
                <w:w w:val="90"/>
              </w:rPr>
              <w:t>restricted shares of Class A common stock, $.01 par value, of CME Group Inc. if certain specified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180" w:type="dxa"/>
            <w:vAlign w:val="bottom"/>
            <w:gridSpan w:val="3"/>
          </w:tcPr>
          <w:p>
            <w:pPr>
              <w:ind w:left="1180"/>
              <w:spacing w:after="0"/>
              <w:rPr>
                <w:sz w:val="20"/>
                <w:szCs w:val="20"/>
                <w:color w:val="auto"/>
              </w:rPr>
            </w:pPr>
            <w:r>
              <w:rPr>
                <w:rFonts w:ascii="Arial" w:cs="Arial" w:eastAsia="Arial" w:hAnsi="Arial"/>
                <w:sz w:val="18"/>
                <w:szCs w:val="18"/>
                <w:color w:val="auto"/>
              </w:rPr>
              <w:t>Performance Goals are achieved for the Performance Period as set forth below.</w:t>
            </w: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5"/>
              </w:rPr>
              <w:t>Grant Date:</w:t>
            </w:r>
          </w:p>
        </w:tc>
        <w:tc>
          <w:tcPr>
            <w:tcW w:w="2320" w:type="dxa"/>
            <w:vAlign w:val="bottom"/>
            <w:gridSpan w:val="6"/>
          </w:tcPr>
          <w:p>
            <w:pPr>
              <w:spacing w:after="0"/>
              <w:rPr>
                <w:sz w:val="24"/>
                <w:szCs w:val="24"/>
                <w:color w:val="auto"/>
              </w:rPr>
            </w:pPr>
          </w:p>
        </w:tc>
        <w:tc>
          <w:tcPr>
            <w:tcW w:w="3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3140" w:type="dxa"/>
            <w:vAlign w:val="bottom"/>
            <w:gridSpan w:val="7"/>
          </w:tcPr>
          <w:p>
            <w:pPr>
              <w:spacing w:after="0"/>
              <w:rPr>
                <w:sz w:val="20"/>
                <w:szCs w:val="20"/>
                <w:color w:val="auto"/>
              </w:rPr>
            </w:pPr>
            <w:r>
              <w:rPr>
                <w:rFonts w:ascii="Arial" w:cs="Arial" w:eastAsia="Arial" w:hAnsi="Arial"/>
                <w:sz w:val="18"/>
                <w:szCs w:val="18"/>
                <w:color w:val="auto"/>
              </w:rPr>
              <w:t>Performance Period:</w:t>
            </w:r>
          </w:p>
        </w:tc>
        <w:tc>
          <w:tcPr>
            <w:tcW w:w="3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140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color w:val="auto"/>
                <w:w w:val="86"/>
              </w:rPr>
              <w:t>Performance Goals:</w:t>
            </w:r>
          </w:p>
        </w:tc>
        <w:tc>
          <w:tcPr>
            <w:tcW w:w="40" w:type="dxa"/>
            <w:vAlign w:val="bottom"/>
            <w:tcBorders>
              <w:top w:val="single" w:sz="8" w:color="auto"/>
            </w:tcBorders>
          </w:tcPr>
          <w:p>
            <w:pPr>
              <w:spacing w:after="0"/>
              <w:rPr>
                <w:sz w:val="24"/>
                <w:szCs w:val="24"/>
                <w:color w:val="auto"/>
              </w:rPr>
            </w:pPr>
          </w:p>
        </w:tc>
        <w:tc>
          <w:tcPr>
            <w:tcW w:w="1700" w:type="dxa"/>
            <w:vAlign w:val="bottom"/>
            <w:gridSpan w:val="3"/>
          </w:tcPr>
          <w:p>
            <w:pPr>
              <w:spacing w:after="0"/>
              <w:rPr>
                <w:sz w:val="24"/>
                <w:szCs w:val="24"/>
                <w:color w:val="auto"/>
              </w:rPr>
            </w:pPr>
          </w:p>
        </w:tc>
        <w:tc>
          <w:tcPr>
            <w:tcW w:w="3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3140" w:type="dxa"/>
            <w:vAlign w:val="bottom"/>
            <w:gridSpan w:val="7"/>
          </w:tcPr>
          <w:p>
            <w:pPr>
              <w:spacing w:after="0"/>
              <w:rPr>
                <w:sz w:val="20"/>
                <w:szCs w:val="20"/>
                <w:color w:val="auto"/>
              </w:rPr>
            </w:pPr>
            <w:r>
              <w:rPr>
                <w:rFonts w:ascii="Arial" w:cs="Arial" w:eastAsia="Arial" w:hAnsi="Arial"/>
                <w:sz w:val="18"/>
                <w:szCs w:val="18"/>
                <w:color w:val="auto"/>
              </w:rPr>
              <w:t>Vesting Schedule:</w:t>
            </w:r>
          </w:p>
        </w:tc>
        <w:tc>
          <w:tcPr>
            <w:tcW w:w="8180" w:type="dxa"/>
            <w:vAlign w:val="bottom"/>
            <w:gridSpan w:val="3"/>
            <w:vMerge w:val="restart"/>
          </w:tcPr>
          <w:p>
            <w:pPr>
              <w:ind w:left="1180"/>
              <w:spacing w:after="0"/>
              <w:rPr>
                <w:sz w:val="20"/>
                <w:szCs w:val="20"/>
                <w:color w:val="auto"/>
              </w:rPr>
            </w:pPr>
            <w:r>
              <w:rPr>
                <w:rFonts w:ascii="Arial" w:cs="Arial" w:eastAsia="Arial" w:hAnsi="Arial"/>
                <w:sz w:val="18"/>
                <w:szCs w:val="18"/>
                <w:color w:val="auto"/>
                <w:w w:val="88"/>
              </w:rPr>
              <w:t>Performance Shares that are earned if any, shall be settled in restricted shares of Class A common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18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180" w:type="dxa"/>
            <w:vAlign w:val="bottom"/>
            <w:gridSpan w:val="3"/>
          </w:tcPr>
          <w:p>
            <w:pPr>
              <w:ind w:left="1180"/>
              <w:spacing w:after="0"/>
              <w:rPr>
                <w:sz w:val="20"/>
                <w:szCs w:val="20"/>
                <w:color w:val="auto"/>
              </w:rPr>
            </w:pPr>
            <w:r>
              <w:rPr>
                <w:rFonts w:ascii="Arial" w:cs="Arial" w:eastAsia="Arial" w:hAnsi="Arial"/>
                <w:sz w:val="18"/>
                <w:szCs w:val="18"/>
                <w:color w:val="auto"/>
                <w:w w:val="89"/>
              </w:rPr>
              <w:t>stock, $0.01 par value of CME Group Inc., and shall be based on the actual performance achieved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180" w:type="dxa"/>
            <w:vAlign w:val="bottom"/>
            <w:gridSpan w:val="3"/>
          </w:tcPr>
          <w:p>
            <w:pPr>
              <w:ind w:left="1180"/>
              <w:spacing w:after="0"/>
              <w:rPr>
                <w:sz w:val="20"/>
                <w:szCs w:val="20"/>
                <w:color w:val="auto"/>
              </w:rPr>
            </w:pPr>
            <w:r>
              <w:rPr>
                <w:rFonts w:ascii="Arial" w:cs="Arial" w:eastAsia="Arial" w:hAnsi="Arial"/>
                <w:sz w:val="18"/>
                <w:szCs w:val="18"/>
                <w:color w:val="auto"/>
                <w:w w:val="91"/>
              </w:rPr>
              <w:t>under the Performance Goals during the Performance Period and issued in accordance with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180" w:type="dxa"/>
            <w:vAlign w:val="bottom"/>
            <w:gridSpan w:val="3"/>
          </w:tcPr>
          <w:p>
            <w:pPr>
              <w:ind w:left="1180"/>
              <w:spacing w:after="0"/>
              <w:rPr>
                <w:sz w:val="20"/>
                <w:szCs w:val="20"/>
                <w:color w:val="auto"/>
              </w:rPr>
            </w:pPr>
            <w:r>
              <w:rPr>
                <w:rFonts w:ascii="Arial" w:cs="Arial" w:eastAsia="Arial" w:hAnsi="Arial"/>
                <w:sz w:val="18"/>
                <w:szCs w:val="18"/>
                <w:color w:val="auto"/>
                <w:w w:val="95"/>
              </w:rPr>
              <w:t>Terms and Conditions attached hereto. Such shares shall become vested and payable over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100" w:type="dxa"/>
            <w:vAlign w:val="bottom"/>
          </w:tcPr>
          <w:p>
            <w:pPr>
              <w:ind w:left="1180"/>
              <w:spacing w:after="0"/>
              <w:rPr>
                <w:sz w:val="20"/>
                <w:szCs w:val="20"/>
                <w:color w:val="auto"/>
              </w:rPr>
            </w:pPr>
            <w:r>
              <w:rPr>
                <w:rFonts w:ascii="Arial" w:cs="Arial" w:eastAsia="Arial" w:hAnsi="Arial"/>
                <w:sz w:val="18"/>
                <w:szCs w:val="18"/>
                <w:color w:val="auto"/>
              </w:rPr>
              <w:t>years beginning with</w:t>
            </w:r>
          </w:p>
        </w:tc>
        <w:tc>
          <w:tcPr>
            <w:tcW w:w="1920" w:type="dxa"/>
            <w:vAlign w:val="bottom"/>
          </w:tcPr>
          <w:p>
            <w:pPr>
              <w:ind w:left="120"/>
              <w:spacing w:after="0"/>
              <w:rPr>
                <w:sz w:val="20"/>
                <w:szCs w:val="20"/>
                <w:color w:val="auto"/>
              </w:rPr>
            </w:pPr>
            <w:r>
              <w:rPr>
                <w:rFonts w:ascii="Arial" w:cs="Arial" w:eastAsia="Arial" w:hAnsi="Arial"/>
                <w:sz w:val="18"/>
                <w:szCs w:val="18"/>
                <w:color w:val="auto"/>
                <w:w w:val="97"/>
              </w:rPr>
              <w:t>% of the award vesting</w:t>
            </w:r>
          </w:p>
        </w:tc>
        <w:tc>
          <w:tcPr>
            <w:tcW w:w="3160" w:type="dxa"/>
            <w:vAlign w:val="bottom"/>
          </w:tcPr>
          <w:p>
            <w:pPr>
              <w:ind w:left="440"/>
              <w:spacing w:after="0"/>
              <w:rPr>
                <w:sz w:val="20"/>
                <w:szCs w:val="20"/>
                <w:color w:val="auto"/>
              </w:rPr>
            </w:pPr>
            <w:r>
              <w:rPr>
                <w:rFonts w:ascii="Arial" w:cs="Arial" w:eastAsia="Arial" w:hAnsi="Arial"/>
                <w:sz w:val="18"/>
                <w:szCs w:val="18"/>
                <w:color w:val="auto"/>
              </w:rPr>
              <w:t>of the fiscal year immediately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20" w:type="dxa"/>
            <w:vAlign w:val="bottom"/>
            <w:gridSpan w:val="2"/>
          </w:tcPr>
          <w:p>
            <w:pPr>
              <w:ind w:left="1180"/>
              <w:spacing w:after="0"/>
              <w:rPr>
                <w:sz w:val="20"/>
                <w:szCs w:val="20"/>
                <w:color w:val="auto"/>
              </w:rPr>
            </w:pPr>
            <w:r>
              <w:rPr>
                <w:rFonts w:ascii="Arial" w:cs="Arial" w:eastAsia="Arial" w:hAnsi="Arial"/>
                <w:sz w:val="18"/>
                <w:szCs w:val="18"/>
                <w:color w:val="auto"/>
                <w:w w:val="99"/>
              </w:rPr>
              <w:t>following the end of the Performance Period and</w:t>
            </w:r>
          </w:p>
        </w:tc>
        <w:tc>
          <w:tcPr>
            <w:tcW w:w="3160" w:type="dxa"/>
            <w:vAlign w:val="bottom"/>
          </w:tcPr>
          <w:p>
            <w:pPr>
              <w:ind w:left="160"/>
              <w:spacing w:after="0"/>
              <w:rPr>
                <w:sz w:val="20"/>
                <w:szCs w:val="20"/>
                <w:color w:val="auto"/>
              </w:rPr>
            </w:pPr>
            <w:r>
              <w:rPr>
                <w:rFonts w:ascii="Arial" w:cs="Arial" w:eastAsia="Arial" w:hAnsi="Arial"/>
                <w:sz w:val="18"/>
                <w:szCs w:val="18"/>
                <w:color w:val="auto"/>
                <w:w w:val="89"/>
              </w:rPr>
              <w:t>% vesting on each anniversary thereafter,</w:t>
            </w:r>
          </w:p>
        </w:tc>
        <w:tc>
          <w:tcPr>
            <w:tcW w:w="0" w:type="dxa"/>
            <w:vAlign w:val="bottom"/>
          </w:tcPr>
          <w:p>
            <w:pPr>
              <w:spacing w:after="0"/>
              <w:rPr>
                <w:sz w:val="1"/>
                <w:szCs w:val="1"/>
                <w:color w:val="auto"/>
              </w:rPr>
            </w:pPr>
          </w:p>
        </w:tc>
      </w:tr>
    </w:tbl>
    <w:p>
      <w:pPr>
        <w:ind w:left="4340"/>
        <w:spacing w:after="0"/>
        <w:rPr>
          <w:sz w:val="20"/>
          <w:szCs w:val="20"/>
          <w:color w:val="auto"/>
        </w:rPr>
      </w:pPr>
      <w:r>
        <w:rPr>
          <w:rFonts w:ascii="Arial" w:cs="Arial" w:eastAsia="Arial" w:hAnsi="Arial"/>
          <w:sz w:val="18"/>
          <w:szCs w:val="18"/>
          <w:color w:val="auto"/>
        </w:rPr>
        <w:t>except as otherwise provided by the terms and conditions in the Plan.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780" w:type="dxa"/>
            <w:vAlign w:val="bottom"/>
            <w:gridSpan w:val="6"/>
          </w:tcPr>
          <w:p>
            <w:pPr>
              <w:spacing w:after="0"/>
              <w:rPr>
                <w:sz w:val="20"/>
                <w:szCs w:val="20"/>
                <w:color w:val="auto"/>
              </w:rPr>
            </w:pPr>
            <w:r>
              <w:rPr>
                <w:rFonts w:ascii="Arial" w:cs="Arial" w:eastAsia="Arial" w:hAnsi="Arial"/>
                <w:sz w:val="18"/>
                <w:szCs w:val="18"/>
                <w:color w:val="auto"/>
              </w:rPr>
              <w:t>Payment Date</w:t>
            </w:r>
          </w:p>
        </w:tc>
        <w:tc>
          <w:tcPr>
            <w:tcW w:w="86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r>
      <w:tr>
        <w:trPr>
          <w:trHeight w:val="196"/>
        </w:trPr>
        <w:tc>
          <w:tcPr>
            <w:tcW w:w="2800" w:type="dxa"/>
            <w:vAlign w:val="bottom"/>
            <w:gridSpan w:val="7"/>
          </w:tcPr>
          <w:p>
            <w:pPr>
              <w:spacing w:after="0" w:line="196" w:lineRule="exact"/>
              <w:rPr>
                <w:sz w:val="20"/>
                <w:szCs w:val="20"/>
                <w:color w:val="auto"/>
              </w:rPr>
            </w:pPr>
            <w:r>
              <w:rPr>
                <w:rFonts w:ascii="Arial" w:cs="Arial" w:eastAsia="Arial" w:hAnsi="Arial"/>
                <w:sz w:val="18"/>
                <w:szCs w:val="18"/>
                <w:color w:val="auto"/>
              </w:rPr>
              <w:t>of Award:</w:t>
            </w:r>
          </w:p>
        </w:tc>
        <w:tc>
          <w:tcPr>
            <w:tcW w:w="8600" w:type="dxa"/>
            <w:vAlign w:val="bottom"/>
          </w:tcPr>
          <w:p>
            <w:pPr>
              <w:ind w:left="1540"/>
              <w:spacing w:after="0" w:line="196" w:lineRule="exact"/>
              <w:rPr>
                <w:sz w:val="20"/>
                <w:szCs w:val="20"/>
                <w:color w:val="auto"/>
              </w:rPr>
            </w:pPr>
            <w:r>
              <w:rPr>
                <w:rFonts w:ascii="Arial" w:cs="Arial" w:eastAsia="Arial" w:hAnsi="Arial"/>
                <w:sz w:val="18"/>
                <w:szCs w:val="18"/>
                <w:color w:val="auto"/>
                <w:w w:val="88"/>
              </w:rPr>
              <w:t>The Performance Shares granted for each Goal shall be based on the actual performance achieved</w:t>
            </w:r>
          </w:p>
        </w:tc>
      </w:tr>
      <w:tr>
        <w:trPr>
          <w:trHeight w:val="228"/>
        </w:trPr>
        <w:tc>
          <w:tcPr>
            <w:tcW w:w="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600" w:type="dxa"/>
            <w:vAlign w:val="bottom"/>
          </w:tcPr>
          <w:p>
            <w:pPr>
              <w:ind w:left="1540"/>
              <w:spacing w:after="0"/>
              <w:rPr>
                <w:sz w:val="20"/>
                <w:szCs w:val="20"/>
                <w:color w:val="auto"/>
              </w:rPr>
            </w:pPr>
            <w:r>
              <w:rPr>
                <w:rFonts w:ascii="Arial" w:cs="Arial" w:eastAsia="Arial" w:hAnsi="Arial"/>
                <w:sz w:val="18"/>
                <w:szCs w:val="18"/>
                <w:color w:val="auto"/>
                <w:w w:val="87"/>
              </w:rPr>
              <w:t>under each of the respective Goals during the respective Performance Period, in accordance with the</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600" w:type="dxa"/>
            <w:vAlign w:val="bottom"/>
          </w:tcPr>
          <w:p>
            <w:pPr>
              <w:ind w:left="1540"/>
              <w:spacing w:after="0"/>
              <w:rPr>
                <w:sz w:val="20"/>
                <w:szCs w:val="20"/>
                <w:color w:val="auto"/>
              </w:rPr>
            </w:pPr>
            <w:r>
              <w:rPr>
                <w:rFonts w:ascii="Arial" w:cs="Arial" w:eastAsia="Arial" w:hAnsi="Arial"/>
                <w:sz w:val="18"/>
                <w:szCs w:val="18"/>
                <w:color w:val="auto"/>
                <w:w w:val="94"/>
              </w:rPr>
              <w:t>Terms and Conditions attached hereto. The Goals shall not be deemed to be attained until the</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600" w:type="dxa"/>
            <w:vAlign w:val="bottom"/>
          </w:tcPr>
          <w:p>
            <w:pPr>
              <w:ind w:left="1540"/>
              <w:spacing w:after="0"/>
              <w:rPr>
                <w:sz w:val="20"/>
                <w:szCs w:val="20"/>
                <w:color w:val="auto"/>
              </w:rPr>
            </w:pPr>
            <w:r>
              <w:rPr>
                <w:rFonts w:ascii="Arial" w:cs="Arial" w:eastAsia="Arial" w:hAnsi="Arial"/>
                <w:sz w:val="18"/>
                <w:szCs w:val="18"/>
                <w:color w:val="auto"/>
                <w:w w:val="90"/>
              </w:rPr>
              <w:t>Compensation Committee and/or its delegate confirms that they have been attained. Performance</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600" w:type="dxa"/>
            <w:vAlign w:val="bottom"/>
          </w:tcPr>
          <w:p>
            <w:pPr>
              <w:ind w:left="1540"/>
              <w:spacing w:after="0"/>
              <w:rPr>
                <w:sz w:val="20"/>
                <w:szCs w:val="20"/>
                <w:color w:val="auto"/>
              </w:rPr>
            </w:pPr>
            <w:r>
              <w:rPr>
                <w:rFonts w:ascii="Arial" w:cs="Arial" w:eastAsia="Arial" w:hAnsi="Arial"/>
                <w:sz w:val="18"/>
                <w:szCs w:val="18"/>
                <w:color w:val="auto"/>
                <w:w w:val="88"/>
              </w:rPr>
              <w:t>Shares earned shall be settled in restricted shares of Class A common stock, $.01 par value of CME</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600" w:type="dxa"/>
            <w:vAlign w:val="bottom"/>
          </w:tcPr>
          <w:p>
            <w:pPr>
              <w:ind w:left="1540"/>
              <w:spacing w:after="0"/>
              <w:rPr>
                <w:sz w:val="20"/>
                <w:szCs w:val="20"/>
                <w:color w:val="auto"/>
              </w:rPr>
            </w:pPr>
            <w:r>
              <w:rPr>
                <w:rFonts w:ascii="Arial" w:cs="Arial" w:eastAsia="Arial" w:hAnsi="Arial"/>
                <w:sz w:val="18"/>
                <w:szCs w:val="18"/>
                <w:color w:val="auto"/>
                <w:w w:val="91"/>
              </w:rPr>
              <w:t>Group Inc., which shall be issued as soon as administratively practicable after the Compensation</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600" w:type="dxa"/>
            <w:vAlign w:val="bottom"/>
          </w:tcPr>
          <w:p>
            <w:pPr>
              <w:ind w:left="1540"/>
              <w:spacing w:after="0"/>
              <w:rPr>
                <w:sz w:val="20"/>
                <w:szCs w:val="20"/>
                <w:color w:val="auto"/>
              </w:rPr>
            </w:pPr>
            <w:r>
              <w:rPr>
                <w:rFonts w:ascii="Arial" w:cs="Arial" w:eastAsia="Arial" w:hAnsi="Arial"/>
                <w:sz w:val="18"/>
                <w:szCs w:val="18"/>
                <w:color w:val="auto"/>
              </w:rPr>
              <w:t>Committee and/or its delegate confirms that the Goals have been attained.</w:t>
            </w:r>
          </w:p>
        </w:tc>
      </w:tr>
      <w:tr>
        <w:trPr>
          <w:trHeight w:val="340"/>
        </w:trPr>
        <w:tc>
          <w:tcPr>
            <w:tcW w:w="2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8"/>
                <w:szCs w:val="18"/>
                <w:color w:val="auto"/>
              </w:rPr>
              <w:t>Additional Terms</w:t>
            </w:r>
          </w:p>
        </w:tc>
        <w:tc>
          <w:tcPr>
            <w:tcW w:w="86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r>
      <w:tr>
        <w:trPr>
          <w:trHeight w:val="196"/>
        </w:trPr>
        <w:tc>
          <w:tcPr>
            <w:tcW w:w="2800" w:type="dxa"/>
            <w:vAlign w:val="bottom"/>
            <w:gridSpan w:val="7"/>
          </w:tcPr>
          <w:p>
            <w:pPr>
              <w:spacing w:after="0" w:line="196" w:lineRule="exact"/>
              <w:rPr>
                <w:sz w:val="20"/>
                <w:szCs w:val="20"/>
                <w:color w:val="auto"/>
              </w:rPr>
            </w:pPr>
            <w:r>
              <w:rPr>
                <w:rFonts w:ascii="Arial" w:cs="Arial" w:eastAsia="Arial" w:hAnsi="Arial"/>
                <w:sz w:val="18"/>
                <w:szCs w:val="18"/>
                <w:color w:val="auto"/>
              </w:rPr>
              <w:t>and Conditions:</w:t>
            </w:r>
          </w:p>
        </w:tc>
        <w:tc>
          <w:tcPr>
            <w:tcW w:w="8600" w:type="dxa"/>
            <w:vAlign w:val="bottom"/>
          </w:tcPr>
          <w:p>
            <w:pPr>
              <w:ind w:left="1540"/>
              <w:spacing w:after="0" w:line="196" w:lineRule="exact"/>
              <w:rPr>
                <w:sz w:val="20"/>
                <w:szCs w:val="20"/>
                <w:color w:val="auto"/>
              </w:rPr>
            </w:pPr>
            <w:r>
              <w:rPr>
                <w:rFonts w:ascii="Arial" w:cs="Arial" w:eastAsia="Arial" w:hAnsi="Arial"/>
                <w:sz w:val="18"/>
                <w:szCs w:val="18"/>
                <w:color w:val="auto"/>
                <w:w w:val="86"/>
              </w:rPr>
              <w:t>The Performance Shares granted are subject to the Terms and Conditions attached hereto, as well as</w:t>
            </w:r>
          </w:p>
        </w:tc>
      </w:tr>
      <w:tr>
        <w:trPr>
          <w:trHeight w:val="235"/>
        </w:trPr>
        <w:tc>
          <w:tcPr>
            <w:tcW w:w="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600" w:type="dxa"/>
            <w:vAlign w:val="bottom"/>
          </w:tcPr>
          <w:p>
            <w:pPr>
              <w:ind w:left="1540"/>
              <w:spacing w:after="0"/>
              <w:rPr>
                <w:sz w:val="20"/>
                <w:szCs w:val="20"/>
                <w:color w:val="auto"/>
              </w:rPr>
            </w:pPr>
            <w:r>
              <w:rPr>
                <w:rFonts w:ascii="Arial" w:cs="Arial" w:eastAsia="Arial" w:hAnsi="Arial"/>
                <w:sz w:val="18"/>
                <w:szCs w:val="18"/>
                <w:color w:val="auto"/>
              </w:rPr>
              <w:t>the terms and conditions set forth in the Plan.</w:t>
            </w:r>
          </w:p>
        </w:tc>
      </w:tr>
      <w:tr>
        <w:trPr>
          <w:trHeight w:val="380"/>
        </w:trPr>
        <w:tc>
          <w:tcPr>
            <w:tcW w:w="2800" w:type="dxa"/>
            <w:vAlign w:val="bottom"/>
            <w:gridSpan w:val="7"/>
          </w:tcPr>
          <w:p>
            <w:pPr>
              <w:spacing w:after="0"/>
              <w:rPr>
                <w:sz w:val="20"/>
                <w:szCs w:val="20"/>
                <w:color w:val="auto"/>
              </w:rPr>
            </w:pPr>
            <w:r>
              <w:rPr>
                <w:rFonts w:ascii="Arial" w:cs="Arial" w:eastAsia="Arial" w:hAnsi="Arial"/>
                <w:sz w:val="18"/>
                <w:szCs w:val="18"/>
                <w:color w:val="auto"/>
              </w:rPr>
              <w:t>Dividends:</w:t>
            </w:r>
          </w:p>
        </w:tc>
        <w:tc>
          <w:tcPr>
            <w:tcW w:w="8600" w:type="dxa"/>
            <w:vAlign w:val="bottom"/>
          </w:tcPr>
          <w:p>
            <w:pPr>
              <w:ind w:left="1540"/>
              <w:spacing w:after="0"/>
              <w:rPr>
                <w:sz w:val="20"/>
                <w:szCs w:val="20"/>
                <w:color w:val="auto"/>
              </w:rPr>
            </w:pPr>
            <w:r>
              <w:rPr>
                <w:rFonts w:ascii="Arial" w:cs="Arial" w:eastAsia="Arial" w:hAnsi="Arial"/>
                <w:sz w:val="18"/>
                <w:szCs w:val="18"/>
                <w:color w:val="auto"/>
                <w:w w:val="91"/>
              </w:rPr>
              <w:t>Any restricted shares issued at the end of the Performance Period will accrue dividends effective</w:t>
            </w:r>
          </w:p>
        </w:tc>
      </w:tr>
      <w:tr>
        <w:trPr>
          <w:trHeight w:val="228"/>
        </w:trPr>
        <w:tc>
          <w:tcPr>
            <w:tcW w:w="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600" w:type="dxa"/>
            <w:vAlign w:val="bottom"/>
          </w:tcPr>
          <w:p>
            <w:pPr>
              <w:ind w:left="1540"/>
              <w:spacing w:after="0"/>
              <w:rPr>
                <w:sz w:val="20"/>
                <w:szCs w:val="20"/>
                <w:color w:val="auto"/>
              </w:rPr>
            </w:pPr>
            <w:r>
              <w:rPr>
                <w:rFonts w:ascii="Arial" w:cs="Arial" w:eastAsia="Arial" w:hAnsi="Arial"/>
                <w:sz w:val="18"/>
                <w:szCs w:val="18"/>
                <w:color w:val="auto"/>
                <w:w w:val="91"/>
              </w:rPr>
              <w:t>with the date the restricted shares are issued. The dividends will be paid out in cash via E*Trade</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600" w:type="dxa"/>
            <w:vAlign w:val="bottom"/>
          </w:tcPr>
          <w:p>
            <w:pPr>
              <w:ind w:left="1540"/>
              <w:spacing w:after="0"/>
              <w:rPr>
                <w:sz w:val="20"/>
                <w:szCs w:val="20"/>
                <w:color w:val="auto"/>
              </w:rPr>
            </w:pPr>
            <w:r>
              <w:rPr>
                <w:rFonts w:ascii="Arial" w:cs="Arial" w:eastAsia="Arial" w:hAnsi="Arial"/>
                <w:sz w:val="18"/>
                <w:szCs w:val="18"/>
                <w:color w:val="auto"/>
              </w:rPr>
              <w:t>according to the vesting schedule.</w:t>
            </w:r>
          </w:p>
        </w:tc>
      </w:tr>
    </w:tbl>
    <w:p>
      <w:pPr>
        <w:spacing w:after="0" w:line="15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i w:val="1"/>
          <w:iCs w:val="1"/>
          <w:color w:val="auto"/>
        </w:rPr>
        <w:t xml:space="preserve">In addition to the terms stated in this grant letter, your equity grant shall be subject to the terms and conditions of the Plan, which are subject to change at any time. All documents relating to the Plan, including the Plan Document, Prospectus and Beneficiary Form, can be accessed online by logging on to your E*TRADE account at </w:t>
      </w:r>
      <w:r>
        <w:rPr>
          <w:rFonts w:ascii="Arial" w:cs="Arial" w:eastAsia="Arial" w:hAnsi="Arial"/>
          <w:sz w:val="16"/>
          <w:szCs w:val="16"/>
          <w:i w:val="1"/>
          <w:iCs w:val="1"/>
          <w:u w:val="single" w:color="auto"/>
          <w:color w:val="auto"/>
        </w:rPr>
        <w:t>www.etrade.com/stockplans</w:t>
      </w:r>
      <w:r>
        <w:rPr>
          <w:rFonts w:ascii="Arial" w:cs="Arial" w:eastAsia="Arial" w:hAnsi="Arial"/>
          <w:sz w:val="16"/>
          <w:szCs w:val="16"/>
          <w:i w:val="1"/>
          <w:iCs w:val="1"/>
          <w:color w:val="auto"/>
        </w:rPr>
        <w:t xml:space="preserve"> or by calling E*TRADE at 800-838-0908 or +1-650-599-0125 if outside the U.S. A copy of the current CME Group Form 10-K can be found at: </w:t>
      </w:r>
      <w:r>
        <w:rPr>
          <w:rFonts w:ascii="Arial" w:cs="Arial" w:eastAsia="Arial" w:hAnsi="Arial"/>
          <w:sz w:val="16"/>
          <w:szCs w:val="16"/>
          <w:i w:val="1"/>
          <w:iCs w:val="1"/>
          <w:u w:val="single" w:color="auto"/>
          <w:color w:val="auto"/>
        </w:rPr>
        <w:t>http://investor.cmegroup.com/investor-relations/financials.cfm</w:t>
      </w:r>
      <w:r>
        <w:rPr>
          <w:rFonts w:ascii="Arial" w:cs="Arial" w:eastAsia="Arial" w:hAnsi="Arial"/>
          <w:sz w:val="16"/>
          <w:szCs w:val="16"/>
          <w:i w:val="1"/>
          <w:iCs w:val="1"/>
          <w:color w:val="auto"/>
        </w:rPr>
        <w:t xml:space="preserve">. </w:t>
      </w:r>
      <w:r>
        <w:rPr>
          <w:rFonts w:ascii="Arial" w:cs="Arial" w:eastAsia="Arial" w:hAnsi="Arial"/>
          <w:sz w:val="16"/>
          <w:szCs w:val="16"/>
          <w:b w:val="1"/>
          <w:bCs w:val="1"/>
          <w:i w:val="1"/>
          <w:iCs w:val="1"/>
          <w:color w:val="auto"/>
        </w:rPr>
        <w:t>Please submit your completed W-9 Form (or W-8BEN Form</w:t>
      </w:r>
      <w:r>
        <w:rPr>
          <w:rFonts w:ascii="Arial" w:cs="Arial" w:eastAsia="Arial" w:hAnsi="Arial"/>
          <w:sz w:val="16"/>
          <w:szCs w:val="16"/>
          <w:i w:val="1"/>
          <w:iCs w:val="1"/>
          <w:color w:val="auto"/>
        </w:rPr>
        <w:t xml:space="preserve"> </w:t>
      </w:r>
      <w:r>
        <w:rPr>
          <w:rFonts w:ascii="Arial" w:cs="Arial" w:eastAsia="Arial" w:hAnsi="Arial"/>
          <w:sz w:val="16"/>
          <w:szCs w:val="16"/>
          <w:b w:val="1"/>
          <w:bCs w:val="1"/>
          <w:i w:val="1"/>
          <w:iCs w:val="1"/>
          <w:color w:val="auto"/>
        </w:rPr>
        <w:t>if outside the U.S.) and Beneficiary Designation Form to CME Group’s Compensation Department, 20 S. Wacker, 2N, Chicago, IL 60606.</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66" w:name="page67"/>
    <w:bookmarkEnd w:id="66"/>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TERMS AND CONDITIONS</w:t>
      </w:r>
    </w:p>
    <w:p>
      <w:pPr>
        <w:spacing w:after="0" w:line="212" w:lineRule="exact"/>
        <w:rPr>
          <w:sz w:val="20"/>
          <w:szCs w:val="20"/>
          <w:color w:val="auto"/>
        </w:rPr>
      </w:pPr>
    </w:p>
    <w:p>
      <w:pPr>
        <w:ind w:left="452" w:hanging="452"/>
        <w:spacing w:after="0" w:line="338" w:lineRule="auto"/>
        <w:tabs>
          <w:tab w:leader="none" w:pos="452"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 xml:space="preserve">Performance Shares Earned. </w:t>
      </w:r>
      <w:r>
        <w:rPr>
          <w:rFonts w:ascii="Arial" w:cs="Arial" w:eastAsia="Arial" w:hAnsi="Arial"/>
          <w:sz w:val="16"/>
          <w:szCs w:val="16"/>
          <w:color w:val="auto"/>
        </w:rPr>
        <w:t>The number of Performance Shares earned, if any, will be based on the actual performance achieved during the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Period relative to each Performance Goal. This determination shall be made in accordance with the following schedules:</w:t>
      </w:r>
    </w:p>
    <w:p>
      <w:pPr>
        <w:ind w:left="1472" w:hanging="567"/>
        <w:spacing w:after="0"/>
        <w:tabs>
          <w:tab w:leader="none" w:pos="1472" w:val="left"/>
        </w:tabs>
        <w:numPr>
          <w:ilvl w:val="1"/>
          <w:numId w:val="64"/>
        </w:numPr>
        <w:rPr>
          <w:rFonts w:ascii="Arial" w:cs="Arial" w:eastAsia="Arial" w:hAnsi="Arial"/>
          <w:sz w:val="18"/>
          <w:szCs w:val="18"/>
          <w:color w:val="auto"/>
        </w:rPr>
      </w:pPr>
      <w:r>
        <w:rPr>
          <w:rFonts w:ascii="Arial" w:cs="Arial" w:eastAsia="Arial" w:hAnsi="Arial"/>
          <w:sz w:val="18"/>
          <w:szCs w:val="18"/>
          <w:color w:val="auto"/>
        </w:rPr>
        <w:t>Goal 1 –</w:t>
      </w:r>
      <w:r>
        <w:rPr>
          <w:rFonts w:ascii="Arial" w:cs="Arial" w:eastAsia="Arial" w:hAnsi="Arial"/>
          <w:sz w:val="15"/>
          <w:szCs w:val="15"/>
          <w:color w:val="auto"/>
        </w:rPr>
        <w:t>% Performance Shares at Target:</w:t>
      </w:r>
    </w:p>
    <w:p>
      <w:pPr>
        <w:spacing w:after="0" w:line="84" w:lineRule="exact"/>
        <w:rPr>
          <w:sz w:val="20"/>
          <w:szCs w:val="20"/>
          <w:color w:val="auto"/>
        </w:rPr>
      </w:pPr>
    </w:p>
    <w:p>
      <w:pPr>
        <w:ind w:left="1612"/>
        <w:spacing w:after="0"/>
        <w:tabs>
          <w:tab w:leader="none" w:pos="6792" w:val="left"/>
        </w:tabs>
        <w:rPr>
          <w:sz w:val="20"/>
          <w:szCs w:val="20"/>
          <w:color w:val="auto"/>
        </w:rPr>
      </w:pPr>
      <w:r>
        <w:rPr>
          <w:rFonts w:ascii="Arial" w:cs="Arial" w:eastAsia="Arial" w:hAnsi="Arial"/>
          <w:sz w:val="18"/>
          <w:szCs w:val="18"/>
          <w:b w:val="1"/>
          <w:bCs w:val="1"/>
          <w:u w:val="single" w:color="auto"/>
          <w:color w:val="auto"/>
        </w:rPr>
        <w:t>Goal Achievement</w:t>
      </w:r>
      <w:r>
        <w:rPr>
          <w:sz w:val="20"/>
          <w:szCs w:val="20"/>
          <w:color w:val="auto"/>
        </w:rPr>
        <w:tab/>
      </w:r>
      <w:r>
        <w:rPr>
          <w:rFonts w:ascii="Arial" w:cs="Arial" w:eastAsia="Arial" w:hAnsi="Arial"/>
          <w:sz w:val="15"/>
          <w:szCs w:val="15"/>
          <w:b w:val="1"/>
          <w:bCs w:val="1"/>
          <w:u w:val="single" w:color="auto"/>
          <w:color w:val="auto"/>
        </w:rPr>
        <w:t>Performance Shares Earned</w:t>
      </w:r>
    </w:p>
    <w:p>
      <w:pPr>
        <w:spacing w:after="0" w:line="137" w:lineRule="exact"/>
        <w:rPr>
          <w:sz w:val="20"/>
          <w:szCs w:val="20"/>
          <w:color w:val="auto"/>
        </w:rPr>
      </w:pPr>
    </w:p>
    <w:p>
      <w:pPr>
        <w:ind w:left="6812"/>
        <w:spacing w:after="0"/>
        <w:rPr>
          <w:sz w:val="20"/>
          <w:szCs w:val="20"/>
          <w:color w:val="auto"/>
        </w:rPr>
      </w:pPr>
      <w:r>
        <w:rPr>
          <w:rFonts w:ascii="Arial" w:cs="Arial" w:eastAsia="Arial" w:hAnsi="Arial"/>
          <w:sz w:val="18"/>
          <w:szCs w:val="18"/>
          <w:color w:val="auto"/>
        </w:rPr>
        <w:t>200% of above portion of Target Performance Shares</w:t>
      </w:r>
    </w:p>
    <w:p>
      <w:pPr>
        <w:spacing w:after="0" w:line="117" w:lineRule="exact"/>
        <w:rPr>
          <w:sz w:val="20"/>
          <w:szCs w:val="20"/>
          <w:color w:val="auto"/>
        </w:rPr>
      </w:pPr>
    </w:p>
    <w:p>
      <w:pPr>
        <w:ind w:left="6812"/>
        <w:spacing w:after="0"/>
        <w:rPr>
          <w:sz w:val="20"/>
          <w:szCs w:val="20"/>
          <w:color w:val="auto"/>
        </w:rPr>
      </w:pPr>
      <w:r>
        <w:rPr>
          <w:rFonts w:ascii="Arial" w:cs="Arial" w:eastAsia="Arial" w:hAnsi="Arial"/>
          <w:sz w:val="18"/>
          <w:szCs w:val="18"/>
          <w:color w:val="auto"/>
        </w:rPr>
        <w:t>100% of above portion of Target Performance Shares</w:t>
      </w:r>
    </w:p>
    <w:p>
      <w:pPr>
        <w:spacing w:after="0" w:line="117" w:lineRule="exact"/>
        <w:rPr>
          <w:sz w:val="20"/>
          <w:szCs w:val="20"/>
          <w:color w:val="auto"/>
        </w:rPr>
      </w:pPr>
    </w:p>
    <w:p>
      <w:pPr>
        <w:ind w:left="6812"/>
        <w:spacing w:after="0"/>
        <w:rPr>
          <w:sz w:val="20"/>
          <w:szCs w:val="20"/>
          <w:color w:val="auto"/>
        </w:rPr>
      </w:pPr>
      <w:r>
        <w:rPr>
          <w:rFonts w:ascii="Arial" w:cs="Arial" w:eastAsia="Arial" w:hAnsi="Arial"/>
          <w:sz w:val="18"/>
          <w:szCs w:val="18"/>
          <w:color w:val="auto"/>
        </w:rPr>
        <w:t>50% of above portion of Target Performance Shares</w:t>
      </w:r>
    </w:p>
    <w:p>
      <w:pPr>
        <w:spacing w:after="0" w:line="117" w:lineRule="exact"/>
        <w:rPr>
          <w:sz w:val="20"/>
          <w:szCs w:val="20"/>
          <w:color w:val="auto"/>
        </w:rPr>
      </w:pPr>
    </w:p>
    <w:p>
      <w:pPr>
        <w:ind w:left="6812"/>
        <w:spacing w:after="0"/>
        <w:rPr>
          <w:sz w:val="20"/>
          <w:szCs w:val="20"/>
          <w:color w:val="auto"/>
        </w:rPr>
      </w:pPr>
      <w:r>
        <w:rPr>
          <w:rFonts w:ascii="Arial" w:cs="Arial" w:eastAsia="Arial" w:hAnsi="Arial"/>
          <w:sz w:val="18"/>
          <w:szCs w:val="18"/>
          <w:color w:val="auto"/>
        </w:rPr>
        <w:t>0% of above portion of Target Performance Shares</w:t>
      </w:r>
    </w:p>
    <w:p>
      <w:pPr>
        <w:spacing w:after="0" w:line="88" w:lineRule="exact"/>
        <w:rPr>
          <w:sz w:val="20"/>
          <w:szCs w:val="20"/>
          <w:color w:val="auto"/>
        </w:rPr>
      </w:pPr>
    </w:p>
    <w:p>
      <w:pPr>
        <w:ind w:left="1592"/>
        <w:spacing w:after="0"/>
        <w:rPr>
          <w:sz w:val="20"/>
          <w:szCs w:val="20"/>
          <w:color w:val="auto"/>
        </w:rPr>
      </w:pPr>
      <w:r>
        <w:rPr>
          <w:rFonts w:ascii="Arial" w:cs="Arial" w:eastAsia="Arial" w:hAnsi="Arial"/>
          <w:sz w:val="14"/>
          <w:szCs w:val="14"/>
          <w:color w:val="auto"/>
        </w:rPr>
        <w:t>Note: If actual performance falls between any of the levels above, then straight-line interpolation will be applied to determine the number of Shares earned.</w:t>
      </w:r>
    </w:p>
    <w:p>
      <w:pPr>
        <w:spacing w:after="0" w:line="274" w:lineRule="exact"/>
        <w:rPr>
          <w:sz w:val="20"/>
          <w:szCs w:val="20"/>
          <w:color w:val="auto"/>
        </w:rPr>
      </w:pPr>
    </w:p>
    <w:p>
      <w:pPr>
        <w:ind w:left="1472" w:hanging="567"/>
        <w:spacing w:after="0"/>
        <w:tabs>
          <w:tab w:leader="none" w:pos="1472" w:val="left"/>
        </w:tabs>
        <w:numPr>
          <w:ilvl w:val="0"/>
          <w:numId w:val="65"/>
        </w:numPr>
        <w:rPr>
          <w:rFonts w:ascii="Arial" w:cs="Arial" w:eastAsia="Arial" w:hAnsi="Arial"/>
          <w:sz w:val="18"/>
          <w:szCs w:val="18"/>
          <w:color w:val="auto"/>
        </w:rPr>
      </w:pPr>
      <w:r>
        <w:rPr>
          <w:rFonts w:ascii="Arial" w:cs="Arial" w:eastAsia="Arial" w:hAnsi="Arial"/>
          <w:sz w:val="18"/>
          <w:szCs w:val="18"/>
          <w:color w:val="auto"/>
        </w:rPr>
        <w:t>Goal 2 –</w:t>
      </w:r>
      <w:r>
        <w:rPr>
          <w:rFonts w:ascii="Arial" w:cs="Arial" w:eastAsia="Arial" w:hAnsi="Arial"/>
          <w:sz w:val="15"/>
          <w:szCs w:val="15"/>
          <w:color w:val="auto"/>
        </w:rPr>
        <w:t>% of Performance Shares at Target:</w:t>
      </w:r>
    </w:p>
    <w:p>
      <w:pPr>
        <w:spacing w:after="0" w:line="206" w:lineRule="exact"/>
        <w:rPr>
          <w:sz w:val="20"/>
          <w:szCs w:val="20"/>
          <w:color w:val="auto"/>
        </w:rPr>
      </w:pPr>
    </w:p>
    <w:p>
      <w:pPr>
        <w:ind w:left="1612"/>
        <w:spacing w:after="0"/>
        <w:tabs>
          <w:tab w:leader="none" w:pos="6792" w:val="left"/>
        </w:tabs>
        <w:rPr>
          <w:sz w:val="20"/>
          <w:szCs w:val="20"/>
          <w:color w:val="auto"/>
        </w:rPr>
      </w:pPr>
      <w:r>
        <w:rPr>
          <w:rFonts w:ascii="Arial" w:cs="Arial" w:eastAsia="Arial" w:hAnsi="Arial"/>
          <w:sz w:val="18"/>
          <w:szCs w:val="18"/>
          <w:b w:val="1"/>
          <w:bCs w:val="1"/>
          <w:u w:val="single" w:color="auto"/>
          <w:color w:val="auto"/>
        </w:rPr>
        <w:t>Goal Achievement</w:t>
      </w:r>
      <w:r>
        <w:rPr>
          <w:sz w:val="20"/>
          <w:szCs w:val="20"/>
          <w:color w:val="auto"/>
        </w:rPr>
        <w:tab/>
      </w:r>
      <w:r>
        <w:rPr>
          <w:rFonts w:ascii="Arial" w:cs="Arial" w:eastAsia="Arial" w:hAnsi="Arial"/>
          <w:sz w:val="15"/>
          <w:szCs w:val="15"/>
          <w:b w:val="1"/>
          <w:bCs w:val="1"/>
          <w:u w:val="single" w:color="auto"/>
          <w:color w:val="auto"/>
        </w:rPr>
        <w:t>Performance Shares Earned</w:t>
      </w:r>
    </w:p>
    <w:p>
      <w:pPr>
        <w:spacing w:after="0" w:line="137" w:lineRule="exact"/>
        <w:rPr>
          <w:sz w:val="20"/>
          <w:szCs w:val="20"/>
          <w:color w:val="auto"/>
        </w:rPr>
      </w:pPr>
    </w:p>
    <w:p>
      <w:pPr>
        <w:ind w:left="6812"/>
        <w:spacing w:after="0"/>
        <w:rPr>
          <w:sz w:val="20"/>
          <w:szCs w:val="20"/>
          <w:color w:val="auto"/>
        </w:rPr>
      </w:pPr>
      <w:r>
        <w:rPr>
          <w:rFonts w:ascii="Arial" w:cs="Arial" w:eastAsia="Arial" w:hAnsi="Arial"/>
          <w:sz w:val="18"/>
          <w:szCs w:val="18"/>
          <w:color w:val="auto"/>
        </w:rPr>
        <w:t>200% of above portion of Target Performance Shares</w:t>
      </w:r>
    </w:p>
    <w:p>
      <w:pPr>
        <w:spacing w:after="0" w:line="117" w:lineRule="exact"/>
        <w:rPr>
          <w:sz w:val="20"/>
          <w:szCs w:val="20"/>
          <w:color w:val="auto"/>
        </w:rPr>
      </w:pPr>
    </w:p>
    <w:p>
      <w:pPr>
        <w:ind w:left="6812"/>
        <w:spacing w:after="0"/>
        <w:rPr>
          <w:sz w:val="20"/>
          <w:szCs w:val="20"/>
          <w:color w:val="auto"/>
        </w:rPr>
      </w:pPr>
      <w:r>
        <w:rPr>
          <w:rFonts w:ascii="Arial" w:cs="Arial" w:eastAsia="Arial" w:hAnsi="Arial"/>
          <w:sz w:val="18"/>
          <w:szCs w:val="18"/>
          <w:color w:val="auto"/>
        </w:rPr>
        <w:t>100% of above portion of Target Performance Shares</w:t>
      </w:r>
    </w:p>
    <w:p>
      <w:pPr>
        <w:spacing w:after="0" w:line="117" w:lineRule="exact"/>
        <w:rPr>
          <w:sz w:val="20"/>
          <w:szCs w:val="20"/>
          <w:color w:val="auto"/>
        </w:rPr>
      </w:pPr>
    </w:p>
    <w:p>
      <w:pPr>
        <w:ind w:left="6812"/>
        <w:spacing w:after="0"/>
        <w:rPr>
          <w:sz w:val="20"/>
          <w:szCs w:val="20"/>
          <w:color w:val="auto"/>
        </w:rPr>
      </w:pPr>
      <w:r>
        <w:rPr>
          <w:rFonts w:ascii="Arial" w:cs="Arial" w:eastAsia="Arial" w:hAnsi="Arial"/>
          <w:sz w:val="18"/>
          <w:szCs w:val="18"/>
          <w:color w:val="auto"/>
        </w:rPr>
        <w:t>50% of above portion of Target Performance Shares</w:t>
      </w:r>
    </w:p>
    <w:p>
      <w:pPr>
        <w:spacing w:after="0" w:line="117" w:lineRule="exact"/>
        <w:rPr>
          <w:sz w:val="20"/>
          <w:szCs w:val="20"/>
          <w:color w:val="auto"/>
        </w:rPr>
      </w:pPr>
    </w:p>
    <w:p>
      <w:pPr>
        <w:ind w:left="6812"/>
        <w:spacing w:after="0"/>
        <w:rPr>
          <w:sz w:val="20"/>
          <w:szCs w:val="20"/>
          <w:color w:val="auto"/>
        </w:rPr>
      </w:pPr>
      <w:r>
        <w:rPr>
          <w:rFonts w:ascii="Arial" w:cs="Arial" w:eastAsia="Arial" w:hAnsi="Arial"/>
          <w:sz w:val="18"/>
          <w:szCs w:val="18"/>
          <w:color w:val="auto"/>
        </w:rPr>
        <w:t>0% of above portion of Target Performance Shares</w:t>
      </w:r>
    </w:p>
    <w:p>
      <w:pPr>
        <w:spacing w:after="0" w:line="88" w:lineRule="exact"/>
        <w:rPr>
          <w:sz w:val="20"/>
          <w:szCs w:val="20"/>
          <w:color w:val="auto"/>
        </w:rPr>
      </w:pPr>
    </w:p>
    <w:p>
      <w:pPr>
        <w:ind w:left="1592"/>
        <w:spacing w:after="0"/>
        <w:rPr>
          <w:sz w:val="20"/>
          <w:szCs w:val="20"/>
          <w:color w:val="auto"/>
        </w:rPr>
      </w:pPr>
      <w:r>
        <w:rPr>
          <w:rFonts w:ascii="Arial" w:cs="Arial" w:eastAsia="Arial" w:hAnsi="Arial"/>
          <w:sz w:val="14"/>
          <w:szCs w:val="14"/>
          <w:color w:val="auto"/>
        </w:rPr>
        <w:t>Note: If actual performance falls between any of the levels above, then straight-line interpolation will be applied to determine the number of Shares earned.</w:t>
      </w:r>
    </w:p>
    <w:p>
      <w:pPr>
        <w:spacing w:after="0" w:line="268" w:lineRule="exact"/>
        <w:rPr>
          <w:sz w:val="20"/>
          <w:szCs w:val="20"/>
          <w:color w:val="auto"/>
        </w:rPr>
      </w:pPr>
    </w:p>
    <w:p>
      <w:pPr>
        <w:ind w:left="452" w:right="160" w:hanging="452"/>
        <w:spacing w:after="0" w:line="255" w:lineRule="auto"/>
        <w:tabs>
          <w:tab w:leader="none" w:pos="452"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Eligibility to Receive Grant and Condition of Receipt of Performance Shares. </w:t>
      </w:r>
      <w:r>
        <w:rPr>
          <w:rFonts w:ascii="Arial" w:cs="Arial" w:eastAsia="Arial" w:hAnsi="Arial"/>
          <w:sz w:val="18"/>
          <w:szCs w:val="18"/>
          <w:color w:val="auto"/>
        </w:rPr>
        <w:t>Notwithstanding any other eligibility requirements specified in these</w:t>
      </w:r>
      <w:r>
        <w:rPr>
          <w:rFonts w:ascii="Arial" w:cs="Arial" w:eastAsia="Arial" w:hAnsi="Arial"/>
          <w:sz w:val="18"/>
          <w:szCs w:val="18"/>
          <w:b w:val="1"/>
          <w:bCs w:val="1"/>
          <w:color w:val="auto"/>
        </w:rPr>
        <w:t xml:space="preserve"> </w:t>
      </w:r>
      <w:r>
        <w:rPr>
          <w:rFonts w:ascii="Arial" w:cs="Arial" w:eastAsia="Arial" w:hAnsi="Arial"/>
          <w:sz w:val="18"/>
          <w:szCs w:val="18"/>
          <w:color w:val="auto"/>
        </w:rPr>
        <w:t>grants or in the Plan, in order to be eligible to receive this award and as a condition of receipt of payment of any earned Performance Shares under this award, you must have entered into an agreement with the Company containing certain post-termination of employment restrictions regarding competition with the Company and non solicitation of the Company’s customers and employees prior to receiving this grant. The post-termination employment restrictions applicable to you are set forth in the Confidentiality, Non-Competition and Non-Solicitation Agreement with the Company, which is incorporated herein by reference.</w:t>
      </w:r>
    </w:p>
    <w:p>
      <w:pPr>
        <w:spacing w:after="0" w:line="58" w:lineRule="exact"/>
        <w:rPr>
          <w:rFonts w:ascii="Arial" w:cs="Arial" w:eastAsia="Arial" w:hAnsi="Arial"/>
          <w:sz w:val="18"/>
          <w:szCs w:val="18"/>
          <w:color w:val="auto"/>
        </w:rPr>
      </w:pPr>
    </w:p>
    <w:p>
      <w:pPr>
        <w:ind w:left="452" w:right="60" w:hanging="452"/>
        <w:spacing w:after="0" w:line="262" w:lineRule="auto"/>
        <w:tabs>
          <w:tab w:leader="none" w:pos="452"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Eligibility to Receive Performance Shares. </w:t>
      </w:r>
      <w:r>
        <w:rPr>
          <w:rFonts w:ascii="Arial" w:cs="Arial" w:eastAsia="Arial" w:hAnsi="Arial"/>
          <w:sz w:val="18"/>
          <w:szCs w:val="18"/>
          <w:color w:val="auto"/>
        </w:rPr>
        <w:t>Notwithstanding any other eligibility requirements specified in this grant or in the Plan, in order for you to be</w:t>
      </w:r>
      <w:r>
        <w:rPr>
          <w:rFonts w:ascii="Arial" w:cs="Arial" w:eastAsia="Arial" w:hAnsi="Arial"/>
          <w:sz w:val="18"/>
          <w:szCs w:val="18"/>
          <w:b w:val="1"/>
          <w:bCs w:val="1"/>
          <w:color w:val="auto"/>
        </w:rPr>
        <w:t xml:space="preserve"> </w:t>
      </w:r>
      <w:r>
        <w:rPr>
          <w:rFonts w:ascii="Arial" w:cs="Arial" w:eastAsia="Arial" w:hAnsi="Arial"/>
          <w:sz w:val="18"/>
          <w:szCs w:val="18"/>
          <w:color w:val="auto"/>
        </w:rPr>
        <w:t>eligible to receive payment of any earned Performance Shares after the end of the Performance Period, you must remain employed through the Payment and applicable Vesting dates.</w:t>
      </w:r>
    </w:p>
    <w:p>
      <w:pPr>
        <w:spacing w:after="0" w:line="51" w:lineRule="exact"/>
        <w:rPr>
          <w:rFonts w:ascii="Arial" w:cs="Arial" w:eastAsia="Arial" w:hAnsi="Arial"/>
          <w:sz w:val="18"/>
          <w:szCs w:val="18"/>
          <w:color w:val="auto"/>
        </w:rPr>
      </w:pPr>
    </w:p>
    <w:p>
      <w:pPr>
        <w:ind w:left="452" w:right="80" w:hanging="452"/>
        <w:spacing w:after="0" w:line="262" w:lineRule="auto"/>
        <w:tabs>
          <w:tab w:leader="none" w:pos="452"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Termination of Service. </w:t>
      </w:r>
      <w:r>
        <w:rPr>
          <w:rFonts w:ascii="Arial" w:cs="Arial" w:eastAsia="Arial" w:hAnsi="Arial"/>
          <w:sz w:val="18"/>
          <w:szCs w:val="18"/>
          <w:color w:val="auto"/>
        </w:rPr>
        <w:t>If your employment is terminated by reason of death or Disability (as defined in the Plan), your eligibility for payment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Shares is governed by the terms of the Plan. If your employment is terminated for any other reason, any Performance Shares that are not paid and vested will be forfeited.</w:t>
      </w:r>
    </w:p>
    <w:p>
      <w:pPr>
        <w:spacing w:after="0" w:line="51" w:lineRule="exact"/>
        <w:rPr>
          <w:rFonts w:ascii="Arial" w:cs="Arial" w:eastAsia="Arial" w:hAnsi="Arial"/>
          <w:sz w:val="18"/>
          <w:szCs w:val="18"/>
          <w:color w:val="auto"/>
        </w:rPr>
      </w:pPr>
    </w:p>
    <w:p>
      <w:pPr>
        <w:ind w:left="452" w:hanging="452"/>
        <w:spacing w:after="0"/>
        <w:tabs>
          <w:tab w:leader="none" w:pos="452"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16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92"/>
          </w:cols>
          <w:pgMar w:left="248" w:top="274" w:right="25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Craig S. Donohue, certify that:</w:t>
      </w:r>
    </w:p>
    <w:p>
      <w:pPr>
        <w:spacing w:after="0" w:line="171" w:lineRule="exact"/>
        <w:rPr>
          <w:sz w:val="20"/>
          <w:szCs w:val="20"/>
          <w:color w:val="auto"/>
        </w:rPr>
      </w:pPr>
    </w:p>
    <w:p>
      <w:pPr>
        <w:ind w:left="640" w:hanging="176"/>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6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sz w:val="20"/>
          <w:szCs w:val="20"/>
          <w:color w:val="auto"/>
        </w:rPr>
      </w:pPr>
    </w:p>
    <w:p>
      <w:pPr>
        <w:ind w:firstLine="464"/>
        <w:spacing w:after="0" w:line="259" w:lineRule="auto"/>
        <w:tabs>
          <w:tab w:leader="none" w:pos="637"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0"/>
          <w:numId w:val="6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0"/>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85" w:lineRule="exact"/>
        <w:rPr>
          <w:sz w:val="20"/>
          <w:szCs w:val="20"/>
          <w:color w:val="auto"/>
        </w:rPr>
      </w:pPr>
    </w:p>
    <w:p>
      <w:pPr>
        <w:ind w:right="100" w:firstLine="464"/>
        <w:spacing w:after="0" w:line="268" w:lineRule="auto"/>
        <w:tabs>
          <w:tab w:leader="none" w:pos="637"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2011</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Craig S. Donohue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Craig S. Donohue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125"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James E. Parisi, certify that:</w:t>
      </w:r>
    </w:p>
    <w:p>
      <w:pPr>
        <w:spacing w:after="0" w:line="171" w:lineRule="exact"/>
        <w:rPr>
          <w:sz w:val="20"/>
          <w:szCs w:val="20"/>
          <w:color w:val="auto"/>
        </w:rPr>
      </w:pPr>
    </w:p>
    <w:p>
      <w:pPr>
        <w:ind w:left="640" w:hanging="17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7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7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sz w:val="20"/>
          <w:szCs w:val="20"/>
          <w:color w:val="auto"/>
        </w:rPr>
      </w:pPr>
    </w:p>
    <w:p>
      <w:pPr>
        <w:ind w:firstLine="464"/>
        <w:spacing w:after="0" w:line="259" w:lineRule="auto"/>
        <w:tabs>
          <w:tab w:leader="none" w:pos="637"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0"/>
          <w:numId w:val="7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85" w:lineRule="exact"/>
        <w:rPr>
          <w:sz w:val="20"/>
          <w:szCs w:val="20"/>
          <w:color w:val="auto"/>
        </w:rPr>
      </w:pPr>
    </w:p>
    <w:p>
      <w:pPr>
        <w:ind w:right="100" w:firstLine="464"/>
        <w:spacing w:after="0" w:line="268" w:lineRule="auto"/>
        <w:tabs>
          <w:tab w:leader="none" w:pos="637"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2011</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James E. Parisi</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125"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In connection with the Quarterly Report on Form 10-Q of CME Group Inc. (the “Company”) for the quarter ended June 30, 2011 as filed with the Securities and Exchange Commission on the date hereof (the “Report”), Craig S. Donohue, as Chief Executive Officer of the Company, and James E. Parisi, as Chief Financial Officer of the Company, each hereby certifies, pursuant to 18 U.S.C. § 1350, as adopted pursuant to § 906 of the Sarbanes-Oxley Act of 2002, that, to the best of his knowledge:</w:t>
      </w:r>
    </w:p>
    <w:p>
      <w:pPr>
        <w:spacing w:after="0" w:line="62" w:lineRule="exact"/>
        <w:rPr>
          <w:sz w:val="20"/>
          <w:szCs w:val="20"/>
          <w:color w:val="auto"/>
        </w:rPr>
      </w:pPr>
    </w:p>
    <w:p>
      <w:pPr>
        <w:ind w:left="1160" w:hanging="257"/>
        <w:spacing w:after="0"/>
        <w:tabs>
          <w:tab w:leader="none" w:pos="11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Craig S. Donohue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tab/>
        <w:t>Craig S. Donohue</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tab/>
        <w:t>James E. Parisi</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2011</w:t>
      </w:r>
    </w:p>
    <w:p>
      <w:pPr>
        <w:spacing w:after="0" w:line="17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lvl w:ilvl="1">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1)"/>
      <w:numFmt w:val="decimal"/>
      <w:start w:val="1"/>
    </w:lvl>
  </w:abstractNum>
  <w:abstractNum w:abstractNumId="6">
    <w:nsid w:val="153EA438"/>
    <w:multiLevelType w:val="hybridMultilevel"/>
    <w:lvl w:ilvl="0">
      <w:lvlJc w:val="left"/>
      <w:lvlText w:val="(%1)"/>
      <w:numFmt w:val="decimal"/>
      <w:start w:val="4"/>
    </w:lvl>
  </w:abstractNum>
  <w:abstractNum w:abstractNumId="7">
    <w:nsid w:val="3855585C"/>
    <w:multiLevelType w:val="hybridMultilevel"/>
    <w:lvl w:ilvl="0">
      <w:lvlJc w:val="left"/>
      <w:lvlText w:val="(%1)"/>
      <w:numFmt w:val="decimal"/>
      <w:start w:val="1"/>
    </w:lvl>
  </w:abstractNum>
  <w:abstractNum w:abstractNumId="8">
    <w:nsid w:val="70A64E2A"/>
    <w:multiLevelType w:val="hybridMultilevel"/>
    <w:lvl w:ilvl="0">
      <w:lvlJc w:val="left"/>
      <w:lvlText w:val="(%1)"/>
      <w:numFmt w:val="decimal"/>
      <w:start w:val="2"/>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1)"/>
      <w:numFmt w:val="decimal"/>
      <w:start w:val="1"/>
    </w:lvl>
  </w:abstractNum>
  <w:abstractNum w:abstractNumId="12">
    <w:nsid w:val="725A06FB"/>
    <w:multiLevelType w:val="hybridMultilevel"/>
    <w:lvl w:ilvl="0">
      <w:lvlJc w:val="left"/>
      <w:lvlText w:val="(%1)"/>
      <w:numFmt w:val="lowerLetter"/>
      <w:start w:val="1"/>
    </w:lvl>
  </w:abstractNum>
  <w:abstractNum w:abstractNumId="13">
    <w:nsid w:val="2CD89A32"/>
    <w:multiLevelType w:val="hybridMultilevel"/>
    <w:lvl w:ilvl="0">
      <w:lvlJc w:val="left"/>
      <w:lvlText w:val="%1)"/>
      <w:numFmt w:val="lowerLetter"/>
      <w:start w:val="2"/>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1)"/>
      <w:numFmt w:val="decimal"/>
      <w:start w:val="1"/>
    </w:lvl>
  </w:abstractNum>
  <w:abstractNum w:abstractNumId="16">
    <w:nsid w:val="4B588F54"/>
    <w:multiLevelType w:val="hybridMultilevel"/>
    <w:lvl w:ilvl="0">
      <w:lvlJc w:val="left"/>
      <w:lvlText w:val="%1."/>
      <w:numFmt w:val="decimal"/>
      <w:start w:val="1"/>
    </w:lvl>
  </w:abstractNum>
  <w:abstractNum w:abstractNumId="17">
    <w:nsid w:val="542289EC"/>
    <w:multiLevelType w:val="hybridMultilevel"/>
    <w:lvl w:ilvl="0">
      <w:lvlJc w:val="left"/>
      <w:lvlText w:val="%1."/>
      <w:numFmt w:val="decimal"/>
      <w:start w:val="1"/>
    </w:lvl>
    <w:lvl w:ilvl="1">
      <w:lvlJc w:val="left"/>
      <w:lvlText w:val="(%2)"/>
      <w:numFmt w:val="lowerRoman"/>
      <w:start w:val="2"/>
    </w:lvl>
  </w:abstractNum>
  <w:abstractNum w:abstractNumId="18">
    <w:nsid w:val="6DE91B18"/>
    <w:multiLevelType w:val="hybridMultilevel"/>
    <w:lvl w:ilvl="0">
      <w:lvlJc w:val="left"/>
      <w:lvlText w:val="%1"/>
      <w:numFmt w:val="decimal"/>
      <w:start w:val="1"/>
    </w:lvl>
    <w:lvl w:ilvl="1">
      <w:lvlJc w:val="left"/>
      <w:lvlText w:val="(%2)"/>
      <w:numFmt w:val="decimal"/>
      <w:start w:val="3"/>
    </w:lvl>
  </w:abstractNum>
  <w:abstractNum w:abstractNumId="19">
    <w:nsid w:val="38437FDB"/>
    <w:multiLevelType w:val="hybridMultilevel"/>
    <w:lvl w:ilvl="0">
      <w:lvlJc w:val="left"/>
      <w:lvlText w:val="%1."/>
      <w:numFmt w:val="decimal"/>
      <w:start w:val="6"/>
    </w:lvl>
    <w:lvl w:ilvl="1">
      <w:lvlJc w:val="left"/>
      <w:lvlText w:val="%2"/>
      <w:numFmt w:val="decimal"/>
      <w:start w:val="1"/>
    </w:lvl>
  </w:abstractNum>
  <w:abstractNum w:abstractNumId="20">
    <w:nsid w:val="7644A45C"/>
    <w:multiLevelType w:val="hybridMultilevel"/>
    <w:lvl w:ilvl="0">
      <w:lvlJc w:val="left"/>
      <w:lvlText w:val="(%1)"/>
      <w:numFmt w:val="lowerRoman"/>
      <w:start w:val="1"/>
    </w:lvl>
    <w:lvl w:ilvl="1">
      <w:lvlJc w:val="left"/>
      <w:lvlText w:val="(%2)"/>
      <w:numFmt w:val="decimal"/>
      <w:start w:val="1"/>
    </w:lvl>
  </w:abstractNum>
  <w:abstractNum w:abstractNumId="21">
    <w:nsid w:val="32FFF902"/>
    <w:multiLevelType w:val="hybridMultilevel"/>
    <w:lvl w:ilvl="0">
      <w:lvlJc w:val="left"/>
      <w:lvlText w:val="%1"/>
      <w:numFmt w:val="lowerRoman"/>
      <w:start w:val="1"/>
    </w:lvl>
    <w:lvl w:ilvl="1">
      <w:lvlJc w:val="left"/>
      <w:lvlText w:val="(%2)"/>
      <w:numFmt w:val="decimal"/>
      <w:start w:val="2"/>
    </w:lvl>
  </w:abstractNum>
  <w:abstractNum w:abstractNumId="22">
    <w:nsid w:val="684A481A"/>
    <w:multiLevelType w:val="hybridMultilevel"/>
    <w:lvl w:ilvl="0">
      <w:lvlJc w:val="left"/>
      <w:lvlText w:val="(%1)"/>
      <w:numFmt w:val="lowerRoman"/>
      <w:start w:val="2"/>
    </w:lvl>
    <w:lvl w:ilvl="1">
      <w:lvlJc w:val="left"/>
      <w:lvlText w:val="%2"/>
      <w:numFmt w:val="decimal"/>
      <w:start w:val="1"/>
    </w:lvl>
  </w:abstractNum>
  <w:abstractNum w:abstractNumId="23">
    <w:nsid w:val="579478FE"/>
    <w:multiLevelType w:val="hybridMultilevel"/>
    <w:lvl w:ilvl="0">
      <w:lvlJc w:val="left"/>
      <w:lvlText w:val="%1."/>
      <w:numFmt w:val="decimal"/>
      <w:start w:val="1"/>
    </w:lvl>
  </w:abstractNum>
  <w:abstractNum w:abstractNumId="24">
    <w:nsid w:val="749ABB43"/>
    <w:multiLevelType w:val="hybridMultilevel"/>
    <w:lvl w:ilvl="0">
      <w:lvlJc w:val="left"/>
      <w:lvlText w:val="%1."/>
      <w:numFmt w:val="decimal"/>
      <w:start w:val="2"/>
    </w:lvl>
    <w:lvl w:ilvl="1">
      <w:lvlJc w:val="left"/>
      <w:lvlText w:val="(%2)"/>
      <w:numFmt w:val="lowerLetter"/>
      <w:start w:val="1"/>
    </w:lvl>
  </w:abstractNum>
  <w:abstractNum w:abstractNumId="25">
    <w:nsid w:val="3DC240FB"/>
    <w:multiLevelType w:val="hybridMultilevel"/>
    <w:lvl w:ilvl="0">
      <w:lvlJc w:val="left"/>
      <w:lvlText w:val="(%1)"/>
      <w:numFmt w:val="lowerLetter"/>
      <w:start w:val="3"/>
    </w:lvl>
  </w:abstractNum>
  <w:abstractNum w:abstractNumId="26">
    <w:nsid w:val="1BA026FA"/>
    <w:multiLevelType w:val="hybridMultilevel"/>
    <w:lvl w:ilvl="0">
      <w:lvlJc w:val="left"/>
      <w:lvlText w:val="%1."/>
      <w:numFmt w:val="decimal"/>
      <w:start w:val="4"/>
    </w:lvl>
    <w:lvl w:ilvl="1">
      <w:lvlJc w:val="left"/>
      <w:lvlText w:val="(%2)"/>
      <w:numFmt w:val="lowerLetter"/>
      <w:start w:val="1"/>
    </w:lvl>
  </w:abstractNum>
  <w:abstractNum w:abstractNumId="27">
    <w:nsid w:val="79A1DEAA"/>
    <w:multiLevelType w:val="hybridMultilevel"/>
    <w:lvl w:ilvl="0">
      <w:lvlJc w:val="left"/>
      <w:lvlText w:val="(%1)"/>
      <w:numFmt w:val="lowerLetter"/>
      <w:start w:val="2"/>
    </w:lvl>
  </w:abstractNum>
  <w:abstractNum w:abstractNumId="28">
    <w:nsid w:val="75C6C33A"/>
    <w:multiLevelType w:val="hybridMultilevel"/>
    <w:lvl w:ilvl="0">
      <w:lvlJc w:val="left"/>
      <w:lvlText w:val="(%1)"/>
      <w:numFmt w:val="lowerLetter"/>
      <w:start w:val="3"/>
    </w:lvl>
    <w:lvl w:ilvl="1">
      <w:lvlJc w:val="left"/>
      <w:lvlText w:val="(%2)"/>
      <w:numFmt w:val="decimal"/>
      <w:start w:val="1"/>
    </w:lvl>
  </w:abstractNum>
  <w:abstractNum w:abstractNumId="29">
    <w:nsid w:val="12E685FB"/>
    <w:multiLevelType w:val="hybridMultilevel"/>
    <w:lvl w:ilvl="0">
      <w:lvlJc w:val="left"/>
      <w:lvlText w:val="(%1)"/>
      <w:numFmt w:val="lowerLetter"/>
      <w:start w:val="4"/>
    </w:lvl>
    <w:lvl w:ilvl="1">
      <w:lvlJc w:val="left"/>
      <w:lvlText w:val="(%2)"/>
      <w:numFmt w:val="decimal"/>
      <w:start w:val="1"/>
    </w:lvl>
  </w:abstractNum>
  <w:abstractNum w:abstractNumId="30">
    <w:nsid w:val="70C6A529"/>
    <w:multiLevelType w:val="hybridMultilevel"/>
    <w:lvl w:ilvl="0">
      <w:lvlJc w:val="left"/>
      <w:lvlText w:val="(%1)"/>
      <w:numFmt w:val="decimal"/>
      <w:start w:val="4"/>
    </w:lvl>
    <w:lvl w:ilvl="1">
      <w:lvlJc w:val="left"/>
      <w:lvlText w:val="%2"/>
      <w:numFmt w:val="lowerLetter"/>
      <w:start w:val="1"/>
    </w:lvl>
  </w:abstractNum>
  <w:abstractNum w:abstractNumId="31">
    <w:nsid w:val="520EEDD1"/>
    <w:multiLevelType w:val="hybridMultilevel"/>
    <w:lvl w:ilvl="0">
      <w:lvlJc w:val="left"/>
      <w:lvlText w:val="%1."/>
      <w:numFmt w:val="lowerLetter"/>
      <w:start w:val="2"/>
    </w:lvl>
  </w:abstractNum>
  <w:abstractNum w:abstractNumId="32">
    <w:nsid w:val="374A3FE6"/>
    <w:multiLevelType w:val="hybridMultilevel"/>
    <w:lvl w:ilvl="0">
      <w:lvlJc w:val="left"/>
      <w:lvlText w:val="(%1)"/>
      <w:numFmt w:val="lowerLetter"/>
      <w:start w:val="5"/>
    </w:lvl>
    <w:lvl w:ilvl="1">
      <w:lvlJc w:val="left"/>
      <w:lvlText w:val="(%2)"/>
      <w:numFmt w:val="decimal"/>
      <w:start w:val="1"/>
    </w:lvl>
  </w:abstractNum>
  <w:abstractNum w:abstractNumId="33">
    <w:nsid w:val="4F4EF005"/>
    <w:multiLevelType w:val="hybridMultilevel"/>
    <w:lvl w:ilvl="0">
      <w:lvlJc w:val="left"/>
      <w:lvlText w:val="(%1)"/>
      <w:numFmt w:val="decimal"/>
      <w:start w:val="3"/>
    </w:lvl>
    <w:lvl w:ilvl="1">
      <w:lvlJc w:val="left"/>
      <w:lvlText w:val="%2"/>
      <w:numFmt w:val="lowerLetter"/>
      <w:start w:val="1"/>
    </w:lvl>
  </w:abstractNum>
  <w:abstractNum w:abstractNumId="34">
    <w:nsid w:val="23F9C13C"/>
    <w:multiLevelType w:val="hybridMultilevel"/>
    <w:lvl w:ilvl="0">
      <w:lvlJc w:val="left"/>
      <w:lvlText w:val="%1."/>
      <w:numFmt w:val="lowerLetter"/>
      <w:start w:val="2"/>
    </w:lvl>
  </w:abstractNum>
  <w:abstractNum w:abstractNumId="35">
    <w:nsid w:val="649BB77C"/>
    <w:multiLevelType w:val="hybridMultilevel"/>
    <w:lvl w:ilvl="0">
      <w:lvlJc w:val="left"/>
      <w:lvlText w:val="(%1)"/>
      <w:numFmt w:val="lowerLetter"/>
      <w:start w:val="6"/>
    </w:lvl>
  </w:abstractNum>
  <w:abstractNum w:abstractNumId="36">
    <w:nsid w:val="275AC794"/>
    <w:multiLevelType w:val="hybridMultilevel"/>
    <w:lvl w:ilvl="0">
      <w:lvlJc w:val="left"/>
      <w:lvlText w:val="%1"/>
      <w:numFmt w:val="decimal"/>
      <w:start w:val="1"/>
    </w:lvl>
    <w:lvl w:ilvl="1">
      <w:lvlJc w:val="left"/>
      <w:lvlText w:val="(%2)"/>
      <w:numFmt w:val="lowerLetter"/>
      <w:start w:val="7"/>
    </w:lvl>
  </w:abstractNum>
  <w:abstractNum w:abstractNumId="37">
    <w:nsid w:val="39386575"/>
    <w:multiLevelType w:val="hybridMultilevel"/>
    <w:lvl w:ilvl="0">
      <w:lvlJc w:val="left"/>
      <w:lvlText w:val="%1."/>
      <w:numFmt w:val="decimal"/>
      <w:start w:val="7"/>
    </w:lvl>
    <w:lvl w:ilvl="1">
      <w:lvlJc w:val="left"/>
      <w:lvlText w:val="%2"/>
      <w:numFmt w:val="lowerLetter"/>
      <w:start w:val="1"/>
    </w:lvl>
  </w:abstractNum>
  <w:abstractNum w:abstractNumId="38">
    <w:nsid w:val="1CF10FD8"/>
    <w:multiLevelType w:val="hybridMultilevel"/>
    <w:lvl w:ilvl="0">
      <w:lvlJc w:val="left"/>
      <w:lvlText w:val="(%1)"/>
      <w:numFmt w:val="lowerLetter"/>
      <w:start w:val="1"/>
    </w:lvl>
  </w:abstractNum>
  <w:abstractNum w:abstractNumId="39">
    <w:nsid w:val="180115BE"/>
    <w:multiLevelType w:val="hybridMultilevel"/>
    <w:lvl w:ilvl="0">
      <w:lvlJc w:val="left"/>
      <w:lvlText w:val="%1"/>
      <w:numFmt w:val="decimal"/>
      <w:start w:val="1"/>
    </w:lvl>
    <w:lvl w:ilvl="1">
      <w:lvlJc w:val="left"/>
      <w:lvlText w:val="(%2)"/>
      <w:numFmt w:val="lowerLetter"/>
      <w:start w:val="3"/>
    </w:lvl>
  </w:abstractNum>
  <w:abstractNum w:abstractNumId="40">
    <w:nsid w:val="235BA861"/>
    <w:multiLevelType w:val="hybridMultilevel"/>
    <w:lvl w:ilvl="0">
      <w:lvlJc w:val="left"/>
      <w:lvlText w:val="%1."/>
      <w:numFmt w:val="decimal"/>
      <w:start w:val="8"/>
    </w:lvl>
    <w:lvl w:ilvl="1">
      <w:lvlJc w:val="left"/>
      <w:lvlText w:val="(%2)"/>
      <w:numFmt w:val="lowerLetter"/>
      <w:start w:val="1"/>
    </w:lvl>
  </w:abstractNum>
  <w:abstractNum w:abstractNumId="41">
    <w:nsid w:val="47398C89"/>
    <w:multiLevelType w:val="hybridMultilevel"/>
    <w:lvl w:ilvl="0">
      <w:lvlJc w:val="left"/>
      <w:lvlText w:val="%1."/>
      <w:numFmt w:val="decimal"/>
      <w:start w:val="10"/>
    </w:lvl>
    <w:lvl w:ilvl="1">
      <w:lvlJc w:val="left"/>
      <w:lvlText w:val="(%2)"/>
      <w:numFmt w:val="lowerLetter"/>
      <w:start w:val="1"/>
    </w:lvl>
  </w:abstractNum>
  <w:abstractNum w:abstractNumId="42">
    <w:nsid w:val="354FE9F9"/>
    <w:multiLevelType w:val="hybridMultilevel"/>
    <w:lvl w:ilvl="0">
      <w:lvlJc w:val="left"/>
      <w:lvlText w:val="%1"/>
      <w:numFmt w:val="decimal"/>
      <w:start w:val="1"/>
    </w:lvl>
    <w:lvl w:ilvl="1">
      <w:lvlJc w:val="left"/>
      <w:lvlText w:val="(%2)"/>
      <w:numFmt w:val="lowerLetter"/>
      <w:start w:val="2"/>
    </w:lvl>
  </w:abstractNum>
  <w:abstractNum w:abstractNumId="43">
    <w:nsid w:val="15B5AF5C"/>
    <w:multiLevelType w:val="hybridMultilevel"/>
    <w:lvl w:ilvl="0">
      <w:lvlJc w:val="left"/>
      <w:lvlText w:val="%1."/>
      <w:numFmt w:val="decimal"/>
      <w:start w:val="14"/>
    </w:lvl>
    <w:lvl w:ilvl="1">
      <w:lvlJc w:val="left"/>
      <w:lvlText w:val="%2"/>
      <w:numFmt w:val="lowerLetter"/>
      <w:start w:val="1"/>
    </w:lvl>
  </w:abstractNum>
  <w:abstractNum w:abstractNumId="44">
    <w:nsid w:val="741226BB"/>
    <w:multiLevelType w:val="hybridMultilevel"/>
    <w:lvl w:ilvl="0">
      <w:lvlJc w:val="left"/>
      <w:lvlText w:val="%1"/>
      <w:numFmt w:val="decimal"/>
      <w:start w:val="1"/>
    </w:lvl>
    <w:lvl w:ilvl="1">
      <w:lvlJc w:val="left"/>
      <w:lvlText w:val="(%2)"/>
      <w:numFmt w:val="decimal"/>
      <w:start w:val="312"/>
    </w:lvl>
  </w:abstractNum>
  <w:abstractNum w:abstractNumId="45">
    <w:nsid w:val="D34B6A8"/>
    <w:multiLevelType w:val="hybridMultilevel"/>
    <w:lvl w:ilvl="0">
      <w:lvlJc w:val="left"/>
      <w:lvlText w:val="%1."/>
      <w:numFmt w:val="decimal"/>
      <w:start w:val="15"/>
    </w:lvl>
    <w:lvl w:ilvl="1">
      <w:lvlJc w:val="left"/>
      <w:lvlText w:val="%2"/>
      <w:numFmt w:val="decimal"/>
      <w:start w:val="1"/>
    </w:lvl>
  </w:abstractNum>
  <w:abstractNum w:abstractNumId="46">
    <w:nsid w:val="10233C99"/>
    <w:multiLevelType w:val="hybridMultilevel"/>
    <w:lvl w:ilvl="0">
      <w:lvlJc w:val="left"/>
      <w:lvlText w:val="%1."/>
      <w:numFmt w:val="decimal"/>
      <w:start w:val="17"/>
    </w:lvl>
  </w:abstractNum>
  <w:abstractNum w:abstractNumId="47">
    <w:nsid w:val="3F6AB60F"/>
    <w:multiLevelType w:val="hybridMultilevel"/>
    <w:lvl w:ilvl="0">
      <w:lvlJc w:val="left"/>
      <w:lvlText w:val="%1."/>
      <w:numFmt w:val="decimal"/>
      <w:start w:val="1"/>
    </w:lvl>
  </w:abstractNum>
  <w:abstractNum w:abstractNumId="48">
    <w:nsid w:val="61574095"/>
    <w:multiLevelType w:val="hybridMultilevel"/>
    <w:lvl w:ilvl="0">
      <w:lvlJc w:val="left"/>
      <w:lvlText w:val="•"/>
      <w:numFmt w:val="bullet"/>
      <w:start w:val="1"/>
    </w:lvl>
  </w:abstractNum>
  <w:abstractNum w:abstractNumId="49">
    <w:nsid w:val="7E0C57B1"/>
    <w:multiLevelType w:val="hybridMultilevel"/>
    <w:lvl w:ilvl="0">
      <w:lvlJc w:val="left"/>
      <w:lvlText w:val="%1."/>
      <w:numFmt w:val="decimal"/>
      <w:start w:val="1"/>
    </w:lvl>
    <w:lvl w:ilvl="1">
      <w:lvlJc w:val="left"/>
      <w:lvlText w:val="•"/>
      <w:numFmt w:val="bullet"/>
      <w:start w:val="1"/>
    </w:lvl>
  </w:abstractNum>
  <w:abstractNum w:abstractNumId="50">
    <w:nsid w:val="77AE35EB"/>
    <w:multiLevelType w:val="hybridMultilevel"/>
    <w:lvl w:ilvl="0">
      <w:lvlJc w:val="left"/>
      <w:lvlText w:val="%1."/>
      <w:numFmt w:val="decimal"/>
      <w:start w:val="1"/>
    </w:lvl>
    <w:lvl w:ilvl="1">
      <w:lvlJc w:val="left"/>
      <w:lvlText w:val="(%2)"/>
      <w:numFmt w:val="lowerRoman"/>
      <w:start w:val="2"/>
    </w:lvl>
  </w:abstractNum>
  <w:abstractNum w:abstractNumId="51">
    <w:nsid w:val="579BE4F1"/>
    <w:multiLevelType w:val="hybridMultilevel"/>
    <w:lvl w:ilvl="0">
      <w:lvlJc w:val="left"/>
      <w:lvlText w:val="%1"/>
      <w:numFmt w:val="decimal"/>
      <w:start w:val="1"/>
    </w:lvl>
    <w:lvl w:ilvl="1">
      <w:lvlJc w:val="left"/>
      <w:lvlText w:val="(%2)"/>
      <w:numFmt w:val="decimal"/>
      <w:start w:val="3"/>
    </w:lvl>
  </w:abstractNum>
  <w:abstractNum w:abstractNumId="52">
    <w:nsid w:val="310C50B3"/>
    <w:multiLevelType w:val="hybridMultilevel"/>
    <w:lvl w:ilvl="0">
      <w:lvlJc w:val="left"/>
      <w:lvlText w:val="%1."/>
      <w:numFmt w:val="decimal"/>
      <w:start w:val="6"/>
    </w:lvl>
    <w:lvl w:ilvl="1">
      <w:lvlJc w:val="left"/>
      <w:lvlText w:val="%2"/>
      <w:numFmt w:val="decimal"/>
      <w:start w:val="1"/>
    </w:lvl>
  </w:abstractNum>
  <w:abstractNum w:abstractNumId="53">
    <w:nsid w:val="5FF87E05"/>
    <w:multiLevelType w:val="hybridMultilevel"/>
    <w:lvl w:ilvl="0">
      <w:lvlJc w:val="left"/>
      <w:lvlText w:val="(%1)"/>
      <w:numFmt w:val="lowerRoman"/>
      <w:start w:val="1"/>
    </w:lvl>
    <w:lvl w:ilvl="1">
      <w:lvlJc w:val="left"/>
      <w:lvlText w:val="(%2)"/>
      <w:numFmt w:val="decimal"/>
      <w:start w:val="1"/>
    </w:lvl>
  </w:abstractNum>
  <w:abstractNum w:abstractNumId="54">
    <w:nsid w:val="2F305DEF"/>
    <w:multiLevelType w:val="hybridMultilevel"/>
    <w:lvl w:ilvl="0">
      <w:lvlJc w:val="left"/>
      <w:lvlText w:val="%1"/>
      <w:numFmt w:val="lowerRoman"/>
      <w:start w:val="1"/>
    </w:lvl>
    <w:lvl w:ilvl="1">
      <w:lvlJc w:val="left"/>
      <w:lvlText w:val="(%2)"/>
      <w:numFmt w:val="decimal"/>
      <w:start w:val="2"/>
    </w:lvl>
  </w:abstractNum>
  <w:abstractNum w:abstractNumId="55">
    <w:nsid w:val="25A70BF7"/>
    <w:multiLevelType w:val="hybridMultilevel"/>
    <w:lvl w:ilvl="0">
      <w:lvlJc w:val="left"/>
      <w:lvlText w:val="(%1)"/>
      <w:numFmt w:val="lowerRoman"/>
      <w:start w:val="2"/>
    </w:lvl>
    <w:lvl w:ilvl="1">
      <w:lvlJc w:val="left"/>
      <w:lvlText w:val="%2"/>
      <w:numFmt w:val="decimal"/>
      <w:start w:val="1"/>
    </w:lvl>
  </w:abstractNum>
  <w:abstractNum w:abstractNumId="56">
    <w:nsid w:val="1DBABF00"/>
    <w:multiLevelType w:val="hybridMultilevel"/>
    <w:lvl w:ilvl="0">
      <w:lvlJc w:val="left"/>
      <w:lvlText w:val="(%1)"/>
      <w:numFmt w:val="lowerRoman"/>
      <w:start w:val="10"/>
    </w:lvl>
  </w:abstractNum>
  <w:abstractNum w:abstractNumId="57">
    <w:nsid w:val="4AD084E9"/>
    <w:multiLevelType w:val="hybridMultilevel"/>
    <w:lvl w:ilvl="0">
      <w:lvlJc w:val="left"/>
      <w:lvlText w:val="%1."/>
      <w:numFmt w:val="decimal"/>
      <w:start w:val="1"/>
    </w:lvl>
    <w:lvl w:ilvl="1">
      <w:lvlJc w:val="left"/>
      <w:lvlText w:val="(%2)"/>
      <w:numFmt w:val="lowerLetter"/>
      <w:start w:val="3"/>
    </w:lvl>
  </w:abstractNum>
  <w:abstractNum w:abstractNumId="58">
    <w:nsid w:val="1F48EAA1"/>
    <w:multiLevelType w:val="hybridMultilevel"/>
    <w:lvl w:ilvl="0">
      <w:lvlJc w:val="left"/>
      <w:lvlText w:val="%1."/>
      <w:numFmt w:val="decimal"/>
      <w:start w:val="1"/>
    </w:lvl>
    <w:lvl w:ilvl="1">
      <w:lvlJc w:val="left"/>
      <w:lvlText w:val="(%2)"/>
      <w:numFmt w:val="lowerLetter"/>
      <w:start w:val="3"/>
    </w:lvl>
  </w:abstractNum>
  <w:abstractNum w:abstractNumId="59">
    <w:nsid w:val="1381823A"/>
    <w:multiLevelType w:val="hybridMultilevel"/>
    <w:lvl w:ilvl="0">
      <w:lvlJc w:val="left"/>
      <w:lvlText w:val="%1."/>
      <w:numFmt w:val="decimal"/>
      <w:start w:val="1"/>
    </w:lvl>
    <w:lvl w:ilvl="1">
      <w:lvlJc w:val="left"/>
      <w:lvlText w:val="%2."/>
      <w:numFmt w:val="lowerLetter"/>
      <w:start w:val="1"/>
    </w:lvl>
  </w:abstractNum>
  <w:abstractNum w:abstractNumId="60">
    <w:nsid w:val="5DB70AE5"/>
    <w:multiLevelType w:val="hybridMultilevel"/>
    <w:lvl w:ilvl="0">
      <w:lvlJc w:val="left"/>
      <w:lvlText w:val="%1."/>
      <w:numFmt w:val="lowerLetter"/>
      <w:start w:val="4"/>
    </w:lvl>
  </w:abstractNum>
  <w:abstractNum w:abstractNumId="61">
    <w:nsid w:val="100F8FCA"/>
    <w:multiLevelType w:val="hybridMultilevel"/>
    <w:lvl w:ilvl="0">
      <w:lvlJc w:val="left"/>
      <w:lvlText w:val="%1."/>
      <w:numFmt w:val="decimal"/>
      <w:start w:val="2"/>
    </w:lvl>
  </w:abstractNum>
  <w:abstractNum w:abstractNumId="62">
    <w:nsid w:val="6590700B"/>
    <w:multiLevelType w:val="hybridMultilevel"/>
    <w:lvl w:ilvl="0">
      <w:lvlJc w:val="left"/>
      <w:lvlText w:val="%1."/>
      <w:numFmt w:val="decimal"/>
      <w:start w:val="3"/>
    </w:lvl>
  </w:abstractNum>
  <w:abstractNum w:abstractNumId="63">
    <w:nsid w:val="15014ACB"/>
    <w:multiLevelType w:val="hybridMultilevel"/>
    <w:lvl w:ilvl="0">
      <w:lvlJc w:val="left"/>
      <w:lvlText w:val="%1."/>
      <w:numFmt w:val="decimal"/>
      <w:start w:val="1"/>
    </w:lvl>
    <w:lvl w:ilvl="1">
      <w:lvlJc w:val="left"/>
      <w:lvlText w:val="%2."/>
      <w:numFmt w:val="lowerLetter"/>
      <w:start w:val="1"/>
    </w:lvl>
  </w:abstractNum>
  <w:abstractNum w:abstractNumId="64">
    <w:nsid w:val="5F5E7FD0"/>
    <w:multiLevelType w:val="hybridMultilevel"/>
    <w:lvl w:ilvl="0">
      <w:lvlJc w:val="left"/>
      <w:lvlText w:val="%1."/>
      <w:numFmt w:val="lowerLetter"/>
      <w:start w:val="2"/>
    </w:lvl>
  </w:abstractNum>
  <w:abstractNum w:abstractNumId="65">
    <w:nsid w:val="98A3148"/>
    <w:multiLevelType w:val="hybridMultilevel"/>
    <w:lvl w:ilvl="0">
      <w:lvlJc w:val="left"/>
      <w:lvlText w:val="%1."/>
      <w:numFmt w:val="decimal"/>
      <w:start w:val="2"/>
    </w:lvl>
  </w:abstractNum>
  <w:abstractNum w:abstractNumId="66">
    <w:nsid w:val="799D0247"/>
    <w:multiLevelType w:val="hybridMultilevel"/>
    <w:lvl w:ilvl="0">
      <w:lvlJc w:val="left"/>
      <w:lvlText w:val="%1."/>
      <w:numFmt w:val="decimal"/>
      <w:start w:val="1"/>
    </w:lvl>
  </w:abstractNum>
  <w:abstractNum w:abstractNumId="67">
    <w:nsid w:val="6B94764"/>
    <w:multiLevelType w:val="hybridMultilevel"/>
    <w:lvl w:ilvl="0">
      <w:lvlJc w:val="left"/>
      <w:lvlText w:val="%1)"/>
      <w:numFmt w:val="lowerLetter"/>
      <w:start w:val="1"/>
    </w:lvl>
  </w:abstractNum>
  <w:abstractNum w:abstractNumId="68">
    <w:nsid w:val="42C296BD"/>
    <w:multiLevelType w:val="hybridMultilevel"/>
    <w:lvl w:ilvl="0">
      <w:lvlJc w:val="left"/>
      <w:lvlText w:val="%1."/>
      <w:numFmt w:val="decimal"/>
      <w:start w:val="5"/>
    </w:lvl>
  </w:abstractNum>
  <w:abstractNum w:abstractNumId="69">
    <w:nsid w:val="168E121F"/>
    <w:multiLevelType w:val="hybridMultilevel"/>
    <w:lvl w:ilvl="0">
      <w:lvlJc w:val="left"/>
      <w:lvlText w:val="%1)"/>
      <w:numFmt w:val="lowerLetter"/>
      <w:start w:val="1"/>
    </w:lvl>
  </w:abstractNum>
  <w:abstractNum w:abstractNumId="70">
    <w:nsid w:val="1EBA5D23"/>
    <w:multiLevelType w:val="hybridMultilevel"/>
    <w:lvl w:ilvl="0">
      <w:lvlJc w:val="left"/>
      <w:lvlText w:val="%1."/>
      <w:numFmt w:val="decimal"/>
      <w:start w:val="1"/>
    </w:lvl>
  </w:abstractNum>
  <w:abstractNum w:abstractNumId="71">
    <w:nsid w:val="661E3F1E"/>
    <w:multiLevelType w:val="hybridMultilevel"/>
    <w:lvl w:ilvl="0">
      <w:lvlJc w:val="left"/>
      <w:lvlText w:val="%1)"/>
      <w:numFmt w:val="lowerLetter"/>
      <w:start w:val="1"/>
    </w:lvl>
  </w:abstractNum>
  <w:abstractNum w:abstractNumId="72">
    <w:nsid w:val="5DC79EA8"/>
    <w:multiLevelType w:val="hybridMultilevel"/>
    <w:lvl w:ilvl="0">
      <w:lvlJc w:val="left"/>
      <w:lvlText w:val="%1."/>
      <w:numFmt w:val="decimal"/>
      <w:start w:val="5"/>
    </w:lvl>
  </w:abstractNum>
  <w:abstractNum w:abstractNumId="73">
    <w:nsid w:val="540A471C"/>
    <w:multiLevelType w:val="hybridMultilevel"/>
    <w:lvl w:ilvl="0">
      <w:lvlJc w:val="left"/>
      <w:lvlText w:val="%1)"/>
      <w:numFmt w:val="lowerLetter"/>
      <w:start w:val="1"/>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2019-12-10T20:43:33Z</dcterms:created>
  <dcterms:modified xsi:type="dcterms:W3CDTF">2019-12-10T20:43:33Z</dcterms:modified>
</cp:coreProperties>
</file>