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FALIS MELVYN J</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NYMEX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NMX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ONE NORTH END AVENUE</w:t>
            </w:r>
          </w:p>
        </w:tc>
        <w:tc>
          <w:tcPr>
            <w:tcW w:w="1200" w:type="dxa"/>
            <w:vAlign w:val="bottom"/>
          </w:tcPr>
          <w:p>
            <w:pPr>
              <w:spacing w:after="0"/>
              <w:rPr>
                <w:sz w:val="19"/>
                <w:szCs w:val="19"/>
                <w:color w:val="auto"/>
              </w:rPr>
            </w:pPr>
          </w:p>
        </w:tc>
        <w:tc>
          <w:tcPr>
            <w:tcW w:w="1660" w:type="dxa"/>
            <w:vAlign w:val="bottom"/>
            <w:gridSpan w:val="5"/>
          </w:tcPr>
          <w:p>
            <w:pPr>
              <w:ind w:left="240"/>
              <w:spacing w:after="0"/>
              <w:rPr>
                <w:sz w:val="20"/>
                <w:szCs w:val="20"/>
                <w:color w:val="auto"/>
              </w:rPr>
            </w:pPr>
            <w:r>
              <w:rPr>
                <w:rFonts w:ascii="Arial" w:cs="Arial" w:eastAsia="Arial" w:hAnsi="Arial"/>
                <w:sz w:val="18"/>
                <w:szCs w:val="18"/>
                <w:color w:val="0000FF"/>
              </w:rPr>
              <w:t>08/22/2008</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WORLD FINANCIAL CENTER</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10282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8"/>
          </w:tcPr>
          <w:p>
            <w:pPr>
              <w:ind w:left="5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5"/>
          </w:tcPr>
          <w:p>
            <w:pPr>
              <w:jc w:val="center"/>
              <w:ind w:left="630"/>
              <w:spacing w:after="0"/>
              <w:rPr>
                <w:sz w:val="20"/>
                <w:szCs w:val="20"/>
                <w:color w:val="auto"/>
              </w:rPr>
            </w:pPr>
            <w:r>
              <w:rPr>
                <w:rFonts w:ascii="Arial" w:cs="Arial" w:eastAsia="Arial" w:hAnsi="Arial"/>
                <w:sz w:val="18"/>
                <w:szCs w:val="18"/>
                <w:color w:val="0000FF"/>
                <w:w w:val="88"/>
              </w:rPr>
              <w:t>08/22/2008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1,262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4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8"/>
                <w:szCs w:val="18"/>
                <w:color w:val="0000FF"/>
              </w:rPr>
              <w:t>1,262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5"/>
          </w:tcPr>
          <w:p>
            <w:pPr>
              <w:jc w:val="center"/>
              <w:ind w:left="630"/>
              <w:spacing w:after="0"/>
              <w:rPr>
                <w:sz w:val="20"/>
                <w:szCs w:val="20"/>
                <w:color w:val="auto"/>
              </w:rPr>
            </w:pPr>
            <w:r>
              <w:rPr>
                <w:rFonts w:ascii="Arial" w:cs="Arial" w:eastAsia="Arial" w:hAnsi="Arial"/>
                <w:sz w:val="18"/>
                <w:szCs w:val="18"/>
                <w:color w:val="0000FF"/>
                <w:w w:val="88"/>
              </w:rPr>
              <w:t>08/22/2008</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1,262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(4)</w:t>
            </w:r>
          </w:p>
        </w:tc>
        <w:tc>
          <w:tcPr>
            <w:tcW w:w="1240" w:type="dxa"/>
            <w:vAlign w:val="bottom"/>
            <w:tcBorders>
              <w:bottom w:val="single" w:sz="8" w:color="2C2C2C"/>
            </w:tcBorders>
            <w:gridSpan w:val="2"/>
          </w:tcPr>
          <w:p>
            <w:pPr>
              <w:jc w:val="right"/>
              <w:ind w:right="539"/>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8"/>
          </w:tcPr>
          <w:p>
            <w:pPr>
              <w:ind w:left="7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1,262</w:t>
            </w:r>
          </w:p>
        </w:tc>
        <w:tc>
          <w:tcPr>
            <w:tcW w:w="18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08/22/2008</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0000FF"/>
              </w:rPr>
              <w:t>1,262</w:t>
            </w:r>
          </w:p>
        </w:tc>
        <w:tc>
          <w:tcPr>
            <w:tcW w:w="68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deferred stock unit represents a contingent right to receive one share of NYMEX Holdings, Inc.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accelerated vesting of the deferred stock units is due to the consummation of the transaction between CME Group Inc., CMEG NY Inc., NYMEX Holdings, Inc. and New York Mercantile Exchange,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by and among CME Group Inc., CMEG NY Inc., NYMEX Holdings, Inc. and New York Mercantile Exchange, Inc. at an exchange ratio of 0.2378 shares of CME Group Inc. Class A common stock for each share of NYMEX Holdings, Inc. common stock.</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/s/Melvyn Falis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08/27/2008</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879"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2019-12-17T14:06:25Z</dcterms:created>
  <dcterms:modified xsi:type="dcterms:W3CDTF">2019-12-17T14:06:25Z</dcterms:modified>
</cp:coreProperties>
</file>