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2023 (February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CME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2820" w:type="dxa"/>
            <w:vAlign w:val="bottom"/>
          </w:tcPr>
          <w:p>
            <w:pPr>
              <w:jc w:val="center"/>
              <w:ind w:left="819"/>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001-31553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00" w:type="dxa"/>
            <w:vAlign w:val="bottom"/>
          </w:tcPr>
          <w:p>
            <w:pPr>
              <w:jc w:val="center"/>
              <w:ind w:right="761"/>
              <w:spacing w:after="0"/>
              <w:rPr>
                <w:sz w:val="20"/>
                <w:szCs w:val="20"/>
                <w:color w:val="auto"/>
              </w:rPr>
            </w:pPr>
            <w:r>
              <w:rPr>
                <w:rFonts w:ascii="Arial" w:cs="Arial" w:eastAsia="Arial" w:hAnsi="Arial"/>
                <w:sz w:val="18"/>
                <w:szCs w:val="18"/>
                <w:b w:val="1"/>
                <w:bCs w:val="1"/>
                <w:color w:val="auto"/>
                <w:w w:val="89"/>
              </w:rPr>
              <w:t>36-4459170</w:t>
            </w:r>
          </w:p>
        </w:tc>
        <w:tc>
          <w:tcPr>
            <w:tcW w:w="0" w:type="dxa"/>
            <w:vAlign w:val="bottom"/>
          </w:tcPr>
          <w:p>
            <w:pPr>
              <w:spacing w:after="0"/>
              <w:rPr>
                <w:sz w:val="1"/>
                <w:szCs w:val="1"/>
                <w:color w:val="auto"/>
              </w:rPr>
            </w:pPr>
          </w:p>
        </w:tc>
      </w:tr>
      <w:tr>
        <w:trPr>
          <w:trHeight w:val="148"/>
        </w:trPr>
        <w:tc>
          <w:tcPr>
            <w:tcW w:w="2820" w:type="dxa"/>
            <w:vAlign w:val="bottom"/>
          </w:tcPr>
          <w:p>
            <w:pPr>
              <w:jc w:val="center"/>
              <w:ind w:left="8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80" w:type="dxa"/>
            <w:vAlign w:val="bottom"/>
            <w:gridSpan w:val="4"/>
          </w:tcPr>
          <w:p>
            <w:pPr>
              <w:jc w:val="center"/>
              <w:ind w:right="2020"/>
              <w:spacing w:after="0" w:line="149" w:lineRule="exact"/>
              <w:rPr>
                <w:sz w:val="20"/>
                <w:szCs w:val="20"/>
                <w:color w:val="auto"/>
              </w:rPr>
            </w:pPr>
            <w:r>
              <w:rPr>
                <w:rFonts w:ascii="Arial" w:cs="Arial" w:eastAsia="Arial" w:hAnsi="Arial"/>
                <w:sz w:val="14"/>
                <w:szCs w:val="14"/>
                <w:b w:val="1"/>
                <w:bCs w:val="1"/>
                <w:color w:val="auto"/>
                <w:w w:val="90"/>
              </w:rPr>
              <w:t>(Commission</w:t>
            </w:r>
          </w:p>
        </w:tc>
        <w:tc>
          <w:tcPr>
            <w:tcW w:w="2700" w:type="dxa"/>
            <w:vAlign w:val="bottom"/>
          </w:tcPr>
          <w:p>
            <w:pPr>
              <w:jc w:val="center"/>
              <w:ind w:right="761"/>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2820" w:type="dxa"/>
            <w:vAlign w:val="bottom"/>
          </w:tcPr>
          <w:p>
            <w:pPr>
              <w:jc w:val="center"/>
              <w:ind w:left="839"/>
              <w:spacing w:after="0"/>
              <w:rPr>
                <w:sz w:val="20"/>
                <w:szCs w:val="20"/>
                <w:color w:val="auto"/>
              </w:rPr>
            </w:pPr>
            <w:r>
              <w:rPr>
                <w:rFonts w:ascii="Arial" w:cs="Arial" w:eastAsia="Arial" w:hAnsi="Arial"/>
                <w:sz w:val="14"/>
                <w:szCs w:val="14"/>
                <w:b w:val="1"/>
                <w:bCs w:val="1"/>
                <w:color w:val="auto"/>
                <w:w w:val="94"/>
              </w:rPr>
              <w:t>of Incorporation)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4"/>
              </w:rPr>
              <w:t>File No.)</w:t>
            </w:r>
          </w:p>
        </w:tc>
        <w:tc>
          <w:tcPr>
            <w:tcW w:w="2700" w:type="dxa"/>
            <w:vAlign w:val="bottom"/>
          </w:tcPr>
          <w:p>
            <w:pPr>
              <w:jc w:val="center"/>
              <w:ind w:right="7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08"/>
        </w:trPr>
        <w:tc>
          <w:tcPr>
            <w:tcW w:w="2820" w:type="dxa"/>
            <w:vAlign w:val="bottom"/>
          </w:tcPr>
          <w:p>
            <w:pPr>
              <w:jc w:val="center"/>
              <w:ind w:left="59"/>
              <w:spacing w:after="0"/>
              <w:rPr>
                <w:sz w:val="20"/>
                <w:szCs w:val="20"/>
                <w:color w:val="auto"/>
              </w:rPr>
            </w:pPr>
            <w:r>
              <w:rPr>
                <w:rFonts w:ascii="Arial" w:cs="Arial" w:eastAsia="Arial" w:hAnsi="Arial"/>
                <w:sz w:val="18"/>
                <w:szCs w:val="18"/>
                <w:b w:val="1"/>
                <w:bCs w:val="1"/>
                <w:color w:val="auto"/>
                <w:w w:val="92"/>
              </w:rPr>
              <w:t>20 South Wacker Drive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Chicago</w:t>
            </w:r>
          </w:p>
        </w:tc>
        <w:tc>
          <w:tcPr>
            <w:tcW w:w="1720" w:type="dxa"/>
            <w:vAlign w:val="bottom"/>
          </w:tcPr>
          <w:p>
            <w:pPr>
              <w:spacing w:after="0"/>
              <w:rPr>
                <w:sz w:val="24"/>
                <w:szCs w:val="24"/>
                <w:color w:val="auto"/>
              </w:rPr>
            </w:pPr>
          </w:p>
        </w:tc>
        <w:tc>
          <w:tcPr>
            <w:tcW w:w="1660" w:type="dxa"/>
            <w:vAlign w:val="bottom"/>
            <w:gridSpan w:val="3"/>
          </w:tcPr>
          <w:p>
            <w:pPr>
              <w:ind w:left="240"/>
              <w:spacing w:after="0"/>
              <w:rPr>
                <w:sz w:val="20"/>
                <w:szCs w:val="20"/>
                <w:color w:val="auto"/>
              </w:rPr>
            </w:pPr>
            <w:r>
              <w:rPr>
                <w:rFonts w:ascii="Arial" w:cs="Arial" w:eastAsia="Arial" w:hAnsi="Arial"/>
                <w:sz w:val="18"/>
                <w:szCs w:val="18"/>
                <w:b w:val="1"/>
                <w:bCs w:val="1"/>
                <w:color w:val="auto"/>
              </w:rPr>
              <w:t>Illinois</w:t>
            </w:r>
          </w:p>
        </w:tc>
        <w:tc>
          <w:tcPr>
            <w:tcW w:w="2700" w:type="dxa"/>
            <w:vAlign w:val="bottom"/>
          </w:tcPr>
          <w:p>
            <w:pPr>
              <w:jc w:val="right"/>
              <w:ind w:right="861"/>
              <w:spacing w:after="0"/>
              <w:rPr>
                <w:sz w:val="20"/>
                <w:szCs w:val="20"/>
                <w:color w:val="auto"/>
              </w:rPr>
            </w:pPr>
            <w:r>
              <w:rPr>
                <w:rFonts w:ascii="Arial" w:cs="Arial" w:eastAsia="Arial" w:hAnsi="Arial"/>
                <w:sz w:val="18"/>
                <w:szCs w:val="18"/>
                <w:b w:val="1"/>
                <w:bCs w:val="1"/>
                <w:color w:val="auto"/>
              </w:rPr>
              <w:t>60606</w:t>
            </w:r>
          </w:p>
        </w:tc>
        <w:tc>
          <w:tcPr>
            <w:tcW w:w="0" w:type="dxa"/>
            <w:vAlign w:val="bottom"/>
          </w:tcPr>
          <w:p>
            <w:pPr>
              <w:spacing w:after="0"/>
              <w:rPr>
                <w:sz w:val="1"/>
                <w:szCs w:val="1"/>
                <w:color w:val="auto"/>
              </w:rPr>
            </w:pPr>
          </w:p>
        </w:tc>
      </w:tr>
      <w:tr>
        <w:trPr>
          <w:trHeight w:val="186"/>
        </w:trPr>
        <w:tc>
          <w:tcPr>
            <w:tcW w:w="2820" w:type="dxa"/>
            <w:vAlign w:val="bottom"/>
          </w:tcPr>
          <w:p>
            <w:pPr>
              <w:jc w:val="center"/>
              <w:ind w:left="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00" w:type="dxa"/>
            <w:vAlign w:val="bottom"/>
          </w:tcPr>
          <w:p>
            <w:pPr>
              <w:jc w:val="center"/>
              <w:ind w:left="3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77"/>
        </w:trPr>
        <w:tc>
          <w:tcPr>
            <w:tcW w:w="2820" w:type="dxa"/>
            <w:vAlign w:val="bottom"/>
          </w:tcPr>
          <w:p>
            <w:pPr>
              <w:spacing w:after="0"/>
              <w:rPr>
                <w:sz w:val="24"/>
                <w:szCs w:val="24"/>
                <w:color w:val="auto"/>
              </w:rPr>
            </w:pPr>
          </w:p>
        </w:tc>
        <w:tc>
          <w:tcPr>
            <w:tcW w:w="550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9"/>
              </w:rPr>
              <w:t>Registrant’s telephone number, including area code: (312) 930-1000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rPr>
              <w:t>N/A</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55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9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20" w:type="dxa"/>
            <w:vAlign w:val="bottom"/>
            <w:vMerge w:val="restart"/>
          </w:tcPr>
          <w:p>
            <w:pPr>
              <w:jc w:val="center"/>
              <w:ind w:left="819"/>
              <w:spacing w:after="0"/>
              <w:rPr>
                <w:sz w:val="20"/>
                <w:szCs w:val="20"/>
                <w:color w:val="auto"/>
              </w:rPr>
            </w:pPr>
            <w:r>
              <w:rPr>
                <w:rFonts w:ascii="Arial" w:cs="Arial" w:eastAsia="Arial" w:hAnsi="Arial"/>
                <w:sz w:val="14"/>
                <w:szCs w:val="14"/>
                <w:b w:val="1"/>
                <w:bCs w:val="1"/>
                <w:color w:val="auto"/>
                <w:w w:val="89"/>
              </w:rPr>
              <w:t>Title of each class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3"/>
              </w:rPr>
              <w:t>Trading</w:t>
            </w:r>
          </w:p>
        </w:tc>
        <w:tc>
          <w:tcPr>
            <w:tcW w:w="2700" w:type="dxa"/>
            <w:vAlign w:val="bottom"/>
          </w:tcPr>
          <w:p>
            <w:pPr>
              <w:jc w:val="center"/>
              <w:ind w:right="761"/>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28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89"/>
              </w:rPr>
              <w:t>symbol</w:t>
            </w:r>
          </w:p>
        </w:tc>
        <w:tc>
          <w:tcPr>
            <w:tcW w:w="2700" w:type="dxa"/>
            <w:vAlign w:val="bottom"/>
          </w:tcPr>
          <w:p>
            <w:pPr>
              <w:jc w:val="center"/>
              <w:ind w:right="761"/>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2820" w:type="dxa"/>
            <w:vAlign w:val="bottom"/>
            <w:tcBorders>
              <w:top w:val="single" w:sz="8" w:color="auto"/>
            </w:tcBorders>
          </w:tcPr>
          <w:p>
            <w:pPr>
              <w:jc w:val="center"/>
              <w:ind w:left="839"/>
              <w:spacing w:after="0"/>
              <w:rPr>
                <w:sz w:val="20"/>
                <w:szCs w:val="20"/>
                <w:color w:val="auto"/>
              </w:rPr>
            </w:pPr>
            <w:r>
              <w:rPr>
                <w:rFonts w:ascii="Arial" w:cs="Arial" w:eastAsia="Arial" w:hAnsi="Arial"/>
                <w:sz w:val="18"/>
                <w:szCs w:val="18"/>
                <w:color w:val="auto"/>
                <w:w w:val="91"/>
              </w:rPr>
              <w:t>Class A Common Stock</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2"/>
          </w:tcPr>
          <w:p>
            <w:pPr>
              <w:jc w:val="center"/>
              <w:ind w:right="990"/>
              <w:spacing w:after="0"/>
              <w:rPr>
                <w:sz w:val="20"/>
                <w:szCs w:val="20"/>
                <w:color w:val="auto"/>
              </w:rPr>
            </w:pPr>
            <w:r>
              <w:rPr>
                <w:rFonts w:ascii="Arial" w:cs="Arial" w:eastAsia="Arial" w:hAnsi="Arial"/>
                <w:sz w:val="18"/>
                <w:szCs w:val="18"/>
                <w:color w:val="auto"/>
                <w:w w:val="99"/>
              </w:rPr>
              <w:t>CME</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jc w:val="center"/>
              <w:ind w:right="761"/>
              <w:spacing w:after="0"/>
              <w:rPr>
                <w:sz w:val="20"/>
                <w:szCs w:val="20"/>
                <w:color w:val="auto"/>
              </w:rPr>
            </w:pPr>
            <w:r>
              <w:rPr>
                <w:rFonts w:ascii="Arial" w:cs="Arial" w:eastAsia="Arial" w:hAnsi="Arial"/>
                <w:sz w:val="18"/>
                <w:szCs w:val="18"/>
                <w:color w:val="auto"/>
                <w:w w:val="86"/>
              </w:rPr>
              <w:t>Nasdaq</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General Instruction A.2. below):</w:t>
      </w:r>
    </w:p>
    <w:p>
      <w:pPr>
        <w:spacing w:after="0" w:line="7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February 17, 2022, CME Group Inc. (“CME Group” or the “Company”) filed a Current Report on Form 8-K announcing that John W. Pietrowicz planned to retire from the position of Chief Financial Officer in 2023 and that upon Mr. Pietrowicz’s retirement, Lynne Fitzpatrick would assume the role of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Pietrowicz will retire from his position as Chief Financial Officer and Ms. Fitzpatrick will assume the role effective as of April 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Pietrowicz will remain employed by the Company until December 31, 2023 in the role of Special Advisor.</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Ms. Fitzpatrick, 44, has served as Senior Managing Director &amp; Deputy Chief Financial Officer since February 2022. She previously served as Managing Director of Corporate Development and Treasurer of CME Group since 2017, leading the company’s business development, mergers and acquisitions, CME Ventures and corporate treasury functions. Since joining the company in 2006, Ms. Fitzpatrick has held a variety of positions with increasing levels of responsibility within the finance organization.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Chief Financial Officer, Ms. Fitzpatrick will continue to participate in the Company’s compensation program upon terms commensurate with other executive officers of the Company at the level of Senior Managing Director.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are no family relationships existing between Ms. Fitzpatrick and any executive officer or director of the Company. There have been no transactions, and no transactions are currently proposed, in which the Company was or is to be a participant and in which Ms. Fitzpatrick or any member of her immediate family had or will have an interest.</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2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6350</wp:posOffset>
            </wp:positionV>
            <wp:extent cx="6334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CME Group Inc.’s Current Report on Form 8-K, formatted in Inline XBRL.</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3180" w:type="dxa"/>
            <w:vAlign w:val="bottom"/>
            <w:gridSpan w:val="2"/>
          </w:tcPr>
          <w:p>
            <w:pPr>
              <w:ind w:left="1760"/>
              <w:spacing w:after="0"/>
              <w:rPr>
                <w:sz w:val="20"/>
                <w:szCs w:val="20"/>
                <w:color w:val="auto"/>
              </w:rPr>
            </w:pPr>
            <w:r>
              <w:rPr>
                <w:rFonts w:ascii="Arial" w:cs="Arial" w:eastAsia="Arial" w:hAnsi="Arial"/>
                <w:sz w:val="18"/>
                <w:szCs w:val="18"/>
                <w:b w:val="1"/>
                <w:bCs w:val="1"/>
                <w:color w:val="auto"/>
              </w:rPr>
              <w:t>CME Group Inc.</w:t>
            </w:r>
          </w:p>
        </w:tc>
        <w:tc>
          <w:tcPr>
            <w:tcW w:w="43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3180" w:type="dxa"/>
            <w:vAlign w:val="bottom"/>
            <w:gridSpan w:val="2"/>
          </w:tcPr>
          <w:p>
            <w:pPr>
              <w:ind w:left="1760"/>
              <w:spacing w:after="0"/>
              <w:rPr>
                <w:sz w:val="20"/>
                <w:szCs w:val="20"/>
                <w:color w:val="auto"/>
              </w:rPr>
            </w:pPr>
            <w:r>
              <w:rPr>
                <w:rFonts w:ascii="Arial" w:cs="Arial" w:eastAsia="Arial" w:hAnsi="Arial"/>
                <w:sz w:val="18"/>
                <w:szCs w:val="18"/>
                <w:color w:val="auto"/>
              </w:rPr>
              <w:t>Registrant</w:t>
            </w:r>
          </w:p>
        </w:tc>
        <w:tc>
          <w:tcPr>
            <w:tcW w:w="432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February 28, 2023</w:t>
            </w:r>
          </w:p>
        </w:tc>
        <w:tc>
          <w:tcPr>
            <w:tcW w:w="3180" w:type="dxa"/>
            <w:vAlign w:val="bottom"/>
            <w:gridSpan w:val="2"/>
          </w:tcPr>
          <w:p>
            <w:pPr>
              <w:ind w:left="1760"/>
              <w:spacing w:after="0"/>
              <w:rPr>
                <w:sz w:val="20"/>
                <w:szCs w:val="20"/>
                <w:color w:val="auto"/>
              </w:rPr>
            </w:pPr>
            <w:r>
              <w:rPr>
                <w:rFonts w:ascii="Arial" w:cs="Arial" w:eastAsia="Arial" w:hAnsi="Arial"/>
                <w:sz w:val="18"/>
                <w:szCs w:val="18"/>
                <w:color w:val="auto"/>
              </w:rPr>
              <w:t>By:</w:t>
            </w:r>
          </w:p>
        </w:tc>
        <w:tc>
          <w:tcPr>
            <w:tcW w:w="4320" w:type="dxa"/>
            <w:vAlign w:val="bottom"/>
          </w:tcPr>
          <w:p>
            <w:pPr>
              <w:jc w:val="center"/>
              <w:ind w:right="670"/>
              <w:spacing w:after="0"/>
              <w:rPr>
                <w:sz w:val="20"/>
                <w:szCs w:val="20"/>
                <w:color w:val="auto"/>
              </w:rPr>
            </w:pPr>
            <w:r>
              <w:rPr>
                <w:rFonts w:ascii="Arial" w:cs="Arial" w:eastAsia="Arial" w:hAnsi="Arial"/>
                <w:sz w:val="18"/>
                <w:szCs w:val="18"/>
                <w:color w:val="auto"/>
                <w:w w:val="88"/>
              </w:rPr>
              <w:t>/s/ Jonathan Marcus</w:t>
            </w:r>
          </w:p>
        </w:tc>
      </w:tr>
      <w:tr>
        <w:trPr>
          <w:trHeight w:val="228"/>
        </w:trPr>
        <w:tc>
          <w:tcPr>
            <w:tcW w:w="3520" w:type="dxa"/>
            <w:vAlign w:val="bottom"/>
          </w:tcPr>
          <w:p>
            <w:pPr>
              <w:spacing w:after="0"/>
              <w:rPr>
                <w:sz w:val="19"/>
                <w:szCs w:val="19"/>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Name:</w:t>
            </w:r>
          </w:p>
        </w:tc>
        <w:tc>
          <w:tcPr>
            <w:tcW w:w="76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w w:val="91"/>
              </w:rPr>
              <w:t>Jonathan Marcus</w:t>
            </w:r>
          </w:p>
        </w:tc>
      </w:tr>
      <w:tr>
        <w:trPr>
          <w:trHeight w:val="319"/>
        </w:trPr>
        <w:tc>
          <w:tcPr>
            <w:tcW w:w="3520" w:type="dxa"/>
            <w:vAlign w:val="bottom"/>
          </w:tcPr>
          <w:p>
            <w:pPr>
              <w:spacing w:after="0"/>
              <w:rPr>
                <w:sz w:val="24"/>
                <w:szCs w:val="24"/>
                <w:color w:val="auto"/>
              </w:rPr>
            </w:pPr>
          </w:p>
        </w:tc>
        <w:tc>
          <w:tcPr>
            <w:tcW w:w="3180" w:type="dxa"/>
            <w:vAlign w:val="bottom"/>
            <w:gridSpan w:val="2"/>
          </w:tcPr>
          <w:p>
            <w:pPr>
              <w:ind w:left="1760"/>
              <w:spacing w:after="0"/>
              <w:rPr>
                <w:sz w:val="20"/>
                <w:szCs w:val="20"/>
                <w:color w:val="auto"/>
              </w:rPr>
            </w:pPr>
            <w:r>
              <w:rPr>
                <w:rFonts w:ascii="Arial" w:cs="Arial" w:eastAsia="Arial" w:hAnsi="Arial"/>
                <w:sz w:val="18"/>
                <w:szCs w:val="18"/>
                <w:color w:val="auto"/>
              </w:rPr>
              <w:t>Title:</w:t>
            </w:r>
          </w:p>
        </w:tc>
        <w:tc>
          <w:tcPr>
            <w:tcW w:w="432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Senior Managing Director General Counsel</w:t>
            </w:r>
          </w:p>
        </w:tc>
      </w:tr>
      <w:tr>
        <w:trPr>
          <w:trHeight w:val="338"/>
        </w:trPr>
        <w:tc>
          <w:tcPr>
            <w:tcW w:w="3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2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Duly Authorized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2023-03-01T01:24:14Z</dcterms:created>
  <dcterms:modified xsi:type="dcterms:W3CDTF">2023-03-01T01:24:14Z</dcterms:modified>
</cp:coreProperties>
</file>