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2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254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Gralla Harvey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80"/>
        <w:spacing w:after="0" w:line="339" w:lineRule="auto"/>
        <w:rPr>
          <w:sz w:val="20"/>
          <w:szCs w:val="20"/>
          <w:color w:val="auto"/>
        </w:rPr>
      </w:pPr>
      <w:r>
        <w:rPr>
          <w:rFonts w:ascii="Arial" w:cs="Arial" w:eastAsia="Arial" w:hAnsi="Arial"/>
          <w:sz w:val="16"/>
          <w:szCs w:val="16"/>
          <w:color w:val="0000FF"/>
        </w:rPr>
        <w:t>ONE NORTH END AVENUE WORLD FINANCIAL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NYMEX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08/22/2008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83"/>
        <w:spacing w:after="0"/>
        <w:rPr>
          <w:sz w:val="20"/>
          <w:szCs w:val="20"/>
          <w:color w:val="auto"/>
        </w:rPr>
      </w:pPr>
      <w:r>
        <w:rPr>
          <w:rFonts w:ascii="Arial" w:cs="Arial" w:eastAsia="Arial" w:hAnsi="Arial"/>
          <w:sz w:val="18"/>
          <w:szCs w:val="18"/>
          <w:color w:val="0000FF"/>
        </w:rPr>
        <w:t>Former director</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8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20" w:type="dxa"/>
            <w:vAlign w:val="bottom"/>
            <w:gridSpan w:val="8"/>
          </w:tcPr>
          <w:p>
            <w:pPr>
              <w:ind w:left="3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4"/>
          </w:tcPr>
          <w:p>
            <w:pPr>
              <w:ind w:left="36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10282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9"/>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08/22/2008</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8"/>
                <w:szCs w:val="18"/>
                <w:color w:val="0000FF"/>
                <w:w w:val="87"/>
              </w:rPr>
              <w:t>90,380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ind w:left="280"/>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(1)</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52"/>
              <w:spacing w:after="0"/>
              <w:rPr>
                <w:sz w:val="20"/>
                <w:szCs w:val="20"/>
                <w:color w:val="auto"/>
              </w:rPr>
            </w:pPr>
            <w:r>
              <w:rPr>
                <w:rFonts w:ascii="Arial" w:cs="Arial" w:eastAsia="Arial" w:hAnsi="Arial"/>
                <w:sz w:val="18"/>
                <w:szCs w:val="18"/>
                <w:color w:val="0000FF"/>
                <w:w w:val="79"/>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08/22/2008</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6"/>
              </w:rPr>
              <w:t>753</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ind w:left="280"/>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32"/>
              <w:spacing w:after="0"/>
              <w:rPr>
                <w:sz w:val="20"/>
                <w:szCs w:val="20"/>
                <w:color w:val="auto"/>
              </w:rPr>
            </w:pPr>
            <w:r>
              <w:rPr>
                <w:rFonts w:ascii="Arial" w:cs="Arial" w:eastAsia="Arial" w:hAnsi="Arial"/>
                <w:sz w:val="18"/>
                <w:szCs w:val="18"/>
                <w:color w:val="0000FF"/>
                <w:w w:val="86"/>
              </w:rPr>
              <w:t>753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08"/>
              <w:spacing w:after="0"/>
              <w:rPr>
                <w:sz w:val="20"/>
                <w:szCs w:val="20"/>
                <w:color w:val="auto"/>
              </w:rPr>
            </w:pPr>
            <w:r>
              <w:rPr>
                <w:rFonts w:ascii="Arial" w:cs="Arial" w:eastAsia="Arial" w:hAnsi="Arial"/>
                <w:sz w:val="18"/>
                <w:szCs w:val="18"/>
                <w:color w:val="0000FF"/>
                <w:w w:val="88"/>
              </w:rPr>
              <w:t>08/22/2008</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6"/>
              </w:rPr>
              <w:t>753</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ind w:left="280"/>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(5)</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52"/>
              <w:spacing w:after="0"/>
              <w:rPr>
                <w:sz w:val="20"/>
                <w:szCs w:val="20"/>
                <w:color w:val="auto"/>
              </w:rPr>
            </w:pPr>
            <w:r>
              <w:rPr>
                <w:rFonts w:ascii="Arial" w:cs="Arial" w:eastAsia="Arial" w:hAnsi="Arial"/>
                <w:sz w:val="18"/>
                <w:szCs w:val="18"/>
                <w:color w:val="0000FF"/>
                <w:w w:val="79"/>
              </w:rPr>
              <w:t>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35" w:lineRule="exact"/>
              <w:rPr>
                <w:sz w:val="20"/>
                <w:szCs w:val="20"/>
                <w:color w:val="auto"/>
              </w:rPr>
            </w:pPr>
            <w:r>
              <w:rPr>
                <w:rFonts w:ascii="Arial" w:cs="Arial" w:eastAsia="Arial" w:hAnsi="Arial"/>
                <w:sz w:val="12"/>
                <w:szCs w:val="12"/>
                <w:b w:val="1"/>
                <w:bCs w:val="1"/>
                <w:color w:val="auto"/>
                <w:w w:val="93"/>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753</w:t>
            </w:r>
          </w:p>
        </w:tc>
        <w:tc>
          <w:tcPr>
            <w:tcW w:w="60" w:type="dxa"/>
            <w:vAlign w:val="bottom"/>
          </w:tcPr>
          <w:p>
            <w:pPr>
              <w:spacing w:after="0"/>
              <w:rPr>
                <w:sz w:val="16"/>
                <w:szCs w:val="16"/>
                <w:color w:val="auto"/>
              </w:rPr>
            </w:pPr>
          </w:p>
        </w:tc>
        <w:tc>
          <w:tcPr>
            <w:tcW w:w="6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08/22/2008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86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753</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00" w:type="dxa"/>
            <w:vAlign w:val="bottom"/>
            <w:vMerge w:val="restart"/>
          </w:tcPr>
          <w:p>
            <w:pPr>
              <w:ind w:left="520"/>
              <w:spacing w:after="0" w:line="149" w:lineRule="exact"/>
              <w:rPr>
                <w:sz w:val="20"/>
                <w:szCs w:val="20"/>
                <w:color w:val="auto"/>
              </w:rPr>
            </w:pPr>
            <w:r>
              <w:rPr>
                <w:rFonts w:ascii="Arial" w:cs="Arial" w:eastAsia="Arial" w:hAnsi="Arial"/>
                <w:sz w:val="14"/>
                <w:szCs w:val="14"/>
                <w:color w:val="0000FF"/>
              </w:rPr>
              <w:t>0</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the merger agreement by and among CME Group Inc., CMEG NY Inc., NYMEX Holdings, Inc. and New York Mercantile Exchange, Inc. (the "Merger Agreement"), each share of NYMEX Holdings common stock was converted into the right to receive either (a) $81.16 in cash or (b) 0.2378 of CME Group Inc. Class A common stock, subject to proration to preserve the mandatory aggregate cash consideration amount of approximately $3.4 billion, after taking into account all of the elections made by all of the NYMEX Holdings stockholders.</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Each deferred stock unit represents a contingent right to receive one share of NYMEX Holdings, Inc. common stock.</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accelerated vesting of the deferred stock units is due to the consummation of the transaction between CME Group Inc., CMEG NY Inc., NYMEX Holdings, Inc. and New York Mercantile Exchange,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Disposed of pursuant to Merger Agreement at an exchange ratio of 0.2378 shares of CME Group Inc. Class A common stock for each share of NYMEX Holdings, Inc. common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9"/>
              </w:rPr>
              <w:t>/s/Harvey Gralla</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08/27/2008</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4869"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2019-12-17T13:38:17Z</dcterms:created>
  <dcterms:modified xsi:type="dcterms:W3CDTF">2019-12-17T13:38:17Z</dcterms:modified>
</cp:coreProperties>
</file>