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6862.xml.htm"/>
      <w:bookmarkStart w:id="1" w:name="kswkform4_17896768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Tobin Jack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S. WACKER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CME GROUP INC.</w:t>
              </w:r>
            </w:hyperlink>
            <w:r>
              <w:rPr/>
              <w:t xml:space="preserve"> [ </w:t>
            </w:r>
            <w:r>
              <w:rPr>
                <w:rFonts w:ascii="Times;serif" w:hAnsi="Times;serif"/>
                <w:color w:val="0000FF"/>
                <w:sz w:val="24"/>
                <w:shd w:fill="FFFFFF" w:val="clear"/>
              </w:rPr>
              <w:t>CME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MD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26,109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26,065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26,018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275.09</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25,813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Class A</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272.46</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25,762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under the CME Group Omnibus Stock Plan, vesting in four equal annual installments,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surrendered to the Issuer to satisfy tax withholding obligations in connection with the vesting of restricted stock previously granted to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Hensen, as Attorney-in-Fact for Jack J. Tobin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05-poaxtobin.htm"/>
      <w:bookmarkStart w:id="3" w:name="ksa202605poaxtobin"/>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EDGAR Administration and Executing Forms 3, 4 and 5 Pursuant to Section 16(a) of the Securities Exchange Act Know all by these presents, that the undersigned hereby constitutes and appoints each of Margaret Austin Wright and Elizabeth Hensen and any duly appointed Corporate Secretary of CME Group, Inc. (the “Company”), with full power of substitution and re-substitution, acting individually, as the undersigned’s true and lawful attorney-in-fact, with full power and authority as hereinafter described on behalf of and in the name, place and stead of the undersigned to: 1.​ obtain credentials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 2.​ 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 3.​ cause the Company to accept a delegation of authority from the undersigned’s EDGAR account administrators and authorize the Company’s EDGAR account administrators pursuant to that delegated entity designation to appoint, remove or replace users for the undersigned’s EDGAR account, 4.​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5.​ execute for and on behalf of the undersigned Forms 3, 4 and 5 and amendments thereto relating to the Company in accordance with Section 16(a) of the Exchange Act and the rules thereunder, 6.​ do and perform any and all acts for, and on behalf of, the undersigned which may be necessary or desirable to prepare, complete and execute any such Form 3, 4 and 5, and any amendments thereto, and timely file such form with the SEC and any other authority as considered necessary or advisable under Section 16(a) of the Exchange Act and the rules thereunder,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 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each such attorney-in-fact is serving in such capacity at the request of the undersigned. This Power of Attorney does not relieve the undersigned from responsibility for compliance with the undersigned’s obligations under the Exchange Act, including, without limitation, the reporting requirements under Section 16 of the Exchange Act. Neither the Company nor any attorney-in-fact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6th day of May 2026. ​ By: /s/ Jack J. Tobin​ Name: Jack J. Tobin​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8430" TargetMode="External"/><Relationship Id="rId5" Type="http://schemas.openxmlformats.org/officeDocument/2006/relationships/hyperlink" Target="http://www.sec.gov/cgi-bin/browse-edgar?action=getcompany&amp;CIK=0001156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760</Words>
  <Characters>4080</Characters>
  <CharactersWithSpaces>9586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a202605-poaxtobin</dc:title>
</cp:coreProperties>
</file>