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233680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207645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2010</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OR -</w:t>
      </w:r>
    </w:p>
    <w:p>
      <w:pPr>
        <w:spacing w:after="0" w:line="197" w:lineRule="exact"/>
        <w:rPr>
          <w:sz w:val="24"/>
          <w:szCs w:val="24"/>
          <w:color w:val="auto"/>
        </w:rPr>
      </w:pPr>
    </w:p>
    <w:p>
      <w:pPr>
        <w:ind w:left="460" w:right="460" w:hanging="452"/>
        <w:spacing w:after="0" w:line="262" w:lineRule="auto"/>
        <w:tabs>
          <w:tab w:leader="none" w:pos="46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26" w:right="239" w:bottom="1440" w:gutter="0" w:footer="0" w:header="0"/>
        </w:sectPr>
      </w:pPr>
    </w:p>
    <w:p>
      <w:pPr>
        <w:spacing w:after="0" w:line="11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194" w:lineRule="exact"/>
        <w:rPr>
          <w:sz w:val="24"/>
          <w:szCs w:val="24"/>
          <w:color w:val="auto"/>
        </w:rPr>
      </w:pPr>
    </w:p>
    <w:p>
      <w:pPr>
        <w:sectPr>
          <w:pgSz w:w="11900" w:h="16838" w:orient="portrait"/>
          <w:cols w:equalWidth="0" w:num="2">
            <w:col w:w="6220" w:space="580"/>
            <w:col w:w="4620"/>
          </w:cols>
          <w:pgMar w:left="240" w:top="226" w:right="2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001-31553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210820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CME GROUP INC.</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tbl>
      <w:tblPr>
        <w:tblLayout w:type="fixed"/>
        <w:tblInd w:w="1340" w:type="dxa"/>
        <w:tblCellMar>
          <w:top w:w="0" w:type="dxa"/>
          <w:left w:w="0" w:type="dxa"/>
          <w:bottom w:w="0" w:type="dxa"/>
          <w:right w:w="0" w:type="dxa"/>
        </w:tblCellMar>
      </w:tblPr>
      <w:tr>
        <w:trPr>
          <w:trHeight w:val="216"/>
        </w:trPr>
        <w:tc>
          <w:tcPr>
            <w:tcW w:w="6280" w:type="dxa"/>
            <w:vAlign w:val="bottom"/>
          </w:tcPr>
          <w:p>
            <w:pPr>
              <w:jc w:val="center"/>
              <w:ind w:right="3144"/>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1740" w:type="dxa"/>
            <w:vAlign w:val="bottom"/>
          </w:tcPr>
          <w:p>
            <w:pPr>
              <w:jc w:val="right"/>
              <w:ind w:right="184"/>
              <w:spacing w:after="0"/>
              <w:rPr>
                <w:sz w:val="20"/>
                <w:szCs w:val="20"/>
                <w:color w:val="auto"/>
              </w:rPr>
            </w:pPr>
            <w:r>
              <w:rPr>
                <w:rFonts w:ascii="Times New Roman" w:cs="Times New Roman" w:eastAsia="Times New Roman" w:hAnsi="Times New Roman"/>
                <w:sz w:val="18"/>
                <w:szCs w:val="18"/>
                <w:b w:val="1"/>
                <w:bCs w:val="1"/>
                <w:color w:val="auto"/>
              </w:rPr>
              <w:t>36-4459170</w:t>
            </w:r>
          </w:p>
        </w:tc>
      </w:tr>
      <w:tr>
        <w:trPr>
          <w:trHeight w:val="149"/>
        </w:trPr>
        <w:tc>
          <w:tcPr>
            <w:tcW w:w="6280" w:type="dxa"/>
            <w:vAlign w:val="bottom"/>
          </w:tcPr>
          <w:p>
            <w:pPr>
              <w:jc w:val="center"/>
              <w:ind w:right="3164"/>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(State or other jurisdiction of</w:t>
            </w:r>
          </w:p>
        </w:tc>
        <w:tc>
          <w:tcPr>
            <w:tcW w:w="1740" w:type="dxa"/>
            <w:vAlign w:val="bottom"/>
          </w:tcPr>
          <w:p>
            <w:pPr>
              <w:jc w:val="center"/>
              <w:ind w:left="324"/>
              <w:spacing w:after="0" w:line="149" w:lineRule="exact"/>
              <w:rPr>
                <w:sz w:val="20"/>
                <w:szCs w:val="20"/>
                <w:color w:val="auto"/>
              </w:rPr>
            </w:pPr>
            <w:r>
              <w:rPr>
                <w:rFonts w:ascii="Times New Roman" w:cs="Times New Roman" w:eastAsia="Times New Roman" w:hAnsi="Times New Roman"/>
                <w:sz w:val="14"/>
                <w:szCs w:val="14"/>
                <w:b w:val="1"/>
                <w:bCs w:val="1"/>
                <w:color w:val="auto"/>
                <w:w w:val="96"/>
              </w:rPr>
              <w:t>(I.R.S. Employer</w:t>
            </w:r>
          </w:p>
        </w:tc>
      </w:tr>
      <w:tr>
        <w:trPr>
          <w:trHeight w:val="178"/>
        </w:trPr>
        <w:tc>
          <w:tcPr>
            <w:tcW w:w="6280" w:type="dxa"/>
            <w:vAlign w:val="bottom"/>
          </w:tcPr>
          <w:p>
            <w:pPr>
              <w:jc w:val="center"/>
              <w:ind w:right="3164"/>
              <w:spacing w:after="0"/>
              <w:rPr>
                <w:sz w:val="20"/>
                <w:szCs w:val="20"/>
                <w:color w:val="auto"/>
              </w:rPr>
            </w:pPr>
            <w:r>
              <w:rPr>
                <w:rFonts w:ascii="Times New Roman" w:cs="Times New Roman" w:eastAsia="Times New Roman" w:hAnsi="Times New Roman"/>
                <w:sz w:val="14"/>
                <w:szCs w:val="14"/>
                <w:b w:val="1"/>
                <w:bCs w:val="1"/>
                <w:color w:val="auto"/>
                <w:w w:val="96"/>
              </w:rPr>
              <w:t>incorporation or organization)</w:t>
            </w:r>
          </w:p>
        </w:tc>
        <w:tc>
          <w:tcPr>
            <w:tcW w:w="1740" w:type="dxa"/>
            <w:vAlign w:val="bottom"/>
          </w:tcPr>
          <w:p>
            <w:pPr>
              <w:jc w:val="center"/>
              <w:ind w:left="324"/>
              <w:spacing w:after="0"/>
              <w:rPr>
                <w:sz w:val="20"/>
                <w:szCs w:val="20"/>
                <w:color w:val="auto"/>
              </w:rPr>
            </w:pPr>
            <w:r>
              <w:rPr>
                <w:rFonts w:ascii="Times New Roman" w:cs="Times New Roman" w:eastAsia="Times New Roman" w:hAnsi="Times New Roman"/>
                <w:sz w:val="14"/>
                <w:szCs w:val="14"/>
                <w:b w:val="1"/>
                <w:bCs w:val="1"/>
                <w:color w:val="auto"/>
                <w:w w:val="96"/>
              </w:rPr>
              <w:t>Identification Number)</w:t>
            </w:r>
          </w:p>
        </w:tc>
      </w:tr>
      <w:tr>
        <w:trPr>
          <w:trHeight w:val="402"/>
        </w:trPr>
        <w:tc>
          <w:tcPr>
            <w:tcW w:w="6280" w:type="dxa"/>
            <w:vAlign w:val="bottom"/>
          </w:tcPr>
          <w:p>
            <w:pPr>
              <w:jc w:val="center"/>
              <w:ind w:right="3144"/>
              <w:spacing w:after="0"/>
              <w:rPr>
                <w:sz w:val="20"/>
                <w:szCs w:val="20"/>
                <w:color w:val="auto"/>
              </w:rPr>
            </w:pPr>
            <w:r>
              <w:rPr>
                <w:rFonts w:ascii="Times New Roman" w:cs="Times New Roman" w:eastAsia="Times New Roman" w:hAnsi="Times New Roman"/>
                <w:sz w:val="18"/>
                <w:szCs w:val="18"/>
                <w:b w:val="1"/>
                <w:bCs w:val="1"/>
                <w:color w:val="auto"/>
                <w:w w:val="97"/>
              </w:rPr>
              <w:t>20 South Wacker Drive, Chicago, Illinois</w:t>
            </w:r>
          </w:p>
        </w:tc>
        <w:tc>
          <w:tcPr>
            <w:tcW w:w="1740" w:type="dxa"/>
            <w:vAlign w:val="bottom"/>
          </w:tcPr>
          <w:p>
            <w:pPr>
              <w:jc w:val="right"/>
              <w:ind w:right="384"/>
              <w:spacing w:after="0"/>
              <w:rPr>
                <w:sz w:val="20"/>
                <w:szCs w:val="20"/>
                <w:color w:val="auto"/>
              </w:rPr>
            </w:pPr>
            <w:r>
              <w:rPr>
                <w:rFonts w:ascii="Times New Roman" w:cs="Times New Roman" w:eastAsia="Times New Roman" w:hAnsi="Times New Roman"/>
                <w:sz w:val="18"/>
                <w:szCs w:val="18"/>
                <w:b w:val="1"/>
                <w:bCs w:val="1"/>
                <w:color w:val="auto"/>
              </w:rPr>
              <w:t>60606</w:t>
            </w:r>
          </w:p>
        </w:tc>
      </w:tr>
      <w:tr>
        <w:trPr>
          <w:trHeight w:val="178"/>
        </w:trPr>
        <w:tc>
          <w:tcPr>
            <w:tcW w:w="6280" w:type="dxa"/>
            <w:vAlign w:val="bottom"/>
          </w:tcPr>
          <w:p>
            <w:pPr>
              <w:jc w:val="center"/>
              <w:ind w:right="3164"/>
              <w:spacing w:after="0"/>
              <w:rPr>
                <w:sz w:val="20"/>
                <w:szCs w:val="20"/>
                <w:color w:val="auto"/>
              </w:rPr>
            </w:pPr>
            <w:r>
              <w:rPr>
                <w:rFonts w:ascii="Times New Roman" w:cs="Times New Roman" w:eastAsia="Times New Roman" w:hAnsi="Times New Roman"/>
                <w:sz w:val="14"/>
                <w:szCs w:val="14"/>
                <w:b w:val="1"/>
                <w:bCs w:val="1"/>
                <w:color w:val="auto"/>
                <w:w w:val="96"/>
              </w:rPr>
              <w:t>(Address of principal executive offices)</w:t>
            </w:r>
          </w:p>
        </w:tc>
        <w:tc>
          <w:tcPr>
            <w:tcW w:w="1740" w:type="dxa"/>
            <w:vAlign w:val="bottom"/>
          </w:tcPr>
          <w:p>
            <w:pPr>
              <w:jc w:val="center"/>
              <w:ind w:left="324"/>
              <w:spacing w:after="0"/>
              <w:rPr>
                <w:sz w:val="20"/>
                <w:szCs w:val="20"/>
                <w:color w:val="auto"/>
              </w:rPr>
            </w:pPr>
            <w:r>
              <w:rPr>
                <w:rFonts w:ascii="Times New Roman" w:cs="Times New Roman" w:eastAsia="Times New Roman" w:hAnsi="Times New Roman"/>
                <w:sz w:val="14"/>
                <w:szCs w:val="14"/>
                <w:b w:val="1"/>
                <w:bCs w:val="1"/>
                <w:color w:val="auto"/>
                <w:w w:val="95"/>
              </w:rPr>
              <w:t>(Zip Code)</w:t>
            </w:r>
          </w:p>
        </w:tc>
      </w:tr>
      <w:tr>
        <w:trPr>
          <w:trHeight w:val="348"/>
        </w:trPr>
        <w:tc>
          <w:tcPr>
            <w:tcW w:w="6280" w:type="dxa"/>
            <w:vAlign w:val="bottom"/>
          </w:tcPr>
          <w:p>
            <w:pPr>
              <w:jc w:val="right"/>
              <w:ind w:right="1284"/>
              <w:spacing w:after="0"/>
              <w:rPr>
                <w:sz w:val="20"/>
                <w:szCs w:val="20"/>
                <w:color w:val="auto"/>
              </w:rPr>
            </w:pPr>
            <w:r>
              <w:rPr>
                <w:rFonts w:ascii="Times New Roman" w:cs="Times New Roman" w:eastAsia="Times New Roman" w:hAnsi="Times New Roman"/>
                <w:sz w:val="18"/>
                <w:szCs w:val="18"/>
                <w:b w:val="1"/>
                <w:bCs w:val="1"/>
                <w:color w:val="auto"/>
              </w:rPr>
              <w:t>(312) 930-1000</w:t>
            </w:r>
          </w:p>
        </w:tc>
        <w:tc>
          <w:tcPr>
            <w:tcW w:w="1740" w:type="dxa"/>
            <w:vAlign w:val="bottom"/>
          </w:tcPr>
          <w:p>
            <w:pPr>
              <w:spacing w:after="0"/>
              <w:rPr>
                <w:sz w:val="24"/>
                <w:szCs w:val="24"/>
                <w:color w:val="auto"/>
              </w:rPr>
            </w:pPr>
          </w:p>
        </w:tc>
      </w:tr>
      <w:tr>
        <w:trPr>
          <w:trHeight w:val="178"/>
        </w:trPr>
        <w:tc>
          <w:tcPr>
            <w:tcW w:w="6280" w:type="dxa"/>
            <w:vAlign w:val="bottom"/>
          </w:tcPr>
          <w:p>
            <w:pPr>
              <w:jc w:val="center"/>
              <w:ind w:left="2384"/>
              <w:spacing w:after="0"/>
              <w:rPr>
                <w:sz w:val="20"/>
                <w:szCs w:val="20"/>
                <w:color w:val="auto"/>
              </w:rPr>
            </w:pPr>
            <w:r>
              <w:rPr>
                <w:rFonts w:ascii="Times New Roman" w:cs="Times New Roman" w:eastAsia="Times New Roman" w:hAnsi="Times New Roman"/>
                <w:sz w:val="14"/>
                <w:szCs w:val="14"/>
                <w:b w:val="1"/>
                <w:bCs w:val="1"/>
                <w:color w:val="auto"/>
                <w:w w:val="96"/>
              </w:rPr>
              <w:t>(Registrant’s telephone number, including area code)</w:t>
            </w:r>
          </w:p>
        </w:tc>
        <w:tc>
          <w:tcPr>
            <w:tcW w:w="1740" w:type="dxa"/>
            <w:vAlign w:val="bottom"/>
          </w:tcPr>
          <w:p>
            <w:pPr>
              <w:spacing w:after="0"/>
              <w:rPr>
                <w:sz w:val="15"/>
                <w:szCs w:val="15"/>
                <w:color w:val="auto"/>
              </w:rPr>
            </w:pPr>
          </w:p>
        </w:tc>
      </w:tr>
    </w:tbl>
    <w:p>
      <w:pPr>
        <w:spacing w:after="0" w:line="3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182880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both"/>
        <w:ind w:right="200"/>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130" w:lineRule="exact"/>
        <w:rPr>
          <w:sz w:val="24"/>
          <w:szCs w:val="24"/>
          <w:color w:val="auto"/>
        </w:rPr>
      </w:pPr>
    </w:p>
    <w:p>
      <w:pPr>
        <w:ind w:right="140"/>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130" w:lineRule="exact"/>
        <w:rPr>
          <w:sz w:val="24"/>
          <w:szCs w:val="24"/>
          <w:color w:val="auto"/>
        </w:rPr>
      </w:pPr>
    </w:p>
    <w:p>
      <w:pPr>
        <w:ind w:right="680"/>
        <w:spacing w:after="0" w:line="33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69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w w:val="99"/>
              </w:rPr>
              <w:t xml:space="preserve">Indicate by check mark whether the registrant is a shell company (as defined in Rule 12b-2 of the Exchange Act).  Yes </w:t>
            </w:r>
            <w:r>
              <w:rPr>
                <w:rFonts w:ascii="MS PGothic" w:cs="MS PGothic" w:eastAsia="MS PGothic" w:hAnsi="MS PGothic"/>
                <w:sz w:val="18"/>
                <w:szCs w:val="18"/>
                <w:color w:val="auto"/>
                <w:highlight w:val="black"/>
                <w:w w:val="99"/>
              </w:rPr>
              <w:t>☐</w:t>
            </w:r>
          </w:p>
        </w:tc>
        <w:tc>
          <w:tcPr>
            <w:tcW w:w="2280" w:type="dxa"/>
            <w:vAlign w:val="bottom"/>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highlight w:val="black"/>
              </w:rPr>
              <w:t>☒</w:t>
            </w:r>
          </w:p>
        </w:tc>
        <w:tc>
          <w:tcPr>
            <w:tcW w:w="400" w:type="dxa"/>
            <w:vAlign w:val="bottom"/>
          </w:tcPr>
          <w:p>
            <w:pPr>
              <w:spacing w:after="0"/>
              <w:rPr>
                <w:sz w:val="24"/>
                <w:szCs w:val="24"/>
                <w:color w:val="auto"/>
              </w:rPr>
            </w:pPr>
          </w:p>
        </w:tc>
      </w:tr>
    </w:tbl>
    <w:p>
      <w:pPr>
        <w:spacing w:after="0" w:line="130" w:lineRule="exact"/>
        <w:rPr>
          <w:sz w:val="24"/>
          <w:szCs w:val="24"/>
          <w:color w:val="auto"/>
        </w:rPr>
      </w:pPr>
    </w:p>
    <w:p>
      <w:pPr>
        <w:jc w:val="both"/>
        <w:ind w:right="80"/>
        <w:spacing w:after="0" w:line="262" w:lineRule="auto"/>
        <w:rPr>
          <w:sz w:val="20"/>
          <w:szCs w:val="20"/>
          <w:color w:val="auto"/>
        </w:rPr>
      </w:pPr>
      <w:r>
        <w:rPr>
          <w:rFonts w:ascii="Times New Roman" w:cs="Times New Roman" w:eastAsia="Times New Roman" w:hAnsi="Times New Roman"/>
          <w:sz w:val="18"/>
          <w:szCs w:val="18"/>
          <w:color w:val="auto"/>
        </w:rPr>
        <w:t>The number of shares outstanding of each of the registrant’s classes of common stock as of April 21, 2010 was as follows: 65,685,568 shares of Class A common stock, $0.01 par value; 625 shares of Class B common stock, Class B-1, $0.01 par value; 813 shares of Class B common stock, Class B-2, $0.01 par value; 1,287 shares of Class B common stock, Class B-3, $0.01 par value; and 413 shares of Class B common stock, Class B-4,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CME GROUP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000" w:type="dxa"/>
            <w:vAlign w:val="bottom"/>
            <w:gridSpan w:val="8"/>
            <w:vMerge w:val="restart"/>
          </w:tcPr>
          <w:p>
            <w:pPr>
              <w:spacing w:after="0"/>
              <w:rPr>
                <w:rFonts w:ascii="Times New Roman" w:cs="Times New Roman" w:eastAsia="Times New Roman" w:hAnsi="Times New Roman"/>
                <w:sz w:val="18"/>
                <w:szCs w:val="18"/>
                <w:b w:val="1"/>
                <w:bCs w:val="1"/>
                <w:color w:val="0000EE"/>
                <w:w w:val="96"/>
              </w:rPr>
            </w:pPr>
            <w:hyperlink w:anchor="page3">
              <w:r>
                <w:rPr>
                  <w:rFonts w:ascii="Times New Roman" w:cs="Times New Roman" w:eastAsia="Times New Roman" w:hAnsi="Times New Roman"/>
                  <w:sz w:val="18"/>
                  <w:szCs w:val="18"/>
                  <w:b w:val="1"/>
                  <w:bCs w:val="1"/>
                  <w:color w:val="0000EE"/>
                  <w:w w:val="96"/>
                </w:rPr>
                <w:t>PART I. FINANCIAL INFORMATION</w:t>
              </w:r>
            </w:hyperlink>
          </w:p>
        </w:tc>
        <w:tc>
          <w:tcPr>
            <w:tcW w:w="8140" w:type="dxa"/>
            <w:vAlign w:val="bottom"/>
            <w:gridSpan w:val="9"/>
            <w:vMerge w:val="restart"/>
          </w:tcPr>
          <w:p>
            <w:pPr>
              <w:spacing w:after="0"/>
              <w:rPr>
                <w:sz w:val="14"/>
                <w:szCs w:val="1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0"/>
              </w:rPr>
              <w:t>Page</w:t>
            </w:r>
          </w:p>
        </w:tc>
        <w:tc>
          <w:tcPr>
            <w:tcW w:w="0" w:type="dxa"/>
            <w:vAlign w:val="bottom"/>
          </w:tcPr>
          <w:p>
            <w:pPr>
              <w:spacing w:after="0"/>
              <w:rPr>
                <w:sz w:val="1"/>
                <w:szCs w:val="1"/>
                <w:color w:val="auto"/>
              </w:rPr>
            </w:pPr>
          </w:p>
        </w:tc>
      </w:tr>
      <w:tr>
        <w:trPr>
          <w:trHeight w:val="174"/>
        </w:trPr>
        <w:tc>
          <w:tcPr>
            <w:tcW w:w="3000" w:type="dxa"/>
            <w:vAlign w:val="bottom"/>
            <w:tcBorders>
              <w:bottom w:val="single" w:sz="8" w:color="0000EE"/>
            </w:tcBorders>
            <w:gridSpan w:val="8"/>
            <w:vMerge w:val="continue"/>
          </w:tcPr>
          <w:p>
            <w:pPr>
              <w:spacing w:after="0"/>
              <w:rPr>
                <w:sz w:val="14"/>
                <w:szCs w:val="14"/>
                <w:color w:val="auto"/>
              </w:rPr>
            </w:pPr>
          </w:p>
        </w:tc>
        <w:tc>
          <w:tcPr>
            <w:tcW w:w="8140" w:type="dxa"/>
            <w:vAlign w:val="bottom"/>
            <w:gridSpan w:val="9"/>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0260" w:type="dxa"/>
            <w:vAlign w:val="bottom"/>
            <w:gridSpan w:val="16"/>
          </w:tcPr>
          <w:p>
            <w:pPr>
              <w:spacing w:after="0"/>
              <w:rPr>
                <w:rFonts w:ascii="Times New Roman" w:cs="Times New Roman" w:eastAsia="Times New Roman" w:hAnsi="Times New Roman"/>
                <w:sz w:val="18"/>
                <w:szCs w:val="18"/>
                <w:b w:val="1"/>
                <w:bCs w:val="1"/>
                <w:color w:val="0000EE"/>
              </w:rPr>
            </w:pPr>
            <w:hyperlink w:anchor="page6">
              <w:r>
                <w:rPr>
                  <w:rFonts w:ascii="Times New Roman" w:cs="Times New Roman" w:eastAsia="Times New Roman" w:hAnsi="Times New Roman"/>
                  <w:sz w:val="18"/>
                  <w:szCs w:val="18"/>
                  <w:b w:val="1"/>
                  <w:bCs w:val="1"/>
                  <w:color w:val="0000EE"/>
                </w:rPr>
                <w:t>Financial Statements</w:t>
              </w:r>
            </w:hyperlink>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51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7"/>
              </w:rPr>
            </w:pPr>
            <w:hyperlink w:anchor="page6">
              <w:r>
                <w:rPr>
                  <w:rFonts w:ascii="Times New Roman" w:cs="Times New Roman" w:eastAsia="Times New Roman" w:hAnsi="Times New Roman"/>
                  <w:sz w:val="18"/>
                  <w:szCs w:val="18"/>
                  <w:color w:val="0000EE"/>
                  <w:w w:val="97"/>
                </w:rPr>
                <w:t>Consolidated Balance Sheets at March 31, 2010 and December 31, 2009</w:t>
              </w:r>
            </w:hyperlink>
          </w:p>
        </w:tc>
        <w:tc>
          <w:tcPr>
            <w:tcW w:w="5160" w:type="dxa"/>
            <w:vAlign w:val="bottom"/>
            <w:gridSpan w:val="5"/>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10260" w:type="dxa"/>
            <w:vAlign w:val="bottom"/>
            <w:gridSpan w:val="16"/>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Consolidated Statements of Income for the Quarters Ended March 31, 2010 and 2009</w:t>
              </w:r>
            </w:hyperlink>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10260" w:type="dxa"/>
            <w:vAlign w:val="bottom"/>
            <w:gridSpan w:val="16"/>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Consolidated Statements of Shareholders’ Equity for the Quarters Ended March 31, 2010 and 2009</w:t>
              </w:r>
            </w:hyperlink>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6960" w:type="dxa"/>
            <w:vAlign w:val="bottom"/>
            <w:tcBorders>
              <w:top w:val="single" w:sz="8" w:color="0000EE"/>
            </w:tcBorders>
            <w:gridSpan w:val="15"/>
          </w:tcPr>
          <w:p>
            <w:pPr>
              <w:spacing w:after="0"/>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Consolidated Statements of Cash Flows for the Quarters Ended March 31, 2010 and 2009</w:t>
              </w:r>
            </w:hyperlink>
          </w:p>
        </w:tc>
        <w:tc>
          <w:tcPr>
            <w:tcW w:w="330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386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8"/>
                <w:szCs w:val="18"/>
                <w:color w:val="0000EE"/>
                <w:w w:val="97"/>
              </w:rPr>
            </w:pPr>
            <w:hyperlink w:anchor="page12">
              <w:r>
                <w:rPr>
                  <w:rFonts w:ascii="Times New Roman" w:cs="Times New Roman" w:eastAsia="Times New Roman" w:hAnsi="Times New Roman"/>
                  <w:sz w:val="18"/>
                  <w:szCs w:val="18"/>
                  <w:color w:val="0000EE"/>
                  <w:w w:val="97"/>
                </w:rPr>
                <w:t>Notes to Unaudited Consolidated Financial Statements</w:t>
              </w:r>
            </w:hyperlink>
          </w:p>
        </w:tc>
        <w:tc>
          <w:tcPr>
            <w:tcW w:w="2440" w:type="dxa"/>
            <w:vAlign w:val="bottom"/>
            <w:tcBorders>
              <w:top w:val="single" w:sz="8" w:color="0000EE"/>
            </w:tcBorders>
            <w:gridSpan w:val="5"/>
          </w:tcPr>
          <w:p>
            <w:pPr>
              <w:spacing w:after="0"/>
              <w:rPr>
                <w:sz w:val="24"/>
                <w:szCs w:val="24"/>
                <w:color w:val="auto"/>
              </w:rPr>
            </w:pPr>
          </w:p>
        </w:tc>
        <w:tc>
          <w:tcPr>
            <w:tcW w:w="3960" w:type="dxa"/>
            <w:vAlign w:val="bottom"/>
            <w:gridSpan w:val="3"/>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680" w:type="dxa"/>
            <w:vAlign w:val="bottom"/>
            <w:tcBorders>
              <w:bottom w:val="single" w:sz="8" w:color="0000EE"/>
            </w:tcBorders>
            <w:gridSpan w:val="14"/>
          </w:tcPr>
          <w:p>
            <w:pPr>
              <w:spacing w:after="0"/>
              <w:rPr>
                <w:rFonts w:ascii="Times New Roman" w:cs="Times New Roman" w:eastAsia="Times New Roman" w:hAnsi="Times New Roman"/>
                <w:sz w:val="18"/>
                <w:szCs w:val="18"/>
                <w:b w:val="1"/>
                <w:bCs w:val="1"/>
                <w:color w:val="0000EE"/>
                <w:w w:val="97"/>
              </w:rPr>
            </w:pPr>
            <w:hyperlink w:anchor="page20">
              <w:r>
                <w:rPr>
                  <w:rFonts w:ascii="Times New Roman" w:cs="Times New Roman" w:eastAsia="Times New Roman" w:hAnsi="Times New Roman"/>
                  <w:sz w:val="18"/>
                  <w:szCs w:val="18"/>
                  <w:b w:val="1"/>
                  <w:bCs w:val="1"/>
                  <w:color w:val="0000EE"/>
                  <w:w w:val="97"/>
                </w:rPr>
                <w:t>Management’s Discussion and Analysis of Financial Condition and Results of Operations</w:t>
              </w:r>
            </w:hyperlink>
          </w:p>
        </w:tc>
        <w:tc>
          <w:tcPr>
            <w:tcW w:w="3580" w:type="dxa"/>
            <w:vAlign w:val="bottom"/>
            <w:gridSpan w:val="2"/>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4520" w:type="dxa"/>
            <w:vAlign w:val="bottom"/>
            <w:tcBorders>
              <w:bottom w:val="single" w:sz="8" w:color="0000EE"/>
            </w:tcBorders>
            <w:gridSpan w:val="10"/>
          </w:tcPr>
          <w:p>
            <w:pPr>
              <w:spacing w:after="0"/>
              <w:rPr>
                <w:rFonts w:ascii="Times New Roman" w:cs="Times New Roman" w:eastAsia="Times New Roman" w:hAnsi="Times New Roman"/>
                <w:sz w:val="18"/>
                <w:szCs w:val="18"/>
                <w:b w:val="1"/>
                <w:bCs w:val="1"/>
                <w:color w:val="0000EE"/>
                <w:w w:val="97"/>
              </w:rPr>
            </w:pPr>
            <w:hyperlink w:anchor="page28">
              <w:r>
                <w:rPr>
                  <w:rFonts w:ascii="Times New Roman" w:cs="Times New Roman" w:eastAsia="Times New Roman" w:hAnsi="Times New Roman"/>
                  <w:sz w:val="18"/>
                  <w:szCs w:val="18"/>
                  <w:b w:val="1"/>
                  <w:bCs w:val="1"/>
                  <w:color w:val="0000EE"/>
                  <w:w w:val="97"/>
                </w:rPr>
                <w:t>Quantitative and Qualitative Disclosures about Market Risk</w:t>
              </w:r>
            </w:hyperlink>
          </w:p>
        </w:tc>
        <w:tc>
          <w:tcPr>
            <w:tcW w:w="5740" w:type="dxa"/>
            <w:vAlign w:val="bottom"/>
            <w:gridSpan w:val="6"/>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0260" w:type="dxa"/>
            <w:vAlign w:val="bottom"/>
            <w:gridSpan w:val="16"/>
          </w:tcPr>
          <w:p>
            <w:pPr>
              <w:spacing w:after="0"/>
              <w:rPr>
                <w:rFonts w:ascii="Times New Roman" w:cs="Times New Roman" w:eastAsia="Times New Roman" w:hAnsi="Times New Roman"/>
                <w:sz w:val="18"/>
                <w:szCs w:val="18"/>
                <w:b w:val="1"/>
                <w:bCs w:val="1"/>
                <w:color w:val="0000EE"/>
              </w:rPr>
            </w:pPr>
            <w:hyperlink w:anchor="page28">
              <w:r>
                <w:rPr>
                  <w:rFonts w:ascii="Times New Roman" w:cs="Times New Roman" w:eastAsia="Times New Roman" w:hAnsi="Times New Roman"/>
                  <w:sz w:val="18"/>
                  <w:szCs w:val="18"/>
                  <w:b w:val="1"/>
                  <w:bCs w:val="1"/>
                  <w:color w:val="0000EE"/>
                </w:rPr>
                <w:t>Controls and Procedures</w:t>
              </w:r>
            </w:hyperlink>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5800" w:type="dxa"/>
            <w:vAlign w:val="bottom"/>
            <w:gridSpan w:val="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17"/>
          </w:tcPr>
          <w:p>
            <w:pPr>
              <w:spacing w:after="0"/>
              <w:rPr>
                <w:rFonts w:ascii="Times New Roman" w:cs="Times New Roman" w:eastAsia="Times New Roman" w:hAnsi="Times New Roman"/>
                <w:sz w:val="18"/>
                <w:szCs w:val="18"/>
                <w:b w:val="1"/>
                <w:bCs w:val="1"/>
                <w:color w:val="0000EE"/>
              </w:rPr>
            </w:pPr>
            <w:hyperlink w:anchor="page28">
              <w:r>
                <w:rPr>
                  <w:rFonts w:ascii="Times New Roman" w:cs="Times New Roman" w:eastAsia="Times New Roman" w:hAnsi="Times New Roman"/>
                  <w:sz w:val="18"/>
                  <w:szCs w:val="18"/>
                  <w:b w:val="1"/>
                  <w:bCs w:val="1"/>
                  <w:color w:val="0000EE"/>
                </w:rPr>
                <w:t>PART II. OTHER INFORMATION</w:t>
              </w:r>
            </w:hyperlink>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04"/>
        </w:trPr>
        <w:tc>
          <w:tcPr>
            <w:tcW w:w="8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38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b w:val="1"/>
                <w:bCs w:val="1"/>
                <w:color w:val="0000EE"/>
                <w:w w:val="96"/>
              </w:rPr>
            </w:pPr>
            <w:hyperlink w:anchor="page28">
              <w:r>
                <w:rPr>
                  <w:rFonts w:ascii="Times New Roman" w:cs="Times New Roman" w:eastAsia="Times New Roman" w:hAnsi="Times New Roman"/>
                  <w:sz w:val="18"/>
                  <w:szCs w:val="18"/>
                  <w:b w:val="1"/>
                  <w:bCs w:val="1"/>
                  <w:color w:val="0000EE"/>
                  <w:w w:val="96"/>
                </w:rPr>
                <w:t>Legal Proceedings</w:t>
              </w:r>
            </w:hyperlink>
          </w:p>
        </w:tc>
        <w:tc>
          <w:tcPr>
            <w:tcW w:w="480" w:type="dxa"/>
            <w:vAlign w:val="bottom"/>
            <w:tcBorders>
              <w:top w:val="single" w:sz="8" w:color="0000EE"/>
            </w:tcBorders>
            <w:gridSpan w:val="2"/>
          </w:tcPr>
          <w:p>
            <w:pPr>
              <w:spacing w:after="0"/>
              <w:rPr>
                <w:sz w:val="24"/>
                <w:szCs w:val="24"/>
                <w:color w:val="auto"/>
              </w:rPr>
            </w:pPr>
          </w:p>
        </w:tc>
        <w:tc>
          <w:tcPr>
            <w:tcW w:w="8400" w:type="dxa"/>
            <w:vAlign w:val="bottom"/>
            <w:gridSpan w:val="10"/>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960" w:type="dxa"/>
            <w:vAlign w:val="bottom"/>
            <w:tcBorders>
              <w:bottom w:val="single" w:sz="8" w:color="0000EE"/>
            </w:tcBorders>
            <w:gridSpan w:val="3"/>
          </w:tcPr>
          <w:p>
            <w:pPr>
              <w:spacing w:after="0"/>
              <w:rPr>
                <w:rFonts w:ascii="Times New Roman" w:cs="Times New Roman" w:eastAsia="Times New Roman" w:hAnsi="Times New Roman"/>
                <w:sz w:val="18"/>
                <w:szCs w:val="18"/>
                <w:b w:val="1"/>
                <w:bCs w:val="1"/>
                <w:color w:val="0000EE"/>
                <w:w w:val="96"/>
              </w:rPr>
            </w:pPr>
            <w:hyperlink w:anchor="page28">
              <w:r>
                <w:rPr>
                  <w:rFonts w:ascii="Times New Roman" w:cs="Times New Roman" w:eastAsia="Times New Roman" w:hAnsi="Times New Roman"/>
                  <w:sz w:val="18"/>
                  <w:szCs w:val="18"/>
                  <w:b w:val="1"/>
                  <w:bCs w:val="1"/>
                  <w:color w:val="0000EE"/>
                  <w:w w:val="96"/>
                </w:rPr>
                <w:t>Risk Factors</w:t>
              </w:r>
            </w:hyperlink>
          </w:p>
        </w:tc>
        <w:tc>
          <w:tcPr>
            <w:tcW w:w="9300" w:type="dxa"/>
            <w:vAlign w:val="bottom"/>
            <w:gridSpan w:val="13"/>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10260" w:type="dxa"/>
            <w:vAlign w:val="bottom"/>
            <w:gridSpan w:val="16"/>
          </w:tcPr>
          <w:p>
            <w:pPr>
              <w:spacing w:after="0"/>
              <w:rPr>
                <w:rFonts w:ascii="Times New Roman" w:cs="Times New Roman" w:eastAsia="Times New Roman" w:hAnsi="Times New Roman"/>
                <w:sz w:val="18"/>
                <w:szCs w:val="18"/>
                <w:b w:val="1"/>
                <w:bCs w:val="1"/>
                <w:color w:val="0000EE"/>
              </w:rPr>
            </w:pPr>
            <w:hyperlink w:anchor="page29">
              <w:r>
                <w:rPr>
                  <w:rFonts w:ascii="Times New Roman" w:cs="Times New Roman" w:eastAsia="Times New Roman" w:hAnsi="Times New Roman"/>
                  <w:sz w:val="18"/>
                  <w:szCs w:val="18"/>
                  <w:b w:val="1"/>
                  <w:bCs w:val="1"/>
                  <w:color w:val="0000EE"/>
                </w:rPr>
                <w:t>Unregistered Sales of Equity Securities and Use of Proceeds</w:t>
              </w:r>
            </w:hyperlink>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64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b w:val="1"/>
                <w:bCs w:val="1"/>
                <w:color w:val="0000EE"/>
                <w:w w:val="96"/>
              </w:rPr>
            </w:pPr>
            <w:hyperlink w:anchor="page30">
              <w:r>
                <w:rPr>
                  <w:rFonts w:ascii="Times New Roman" w:cs="Times New Roman" w:eastAsia="Times New Roman" w:hAnsi="Times New Roman"/>
                  <w:sz w:val="18"/>
                  <w:szCs w:val="18"/>
                  <w:b w:val="1"/>
                  <w:bCs w:val="1"/>
                  <w:color w:val="0000EE"/>
                  <w:w w:val="96"/>
                </w:rPr>
                <w:t>Exhibits</w:t>
              </w:r>
            </w:hyperlink>
          </w:p>
        </w:tc>
        <w:tc>
          <w:tcPr>
            <w:tcW w:w="3820" w:type="dxa"/>
            <w:vAlign w:val="bottom"/>
            <w:tcBorders>
              <w:top w:val="single" w:sz="8" w:color="0000EE"/>
            </w:tcBorders>
            <w:gridSpan w:val="7"/>
          </w:tcPr>
          <w:p>
            <w:pPr>
              <w:spacing w:after="0"/>
              <w:rPr>
                <w:sz w:val="24"/>
                <w:szCs w:val="24"/>
                <w:color w:val="auto"/>
              </w:rPr>
            </w:pPr>
          </w:p>
        </w:tc>
        <w:tc>
          <w:tcPr>
            <w:tcW w:w="5800" w:type="dxa"/>
            <w:vAlign w:val="bottom"/>
            <w:gridSpan w:val="7"/>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04"/>
        </w:trPr>
        <w:tc>
          <w:tcPr>
            <w:tcW w:w="1140" w:type="dxa"/>
            <w:vAlign w:val="bottom"/>
            <w:tcBorders>
              <w:bottom w:val="single" w:sz="8" w:color="0000EE"/>
            </w:tcBorders>
            <w:gridSpan w:val="2"/>
          </w:tcPr>
          <w:p>
            <w:pPr>
              <w:spacing w:after="0"/>
              <w:rPr>
                <w:rFonts w:ascii="Times New Roman" w:cs="Times New Roman" w:eastAsia="Times New Roman" w:hAnsi="Times New Roman"/>
                <w:sz w:val="18"/>
                <w:szCs w:val="18"/>
                <w:b w:val="1"/>
                <w:bCs w:val="1"/>
                <w:color w:val="0000EE"/>
                <w:w w:val="95"/>
              </w:rPr>
            </w:pPr>
            <w:hyperlink w:anchor="page31">
              <w:r>
                <w:rPr>
                  <w:rFonts w:ascii="Times New Roman" w:cs="Times New Roman" w:eastAsia="Times New Roman" w:hAnsi="Times New Roman"/>
                  <w:sz w:val="18"/>
                  <w:szCs w:val="18"/>
                  <w:b w:val="1"/>
                  <w:bCs w:val="1"/>
                  <w:color w:val="0000EE"/>
                  <w:w w:val="95"/>
                </w:rPr>
                <w:t>SIGNATURES</w:t>
              </w:r>
            </w:hyperlink>
          </w:p>
        </w:tc>
        <w:tc>
          <w:tcPr>
            <w:tcW w:w="10000" w:type="dxa"/>
            <w:vAlign w:val="bottom"/>
            <w:gridSpan w:val="15"/>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383"/>
        </w:trPr>
        <w:tc>
          <w:tcPr>
            <w:tcW w:w="880" w:type="dxa"/>
            <w:vAlign w:val="bottom"/>
          </w:tcPr>
          <w:p>
            <w:pPr>
              <w:spacing w:after="0"/>
              <w:rPr>
                <w:sz w:val="24"/>
                <w:szCs w:val="24"/>
                <w:color w:val="auto"/>
              </w:rPr>
            </w:pPr>
          </w:p>
        </w:tc>
        <w:tc>
          <w:tcPr>
            <w:tcW w:w="5100" w:type="dxa"/>
            <w:vAlign w:val="bottom"/>
            <w:gridSpan w:val="11"/>
          </w:tcPr>
          <w:p>
            <w:pPr>
              <w:ind w:left="4800"/>
              <w:spacing w:after="0"/>
              <w:rPr>
                <w:sz w:val="20"/>
                <w:szCs w:val="20"/>
                <w:color w:val="auto"/>
              </w:rPr>
            </w:pPr>
            <w:r>
              <w:rPr>
                <w:rFonts w:ascii="Times New Roman" w:cs="Times New Roman" w:eastAsia="Times New Roman" w:hAnsi="Times New Roman"/>
                <w:sz w:val="18"/>
                <w:szCs w:val="18"/>
                <w:color w:val="auto"/>
              </w:rPr>
              <w:t>2</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Terms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Throughout this document, unless otherwise specified or the context otherwise requires:</w:t>
      </w:r>
    </w:p>
    <w:p>
      <w:pPr>
        <w:spacing w:after="0" w:line="90" w:lineRule="exact"/>
        <w:rPr>
          <w:sz w:val="20"/>
          <w:szCs w:val="20"/>
          <w:color w:val="auto"/>
        </w:rPr>
      </w:pPr>
    </w:p>
    <w:p>
      <w:pPr>
        <w:ind w:left="900" w:right="140" w:hanging="325"/>
        <w:spacing w:after="0" w:line="258"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“CME Group” refers to (1) CME Holdings and its subsidiaries prior to the completion of the merger between CME Holdings and CBOT Holdings, which occurred on July 12, 2007, (2) the combined company of CME Holdings and CBOT Holdings and their respective subsidiaries after July 12, 2007 and (3) the combined company of CME Holdings, CBOT Holdings and NYMEX Holdings as well as their respective subsidiaries after August 22, 2008;</w:t>
      </w:r>
    </w:p>
    <w:p>
      <w:pPr>
        <w:spacing w:after="0" w:line="55" w:lineRule="exact"/>
        <w:rPr>
          <w:rFonts w:ascii="Times New Roman" w:cs="Times New Roman" w:eastAsia="Times New Roman" w:hAnsi="Times New Roman"/>
          <w:sz w:val="18"/>
          <w:szCs w:val="18"/>
          <w:color w:val="auto"/>
        </w:rPr>
      </w:pPr>
    </w:p>
    <w:p>
      <w:pPr>
        <w:ind w:left="900" w:right="20" w:hanging="325"/>
        <w:spacing w:after="0" w:line="275"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“CME Holdings” refers to Chicago Mercantile Exchange Holdings Inc., which was the surviving corporation in its merger with CBOT Holdings and which was renamed CME Group Inc. in connection with the merger;</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“CME” refers to Chicago Mercantile Exchange Inc., a wholly-owned subsidiary of CME Group;</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“CBOT Holdings” refers to CBOT Holdings, Inc.;</w:t>
      </w:r>
    </w:p>
    <w:p>
      <w:pPr>
        <w:spacing w:after="0" w:line="90" w:lineRule="exact"/>
        <w:rPr>
          <w:rFonts w:ascii="Times New Roman" w:cs="Times New Roman" w:eastAsia="Times New Roman" w:hAnsi="Times New Roman"/>
          <w:sz w:val="18"/>
          <w:szCs w:val="18"/>
          <w:color w:val="auto"/>
        </w:rPr>
      </w:pPr>
    </w:p>
    <w:p>
      <w:pPr>
        <w:ind w:left="900" w:right="400" w:hanging="325"/>
        <w:spacing w:after="0" w:line="275"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“CBOT” refers to Board of Trade of the City of Chicago, Inc., which was a wholly-owned subsidiary of CBOT Holdings and became a wholly-owned subsidiary of CME Group on July 12, 2007;</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“NYMEX Holdings” refers to NYMEX Holdings, Inc.;</w:t>
      </w:r>
    </w:p>
    <w:p>
      <w:pPr>
        <w:spacing w:after="0" w:line="90" w:lineRule="exact"/>
        <w:rPr>
          <w:rFonts w:ascii="Times New Roman" w:cs="Times New Roman" w:eastAsia="Times New Roman" w:hAnsi="Times New Roman"/>
          <w:sz w:val="18"/>
          <w:szCs w:val="18"/>
          <w:color w:val="auto"/>
        </w:rPr>
      </w:pPr>
    </w:p>
    <w:p>
      <w:pPr>
        <w:ind w:left="900" w:right="220" w:hanging="325"/>
        <w:spacing w:after="0" w:line="310" w:lineRule="auto"/>
        <w:tabs>
          <w:tab w:leader="none" w:pos="9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“NYMEX” refers to New York Mercantile Exchange, Inc. and, unless otherwise indicated also refers to its subsidiary, Commodity Exchange, Inc. (COMEX), which were wholly-owned subsidiaries of NYMEX Holdings and became subsidiaries of CME Group on August 22, 2008 when NYMEX Holdings merged into CMEG NY Inc., a wholly-owned subsidiary of CME Group, which was renamed CMEG NYMEX Holdings Inc.;</w:t>
      </w:r>
    </w:p>
    <w:p>
      <w:pPr>
        <w:spacing w:after="0" w:line="16" w:lineRule="exact"/>
        <w:rPr>
          <w:rFonts w:ascii="Times New Roman" w:cs="Times New Roman" w:eastAsia="Times New Roman" w:hAnsi="Times New Roman"/>
          <w:sz w:val="16"/>
          <w:szCs w:val="16"/>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“Index Services” refers to CME Group Index Services LLC, which is 90% owned by CBOT;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refers to CME, CBOT and NYMEX, collectively;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and “our” refer to CME Group and its consolidated subsidiaries, collectively.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references to “options” or “options contracts” in the text of this document refer to options on futures contracts.</w:t>
      </w:r>
    </w:p>
    <w:p>
      <w:pPr>
        <w:spacing w:after="0" w:line="171"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8"/>
          <w:szCs w:val="18"/>
          <w:color w:val="auto"/>
        </w:rPr>
        <w:t>Unless otherwise indicated, references to CME Group products include references to exchange-traded products on one of its regulated exchanges (CME, CBOT, NYMEX and COMEX). Products listed in these exchanges are subject to the rules and regulations of the particular exchange and the applicable rulebook should be consulted.</w:t>
      </w:r>
    </w:p>
    <w:p>
      <w:pPr>
        <w:spacing w:after="0" w:line="132" w:lineRule="exact"/>
        <w:rPr>
          <w:sz w:val="20"/>
          <w:szCs w:val="20"/>
          <w:color w:val="auto"/>
        </w:rPr>
      </w:pPr>
    </w:p>
    <w:p>
      <w:pPr>
        <w:ind w:right="620"/>
        <w:spacing w:after="0" w:line="275" w:lineRule="auto"/>
        <w:rPr>
          <w:sz w:val="20"/>
          <w:szCs w:val="20"/>
          <w:color w:val="auto"/>
        </w:rPr>
      </w:pPr>
      <w:r>
        <w:rPr>
          <w:rFonts w:ascii="Times New Roman" w:cs="Times New Roman" w:eastAsia="Times New Roman" w:hAnsi="Times New Roman"/>
          <w:sz w:val="18"/>
          <w:szCs w:val="18"/>
          <w:color w:val="auto"/>
        </w:rPr>
        <w:t>Further information about CME Group and its products can be found at http://www.cmegroup.com. Information made available on our Web site does not constitute a part of this Report.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 Information</w:t>
      </w:r>
    </w:p>
    <w:p>
      <w:pPr>
        <w:spacing w:after="0" w:line="9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The Globe logo, CME, Chicago Mercantile Exchange, CME Group, Globex and E-mini, are trademarks of Chicago Mercantile Exchange Inc. CBOT and Chicago Board of Trade are trademarks of Board of Trade of the City of Chicago, Inc. NYMEX, New York Mercantile Exchange and ClearPort are trademarks of New York Mercantile Exchange, Inc. All other trademarks are the property of their respective owners.</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80"/>
          </w:cols>
          <w:pgMar w:left="240" w:top="455" w:right="27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From time to time, in this Quarterly Report on Form 10-Q as well as in other written reports and verbal statements, we discuss our expectations regarding future performance. These forward-looking statements are identified by their use of terms and phrases such as “believe,” “anticipate,” “could,” “estimate,” “intend,” “may,” “plan,” “expect” and similar expressions, including references to assumptions. These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 statements, whether as a result of new information, future events or otherwise. Among the factors that might affect our performance are:</w:t>
      </w:r>
    </w:p>
    <w:p>
      <w:pPr>
        <w:spacing w:after="0" w:line="57" w:lineRule="exact"/>
        <w:rPr>
          <w:sz w:val="20"/>
          <w:szCs w:val="20"/>
          <w:color w:val="auto"/>
        </w:rPr>
      </w:pPr>
    </w:p>
    <w:p>
      <w:pPr>
        <w:ind w:left="900" w:right="220" w:hanging="325"/>
        <w:spacing w:after="0" w:line="275"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competition by foreign and domestic entities, including increased competition from new entrants into our markets and consolidation of existing entities;</w:t>
      </w:r>
    </w:p>
    <w:p>
      <w:pPr>
        <w:spacing w:after="0" w:line="38" w:lineRule="exact"/>
        <w:rPr>
          <w:rFonts w:ascii="Times New Roman" w:cs="Times New Roman" w:eastAsia="Times New Roman" w:hAnsi="Times New Roman"/>
          <w:sz w:val="18"/>
          <w:szCs w:val="18"/>
          <w:color w:val="auto"/>
        </w:rPr>
      </w:pPr>
    </w:p>
    <w:p>
      <w:pPr>
        <w:ind w:left="900" w:right="560" w:hanging="325"/>
        <w:spacing w:after="0" w:line="275"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keep pace with rapid technological developments, including our ability to complete the development and implementation of the enhanced functionality required by our customers;</w:t>
      </w:r>
    </w:p>
    <w:p>
      <w:pPr>
        <w:spacing w:after="0" w:line="38" w:lineRule="exact"/>
        <w:rPr>
          <w:rFonts w:ascii="Times New Roman" w:cs="Times New Roman" w:eastAsia="Times New Roman" w:hAnsi="Times New Roman"/>
          <w:sz w:val="18"/>
          <w:szCs w:val="18"/>
          <w:color w:val="auto"/>
        </w:rPr>
      </w:pPr>
    </w:p>
    <w:p>
      <w:pPr>
        <w:ind w:left="900" w:right="140" w:hanging="325"/>
        <w:spacing w:after="0" w:line="275"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introducing competitive new products and services on a timely, cost-effective basis, including through our electronic trading capabilities, and our ability to maintain the competitiveness of our existing products and services;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adjust our fixed costs and expenses if our revenues decline;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from our processing services;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customers, develop strategic relationships and attract new customers;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and offer our products in foreign jurisdictions;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foreign regulations;</w:t>
      </w:r>
    </w:p>
    <w:p>
      <w:pPr>
        <w:spacing w:after="0" w:line="90" w:lineRule="exact"/>
        <w:rPr>
          <w:rFonts w:ascii="Times New Roman" w:cs="Times New Roman" w:eastAsia="Times New Roman" w:hAnsi="Times New Roman"/>
          <w:sz w:val="18"/>
          <w:szCs w:val="18"/>
          <w:color w:val="auto"/>
        </w:rPr>
      </w:pPr>
    </w:p>
    <w:p>
      <w:pPr>
        <w:ind w:left="900" w:right="200" w:hanging="325"/>
        <w:spacing w:after="0" w:line="26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policy, including policies relating to common or directed clearing and changes as a result of legislation stemming from the recent financial crisis, including the proposed regulatory reform of the over-the-counter derivatives and futures markets and any changes in the regulation of our industry with respect to speculative trading in commodity interests and derivative contracts;</w:t>
      </w:r>
    </w:p>
    <w:p>
      <w:pPr>
        <w:spacing w:after="0" w:line="51" w:lineRule="exact"/>
        <w:rPr>
          <w:rFonts w:ascii="Times New Roman" w:cs="Times New Roman" w:eastAsia="Times New Roman" w:hAnsi="Times New Roman"/>
          <w:sz w:val="18"/>
          <w:szCs w:val="18"/>
          <w:color w:val="auto"/>
        </w:rPr>
      </w:pPr>
    </w:p>
    <w:p>
      <w:pPr>
        <w:ind w:left="900" w:right="100" w:hanging="325"/>
        <w:spacing w:after="0" w:line="275"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protecting our intellectual property rights and our ability to operate our business without violating the intellectual property rights of others;</w:t>
      </w:r>
    </w:p>
    <w:p>
      <w:pPr>
        <w:spacing w:after="0" w:line="38" w:lineRule="exact"/>
        <w:rPr>
          <w:rFonts w:ascii="Times New Roman" w:cs="Times New Roman" w:eastAsia="Times New Roman" w:hAnsi="Times New Roman"/>
          <w:sz w:val="18"/>
          <w:szCs w:val="18"/>
          <w:color w:val="auto"/>
        </w:rPr>
      </w:pPr>
    </w:p>
    <w:p>
      <w:pPr>
        <w:ind w:left="900" w:right="220" w:hanging="325"/>
        <w:spacing w:after="0" w:line="275"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from our market data that may be reduced or eliminated by the growth of electronic trading, the state of the overall economy or declines in subscriptions;</w:t>
      </w:r>
    </w:p>
    <w:p>
      <w:pPr>
        <w:spacing w:after="0" w:line="38" w:lineRule="exact"/>
        <w:rPr>
          <w:rFonts w:ascii="Times New Roman" w:cs="Times New Roman" w:eastAsia="Times New Roman" w:hAnsi="Times New Roman"/>
          <w:sz w:val="18"/>
          <w:szCs w:val="18"/>
          <w:color w:val="auto"/>
        </w:rPr>
      </w:pPr>
    </w:p>
    <w:p>
      <w:pPr>
        <w:ind w:left="900" w:right="280" w:hanging="325"/>
        <w:spacing w:after="0" w:line="334" w:lineRule="auto"/>
        <w:tabs>
          <w:tab w:leader="none" w:pos="9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w:t>
      </w:r>
    </w:p>
    <w:p>
      <w:pPr>
        <w:spacing w:after="0" w:line="1" w:lineRule="exact"/>
        <w:rPr>
          <w:rFonts w:ascii="Times New Roman" w:cs="Times New Roman" w:eastAsia="Times New Roman" w:hAnsi="Times New Roman"/>
          <w:sz w:val="16"/>
          <w:szCs w:val="16"/>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financial safeguards package to adequately protect us from the credit risks of clearing members;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compliance and risk management methods to effectively monitor and manage our risks;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price levels and volatility in the derivatives markets and in underlying fixed income, equity, foreign exchange and commodities markets;</w:t>
      </w:r>
    </w:p>
    <w:p>
      <w:pPr>
        <w:spacing w:after="0" w:line="113" w:lineRule="exact"/>
        <w:rPr>
          <w:rFonts w:ascii="Times New Roman" w:cs="Times New Roman" w:eastAsia="Times New Roman" w:hAnsi="Times New Roman"/>
          <w:sz w:val="16"/>
          <w:szCs w:val="16"/>
          <w:color w:val="auto"/>
        </w:rPr>
      </w:pPr>
    </w:p>
    <w:p>
      <w:pPr>
        <w:ind w:left="900" w:right="580" w:hanging="325"/>
        <w:spacing w:after="0" w:line="275"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and market conditions, including the recent volatility of the capital and credit markets and the impact of recent economic conditions on the trading activity of our current and potential customers;</w:t>
      </w:r>
    </w:p>
    <w:p>
      <w:pPr>
        <w:spacing w:after="0" w:line="38" w:lineRule="exact"/>
        <w:rPr>
          <w:rFonts w:ascii="Times New Roman" w:cs="Times New Roman" w:eastAsia="Times New Roman" w:hAnsi="Times New Roman"/>
          <w:sz w:val="18"/>
          <w:szCs w:val="18"/>
          <w:color w:val="auto"/>
        </w:rPr>
      </w:pPr>
    </w:p>
    <w:p>
      <w:pPr>
        <w:ind w:left="900" w:right="560" w:hanging="325"/>
        <w:spacing w:after="0" w:line="275"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accommodate increases in trading volume and order transaction traffic without failure or degradation of the performance of our systems;</w:t>
      </w:r>
    </w:p>
    <w:p>
      <w:pPr>
        <w:spacing w:after="0" w:line="1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60"/>
          </w:cols>
          <w:pgMar w:left="240" w:top="455" w:right="29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growth strategy and maintain our growth effectively;</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the risks and control the costs associated with our acquisition, investment and alliance strategy;</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generate funds and/or manage our indebtedness to allow us to continue to invest in our business;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and customer consolidation;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trading and clearing activity;</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imposition of a transaction tax on futures and options on futures transactions and/or repeal of the 60/40 tax treatment of such transactions;</w:t>
      </w:r>
    </w:p>
    <w:p>
      <w:pPr>
        <w:spacing w:after="0" w:line="113" w:lineRule="exact"/>
        <w:rPr>
          <w:rFonts w:ascii="Times New Roman" w:cs="Times New Roman" w:eastAsia="Times New Roman" w:hAnsi="Times New Roman"/>
          <w:sz w:val="16"/>
          <w:szCs w:val="16"/>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unfavorable resolution of material legal proceedings;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seasonality of the futures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detailed discussion of these and other factors that might affect our performance, see Item 1A. of this Report.</w:t>
      </w:r>
    </w:p>
    <w:p>
      <w:pPr>
        <w:spacing w:after="0" w:line="15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40"/>
          </w:cols>
          <w:pgMar w:left="240" w:top="455" w:right="81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84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SUPPLEMENTARY DATA</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0" w:type="dxa"/>
            <w:vAlign w:val="bottom"/>
          </w:tcPr>
          <w:p>
            <w:pPr>
              <w:jc w:val="center"/>
              <w:ind w:left="1032"/>
              <w:spacing w:after="0"/>
              <w:rPr>
                <w:sz w:val="20"/>
                <w:szCs w:val="20"/>
                <w:color w:val="auto"/>
              </w:rPr>
            </w:pPr>
            <w:r>
              <w:rPr>
                <w:rFonts w:ascii="Times New Roman" w:cs="Times New Roman" w:eastAsia="Times New Roman" w:hAnsi="Times New Roman"/>
                <w:sz w:val="18"/>
                <w:szCs w:val="18"/>
                <w:b w:val="1"/>
                <w:bCs w:val="1"/>
                <w:color w:val="auto"/>
                <w:w w:val="97"/>
              </w:rPr>
              <w:t>CME GROUP INC. AND SUBSIDIARIES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0" w:type="dxa"/>
            <w:vAlign w:val="bottom"/>
          </w:tcPr>
          <w:p>
            <w:pPr>
              <w:jc w:val="center"/>
              <w:ind w:left="1032"/>
              <w:spacing w:after="0"/>
              <w:rPr>
                <w:sz w:val="20"/>
                <w:szCs w:val="20"/>
                <w:color w:val="auto"/>
              </w:rPr>
            </w:pPr>
            <w:r>
              <w:rPr>
                <w:rFonts w:ascii="Times New Roman" w:cs="Times New Roman" w:eastAsia="Times New Roman" w:hAnsi="Times New Roman"/>
                <w:sz w:val="18"/>
                <w:szCs w:val="18"/>
                <w:b w:val="1"/>
                <w:bCs w:val="1"/>
                <w:color w:val="auto"/>
                <w:w w:val="97"/>
              </w:rPr>
              <w:t>CONSOLIDATED BALANCE SHEETS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0" w:type="dxa"/>
            <w:vAlign w:val="bottom"/>
          </w:tcPr>
          <w:p>
            <w:pPr>
              <w:jc w:val="center"/>
              <w:ind w:left="1012"/>
              <w:spacing w:after="0"/>
              <w:rPr>
                <w:sz w:val="20"/>
                <w:szCs w:val="20"/>
                <w:color w:val="auto"/>
              </w:rPr>
            </w:pPr>
            <w:r>
              <w:rPr>
                <w:rFonts w:ascii="Times New Roman" w:cs="Times New Roman" w:eastAsia="Times New Roman" w:hAnsi="Times New Roman"/>
                <w:sz w:val="18"/>
                <w:szCs w:val="18"/>
                <w:color w:val="auto"/>
                <w:w w:val="97"/>
              </w:rPr>
              <w:t>(dollars in millions, except per share data; shares in thousands)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0" w:type="dxa"/>
            <w:vAlign w:val="bottom"/>
          </w:tcPr>
          <w:p>
            <w:pPr>
              <w:jc w:val="center"/>
              <w:ind w:left="1012"/>
              <w:spacing w:after="0"/>
              <w:rPr>
                <w:sz w:val="20"/>
                <w:szCs w:val="20"/>
                <w:color w:val="auto"/>
              </w:rPr>
            </w:pPr>
            <w:r>
              <w:rPr>
                <w:rFonts w:ascii="Times New Roman" w:cs="Times New Roman" w:eastAsia="Times New Roman" w:hAnsi="Times New Roman"/>
                <w:sz w:val="18"/>
                <w:szCs w:val="18"/>
                <w:color w:val="auto"/>
                <w:w w:val="98"/>
              </w:rPr>
              <w:t>(unaudited)</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2010</w:t>
            </w: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Marketable securities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receivable, net of allowance of $1.4 and $1.9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performance bonds and security deposits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4,510.1</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5,981.9</w:t>
            </w:r>
          </w:p>
        </w:tc>
        <w:tc>
          <w:tcPr>
            <w:tcW w:w="0" w:type="dxa"/>
            <w:vAlign w:val="bottom"/>
          </w:tcPr>
          <w:p>
            <w:pPr>
              <w:spacing w:after="0"/>
              <w:rPr>
                <w:sz w:val="1"/>
                <w:szCs w:val="1"/>
                <w:color w:val="auto"/>
              </w:rPr>
            </w:pPr>
          </w:p>
        </w:tc>
      </w:tr>
      <w:tr>
        <w:trPr>
          <w:trHeight w:val="222"/>
        </w:trPr>
        <w:tc>
          <w:tcPr>
            <w:tcW w:w="9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5,483.0</w:t>
            </w: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net of amortization of $573.4 and $546.1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734.7</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 trading products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17,038.0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 other,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8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7,978.6</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8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435.8</w:t>
            </w:r>
          </w:p>
        </w:tc>
        <w:tc>
          <w:tcPr>
            <w:tcW w:w="0" w:type="dxa"/>
            <w:vAlign w:val="bottom"/>
          </w:tcPr>
          <w:p>
            <w:pPr>
              <w:spacing w:after="0"/>
              <w:rPr>
                <w:sz w:val="1"/>
                <w:szCs w:val="1"/>
                <w:color w:val="auto"/>
              </w:rPr>
            </w:pPr>
          </w:p>
        </w:tc>
      </w:tr>
      <w:tr>
        <w:trPr>
          <w:trHeight w:val="223"/>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35,202.4</w:t>
            </w: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35,651.0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8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Short-term debt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Cash performance bonds and security deposits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4,510.1</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5,163.9</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2,823.8</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7,787.4</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7,645.9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15,945.4</w:t>
            </w: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9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Preferred stock, $0.01 par value, 9,860 shares authorized, none issued or outstanding</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Series A junior participating preferred stock, $0.01 par value, 140 shares authorized, none issued or outstanding</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40" w:type="dxa"/>
            <w:vAlign w:val="bottom"/>
            <w:gridSpan w:val="2"/>
          </w:tcPr>
          <w:p>
            <w:pPr>
              <w:ind w:left="420"/>
              <w:spacing w:after="0" w:line="201" w:lineRule="exact"/>
              <w:rPr>
                <w:sz w:val="20"/>
                <w:szCs w:val="20"/>
                <w:color w:val="auto"/>
              </w:rPr>
            </w:pPr>
            <w:r>
              <w:rPr>
                <w:rFonts w:ascii="Times New Roman" w:cs="Times New Roman" w:eastAsia="Times New Roman" w:hAnsi="Times New Roman"/>
                <w:sz w:val="18"/>
                <w:szCs w:val="18"/>
                <w:color w:val="auto"/>
              </w:rPr>
              <w:t>Class A common stock, $0.01 par value, 1,000,000 shares authorized, 65,601 and 66,511 shares issued and outstanding as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3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of March 31, 2010 and December 31, 2009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Class B common stock, $0.01 par value, 3 shares authorized, issued and outstanding</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16,918.6</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Retained earnings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2,404.2</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(133.8)</w:t>
            </w:r>
          </w:p>
        </w:tc>
        <w:tc>
          <w:tcPr>
            <w:tcW w:w="14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19,189.7</w:t>
            </w:r>
          </w:p>
        </w:tc>
        <w:tc>
          <w:tcPr>
            <w:tcW w:w="4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35,202.4</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35,651.0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4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Clearing and transaction fees</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578.0</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data and information services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Access and communication fees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23"/>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693.2</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10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Technology support services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 and outside services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Occupancy and building operations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Licensing and other fee agreements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23"/>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2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10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386.4</w:t>
            </w:r>
          </w:p>
        </w:tc>
        <w:tc>
          <w:tcPr>
            <w:tcW w:w="0" w:type="dxa"/>
            <w:vAlign w:val="bottom"/>
          </w:tcPr>
          <w:p>
            <w:pPr>
              <w:spacing w:after="0"/>
              <w:rPr>
                <w:sz w:val="1"/>
                <w:szCs w:val="1"/>
                <w:color w:val="auto"/>
              </w:rPr>
            </w:pPr>
          </w:p>
        </w:tc>
      </w:tr>
      <w:tr>
        <w:trPr>
          <w:trHeight w:val="322"/>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Gains (losses) on derivative investments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lending interest income</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Securities lending interest and other costs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borrowing costs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Equity in losses of unconsolidated subsidiaries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Non-Operating</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329"/>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6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4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151.4</w:t>
            </w:r>
          </w:p>
        </w:tc>
        <w:tc>
          <w:tcPr>
            <w:tcW w:w="0" w:type="dxa"/>
            <w:vAlign w:val="bottom"/>
          </w:tcPr>
          <w:p>
            <w:pPr>
              <w:spacing w:after="0"/>
              <w:rPr>
                <w:sz w:val="1"/>
                <w:szCs w:val="1"/>
                <w:color w:val="auto"/>
              </w:rPr>
            </w:pPr>
          </w:p>
        </w:tc>
      </w:tr>
      <w:tr>
        <w:trPr>
          <w:trHeight w:val="222"/>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loss attributable to redeemable non-controlling interest</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CME Group</w:t>
            </w:r>
          </w:p>
        </w:tc>
        <w:tc>
          <w:tcPr>
            <w:tcW w:w="2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1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Common Share Attributable to CME Group:</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Diluted</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323"/>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w:t>
            </w: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66,234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66,302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Diluted</w:t>
            </w: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66,428</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66,439</w:t>
            </w: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4"/>
              </w:rPr>
              <w:t>Common</w:t>
            </w: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5260" w:type="dxa"/>
            <w:vAlign w:val="bottom"/>
          </w:tcPr>
          <w:p>
            <w:pPr>
              <w:spacing w:after="0"/>
              <w:rPr>
                <w:sz w:val="12"/>
                <w:szCs w:val="12"/>
                <w:color w:val="auto"/>
              </w:rPr>
            </w:pPr>
          </w:p>
        </w:tc>
        <w:tc>
          <w:tcPr>
            <w:tcW w:w="94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Class A</w:t>
            </w:r>
          </w:p>
        </w:tc>
        <w:tc>
          <w:tcPr>
            <w:tcW w:w="7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Class B</w:t>
            </w:r>
          </w:p>
        </w:tc>
        <w:tc>
          <w:tcPr>
            <w:tcW w:w="14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Stock and</w:t>
            </w: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Accumulated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260" w:type="dxa"/>
            <w:vAlign w:val="bottom"/>
          </w:tcPr>
          <w:p>
            <w:pPr>
              <w:spacing w:after="0"/>
              <w:rPr>
                <w:sz w:val="12"/>
                <w:szCs w:val="12"/>
                <w:color w:val="auto"/>
              </w:rPr>
            </w:pPr>
          </w:p>
        </w:tc>
        <w:tc>
          <w:tcPr>
            <w:tcW w:w="94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7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Common</w:t>
            </w: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Additional</w:t>
            </w: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49"/>
        </w:trPr>
        <w:tc>
          <w:tcPr>
            <w:tcW w:w="5260" w:type="dxa"/>
            <w:vAlign w:val="bottom"/>
          </w:tcPr>
          <w:p>
            <w:pPr>
              <w:spacing w:after="0"/>
              <w:rPr>
                <w:sz w:val="12"/>
                <w:szCs w:val="12"/>
                <w:color w:val="auto"/>
              </w:rPr>
            </w:pPr>
          </w:p>
        </w:tc>
        <w:tc>
          <w:tcPr>
            <w:tcW w:w="94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7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Paid-in</w:t>
            </w:r>
          </w:p>
        </w:tc>
        <w:tc>
          <w:tcPr>
            <w:tcW w:w="104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1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18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r>
      <w:tr>
        <w:trPr>
          <w:trHeight w:val="165"/>
        </w:trPr>
        <w:tc>
          <w:tcPr>
            <w:tcW w:w="526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(Shares)</w:t>
            </w:r>
          </w:p>
        </w:tc>
        <w:tc>
          <w:tcPr>
            <w:tcW w:w="400" w:type="dxa"/>
            <w:vAlign w:val="bottom"/>
            <w:gridSpan w:val="2"/>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(Shares)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40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42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Income (Loss)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4"/>
                <w:szCs w:val="14"/>
                <w:color w:val="auto"/>
              </w:rPr>
            </w:pPr>
          </w:p>
        </w:tc>
      </w:tr>
      <w:tr>
        <w:trPr>
          <w:trHeight w:val="210"/>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2009</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66,511</w:t>
            </w: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$17,187.3</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$2,239.9</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(126.2)</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19,301.0</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income</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240.2</w:t>
            </w:r>
          </w:p>
        </w:tc>
      </w:tr>
      <w:tr>
        <w:trPr>
          <w:trHeight w:val="216"/>
        </w:trPr>
        <w:tc>
          <w:tcPr>
            <w:tcW w:w="5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Change in net unrealized loss on securities, net of tax $1.8</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r>
      <w:tr>
        <w:trPr>
          <w:trHeight w:val="202"/>
        </w:trPr>
        <w:tc>
          <w:tcPr>
            <w:tcW w:w="5260" w:type="dxa"/>
            <w:vAlign w:val="bottom"/>
            <w:shd w:val="clear" w:color="auto" w:fill="CCEEFF"/>
          </w:tcPr>
          <w:p>
            <w:pPr>
              <w:ind w:left="440"/>
              <w:spacing w:after="0" w:line="201" w:lineRule="exact"/>
              <w:rPr>
                <w:sz w:val="20"/>
                <w:szCs w:val="20"/>
                <w:color w:val="auto"/>
              </w:rPr>
            </w:pPr>
            <w:r>
              <w:rPr>
                <w:rFonts w:ascii="Times New Roman" w:cs="Times New Roman" w:eastAsia="Times New Roman" w:hAnsi="Times New Roman"/>
                <w:sz w:val="18"/>
                <w:szCs w:val="18"/>
                <w:color w:val="auto"/>
              </w:rPr>
              <w:t>Change in net actuarial loss on defined benefit plans, net of tax</w:t>
            </w: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2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of $0.6</w:t>
            </w:r>
          </w:p>
        </w:tc>
        <w:tc>
          <w:tcPr>
            <w:tcW w:w="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5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Change in net unrealized loss on derivatives, net of tax of $0.1</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r>
      <w:tr>
        <w:trPr>
          <w:trHeight w:val="202"/>
        </w:trPr>
        <w:tc>
          <w:tcPr>
            <w:tcW w:w="5260" w:type="dxa"/>
            <w:vAlign w:val="bottom"/>
            <w:shd w:val="clear" w:color="auto" w:fill="CCEEFF"/>
          </w:tcPr>
          <w:p>
            <w:pPr>
              <w:ind w:left="440"/>
              <w:spacing w:after="0" w:line="201" w:lineRule="exact"/>
              <w:rPr>
                <w:sz w:val="20"/>
                <w:szCs w:val="20"/>
                <w:color w:val="auto"/>
              </w:rPr>
            </w:pPr>
            <w:r>
              <w:rPr>
                <w:rFonts w:ascii="Times New Roman" w:cs="Times New Roman" w:eastAsia="Times New Roman" w:hAnsi="Times New Roman"/>
                <w:sz w:val="18"/>
                <w:szCs w:val="18"/>
                <w:color w:val="auto"/>
              </w:rPr>
              <w:t>Change in foreign currency translation adjustment, net of tax of</w:t>
            </w: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2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$2.2</w:t>
            </w:r>
          </w:p>
        </w:tc>
        <w:tc>
          <w:tcPr>
            <w:tcW w:w="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r>
      <w:tr>
        <w:trPr>
          <w:trHeight w:val="222"/>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100" w:type="dxa"/>
            <w:vAlign w:val="bottom"/>
          </w:tcPr>
          <w:p>
            <w:pPr>
              <w:spacing w:after="0"/>
              <w:rPr>
                <w:sz w:val="19"/>
                <w:szCs w:val="19"/>
                <w:color w:val="auto"/>
              </w:rPr>
            </w:pPr>
          </w:p>
        </w:tc>
      </w:tr>
      <w:tr>
        <w:trPr>
          <w:trHeight w:val="217"/>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on common stock of $1.15 per share</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(75.9)</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(75.9)</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Class A common stock</w:t>
            </w:r>
          </w:p>
        </w:tc>
        <w:tc>
          <w:tcPr>
            <w:tcW w:w="9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(936)</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(281.8)</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(281.8)</w:t>
            </w: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Excess tax benefits from option exercises and restricted stock vesting</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54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4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8"/>
                <w:szCs w:val="18"/>
                <w:color w:val="auto"/>
              </w:rPr>
            </w:pPr>
          </w:p>
        </w:tc>
      </w:tr>
      <w:tr>
        <w:trPr>
          <w:trHeight w:val="223"/>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2010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65,601</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w w:val="74"/>
              </w:rPr>
              <w:t>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7"/>
              </w:rPr>
              <w:t>$</w:t>
            </w:r>
            <w:r>
              <w:rPr>
                <w:rFonts w:ascii="Times New Roman" w:cs="Times New Roman" w:eastAsia="Times New Roman" w:hAnsi="Times New Roman"/>
                <w:sz w:val="18"/>
                <w:szCs w:val="18"/>
                <w:b w:val="1"/>
                <w:bCs w:val="1"/>
                <w:color w:val="auto"/>
                <w:w w:val="97"/>
              </w:rPr>
              <w:t>16,919.3</w:t>
            </w:r>
          </w:p>
        </w:tc>
        <w:tc>
          <w:tcPr>
            <w:tcW w:w="4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5"/>
              </w:rPr>
              <w:t>$</w:t>
            </w:r>
            <w:r>
              <w:rPr>
                <w:rFonts w:ascii="Times New Roman" w:cs="Times New Roman" w:eastAsia="Times New Roman" w:hAnsi="Times New Roman"/>
                <w:sz w:val="18"/>
                <w:szCs w:val="18"/>
                <w:b w:val="1"/>
                <w:bCs w:val="1"/>
                <w:color w:val="auto"/>
                <w:w w:val="95"/>
              </w:rPr>
              <w:t>2,404.2</w:t>
            </w:r>
          </w:p>
        </w:tc>
        <w:tc>
          <w:tcPr>
            <w:tcW w:w="4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(133.8)</w:t>
            </w:r>
          </w:p>
        </w:tc>
        <w:tc>
          <w:tcPr>
            <w:tcW w:w="1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19,189.7</w:t>
            </w:r>
          </w:p>
        </w:tc>
        <w:tc>
          <w:tcPr>
            <w:tcW w:w="100" w:type="dxa"/>
            <w:vAlign w:val="bottom"/>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left="260" w:right="26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CME GROUP INC. AND SUBSIDIARIES CONSOLIDATED STATEMENTS OF SHAREHOLDERS’ EQUITY </w:t>
      </w:r>
      <w:r>
        <w:rPr>
          <w:rFonts w:ascii="Times New Roman" w:cs="Times New Roman" w:eastAsia="Times New Roman" w:hAnsi="Times New Roman"/>
          <w:sz w:val="18"/>
          <w:szCs w:val="18"/>
          <w:color w:val="auto"/>
        </w:rPr>
        <w:t>(continued)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(dollars in millions, except per share data; shares in thousands) (unaudited)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4"/>
              </w:rPr>
              <w:t>Common</w:t>
            </w: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5260" w:type="dxa"/>
            <w:vAlign w:val="bottom"/>
          </w:tcPr>
          <w:p>
            <w:pPr>
              <w:spacing w:after="0"/>
              <w:rPr>
                <w:sz w:val="12"/>
                <w:szCs w:val="12"/>
                <w:color w:val="auto"/>
              </w:rPr>
            </w:pPr>
          </w:p>
        </w:tc>
        <w:tc>
          <w:tcPr>
            <w:tcW w:w="94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Class A</w:t>
            </w:r>
          </w:p>
        </w:tc>
        <w:tc>
          <w:tcPr>
            <w:tcW w:w="7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Class B</w:t>
            </w:r>
          </w:p>
        </w:tc>
        <w:tc>
          <w:tcPr>
            <w:tcW w:w="14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Stock and</w:t>
            </w: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Accumulated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260" w:type="dxa"/>
            <w:vAlign w:val="bottom"/>
          </w:tcPr>
          <w:p>
            <w:pPr>
              <w:spacing w:after="0"/>
              <w:rPr>
                <w:sz w:val="12"/>
                <w:szCs w:val="12"/>
                <w:color w:val="auto"/>
              </w:rPr>
            </w:pPr>
          </w:p>
        </w:tc>
        <w:tc>
          <w:tcPr>
            <w:tcW w:w="94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7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Common</w:t>
            </w: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Additional</w:t>
            </w: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49"/>
        </w:trPr>
        <w:tc>
          <w:tcPr>
            <w:tcW w:w="5260" w:type="dxa"/>
            <w:vAlign w:val="bottom"/>
          </w:tcPr>
          <w:p>
            <w:pPr>
              <w:spacing w:after="0"/>
              <w:rPr>
                <w:sz w:val="12"/>
                <w:szCs w:val="12"/>
                <w:color w:val="auto"/>
              </w:rPr>
            </w:pPr>
          </w:p>
        </w:tc>
        <w:tc>
          <w:tcPr>
            <w:tcW w:w="94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7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Paid-in</w:t>
            </w:r>
          </w:p>
        </w:tc>
        <w:tc>
          <w:tcPr>
            <w:tcW w:w="104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1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18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r>
      <w:tr>
        <w:trPr>
          <w:trHeight w:val="165"/>
        </w:trPr>
        <w:tc>
          <w:tcPr>
            <w:tcW w:w="526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(Shares)</w:t>
            </w:r>
          </w:p>
        </w:tc>
        <w:tc>
          <w:tcPr>
            <w:tcW w:w="400" w:type="dxa"/>
            <w:vAlign w:val="bottom"/>
            <w:gridSpan w:val="2"/>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(Shares)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40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42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Income (Loss)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4"/>
                <w:szCs w:val="14"/>
                <w:color w:val="auto"/>
              </w:rPr>
            </w:pPr>
          </w:p>
        </w:tc>
      </w:tr>
      <w:tr>
        <w:trPr>
          <w:trHeight w:val="210"/>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2008</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66,417</w:t>
            </w: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$17,129.2</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$1,719.7</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(160.3)</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18,688.6</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income</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199.1</w:t>
            </w:r>
          </w:p>
        </w:tc>
      </w:tr>
      <w:tr>
        <w:trPr>
          <w:trHeight w:val="216"/>
        </w:trPr>
        <w:tc>
          <w:tcPr>
            <w:tcW w:w="5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Change in net unrealized loss on securities, net of tax of $2.8</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r>
      <w:tr>
        <w:trPr>
          <w:trHeight w:val="202"/>
        </w:trPr>
        <w:tc>
          <w:tcPr>
            <w:tcW w:w="5260" w:type="dxa"/>
            <w:vAlign w:val="bottom"/>
            <w:shd w:val="clear" w:color="auto" w:fill="CCEEFF"/>
          </w:tcPr>
          <w:p>
            <w:pPr>
              <w:ind w:left="440"/>
              <w:spacing w:after="0" w:line="201" w:lineRule="exact"/>
              <w:rPr>
                <w:sz w:val="20"/>
                <w:szCs w:val="20"/>
                <w:color w:val="auto"/>
              </w:rPr>
            </w:pPr>
            <w:r>
              <w:rPr>
                <w:rFonts w:ascii="Times New Roman" w:cs="Times New Roman" w:eastAsia="Times New Roman" w:hAnsi="Times New Roman"/>
                <w:sz w:val="18"/>
                <w:szCs w:val="18"/>
                <w:color w:val="auto"/>
              </w:rPr>
              <w:t>Change in net actuarial loss on defined benefit plans, net of tax</w:t>
            </w: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2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of $0.9</w:t>
            </w:r>
          </w:p>
        </w:tc>
        <w:tc>
          <w:tcPr>
            <w:tcW w:w="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5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Change in net unrealized loss on derivatives, net of tax of $0.9</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02"/>
        </w:trPr>
        <w:tc>
          <w:tcPr>
            <w:tcW w:w="5260" w:type="dxa"/>
            <w:vAlign w:val="bottom"/>
            <w:shd w:val="clear" w:color="auto" w:fill="CCEEFF"/>
          </w:tcPr>
          <w:p>
            <w:pPr>
              <w:ind w:left="440"/>
              <w:spacing w:after="0" w:line="201" w:lineRule="exact"/>
              <w:rPr>
                <w:sz w:val="20"/>
                <w:szCs w:val="20"/>
                <w:color w:val="auto"/>
              </w:rPr>
            </w:pPr>
            <w:r>
              <w:rPr>
                <w:rFonts w:ascii="Times New Roman" w:cs="Times New Roman" w:eastAsia="Times New Roman" w:hAnsi="Times New Roman"/>
                <w:sz w:val="18"/>
                <w:szCs w:val="18"/>
                <w:color w:val="auto"/>
              </w:rPr>
              <w:t>Change in foreign currency translation adjustment, net of tax of</w:t>
            </w: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2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$0.6</w:t>
            </w:r>
          </w:p>
        </w:tc>
        <w:tc>
          <w:tcPr>
            <w:tcW w:w="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22"/>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r>
      <w:tr>
        <w:trPr>
          <w:trHeight w:val="217"/>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on common stock of $1.15 per share</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(76.3)</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(76.3)</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Class A common stock</w:t>
            </w:r>
          </w:p>
        </w:tc>
        <w:tc>
          <w:tcPr>
            <w:tcW w:w="9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(139)</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(27.0)</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w:t>
            </w: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Excess tax benefits from option exercises and restricted stock vesting</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issued restricted Class A common stock</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to Board of Directors</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54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8"/>
                <w:szCs w:val="18"/>
                <w:color w:val="auto"/>
              </w:rPr>
            </w:pPr>
          </w:p>
        </w:tc>
      </w:tr>
      <w:tr>
        <w:trPr>
          <w:trHeight w:val="223"/>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2009</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66,300</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74"/>
              </w:rPr>
              <w:t>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 xml:space="preserve"> 17,113.6</w:t>
            </w:r>
          </w:p>
        </w:tc>
        <w:tc>
          <w:tcPr>
            <w:tcW w:w="4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1,842.5</w:t>
            </w:r>
          </w:p>
        </w:tc>
        <w:tc>
          <w:tcPr>
            <w:tcW w:w="4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(157.0)</w:t>
            </w:r>
          </w:p>
        </w:tc>
        <w:tc>
          <w:tcPr>
            <w:tcW w:w="1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18,799.1</w:t>
            </w:r>
          </w:p>
        </w:tc>
        <w:tc>
          <w:tcPr>
            <w:tcW w:w="100" w:type="dxa"/>
            <w:vAlign w:val="bottom"/>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760" w:type="dxa"/>
            <w:vAlign w:val="bottom"/>
          </w:tcPr>
          <w:p>
            <w:pPr>
              <w:spacing w:after="0"/>
              <w:rPr>
                <w:sz w:val="13"/>
                <w:szCs w:val="13"/>
                <w:color w:val="auto"/>
              </w:rPr>
            </w:pPr>
          </w:p>
        </w:tc>
        <w:tc>
          <w:tcPr>
            <w:tcW w:w="164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760" w:type="dxa"/>
            <w:vAlign w:val="bottom"/>
          </w:tcPr>
          <w:p>
            <w:pPr>
              <w:spacing w:after="0"/>
              <w:rPr>
                <w:sz w:val="14"/>
                <w:szCs w:val="14"/>
                <w:color w:val="auto"/>
              </w:rPr>
            </w:pPr>
          </w:p>
        </w:tc>
        <w:tc>
          <w:tcPr>
            <w:tcW w:w="164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60" w:type="dxa"/>
            <w:vAlign w:val="bottom"/>
          </w:tcPr>
          <w:p>
            <w:pPr>
              <w:spacing w:after="0"/>
              <w:rPr>
                <w:sz w:val="12"/>
                <w:szCs w:val="12"/>
                <w:color w:val="auto"/>
              </w:rPr>
            </w:pPr>
          </w:p>
        </w:tc>
        <w:tc>
          <w:tcPr>
            <w:tcW w:w="540" w:type="dxa"/>
            <w:vAlign w:val="bottom"/>
            <w:tcBorders>
              <w:top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5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$ 240.2</w:t>
            </w:r>
          </w:p>
        </w:tc>
        <w:tc>
          <w:tcPr>
            <w:tcW w:w="2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$ 199.1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Stock-based compensation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accretion of discounts and amortization of debt financing costs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Equity in losses of unconsolidated subsidiaries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income taxes</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Accounts receivable</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(48.3)</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Other current assets</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Other assets</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(12.8)</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Accounts payable</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Income tax payable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(27.8)</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Other liabilities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maturities of available-for-sale marketable securities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available-for-sale marketable securities</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NYMEX securities lending program investments</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net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(26.3)</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acquired from Index Services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Capital contributions to FXMarketSpace Limited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(19.8)</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301.0</w:t>
            </w:r>
          </w:p>
        </w:tc>
        <w:tc>
          <w:tcPr>
            <w:tcW w:w="0" w:type="dxa"/>
            <w:vAlign w:val="bottom"/>
          </w:tcPr>
          <w:p>
            <w:pPr>
              <w:spacing w:after="0"/>
              <w:rPr>
                <w:sz w:val="1"/>
                <w:szCs w:val="1"/>
                <w:color w:val="auto"/>
              </w:rPr>
            </w:pPr>
          </w:p>
        </w:tc>
      </w:tr>
      <w:tr>
        <w:trPr>
          <w:trHeight w:val="329"/>
        </w:trPr>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5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(repayments) of commercial paper, net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other borrowings, net of issuance costs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608.4</w:t>
            </w:r>
          </w:p>
        </w:tc>
        <w:tc>
          <w:tcPr>
            <w:tcW w:w="2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NYMEX securities lending program liabilities</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(75.9)</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Class A common stock, including costs</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(281.8)</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paid to non-controlling interest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(607.5)</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Excess tax benefits related to employee option exercises and restricted stock vesting</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(152.3)</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(514.4)</w:t>
            </w:r>
          </w:p>
        </w:tc>
        <w:tc>
          <w:tcPr>
            <w:tcW w:w="0" w:type="dxa"/>
            <w:vAlign w:val="bottom"/>
          </w:tcPr>
          <w:p>
            <w:pPr>
              <w:spacing w:after="0"/>
              <w:rPr>
                <w:sz w:val="1"/>
                <w:szCs w:val="1"/>
                <w:color w:val="auto"/>
              </w:rPr>
            </w:pPr>
          </w:p>
        </w:tc>
      </w:tr>
      <w:tr>
        <w:trPr>
          <w:trHeight w:val="329"/>
        </w:trPr>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297.9</w:t>
            </w:r>
          </w:p>
        </w:tc>
        <w:tc>
          <w:tcPr>
            <w:tcW w:w="0" w:type="dxa"/>
            <w:vAlign w:val="bottom"/>
          </w:tcPr>
          <w:p>
            <w:pPr>
              <w:spacing w:after="0"/>
              <w:rPr>
                <w:sz w:val="1"/>
                <w:szCs w:val="1"/>
                <w:color w:val="auto"/>
              </w:rPr>
            </w:pPr>
          </w:p>
        </w:tc>
      </w:tr>
      <w:tr>
        <w:trPr>
          <w:trHeight w:val="223"/>
        </w:trPr>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$ 444.2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$ 339.2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CONSOLIDATED STATEMENTS OF CASH FLOWS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80" w:type="dxa"/>
            <w:vAlign w:val="bottom"/>
          </w:tcPr>
          <w:p>
            <w:pPr>
              <w:spacing w:after="0"/>
              <w:rPr>
                <w:sz w:val="13"/>
                <w:szCs w:val="13"/>
                <w:color w:val="auto"/>
              </w:rPr>
            </w:pPr>
          </w:p>
        </w:tc>
        <w:tc>
          <w:tcPr>
            <w:tcW w:w="1140" w:type="dxa"/>
            <w:vAlign w:val="bottom"/>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Quarter Ended</w:t>
            </w:r>
          </w:p>
        </w:tc>
      </w:tr>
      <w:tr>
        <w:trPr>
          <w:trHeight w:val="165"/>
        </w:trPr>
        <w:tc>
          <w:tcPr>
            <w:tcW w:w="10280" w:type="dxa"/>
            <w:vAlign w:val="bottom"/>
          </w:tcPr>
          <w:p>
            <w:pPr>
              <w:spacing w:after="0"/>
              <w:rPr>
                <w:sz w:val="14"/>
                <w:szCs w:val="14"/>
                <w:color w:val="auto"/>
              </w:rPr>
            </w:pPr>
          </w:p>
        </w:tc>
        <w:tc>
          <w:tcPr>
            <w:tcW w:w="114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42"/>
        </w:trPr>
        <w:tc>
          <w:tcPr>
            <w:tcW w:w="10280" w:type="dxa"/>
            <w:vAlign w:val="bottom"/>
          </w:tcPr>
          <w:p>
            <w:pPr>
              <w:spacing w:after="0"/>
              <w:rPr>
                <w:sz w:val="12"/>
                <w:szCs w:val="12"/>
                <w:color w:val="auto"/>
              </w:rPr>
            </w:pPr>
          </w:p>
        </w:tc>
        <w:tc>
          <w:tcPr>
            <w:tcW w:w="420" w:type="dxa"/>
            <w:vAlign w:val="bottom"/>
            <w:tcBorders>
              <w:bottom w:val="single" w:sz="8" w:color="auto"/>
            </w:tcBorders>
          </w:tcPr>
          <w:p>
            <w:pPr>
              <w:jc w:val="right"/>
              <w:ind w:right="1"/>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32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r>
      <w:tr>
        <w:trPr>
          <w:trHeight w:val="210"/>
        </w:trPr>
        <w:tc>
          <w:tcPr>
            <w:tcW w:w="10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102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$27.8</w:t>
            </w: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$48.1</w:t>
            </w:r>
          </w:p>
        </w:tc>
      </w:tr>
      <w:tr>
        <w:trPr>
          <w:trHeight w:val="216"/>
        </w:trPr>
        <w:tc>
          <w:tcPr>
            <w:tcW w:w="10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 (excluding securities lending program)</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16"/>
        </w:trPr>
        <w:tc>
          <w:tcPr>
            <w:tcW w:w="10280" w:type="dxa"/>
            <w:vAlign w:val="bottom"/>
          </w:tcPr>
          <w:p>
            <w:pPr>
              <w:spacing w:after="0"/>
              <w:rPr>
                <w:sz w:val="20"/>
                <w:szCs w:val="20"/>
                <w:color w:val="auto"/>
              </w:rPr>
            </w:pPr>
            <w:r>
              <w:rPr>
                <w:rFonts w:ascii="Times New Roman" w:cs="Times New Roman" w:eastAsia="Times New Roman" w:hAnsi="Times New Roman"/>
                <w:sz w:val="18"/>
                <w:szCs w:val="18"/>
                <w:color w:val="auto"/>
              </w:rPr>
              <w:t>Non-cash investing activities:</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10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Change in net unrealized securities gains (losses)</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8"/>
        </w:trPr>
        <w:tc>
          <w:tcPr>
            <w:tcW w:w="10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Change in net unrealized derivatives gains (losses)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45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consist of CME Group Inc. (CME Group) and its subsidiaries (collectively, the company), including Chicago Mercantile Exchange Inc. (CME), the Board of Trade of the City of Chicago, Inc. (CBOT), New York Mercantile Exchange, Inc. (NYMEX) and their respective subsidiaries (collectively, the exchange). In the opinion of management, the accompanying consolidated financial statements include all normal recurring adjustments considered necessary to present fairly the financial position of the company at March 31, 2010 and December 31, 2009 and the results of operations and cash flows for the periods indicated. Quarterly results are not necessarily indicative of results for any subsequent period.</w:t>
      </w:r>
    </w:p>
    <w:p>
      <w:pPr>
        <w:spacing w:after="0" w:line="139" w:lineRule="exact"/>
        <w:rPr>
          <w:sz w:val="20"/>
          <w:szCs w:val="20"/>
          <w:color w:val="auto"/>
        </w:rPr>
      </w:pPr>
    </w:p>
    <w:p>
      <w:pPr>
        <w:jc w:val="both"/>
        <w:ind w:right="280"/>
        <w:spacing w:after="0" w:line="262" w:lineRule="auto"/>
        <w:rPr>
          <w:sz w:val="20"/>
          <w:szCs w:val="20"/>
          <w:color w:val="auto"/>
        </w:rPr>
      </w:pPr>
      <w:r>
        <w:rPr>
          <w:rFonts w:ascii="Times New Roman" w:cs="Times New Roman" w:eastAsia="Times New Roman" w:hAnsi="Times New Roman"/>
          <w:sz w:val="18"/>
          <w:szCs w:val="18"/>
          <w:color w:val="auto"/>
        </w:rPr>
        <w:t>On March 18, 2010, CBOT acquired a 90 percent ownership interest in CME Group Index Services LLC (Index Services), a joint venture with Dow Jones &amp; Company (Dow Jones). The financial statements and accompanying notes presented in this report include the financial results of Index Services beginning on March 19, 2010.</w:t>
      </w:r>
    </w:p>
    <w:p>
      <w:pPr>
        <w:spacing w:after="0" w:line="132" w:lineRule="exact"/>
        <w:rPr>
          <w:sz w:val="20"/>
          <w:szCs w:val="20"/>
          <w:color w:val="auto"/>
        </w:rPr>
      </w:pPr>
    </w:p>
    <w:p>
      <w:pPr>
        <w:jc w:val="both"/>
        <w:ind w:right="300"/>
        <w:spacing w:after="0" w:line="339" w:lineRule="auto"/>
        <w:rPr>
          <w:sz w:val="20"/>
          <w:szCs w:val="20"/>
          <w:color w:val="auto"/>
        </w:rPr>
      </w:pPr>
      <w:r>
        <w:rPr>
          <w:rFonts w:ascii="Times New Roman" w:cs="Times New Roman" w:eastAsia="Times New Roman" w:hAnsi="Times New Roman"/>
          <w:sz w:val="16"/>
          <w:szCs w:val="16"/>
          <w:color w:val="auto"/>
        </w:rPr>
        <w:t>The accompanying interim consolidated financial statements have been prepared by CME Group without audit. Certain notes and other information normally included in financial statements prepared in accordance with accounting principles generally accepted in the United States have been condensed or omitted.</w:t>
      </w:r>
    </w:p>
    <w:p>
      <w:pPr>
        <w:spacing w:after="0" w:line="74" w:lineRule="exact"/>
        <w:rPr>
          <w:sz w:val="20"/>
          <w:szCs w:val="20"/>
          <w:color w:val="auto"/>
        </w:rPr>
      </w:pPr>
    </w:p>
    <w:p>
      <w:pPr>
        <w:ind w:right="60"/>
        <w:spacing w:after="0" w:line="339" w:lineRule="auto"/>
        <w:rPr>
          <w:sz w:val="20"/>
          <w:szCs w:val="20"/>
          <w:color w:val="auto"/>
        </w:rPr>
      </w:pPr>
      <w:r>
        <w:rPr>
          <w:rFonts w:ascii="Times New Roman" w:cs="Times New Roman" w:eastAsia="Times New Roman" w:hAnsi="Times New Roman"/>
          <w:sz w:val="16"/>
          <w:szCs w:val="16"/>
          <w:color w:val="auto"/>
        </w:rPr>
        <w:t>The accompanying consolidated financial statements should be read in conjunction with the consolidated financial statements and notes thereto in CME Group’s Annual Report on Form 10-K for the year ended December 31, 2009, filed with the Securities and Exchange Commission (SEC) on February 26, 2010.</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reclassifications have been made to the 2009 financial statements to conform to the presentation in 2010.</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Business Combinations</w:t>
      </w:r>
    </w:p>
    <w:p>
      <w:pPr>
        <w:spacing w:after="0" w:line="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March 18, 2010, CBOT and Dow Jones entered into an agreement to form Index Services. Index Services was formed through the contribution of CBOT’s market data business and Dow Jones’ index business. Based on the preliminary fair value of assets contributed, the company has allocated $432.6 million to goodwill and $376.4 million to identifiable intangible assets. Intangible assets consist primarily of $232.8 million of customer relationships and $126.6 million of trade names.</w:t>
      </w:r>
    </w:p>
    <w:p>
      <w:pPr>
        <w:spacing w:after="0" w:line="13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conjunction with its formation, Index Services issued $612.5 million of 4.40% fixed rate notes due 2018, which are guaranteed by CME Group, in an unregistered offering. Proceeds of $607.5 million were distributed to Dow Jones thereby reducing its interest in Index Services to 10 percent. Dow Jones retains the right to redeem its remaining interest at fair value on or after March 18, 2016. In addition, CBOT retains a right to call Dow Jones’ remaining interest at fair value on or after March 18, 2017. In accordance with current accounting guidance, Dow Jones’ interest has been classified as redeemable non-controlling interest in the company’s consolidated financial statements.</w:t>
      </w:r>
    </w:p>
    <w:p>
      <w:pPr>
        <w:sectPr>
          <w:pgSz w:w="11900" w:h="16838" w:orient="portrait"/>
          <w:cols w:equalWidth="0" w:num="1">
            <w:col w:w="11360"/>
          </w:cols>
          <w:pgMar w:left="240" w:top="455" w:right="299" w:bottom="1440" w:gutter="0" w:footer="0" w:header="0"/>
        </w:sectPr>
      </w:pP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summarizes the changes in the redeemable non-controlling interest during the first quarter of 2010:</w:t>
      </w:r>
    </w:p>
    <w:p>
      <w:pPr>
        <w:spacing w:after="0" w:line="23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b w:val="1"/>
          <w:bCs w:val="1"/>
          <w:u w:val="single" w:color="auto"/>
          <w:color w:val="auto"/>
        </w:rPr>
        <w:t>(in millions)</w:t>
      </w:r>
    </w:p>
    <w:p>
      <w:pPr>
        <w:spacing w:after="0" w:line="1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Balance at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-130175</wp:posOffset>
            </wp:positionV>
            <wp:extent cx="49225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Times New Roman" w:cs="Times New Roman" w:eastAsia="Times New Roman" w:hAnsi="Times New Roman"/>
          <w:sz w:val="18"/>
          <w:szCs w:val="18"/>
          <w:color w:val="auto"/>
        </w:rPr>
        <w:t>Contribution by Dow Jones</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Distribution to Dow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85" w:lineRule="exact"/>
        <w:rPr>
          <w:sz w:val="20"/>
          <w:szCs w:val="20"/>
          <w:color w:val="auto"/>
        </w:rPr>
      </w:pPr>
    </w:p>
    <w:p>
      <w:pPr>
        <w:ind w:left="1840" w:right="1400"/>
        <w:spacing w:after="0" w:line="266" w:lineRule="auto"/>
        <w:rPr>
          <w:sz w:val="20"/>
          <w:szCs w:val="20"/>
          <w:color w:val="auto"/>
        </w:rPr>
      </w:pPr>
      <w:r>
        <w:rPr>
          <w:rFonts w:ascii="Times New Roman" w:cs="Times New Roman" w:eastAsia="Times New Roman" w:hAnsi="Times New Roman"/>
          <w:sz w:val="18"/>
          <w:szCs w:val="18"/>
          <w:color w:val="auto"/>
        </w:rPr>
        <w:t>Net unrealized loss on derivative relating to the 4.40% fixed rate notes Net income (loss)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-144145</wp:posOffset>
            </wp:positionV>
            <wp:extent cx="49225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right="760"/>
        <w:spacing w:after="0" w:line="432" w:lineRule="auto"/>
        <w:rPr>
          <w:sz w:val="20"/>
          <w:szCs w:val="20"/>
          <w:color w:val="auto"/>
        </w:rPr>
      </w:pPr>
      <w:r>
        <w:rPr>
          <w:rFonts w:ascii="Times New Roman" w:cs="Times New Roman" w:eastAsia="Times New Roman" w:hAnsi="Times New Roman"/>
          <w:sz w:val="18"/>
          <w:szCs w:val="18"/>
          <w:color w:val="auto"/>
        </w:rPr>
        <w:t>Total comprehensive income attributable to redeemable non-controlling interest Balance at March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-240665</wp:posOffset>
            </wp:positionV>
            <wp:extent cx="49225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00" w:hanging="292"/>
        <w:spacing w:after="0"/>
        <w:tabs>
          <w:tab w:leader="none" w:pos="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1" w:lineRule="exact"/>
        <w:rPr>
          <w:rFonts w:ascii="Times New Roman" w:cs="Times New Roman" w:eastAsia="Times New Roman" w:hAnsi="Times New Roman"/>
          <w:sz w:val="18"/>
          <w:szCs w:val="18"/>
          <w:color w:val="auto"/>
        </w:rPr>
      </w:pPr>
    </w:p>
    <w:p>
      <w:pPr>
        <w:ind w:left="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675.0</w:t>
      </w:r>
    </w:p>
    <w:p>
      <w:pPr>
        <w:spacing w:after="0" w:line="9"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(607.5)</w:t>
      </w:r>
    </w:p>
    <w:p>
      <w:pPr>
        <w:spacing w:after="0" w:line="105"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(0.2)</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wp:posOffset>
            </wp:positionV>
            <wp:extent cx="3517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1790" cy="8890"/>
                    </a:xfrm>
                    <a:prstGeom prst="rect">
                      <a:avLst/>
                    </a:prstGeom>
                    <a:noFill/>
                  </pic:spPr>
                </pic:pic>
              </a:graphicData>
            </a:graphic>
          </wp:anchor>
        </w:drawing>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29210</wp:posOffset>
            </wp:positionV>
            <wp:extent cx="3517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51790" cy="8890"/>
                    </a:xfrm>
                    <a:prstGeom prst="rect">
                      <a:avLst/>
                    </a:prstGeom>
                    <a:noFill/>
                  </pic:spPr>
                </pic:pic>
              </a:graphicData>
            </a:graphic>
          </wp:anchor>
        </w:drawing>
      </w:r>
    </w:p>
    <w:p>
      <w:pPr>
        <w:spacing w:after="0" w:line="147"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8"/>
          <w:szCs w:val="18"/>
          <w:u w:val="single" w:color="auto"/>
          <w:color w:val="auto"/>
        </w:rPr>
        <w:t>$</w:t>
      </w:r>
      <w:r>
        <w:rPr>
          <w:sz w:val="20"/>
          <w:szCs w:val="20"/>
          <w:color w:val="auto"/>
        </w:rPr>
        <w:tab/>
      </w:r>
      <w:r>
        <w:rPr>
          <w:rFonts w:ascii="Times New Roman" w:cs="Times New Roman" w:eastAsia="Times New Roman" w:hAnsi="Times New Roman"/>
          <w:sz w:val="16"/>
          <w:szCs w:val="16"/>
          <w:u w:val="single" w:color="auto"/>
          <w:color w:val="auto"/>
        </w:rPr>
        <w:t>67.3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31750</wp:posOffset>
            </wp:positionV>
            <wp:extent cx="3517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1790" cy="8890"/>
                    </a:xfrm>
                    <a:prstGeom prst="rect">
                      <a:avLst/>
                    </a:prstGeom>
                    <a:noFill/>
                  </pic:spPr>
                </pic:pic>
              </a:graphicData>
            </a:graphic>
          </wp:anchor>
        </w:drawing>
      </w:r>
    </w:p>
    <w:p>
      <w:pPr>
        <w:sectPr>
          <w:pgSz w:w="11900" w:h="16838" w:orient="portrait"/>
          <w:cols w:equalWidth="0" w:num="2">
            <w:col w:w="8200" w:space="720"/>
            <w:col w:w="2440"/>
          </w:cols>
          <w:pgMar w:left="240" w:top="455" w:right="299"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Intangible Assets and Goodwill</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consisted of the following at March 31, 2010 and December 31, 2009:</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2010</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 2009</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0"/>
                <w:szCs w:val="10"/>
                <w:color w:val="auto"/>
              </w:rPr>
            </w:pPr>
          </w:p>
        </w:tc>
        <w:tc>
          <w:tcPr>
            <w:tcW w:w="62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3"/>
              </w:rPr>
              <w:t>Net Book</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3"/>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0"/>
                <w:szCs w:val="10"/>
                <w:color w:val="auto"/>
              </w:rPr>
            </w:pPr>
          </w:p>
        </w:tc>
        <w:tc>
          <w:tcPr>
            <w:tcW w:w="640" w:type="dxa"/>
            <w:vAlign w:val="bottom"/>
          </w:tcPr>
          <w:p>
            <w:pPr>
              <w:jc w:val="right"/>
              <w:ind w:right="14"/>
              <w:spacing w:after="0" w:line="125" w:lineRule="exact"/>
              <w:rPr>
                <w:sz w:val="20"/>
                <w:szCs w:val="20"/>
                <w:color w:val="auto"/>
              </w:rPr>
            </w:pPr>
            <w:r>
              <w:rPr>
                <w:rFonts w:ascii="Times New Roman" w:cs="Times New Roman" w:eastAsia="Times New Roman" w:hAnsi="Times New Roman"/>
                <w:sz w:val="14"/>
                <w:szCs w:val="14"/>
                <w:b w:val="1"/>
                <w:bCs w:val="1"/>
                <w:color w:val="auto"/>
                <w:w w:val="93"/>
              </w:rPr>
              <w:t>Net Book</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4"/>
                <w:szCs w:val="14"/>
                <w:color w:val="auto"/>
              </w:rPr>
            </w:pP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Clearing firm, market data and other customer relationships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$3,075.3</w:t>
            </w:r>
          </w:p>
        </w:tc>
        <w:tc>
          <w:tcPr>
            <w:tcW w:w="180" w:type="dxa"/>
            <w:vAlign w:val="bottom"/>
          </w:tcPr>
          <w:p>
            <w:pPr>
              <w:spacing w:after="0"/>
              <w:rPr>
                <w:sz w:val="18"/>
                <w:szCs w:val="18"/>
                <w:color w:val="auto"/>
              </w:rPr>
            </w:pP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(211.3)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2,864.0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$2,842.5</w:t>
            </w:r>
          </w:p>
        </w:tc>
        <w:tc>
          <w:tcPr>
            <w:tcW w:w="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(186.8)</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Lease-related intangibles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58.5</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Dow Jones trading products (a)</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Technology-related intellectual property</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26.9</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Open interest</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maker agreement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(b)</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(256.9)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2,955.3</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3,053.7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(256.2)</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Amortizable Intangible Assets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3,202.7</w:t>
            </w: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(253.4)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2,949.3</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3,045.9</w:t>
            </w:r>
          </w:p>
        </w:tc>
        <w:tc>
          <w:tcPr>
            <w:tcW w:w="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(253.7)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2,792.2</w:t>
            </w:r>
          </w:p>
        </w:tc>
        <w:tc>
          <w:tcPr>
            <w:tcW w:w="0" w:type="dxa"/>
            <w:vAlign w:val="bottom"/>
          </w:tcPr>
          <w:p>
            <w:pPr>
              <w:spacing w:after="0"/>
              <w:rPr>
                <w:sz w:val="1"/>
                <w:szCs w:val="1"/>
                <w:color w:val="auto"/>
              </w:rPr>
            </w:pPr>
          </w:p>
        </w:tc>
      </w:tr>
      <w:tr>
        <w:trPr>
          <w:trHeight w:val="20"/>
        </w:trPr>
        <w:tc>
          <w:tcPr>
            <w:tcW w:w="55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520" w:type="dxa"/>
            <w:vAlign w:val="bottom"/>
            <w:gridSpan w:val="3"/>
            <w:vMerge w:val="continue"/>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Trading products (a)</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5"/>
              </w:rPr>
              <w:t>17,038.0</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16,982.0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names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583.6</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17,624.2</w:t>
            </w: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17,436.7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(0.5)</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0"/>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Indefinite-Lived Intangible Assets</w:t>
            </w: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17,623.7</w:t>
            </w: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17,436.3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5"/>
              </w:rPr>
              <w:t>20,573.0</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20,228.5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460" w:right="140" w:hanging="452"/>
        <w:spacing w:after="0" w:line="257"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March 31, 2010, in connection with CBOT’s 90% ownership interest in Index Services, the company now considers the Dow Jones trading products as an indefinite lived asset, and is included with the other trading products.</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March 31, 2010 and December 31, 2009, other amortizable intangible assets consisted of non-compete and service agreements.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March 31, 2010 and December 31, 2009, other indefinite-lived intangible assets consisted of products in development.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amortization expense for intangible assets was $30.8 million and $33.3 million for the quarters ended March 31, 2010 and 2009, respectively. As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2010, the future estimated amortization expense related to amortizable intangible assets is expected to be:</w:t>
      </w:r>
    </w:p>
    <w:p>
      <w:pPr>
        <w:spacing w:after="0" w:line="197" w:lineRule="exact"/>
        <w:rPr>
          <w:sz w:val="20"/>
          <w:szCs w:val="20"/>
          <w:color w:val="auto"/>
        </w:rPr>
      </w:pPr>
    </w:p>
    <w:tbl>
      <w:tblPr>
        <w:tblLayout w:type="fixed"/>
        <w:tblInd w:w="1840" w:type="dxa"/>
        <w:tblCellMar>
          <w:top w:w="0" w:type="dxa"/>
          <w:left w:w="0" w:type="dxa"/>
          <w:bottom w:w="0" w:type="dxa"/>
          <w:right w:w="0" w:type="dxa"/>
        </w:tblCellMar>
      </w:tblPr>
      <w:tr>
        <w:trPr>
          <w:trHeight w:val="165"/>
        </w:trPr>
        <w:tc>
          <w:tcPr>
            <w:tcW w:w="2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2010</w:t>
            </w:r>
          </w:p>
        </w:tc>
        <w:tc>
          <w:tcPr>
            <w:tcW w:w="5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2011</w:t>
            </w:r>
          </w:p>
        </w:tc>
        <w:tc>
          <w:tcPr>
            <w:tcW w:w="1840" w:type="dxa"/>
            <w:vAlign w:val="bottom"/>
          </w:tcPr>
          <w:p>
            <w:pPr>
              <w:spacing w:after="0"/>
              <w:rPr>
                <w:sz w:val="18"/>
                <w:szCs w:val="18"/>
                <w:color w:val="auto"/>
              </w:rPr>
            </w:pPr>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2012</w:t>
            </w:r>
          </w:p>
        </w:tc>
        <w:tc>
          <w:tcPr>
            <w:tcW w:w="1840" w:type="dxa"/>
            <w:vAlign w:val="bottom"/>
            <w:shd w:val="clear" w:color="auto" w:fill="CCEEFF"/>
          </w:tcPr>
          <w:p>
            <w:pPr>
              <w:spacing w:after="0"/>
              <w:rPr>
                <w:sz w:val="18"/>
                <w:szCs w:val="18"/>
                <w:color w:val="auto"/>
              </w:rPr>
            </w:pPr>
          </w:p>
        </w:tc>
        <w:tc>
          <w:tcPr>
            <w:tcW w:w="5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2013</w:t>
            </w:r>
          </w:p>
        </w:tc>
        <w:tc>
          <w:tcPr>
            <w:tcW w:w="1840" w:type="dxa"/>
            <w:vAlign w:val="bottom"/>
          </w:tcPr>
          <w:p>
            <w:pPr>
              <w:spacing w:after="0"/>
              <w:rPr>
                <w:sz w:val="18"/>
                <w:szCs w:val="18"/>
                <w:color w:val="auto"/>
              </w:rPr>
            </w:pPr>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2014</w:t>
            </w:r>
          </w:p>
        </w:tc>
        <w:tc>
          <w:tcPr>
            <w:tcW w:w="1840" w:type="dxa"/>
            <w:vAlign w:val="bottom"/>
            <w:shd w:val="clear" w:color="auto" w:fill="CCEEFF"/>
          </w:tcPr>
          <w:p>
            <w:pPr>
              <w:spacing w:after="0"/>
              <w:rPr>
                <w:sz w:val="18"/>
                <w:szCs w:val="18"/>
                <w:color w:val="auto"/>
              </w:rPr>
            </w:pPr>
          </w:p>
        </w:tc>
        <w:tc>
          <w:tcPr>
            <w:tcW w:w="5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2015</w:t>
            </w:r>
          </w:p>
        </w:tc>
        <w:tc>
          <w:tcPr>
            <w:tcW w:w="1840" w:type="dxa"/>
            <w:vAlign w:val="bottom"/>
          </w:tcPr>
          <w:p>
            <w:pPr>
              <w:spacing w:after="0"/>
              <w:rPr>
                <w:sz w:val="18"/>
                <w:szCs w:val="18"/>
                <w:color w:val="auto"/>
              </w:rPr>
            </w:pPr>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5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2,260.2</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200" w:type="dxa"/>
            <w:vAlign w:val="bottom"/>
          </w:tcPr>
          <w:p>
            <w:pPr>
              <w:jc w:val="right"/>
              <w:ind w:right="3712"/>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activity consisted of the following for the quarter ended March 31, 2010 and the year ended December 31, 2009:</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5"/>
              </w:rPr>
              <w:t>Balance at</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3"/>
              </w:rPr>
              <w:t>December 31,</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Business</w:t>
            </w:r>
          </w:p>
        </w:tc>
        <w:tc>
          <w:tcPr>
            <w:tcW w:w="240" w:type="dxa"/>
            <w:vAlign w:val="bottom"/>
          </w:tcPr>
          <w:p>
            <w:pPr>
              <w:spacing w:after="0"/>
              <w:rPr>
                <w:sz w:val="12"/>
                <w:szCs w:val="12"/>
                <w:color w:val="auto"/>
              </w:rPr>
            </w:pPr>
          </w:p>
        </w:tc>
        <w:tc>
          <w:tcPr>
            <w:tcW w:w="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3"/>
              </w:rPr>
              <w:t>Impairment</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March 31,</w:t>
            </w:r>
          </w:p>
        </w:tc>
        <w:tc>
          <w:tcPr>
            <w:tcW w:w="0" w:type="dxa"/>
            <w:vAlign w:val="bottom"/>
          </w:tcPr>
          <w:p>
            <w:pPr>
              <w:spacing w:after="0"/>
              <w:rPr>
                <w:sz w:val="1"/>
                <w:szCs w:val="1"/>
                <w:color w:val="auto"/>
              </w:rPr>
            </w:pPr>
          </w:p>
        </w:tc>
      </w:tr>
      <w:tr>
        <w:trPr>
          <w:trHeight w:val="165"/>
        </w:trPr>
        <w:tc>
          <w:tcPr>
            <w:tcW w:w="5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2009</w:t>
            </w:r>
          </w:p>
        </w:tc>
        <w:tc>
          <w:tcPr>
            <w:tcW w:w="48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Combination</w:t>
            </w:r>
          </w:p>
        </w:tc>
        <w:tc>
          <w:tcPr>
            <w:tcW w:w="2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6"/>
              </w:rPr>
              <w:t>Adjustment</w:t>
            </w:r>
          </w:p>
        </w:tc>
        <w:tc>
          <w:tcPr>
            <w:tcW w:w="48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Activity (d)</w:t>
            </w:r>
          </w:p>
        </w:tc>
        <w:tc>
          <w:tcPr>
            <w:tcW w:w="100" w:type="dxa"/>
            <w:vAlign w:val="bottom"/>
          </w:tcPr>
          <w:p>
            <w:pPr>
              <w:spacing w:after="0"/>
              <w:rPr>
                <w:sz w:val="14"/>
                <w:szCs w:val="14"/>
                <w:color w:val="auto"/>
              </w:rPr>
            </w:pPr>
          </w:p>
        </w:tc>
        <w:tc>
          <w:tcPr>
            <w:tcW w:w="70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2010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CBOT Holdings</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5,035.7</w:t>
            </w:r>
          </w:p>
        </w:tc>
        <w:tc>
          <w:tcPr>
            <w:tcW w:w="5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NYMEX Holdings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Index Services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3"/>
              </w:rPr>
              <w:t>432.6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Goodwill</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7,549.2</w:t>
            </w:r>
          </w:p>
        </w:tc>
        <w:tc>
          <w:tcPr>
            <w:tcW w:w="5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432.6</w:t>
            </w:r>
          </w:p>
        </w:tc>
        <w:tc>
          <w:tcPr>
            <w:tcW w:w="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5"/>
              </w:rPr>
              <w:t>Balance at</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3"/>
              </w:rPr>
              <w:t>December 31,</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Business</w:t>
            </w:r>
          </w:p>
        </w:tc>
        <w:tc>
          <w:tcPr>
            <w:tcW w:w="240" w:type="dxa"/>
            <w:vAlign w:val="bottom"/>
          </w:tcPr>
          <w:p>
            <w:pPr>
              <w:spacing w:after="0"/>
              <w:rPr>
                <w:sz w:val="12"/>
                <w:szCs w:val="12"/>
                <w:color w:val="auto"/>
              </w:rPr>
            </w:pPr>
          </w:p>
        </w:tc>
        <w:tc>
          <w:tcPr>
            <w:tcW w:w="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3"/>
              </w:rPr>
              <w:t>Impairment</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65"/>
        </w:trPr>
        <w:tc>
          <w:tcPr>
            <w:tcW w:w="5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2008</w:t>
            </w:r>
          </w:p>
        </w:tc>
        <w:tc>
          <w:tcPr>
            <w:tcW w:w="48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Combination</w:t>
            </w:r>
          </w:p>
        </w:tc>
        <w:tc>
          <w:tcPr>
            <w:tcW w:w="2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6"/>
              </w:rPr>
              <w:t>Adjustment</w:t>
            </w:r>
          </w:p>
        </w:tc>
        <w:tc>
          <w:tcPr>
            <w:tcW w:w="48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Activity (d)</w:t>
            </w:r>
          </w:p>
        </w:tc>
        <w:tc>
          <w:tcPr>
            <w:tcW w:w="100" w:type="dxa"/>
            <w:vAlign w:val="bottom"/>
          </w:tcPr>
          <w:p>
            <w:pPr>
              <w:spacing w:after="0"/>
              <w:rPr>
                <w:sz w:val="14"/>
                <w:szCs w:val="14"/>
                <w:color w:val="auto"/>
              </w:rPr>
            </w:pPr>
          </w:p>
        </w:tc>
        <w:tc>
          <w:tcPr>
            <w:tcW w:w="70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CBOT Holdings</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5,036.1</w:t>
            </w:r>
          </w:p>
        </w:tc>
        <w:tc>
          <w:tcPr>
            <w:tcW w:w="5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NYMEX Holdings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Goodwill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7,519.2</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center"/>
              <w:ind w:left="236"/>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r>
              <w:rPr>
                <w:rFonts w:ascii="Times New Roman" w:cs="Times New Roman" w:eastAsia="Times New Roman" w:hAnsi="Times New Roman"/>
                <w:sz w:val="18"/>
                <w:szCs w:val="18"/>
                <w:u w:val="single" w:color="auto"/>
                <w:color w:val="auto"/>
              </w:rPr>
              <w:t>0</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460" w:right="40" w:hanging="452"/>
        <w:spacing w:after="0" w:line="262"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activity consisted primarily of adjustments to restructuring costs and tax contingencies for CBOT Holdings and NYMEX Holdings, the recognition of excess tax benefits upon exercise of stock options assumed for CBOT Holdings and NYMEX Holdings, and foreign currency translation adjustments for CMA.</w:t>
      </w:r>
    </w:p>
    <w:p>
      <w:pPr>
        <w:spacing w:after="0" w:line="13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conducts goodwill and intangible asset impairment testing at least annually. The company is required to consider a market participant’s perspective when developing the assumptions used to estimate fair value for its impairment tests. It may be possible that the estimated fair value of certain intangible assets and goodwill may be less than book value when impairment testing is performed in the future. As a result, the company would be required to record an impairment charge at that time.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Debt</w:t>
      </w:r>
    </w:p>
    <w:p>
      <w:pPr>
        <w:spacing w:after="0" w:line="92"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On March 18, 2010, Index Services completed an offering of $612.5 million of 4.40% fixed rate notes due 2018. Proceeds of $607.5 million were distributed to Dow Jones in conjunction with its investment in Index Services.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consisted of the following:</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4"/>
              </w:rPr>
              <w:t>March 31,</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6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2010</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$300.0 million floating rate notes due August 2010, interest equal to 3-month LIBOR</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plus 0.65%, reset quarterly</w:t>
            </w:r>
            <w:r>
              <w:rPr>
                <w:rFonts w:ascii="Times New Roman" w:cs="Times New Roman" w:eastAsia="Times New Roman" w:hAnsi="Times New Roman"/>
                <w:sz w:val="11"/>
                <w:szCs w:val="11"/>
                <w:color w:val="auto"/>
              </w:rPr>
              <w:t>(1)</w:t>
            </w:r>
          </w:p>
        </w:tc>
        <w:tc>
          <w:tcPr>
            <w:tcW w:w="8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r>
              <w:rPr>
                <w:rFonts w:ascii="Times New Roman" w:cs="Times New Roman" w:eastAsia="Times New Roman" w:hAnsi="Times New Roman"/>
                <w:sz w:val="18"/>
                <w:szCs w:val="18"/>
                <w:u w:val="single" w:color="auto"/>
                <w:color w:val="auto"/>
              </w:rPr>
              <w:t>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short-term debt</w:t>
            </w:r>
          </w:p>
        </w:tc>
        <w:tc>
          <w:tcPr>
            <w:tcW w:w="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r>
              <w:rPr>
                <w:rFonts w:ascii="Times New Roman" w:cs="Times New Roman" w:eastAsia="Times New Roman" w:hAnsi="Times New Roman"/>
                <w:sz w:val="18"/>
                <w:szCs w:val="18"/>
                <w:u w:val="single" w:color="auto"/>
                <w:color w:val="auto"/>
              </w:rPr>
              <w:t>8</w:t>
            </w:r>
          </w:p>
        </w:tc>
        <w:tc>
          <w:tcPr>
            <w:tcW w:w="0" w:type="dxa"/>
            <w:vAlign w:val="bottom"/>
          </w:tcPr>
          <w:p>
            <w:pPr>
              <w:spacing w:after="0"/>
              <w:rPr>
                <w:sz w:val="1"/>
                <w:szCs w:val="1"/>
                <w:color w:val="auto"/>
              </w:rPr>
            </w:pPr>
          </w:p>
        </w:tc>
      </w:tr>
      <w:tr>
        <w:trPr>
          <w:trHeight w:val="20"/>
        </w:trPr>
        <w:tc>
          <w:tcPr>
            <w:tcW w:w="67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76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due 2011, interest equal to 3-month LIBOR plus 1.00%, reset quarterly</w:t>
            </w:r>
            <w:r>
              <w:rPr>
                <w:rFonts w:ascii="Times New Roman" w:cs="Times New Roman" w:eastAsia="Times New Roman" w:hAnsi="Times New Roman"/>
                <w:sz w:val="11"/>
                <w:szCs w:val="11"/>
                <w:color w:val="auto"/>
              </w:rPr>
              <w:t>(2)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$750.0 million fixed rate notes due August 2013, interest equal to 5.40%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748.2</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$750.0 million fixed rate notes due February 2014, interest equal to 5.75%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746.4</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$612.5 million fixed rate notes due March 2018, interest equal to 4.40%</w:t>
            </w:r>
            <w:r>
              <w:rPr>
                <w:rFonts w:ascii="Times New Roman" w:cs="Times New Roman" w:eastAsia="Times New Roman" w:hAnsi="Times New Roman"/>
                <w:sz w:val="11"/>
                <w:szCs w:val="11"/>
                <w:color w:val="auto"/>
              </w:rPr>
              <w:t>(3)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608.8</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Commercial paper </w:t>
            </w:r>
            <w:r>
              <w:rPr>
                <w:rFonts w:ascii="Times New Roman" w:cs="Times New Roman" w:eastAsia="Times New Roman" w:hAnsi="Times New Roman"/>
                <w:sz w:val="11"/>
                <w:szCs w:val="11"/>
                <w:color w:val="auto"/>
              </w:rPr>
              <w:t>(4)</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5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3"/>
        </w:trPr>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2,823.8</w:t>
            </w:r>
          </w:p>
        </w:tc>
        <w:tc>
          <w:tcPr>
            <w:tcW w:w="5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460" w:right="180" w:hanging="452"/>
        <w:spacing w:after="0" w:line="289" w:lineRule="auto"/>
        <w:tabs>
          <w:tab w:leader="none" w:pos="4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September 2008, the company entered into an interest-rate swap agreement that modified the variable interest obligation associated with these notes so that the interest payable on the notes effectively became fixed at a rate of 3.92% beginning with the interest accrued after November 6, 2008.</w:t>
      </w:r>
    </w:p>
    <w:p>
      <w:pPr>
        <w:spacing w:after="0" w:line="1" w:lineRule="exact"/>
        <w:rPr>
          <w:rFonts w:ascii="Times New Roman" w:cs="Times New Roman" w:eastAsia="Times New Roman" w:hAnsi="Times New Roman"/>
          <w:sz w:val="16"/>
          <w:szCs w:val="16"/>
          <w:color w:val="auto"/>
        </w:rPr>
      </w:pPr>
    </w:p>
    <w:p>
      <w:pPr>
        <w:ind w:left="460" w:right="160" w:hanging="452"/>
        <w:spacing w:after="0" w:line="250"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2008, the company entered into an interest-rate swap agreement that modified the variable interest obligation associated with this facility so that the interest payable effectively became fixed at a rate of 4.72% beginning with the interest accrued after October 22, 2008.</w:t>
      </w:r>
    </w:p>
    <w:p>
      <w:pPr>
        <w:ind w:left="460" w:hanging="452"/>
        <w:spacing w:after="0" w:line="250"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2010, the company entered into a forward-starting interest-rate swap agreement that modified the interest obligation associated with these notes so that the interest payable on the notes effectively became fixed at a rate of 4.46% at issuance on March 18, 2010.</w:t>
      </w: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March 31, 2010 and December 31, 2009, this represented commercial paper backed by the three-year senior credit facility.</w:t>
      </w:r>
    </w:p>
    <w:p>
      <w:pPr>
        <w:spacing w:after="0" w:line="15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Commercial paper notes with an aggregate par value of $900.0 million and maturities ranging from seven to 61 days were issued during the quarter ended March 31, 2010. The weighted average discount rates for commercial paper outstanding at March 31, 2010 and December 31, 2009 were 0.20% and 0.24%, respectively. During the first quarter of 2010 and 2009, the weighted average balance, at par value, of commercial paper outstanding was $230.0 million and $1.0 billion, respectively.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maturities, at par value, were as follows as of March 31, 2010:</w:t>
      </w:r>
    </w:p>
    <w:p>
      <w:pPr>
        <w:spacing w:after="0" w:line="209" w:lineRule="exact"/>
        <w:rPr>
          <w:sz w:val="20"/>
          <w:szCs w:val="20"/>
          <w:color w:val="auto"/>
        </w:rPr>
      </w:pPr>
    </w:p>
    <w:tbl>
      <w:tblPr>
        <w:tblLayout w:type="fixed"/>
        <w:tblInd w:w="1840" w:type="dxa"/>
        <w:tblCellMar>
          <w:top w:w="0" w:type="dxa"/>
          <w:left w:w="0" w:type="dxa"/>
          <w:bottom w:w="0" w:type="dxa"/>
          <w:right w:w="0" w:type="dxa"/>
        </w:tblCellMar>
      </w:tblPr>
      <w:tr>
        <w:trPr>
          <w:trHeight w:val="165"/>
        </w:trPr>
        <w:tc>
          <w:tcPr>
            <w:tcW w:w="3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7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2011</w:t>
            </w:r>
          </w:p>
        </w:tc>
        <w:tc>
          <w:tcPr>
            <w:tcW w:w="3260" w:type="dxa"/>
            <w:vAlign w:val="bottom"/>
            <w:shd w:val="clear" w:color="auto" w:fill="CCEEFF"/>
          </w:tcPr>
          <w:p>
            <w:pPr>
              <w:spacing w:after="0"/>
              <w:rPr>
                <w:sz w:val="18"/>
                <w:szCs w:val="18"/>
                <w:color w:val="auto"/>
              </w:rPr>
            </w:pPr>
          </w:p>
        </w:tc>
        <w:tc>
          <w:tcPr>
            <w:tcW w:w="3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$720.5</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2012</w:t>
            </w:r>
          </w:p>
        </w:tc>
        <w:tc>
          <w:tcPr>
            <w:tcW w:w="3260" w:type="dxa"/>
            <w:vAlign w:val="bottom"/>
          </w:tcPr>
          <w:p>
            <w:pPr>
              <w:spacing w:after="0"/>
              <w:rPr>
                <w:sz w:val="18"/>
                <w:szCs w:val="18"/>
                <w:color w:val="auto"/>
              </w:rPr>
            </w:pPr>
          </w:p>
        </w:tc>
        <w:tc>
          <w:tcPr>
            <w:tcW w:w="3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2013</w:t>
            </w:r>
          </w:p>
        </w:tc>
        <w:tc>
          <w:tcPr>
            <w:tcW w:w="3260" w:type="dxa"/>
            <w:vAlign w:val="bottom"/>
            <w:shd w:val="clear" w:color="auto" w:fill="CCEEFF"/>
          </w:tcPr>
          <w:p>
            <w:pPr>
              <w:spacing w:after="0"/>
              <w:rPr>
                <w:sz w:val="18"/>
                <w:szCs w:val="18"/>
                <w:color w:val="auto"/>
              </w:rPr>
            </w:pPr>
          </w:p>
        </w:tc>
        <w:tc>
          <w:tcPr>
            <w:tcW w:w="3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2014</w:t>
            </w:r>
          </w:p>
        </w:tc>
        <w:tc>
          <w:tcPr>
            <w:tcW w:w="3260" w:type="dxa"/>
            <w:vAlign w:val="bottom"/>
          </w:tcPr>
          <w:p>
            <w:pPr>
              <w:spacing w:after="0"/>
              <w:rPr>
                <w:sz w:val="18"/>
                <w:szCs w:val="18"/>
                <w:color w:val="auto"/>
              </w:rPr>
            </w:pPr>
          </w:p>
        </w:tc>
        <w:tc>
          <w:tcPr>
            <w:tcW w:w="3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3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612.5</w:t>
            </w: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 paper is considered to mature in 2011 because it is backed by the three-year senior credit facility, which expires in 2011.</w:t>
      </w:r>
    </w:p>
    <w:p>
      <w:pPr>
        <w:spacing w:after="0" w:line="171"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At March 31, 2010, the fair values of the fixed rate notes by maturity date were as follows. The fair value for the fixed rate notes due 2013 and 2014 was estimated using quoted market prices. The fair value of the fixed rate notes due 2018 was derived using a standard valuation model with market-based observable inputs including U.S. Treasury yields and interest rate spreads.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840" w:type="dxa"/>
        <w:tblCellMar>
          <w:top w:w="0" w:type="dxa"/>
          <w:left w:w="0" w:type="dxa"/>
          <w:bottom w:w="0" w:type="dxa"/>
          <w:right w:w="0" w:type="dxa"/>
        </w:tblCellMar>
      </w:tblPr>
      <w:tr>
        <w:trPr>
          <w:trHeight w:val="165"/>
        </w:trPr>
        <w:tc>
          <w:tcPr>
            <w:tcW w:w="5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$750.0 million fixed rate notes due August 2013</w:t>
            </w:r>
          </w:p>
        </w:tc>
        <w:tc>
          <w:tcPr>
            <w:tcW w:w="1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$750.0 million fixed rate notes due February 2014</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$612.5 million fixed rate notes due March 2018</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w:t>
            </w:r>
          </w:p>
        </w:tc>
        <w:tc>
          <w:tcPr>
            <w:tcW w:w="0" w:type="dxa"/>
            <w:vAlign w:val="bottom"/>
          </w:tcPr>
          <w:p>
            <w:pPr>
              <w:spacing w:after="0"/>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Contingencies</w:t>
      </w:r>
    </w:p>
    <w:p>
      <w:pPr>
        <w:spacing w:after="0" w:line="9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Legal Matters. </w:t>
      </w:r>
      <w:r>
        <w:rPr>
          <w:rFonts w:ascii="Times New Roman" w:cs="Times New Roman" w:eastAsia="Times New Roman" w:hAnsi="Times New Roman"/>
          <w:sz w:val="18"/>
          <w:szCs w:val="18"/>
          <w:color w:val="auto"/>
        </w:rPr>
        <w:t>On October 14, 2003, the U.S. Futures Exchange, L.L.C. (Eurex U.S.) and U.S. Exchange Holdings, Inc. filed suit against CBOT and CME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United States District Court for the District of Columbia. The suit alleges that CBOT and CME violated the antitrust laws and tortiously interfered with the business relationship and contract between Eurex U.S. and The Clearing Corporation. Eurex U.S. and U.S. Exchange Holdings, Inc. are seeking a preliminary injunction and treble damages. In December 2003, CBOT and CME filed separate motions to dismiss or, in the event the motion to dismiss is denied, to move the venue to the United States District Court for the Northern District of Illinois. In September 2004, the judge granted CBOT’s and CME’s motions to transfer venue to the Northern District of Illinois. In light of that decision, the judge did not rule on the motions to dismiss. In March, 2005, Eurex U.S. filed a second amended complaint in the United States District Court for the Northern District of Illinois. On June 6, 2005, CME and CBOT filed a motion to dismiss the complaint. On August 25, 2005, the judge denied the joint CME/CBOT motion to dismiss. In April 2007, CME and CBOT filed two joint motions for summary judgment. The company is currently awaiting the court’s decision on the motions. Based on its investigation to date and advice from legal counsel, the company believes this suit is without merit and intends to defend itself vigorously against these charges.</w:t>
      </w:r>
    </w:p>
    <w:p>
      <w:pPr>
        <w:spacing w:after="0" w:line="14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On August 19, 2008, Fifth Market filed a complaint against CME Group and CME seeking a permanent injunction against CME’s Globex system and enhanced damages for what the plaintiff alleges is willful infringement, in addition to costs, expenses and attorneys’ fees. The suit alleges that CME infringes two U.S. patents. Based on its investigation to date and advice from legal counsel, the company believes this suit is without merit and intends to defend itself vigorously against these charges.</w:t>
      </w:r>
    </w:p>
    <w:p>
      <w:pPr>
        <w:spacing w:after="0" w:line="136"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In addition, the company is a defendant in, and has potential for, various other legal proceedings arising from its regular business activities. While the ultimate results of such proceedings against the company cannot be predicted with certainty, the company believes that the resolution of any of these matters will not have a material adverse affect on its consolidated financial position or results of operations.</w:t>
      </w:r>
    </w:p>
    <w:p>
      <w:pPr>
        <w:spacing w:after="0" w:line="130"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i w:val="1"/>
          <w:iCs w:val="1"/>
          <w:color w:val="auto"/>
        </w:rPr>
        <w:t>Intellectual Property Indemnifications</w:t>
      </w:r>
      <w:r>
        <w:rPr>
          <w:rFonts w:ascii="Times New Roman" w:cs="Times New Roman" w:eastAsia="Times New Roman" w:hAnsi="Times New Roman"/>
          <w:sz w:val="18"/>
          <w:szCs w:val="18"/>
          <w:color w:val="auto"/>
        </w:rPr>
        <w:t>. Certain agreements with customers and other third parties related to accessing the CME Globex platform, the CME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ClearPort platform, and/or the Clearing 21 platform; utilizing market data services, and licensing CME SPAN software may contain indemnifications from intellectual property claims that may be made against them as a result of their use of the applicable products and/or services. The potential future claims relating to these indemnifications cannot be estimated and, therefore, no liability has been recorded.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Guarantees</w:t>
      </w:r>
    </w:p>
    <w:p>
      <w:pPr>
        <w:spacing w:after="0" w:line="9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CME Clearing Contract Settlement. </w:t>
      </w:r>
      <w:r>
        <w:rPr>
          <w:rFonts w:ascii="Times New Roman" w:cs="Times New Roman" w:eastAsia="Times New Roman" w:hAnsi="Times New Roman"/>
          <w:sz w:val="18"/>
          <w:szCs w:val="18"/>
          <w:color w:val="auto"/>
        </w:rPr>
        <w:t>CME accounts for its guarantee of settlement of contracts in accordance with current accounting guidance on guarantees.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CME marks-to-market all open positions at least twice a day, and requires payment from clearing firms whose positions have lost value and makes payments to clearing firms whose positions have gained value. In select circumstances where CME has introduced clearing services to newer markets, positions are marked-to-market daily, with the capability to mark-to-market more frequently as market conditions warrant. Under the extremely unlikely scenario of simultaneous default by every clearing firm who has open positions with unrealized losses, the maximum exposure related to CME’s guarantee would be one half day of changes in fair value of all open positions, before considering CME’s ability to access defaulting clearing firms’ performance bond and security deposit balances as well as other available resources. During the first quarter of 2010, CME transferred an average of approximately $2.2 billion a day through its clearing system for settlement from clearing firms whose positions had lost value to clearing firms whose positions had gained value. CME reduces its guarantee exposure through initial and maintenance performance bond requirements and mandatory security deposits. The company believes that the guarantee liability in accordance with the accounting guidance is immaterial and therefore has not recorded any liability at March 31, 2010.</w:t>
      </w:r>
    </w:p>
    <w:p>
      <w:pPr>
        <w:spacing w:after="0" w:line="141" w:lineRule="exact"/>
        <w:rPr>
          <w:sz w:val="20"/>
          <w:szCs w:val="20"/>
          <w:color w:val="auto"/>
        </w:rPr>
      </w:pPr>
    </w:p>
    <w:p>
      <w:pPr>
        <w:jc w:val="both"/>
        <w:ind w:right="40"/>
        <w:spacing w:after="0" w:line="264" w:lineRule="auto"/>
        <w:rPr>
          <w:sz w:val="20"/>
          <w:szCs w:val="20"/>
          <w:color w:val="auto"/>
        </w:rPr>
      </w:pPr>
      <w:r>
        <w:rPr>
          <w:rFonts w:ascii="Times New Roman" w:cs="Times New Roman" w:eastAsia="Times New Roman" w:hAnsi="Times New Roman"/>
          <w:sz w:val="18"/>
          <w:szCs w:val="18"/>
          <w:i w:val="1"/>
          <w:iCs w:val="1"/>
          <w:color w:val="auto"/>
        </w:rPr>
        <w:t>Mutual Offset Agreement</w:t>
      </w:r>
      <w:r>
        <w:rPr>
          <w:rFonts w:ascii="Times New Roman" w:cs="Times New Roman" w:eastAsia="Times New Roman" w:hAnsi="Times New Roman"/>
          <w:sz w:val="18"/>
          <w:szCs w:val="18"/>
          <w:color w:val="auto"/>
        </w:rPr>
        <w:t>. CME and Singapore Exchange Limited (SGX) have a mutual offset agreement with a current term through October 2010. The term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agreement will automatically renew for a one year period unless either party provides advance notice of their intent to terminate. CME can maintain collateral in the form of U.S. Treasury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455" w:right="2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color w:val="auto"/>
        </w:rPr>
        <w:t>securities or irrevocable letters of credit. At March 31, 2010, CME was contingently liable to SGX on irrevocable letters of credit totaling $83.0 million. Regardless of the collateral, CME guarantees all cleared transactions submitted through SGX and would initiate procedures designed to satisfy these financial obligations in the event of a default, such as the use of performance bonds and security deposits of the defaulting clearing firm.</w:t>
      </w:r>
    </w:p>
    <w:p>
      <w:pPr>
        <w:spacing w:after="0" w:line="130"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i w:val="1"/>
          <w:iCs w:val="1"/>
          <w:color w:val="auto"/>
        </w:rPr>
        <w:t>Cross-Margin Agreements</w:t>
      </w:r>
      <w:r>
        <w:rPr>
          <w:rFonts w:ascii="Times New Roman" w:cs="Times New Roman" w:eastAsia="Times New Roman" w:hAnsi="Times New Roman"/>
          <w:sz w:val="18"/>
          <w:szCs w:val="18"/>
          <w:color w:val="auto"/>
        </w:rPr>
        <w:t>. CME and Options Clearing Corporate (OCC) have a cross-margin arrangement, whereby a common clearing firm may maintain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cross-margin account in which the clearing firm’s positions in certain CME futures and options on futures contracts are combined with certain positions cleared by OCC for purposes of calculating performance bond requirements. The performance bond deposits are held jointly by CME and OCC. If a participating firm defaults, the gain or loss on the liquidation of the firm’s open position and the proceeds from the liquidation of the cross-margin account are allocated 50% each to CME and OCC.</w:t>
      </w:r>
    </w:p>
    <w:p>
      <w:pPr>
        <w:spacing w:after="0" w:line="13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Cross-margin agreements exist with CME and Fixed Income Clearing Corp (FICC) whereby the clearing firms’ offsetting positions with CME are subject to reduced margin requirements. Clearing firms maintain separate performance bond deposits with each clearing house, but depending on the net offsetting positions between CME and FICC, each clearing house may reduce the firm’s performance bond requirement. In the event of a firm default, the total liquidation net gain or loss on the firm’s offsetting open positions and the proceeds from the liquidation of the performance bond collateral held by each clearing house’s supporting offsetting positions are divided evenly between CME and the applicable clearing house.</w:t>
      </w:r>
    </w:p>
    <w:p>
      <w:pPr>
        <w:spacing w:after="0" w:line="139" w:lineRule="exact"/>
        <w:rPr>
          <w:sz w:val="20"/>
          <w:szCs w:val="20"/>
          <w:color w:val="auto"/>
        </w:rPr>
      </w:pPr>
    </w:p>
    <w:p>
      <w:pPr>
        <w:ind w:right="200"/>
        <w:spacing w:after="0" w:line="301" w:lineRule="auto"/>
        <w:rPr>
          <w:sz w:val="20"/>
          <w:szCs w:val="20"/>
          <w:color w:val="auto"/>
        </w:rPr>
      </w:pPr>
      <w:r>
        <w:rPr>
          <w:rFonts w:ascii="Times New Roman" w:cs="Times New Roman" w:eastAsia="Times New Roman" w:hAnsi="Times New Roman"/>
          <w:sz w:val="16"/>
          <w:szCs w:val="16"/>
          <w:color w:val="auto"/>
        </w:rPr>
        <w:t>Additionally, for the FICC cross-margin agreements, if, after liquidation of all the positions and collateral of the defaulting firm at each respective clearing organization, and taking into account any cross-margining loss sharing payments, any of the participating clearing organizations has a remaining liquidating surplus, and any other participating clearing organization has a remaining liquidating deficit, any additional surplus from the liquidation will be shared with the other clearing houses to the extent that they have a remaining liquidating deficit. Any remaining surplus funds will be passed to the bankruptcy trustee.</w:t>
      </w:r>
    </w:p>
    <w:p>
      <w:pPr>
        <w:spacing w:after="0" w:line="101"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i w:val="1"/>
          <w:iCs w:val="1"/>
          <w:color w:val="auto"/>
        </w:rPr>
        <w:t>GFX Corporation Letter of Credit</w:t>
      </w:r>
      <w:r>
        <w:rPr>
          <w:rFonts w:ascii="Times New Roman" w:cs="Times New Roman" w:eastAsia="Times New Roman" w:hAnsi="Times New Roman"/>
          <w:sz w:val="18"/>
          <w:szCs w:val="18"/>
          <w:color w:val="auto"/>
        </w:rPr>
        <w:t>. CME guarantees a $5.0 million standby letter of credit for GFX Corporation (GFX). The beneficiary of the letter of credit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clearing firm that is used by GFX to execute and maintain its futures positions. Per exchange requirements, GFX is required to place performance bond deposits with its clearing firm. The letter of credit, utilized as performance bond, will be drawn on in the event that GFX defaults in meeting requirements to its clearing firm. In the unlikely event of a payment default by GFX, if GFX’s performance bond is not sufficient to cover the deficit, CME would guarantee the remaining deficit, if any.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Stock-Based Payments</w:t>
      </w:r>
    </w:p>
    <w:p>
      <w:pPr>
        <w:spacing w:after="0" w:line="9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Total expense for stock-based payments, including shares issued to the board of directors, converted CBOT Holdings options and converted NYMEX Holdings options, was $9.9 million for the quarter ended March 31, 2010, and $9.2 million for the quarter ended March 31, 2009. The total income tax benefit recognized in the consolidated statements of income for stock-based payment arrangements was $4.0 million and $3.7 million for the quarters ended March 31, 2010 and 2009, respectively.</w:t>
      </w:r>
    </w:p>
    <w:p>
      <w:pPr>
        <w:spacing w:after="0" w:line="136"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color w:val="auto"/>
        </w:rPr>
        <w:t>In the first quarter of 2010, the company granted employees stock options totaling 5,836 shares under the CME Group Omnibus Stock Plan. The options have a ten-year term with an exercise price of $314 per share, the closing market price on the date of grant. The fair value of these options totaled $0.7 million, measured at the grant date using the Black-Scholes valuation model, which is recognized as compensation expense on an accelerated basis over the vesting period. The Black-Scholes fair value of the option grant was calculated using the following assumptions: dividend yield of 1.5%; expected volatility of 43.6%; risk-free interest rate of 2.9% and expected life of 6.2 years. The grant date weighted average fair value of options granted during the quarter was $126 per share.</w:t>
      </w:r>
    </w:p>
    <w:p>
      <w:pPr>
        <w:spacing w:after="0" w:line="108"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In the first quarter of 2010, the company granted 4,155 shares of restricted Class A common stock which generally have a vesting period of two to five years. The fair value of this grant was $1.3 million, which is recognized as compensation expense on an accelerated basis over the vesting period.</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455" w:right="2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Fair Value Measurements</w:t>
      </w:r>
    </w:p>
    <w:p>
      <w:pPr>
        <w:spacing w:after="0" w:line="92"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Accounting guidance on fair value measurements and related disclosures provides direction for using fair value to measure assets and liabilities by defining fair value and establishing a framework for measuring fair value. The guidance creates a three-level hierarchy that establishes classification of fair value measurements for disclosure purposes.</w:t>
      </w:r>
    </w:p>
    <w:p>
      <w:pPr>
        <w:spacing w:after="0" w:line="51" w:lineRule="exact"/>
        <w:rPr>
          <w:sz w:val="20"/>
          <w:szCs w:val="20"/>
          <w:color w:val="auto"/>
        </w:rPr>
      </w:pPr>
    </w:p>
    <w:p>
      <w:pPr>
        <w:ind w:left="900" w:right="40" w:hanging="325"/>
        <w:spacing w:after="0" w:line="275"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which are considered the most reliable evidence of fair value, consist of quoted prices (unadjusted) for identical assets or liabilities in active markets.</w:t>
      </w:r>
    </w:p>
    <w:p>
      <w:pPr>
        <w:spacing w:after="0" w:line="38" w:lineRule="exact"/>
        <w:rPr>
          <w:rFonts w:ascii="Times New Roman" w:cs="Times New Roman" w:eastAsia="Times New Roman" w:hAnsi="Times New Roman"/>
          <w:sz w:val="18"/>
          <w:szCs w:val="18"/>
          <w:color w:val="auto"/>
        </w:rPr>
      </w:pPr>
    </w:p>
    <w:p>
      <w:pPr>
        <w:ind w:left="900" w:right="80" w:hanging="325"/>
        <w:spacing w:after="0" w:line="275"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consist of observable market data, other than level 1 inputs, such as quoted prices for similar assets and liabilities in active markets or inputs other than quoted prices that are directly observable.</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consist of unobservable inputs which are derived and cannot be corroborated by market data or other entity-specific inputs.</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general, the company uses quoted prices in active markets for identical assets to determine the fair value of marketable securities and equity investments. Level 1 assets generally include U.S. Treasury securities and exchange-traded mutual funds, and publicly-traded equity securities. If quoted prices are not available to determine fair value, the company uses other inputs that are observable either directly or indirectly. Assets included in level 2 generally consist of U.S. Government agency securities, municipal bonds, asset-backed securities and certain corporate bonds. There were no level 3 assets that were valued on a recurring and non-recurring basis as of March 31, 2010.</w:t>
      </w:r>
    </w:p>
    <w:p>
      <w:pPr>
        <w:spacing w:after="0" w:line="13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The company determined the fair value of its interest rate swap contracts, considered level 2 assets, using standard valuation models with market-based observable inputs including forward and spot exchange rates and interest rate curves. The level 2 marketable securities are measured at fair value based on matrix pricing.</w:t>
      </w:r>
    </w:p>
    <w:p>
      <w:pPr>
        <w:spacing w:after="0" w:line="132"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Financial assets and liabilities recorded in the consolidated balance sheet as of March 31, 2010 were classified in their entirety based on the lowest level of input that was significant to each asset or liability’s fair value measurement.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Measured at Fair Value on a Recurring Basis:</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75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As of March 31, 2010</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7"/>
              </w:rPr>
              <w:t>Level 1</w:t>
            </w:r>
          </w:p>
        </w:tc>
        <w:tc>
          <w:tcPr>
            <w:tcW w:w="420" w:type="dxa"/>
            <w:vAlign w:val="bottom"/>
          </w:tcPr>
          <w:p>
            <w:pPr>
              <w:spacing w:after="0"/>
              <w:rPr>
                <w:sz w:val="12"/>
                <w:szCs w:val="12"/>
                <w:color w:val="auto"/>
              </w:rPr>
            </w:pPr>
          </w:p>
        </w:tc>
        <w:tc>
          <w:tcPr>
            <w:tcW w:w="6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2"/>
                <w:szCs w:val="12"/>
                <w:color w:val="auto"/>
              </w:rPr>
            </w:pPr>
          </w:p>
        </w:tc>
        <w:tc>
          <w:tcPr>
            <w:tcW w:w="6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w w:val="87"/>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at Fair Value: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Mutual funds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25.2</w:t>
            </w:r>
          </w:p>
        </w:tc>
        <w:tc>
          <w:tcPr>
            <w:tcW w:w="42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Municipal bonds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Asset-backed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30.3</w:t>
            </w:r>
          </w:p>
        </w:tc>
        <w:tc>
          <w:tcPr>
            <w:tcW w:w="10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16.0</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60.1</w:t>
            </w:r>
          </w:p>
        </w:tc>
        <w:tc>
          <w:tcPr>
            <w:tcW w:w="420" w:type="dxa"/>
            <w:vAlign w:val="bottom"/>
          </w:tcPr>
          <w:p>
            <w:pPr>
              <w:spacing w:after="0"/>
              <w:rPr>
                <w:sz w:val="19"/>
                <w:szCs w:val="19"/>
                <w:color w:val="auto"/>
              </w:rPr>
            </w:pPr>
          </w:p>
        </w:tc>
        <w:tc>
          <w:tcPr>
            <w:tcW w:w="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90.4</w:t>
            </w:r>
          </w:p>
        </w:tc>
        <w:tc>
          <w:tcPr>
            <w:tcW w:w="10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$ 16.0</w:t>
            </w:r>
          </w:p>
        </w:tc>
        <w:tc>
          <w:tcPr>
            <w:tcW w:w="8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Liabilities at Fair Value: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52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$ 23.1</w:t>
            </w:r>
          </w:p>
        </w:tc>
        <w:tc>
          <w:tcPr>
            <w:tcW w:w="8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Liabilities at Fair Value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$ 23.1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w w:val="95"/>
              </w:rPr>
              <w:t>$ —</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There were no transfers of assets or liabilities between level 1 and level 2 during the first quarter of 2010. There were also no assets or liabilities valued at fair value on a non-recurring basis using significant unobservable inputs during the first quarter of 2010.</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455" w:right="2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Earnings Per Common Share</w:t>
      </w:r>
    </w:p>
    <w:p>
      <w:pPr>
        <w:spacing w:after="0" w:line="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by the weighted average number of shares of all classes of common stock outstanding for each reporting period. Diluted earnings per share reflects the increase in shares using the treasury stock method to reflect the impact of an equivalent number of shares of common stock if stock options were exercised and restricted stock awards were vested. Outstanding stock options of approximately 609,000 and 734,000 were anti-dilutive for the quarters ended March 31, 2010 and 2009, respectively. Restricted stock awards of approximately 5,000 were anti-dilutive for the quarter ended March 31, 2009. These options and awards were not included in the diluted earnings per common share calculation.</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56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shares and per share data)</w:t>
            </w:r>
          </w:p>
        </w:tc>
        <w:tc>
          <w:tcPr>
            <w:tcW w:w="1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w w:val="97"/>
              </w:rPr>
              <w:t>Quarter Ended March 31,</w:t>
            </w:r>
          </w:p>
        </w:tc>
        <w:tc>
          <w:tcPr>
            <w:tcW w:w="0" w:type="dxa"/>
            <w:vAlign w:val="bottom"/>
          </w:tcPr>
          <w:p>
            <w:pPr>
              <w:spacing w:after="0"/>
              <w:rPr>
                <w:sz w:val="1"/>
                <w:szCs w:val="1"/>
                <w:color w:val="auto"/>
              </w:rPr>
            </w:pPr>
          </w:p>
        </w:tc>
      </w:tr>
      <w:tr>
        <w:trPr>
          <w:trHeight w:val="142"/>
        </w:trPr>
        <w:tc>
          <w:tcPr>
            <w:tcW w:w="56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Net Income Attributable to CME Group</w:t>
            </w:r>
          </w:p>
        </w:tc>
        <w:tc>
          <w:tcPr>
            <w:tcW w:w="28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0" w:type="dxa"/>
            <w:vAlign w:val="bottom"/>
          </w:tcPr>
          <w:p>
            <w:pPr>
              <w:spacing w:after="0"/>
              <w:rPr>
                <w:sz w:val="1"/>
                <w:szCs w:val="1"/>
                <w:color w:val="auto"/>
              </w:rPr>
            </w:pPr>
          </w:p>
        </w:tc>
      </w:tr>
      <w:tr>
        <w:trPr>
          <w:trHeight w:val="323"/>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 Average Number of Common Shares (in thousands):</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66,234</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Effect of stock options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Effect of restricted stock grants</w:t>
            </w:r>
          </w:p>
        </w:tc>
        <w:tc>
          <w:tcPr>
            <w:tcW w:w="1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Diluted</w:t>
            </w:r>
          </w:p>
        </w:tc>
        <w:tc>
          <w:tcPr>
            <w:tcW w:w="1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66,428</w:t>
            </w: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280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Common Share Attributable to CME Group:</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Diluted</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Subsequent Events</w:t>
      </w:r>
    </w:p>
    <w:p>
      <w:pPr>
        <w:spacing w:after="0" w:line="92"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The company has evaluated subsequent events through the date the financial statements were issued, and has determined that there are no subsequent events that require disclosure.</w:t>
      </w:r>
    </w:p>
    <w:p>
      <w:pPr>
        <w:spacing w:after="0" w:line="1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60"/>
          </w:cols>
          <w:pgMar w:left="240" w:top="455" w:right="29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92"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The following discussion is provided as a supplement to, and should be read in conjunction with, the accompanying unaudited consolidated financial statements and notes in this Form 10-Q and our Annual Report on Form 10-K for the year ended December 31, 2009.</w:t>
      </w:r>
    </w:p>
    <w:p>
      <w:pPr>
        <w:spacing w:after="0" w:line="12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References in this discussion and analysis to “we,” “us” and “our” are to CME Group and its consolidated subsidiaries, collectively. References to “exchange” are to Chicago Mercantile Exchange Inc. (CME), Board of Trade of the City of Chicago, Inc. (CBOT), and New York Mercantile Exchange, Inc. (NYMEX), collectively.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significant changes in our financial performance for the periods presented.</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2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c>
          <w:tcPr>
            <w:tcW w:w="38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w w:val="99"/>
              </w:rPr>
              <w:t>Quarter Ended March 31,</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Change</w:t>
            </w:r>
          </w:p>
        </w:tc>
        <w:tc>
          <w:tcPr>
            <w:tcW w:w="2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80" w:type="dxa"/>
            <w:vAlign w:val="bottom"/>
            <w:tcBorders>
              <w:bottom w:val="single" w:sz="8" w:color="auto"/>
            </w:tcBorders>
            <w:vMerge w:val="continue"/>
          </w:tcPr>
          <w:p>
            <w:pPr>
              <w:spacing w:after="0"/>
              <w:rPr>
                <w:sz w:val="12"/>
                <w:szCs w:val="12"/>
                <w:color w:val="auto"/>
              </w:rPr>
            </w:pPr>
          </w:p>
        </w:tc>
        <w:tc>
          <w:tcPr>
            <w:tcW w:w="3820" w:type="dxa"/>
            <w:vAlign w:val="bottom"/>
            <w:vMerge w:val="continue"/>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2010</w:t>
            </w:r>
          </w:p>
        </w:tc>
        <w:tc>
          <w:tcPr>
            <w:tcW w:w="4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640" w:type="dxa"/>
            <w:vAlign w:val="bottom"/>
          </w:tcPr>
          <w:p>
            <w:pPr>
              <w:spacing w:after="0"/>
              <w:rPr>
                <w:sz w:val="12"/>
                <w:szCs w:val="12"/>
                <w:color w:val="auto"/>
              </w:rPr>
            </w:pPr>
          </w:p>
        </w:tc>
        <w:tc>
          <w:tcPr>
            <w:tcW w:w="44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693.2</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647.1</w:t>
            </w:r>
          </w:p>
        </w:tc>
        <w:tc>
          <w:tcPr>
            <w:tcW w:w="6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12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278.5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6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60%</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(15.8)</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(35.9)</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7"/>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43%</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CME Group</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240.2</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6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common share attributable to CME Group</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3.62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 from operations</w:t>
            </w:r>
          </w:p>
        </w:tc>
        <w:tc>
          <w:tcPr>
            <w:tcW w:w="120" w:type="dxa"/>
            <w:vAlign w:val="bottom"/>
          </w:tcPr>
          <w:p>
            <w:pPr>
              <w:spacing w:after="0"/>
              <w:rPr>
                <w:sz w:val="24"/>
                <w:szCs w:val="24"/>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355.7</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6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900" w:right="560" w:hanging="325"/>
        <w:spacing w:after="0" w:line="275"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2010 when compared with the same period of 2009, an increase in clearing and transaction fees due to increased trading volumes primarily contributed to the growth in revenues.</w:t>
      </w:r>
    </w:p>
    <w:p>
      <w:pPr>
        <w:spacing w:after="0" w:line="38" w:lineRule="exact"/>
        <w:rPr>
          <w:rFonts w:ascii="Times New Roman" w:cs="Times New Roman" w:eastAsia="Times New Roman" w:hAnsi="Times New Roman"/>
          <w:sz w:val="18"/>
          <w:szCs w:val="18"/>
          <w:color w:val="auto"/>
        </w:rPr>
      </w:pPr>
    </w:p>
    <w:p>
      <w:pPr>
        <w:ind w:left="900" w:right="860" w:hanging="325"/>
        <w:spacing w:after="0" w:line="275"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professional fees related to the closing of the transaction to form Index Services, our joint venture with Dow Jones as well as compensation and benefits expense contributed to higher overall expenses in the first quarter of 2010.</w:t>
      </w:r>
    </w:p>
    <w:p>
      <w:pPr>
        <w:spacing w:after="0" w:line="38" w:lineRule="exact"/>
        <w:rPr>
          <w:rFonts w:ascii="Times New Roman" w:cs="Times New Roman" w:eastAsia="Times New Roman" w:hAnsi="Times New Roman"/>
          <w:sz w:val="18"/>
          <w:szCs w:val="18"/>
          <w:color w:val="auto"/>
        </w:rPr>
      </w:pPr>
    </w:p>
    <w:p>
      <w:pPr>
        <w:ind w:left="900" w:right="20" w:hanging="325"/>
        <w:spacing w:after="0" w:line="275"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non-operating expense in the first quarter of 2010 is attributable to additional dividend income, a decrease in interest expense as well as a gain realized on a legal settlement related to a derivative investment.</w:t>
      </w:r>
    </w:p>
    <w:p>
      <w:pPr>
        <w:spacing w:after="0" w:line="38" w:lineRule="exact"/>
        <w:rPr>
          <w:rFonts w:ascii="Times New Roman" w:cs="Times New Roman" w:eastAsia="Times New Roman" w:hAnsi="Times New Roman"/>
          <w:sz w:val="18"/>
          <w:szCs w:val="18"/>
          <w:color w:val="auto"/>
        </w:rPr>
      </w:pPr>
    </w:p>
    <w:p>
      <w:pPr>
        <w:ind w:left="900" w:right="40" w:hanging="325"/>
        <w:spacing w:after="0" w:line="26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tax rate decreased in the first quarter of 2010 when compared with the same period in 2009 due to a $6.4 million reduction in liabilities recognized for uncertain tax positions in the first quarter of 2010 as well as a $6.3 million liability recognized for uncertain tax positions in the first quarter of 2009.</w:t>
      </w:r>
    </w:p>
    <w:p>
      <w:pPr>
        <w:spacing w:after="0" w:line="5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from operations are strongly correlated with trading volume.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11"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1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60" w:type="dxa"/>
            <w:vAlign w:val="bottom"/>
            <w:vMerge w:val="restart"/>
          </w:tcPr>
          <w:p>
            <w:pPr>
              <w:spacing w:after="0"/>
              <w:rPr>
                <w:sz w:val="14"/>
                <w:szCs w:val="14"/>
                <w:color w:val="auto"/>
              </w:rPr>
            </w:pPr>
          </w:p>
        </w:tc>
        <w:tc>
          <w:tcPr>
            <w:tcW w:w="3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Change</w:t>
            </w:r>
          </w:p>
        </w:tc>
        <w:tc>
          <w:tcPr>
            <w:tcW w:w="2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00" w:type="dxa"/>
            <w:vAlign w:val="bottom"/>
            <w:tcBorders>
              <w:bottom w:val="single" w:sz="8" w:color="auto"/>
            </w:tcBorders>
            <w:vMerge w:val="continue"/>
          </w:tcPr>
          <w:p>
            <w:pPr>
              <w:spacing w:after="0"/>
              <w:rPr>
                <w:sz w:val="12"/>
                <w:szCs w:val="12"/>
                <w:color w:val="auto"/>
              </w:rPr>
            </w:pPr>
          </w:p>
        </w:tc>
        <w:tc>
          <w:tcPr>
            <w:tcW w:w="2460" w:type="dxa"/>
            <w:vAlign w:val="bottom"/>
            <w:vMerge w:val="continue"/>
          </w:tcPr>
          <w:p>
            <w:pPr>
              <w:spacing w:after="0"/>
              <w:rPr>
                <w:sz w:val="12"/>
                <w:szCs w:val="12"/>
                <w:color w:val="auto"/>
              </w:rPr>
            </w:pPr>
          </w:p>
        </w:tc>
        <w:tc>
          <w:tcPr>
            <w:tcW w:w="30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420" w:type="dxa"/>
            <w:vAlign w:val="bottom"/>
          </w:tcPr>
          <w:p>
            <w:pPr>
              <w:spacing w:after="0"/>
              <w:rPr>
                <w:sz w:val="12"/>
                <w:szCs w:val="12"/>
                <w:color w:val="auto"/>
              </w:rPr>
            </w:pPr>
          </w:p>
        </w:tc>
        <w:tc>
          <w:tcPr>
            <w:tcW w:w="44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Clearing and transaction fees</w:t>
            </w:r>
          </w:p>
        </w:tc>
        <w:tc>
          <w:tcPr>
            <w:tcW w:w="3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578.0</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527.8</w:t>
            </w: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 data and information services</w:t>
            </w: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4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Access and communication fees</w:t>
            </w:r>
          </w:p>
        </w:tc>
        <w:tc>
          <w:tcPr>
            <w:tcW w:w="3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11.6</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4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693.2</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647.1</w:t>
            </w: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020" w:type="dxa"/>
            <w:vAlign w:val="bottom"/>
            <w:vMerge w:val="restart"/>
          </w:tcPr>
          <w:p>
            <w:pPr>
              <w:jc w:val="right"/>
              <w:ind w:right="1712"/>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2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5" w:right="2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Clearing and Transaction Fees</w:t>
      </w:r>
    </w:p>
    <w:p>
      <w:pPr>
        <w:spacing w:after="0" w:line="94"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color w:val="auto"/>
        </w:rPr>
        <w:t>Based on total volume and average rate per contract data below, we estimate that clearing and transaction fees revenue increased by $61.7 million due to the increase in total volume and declined by $11.5 million due to the decrease in average rate per contract, resulting in a net increase in revenues in the first quarter of 2010 of $50.2 million when compared with the same period in 2009. Average rate per contract is impacted by our rate structure, which includes volume-based incentives; product mix; trading venue, and the percentage of trading volume executed by customers who are members compared with non-member customers. Due to the relationship between average rate per contract and volume, the change in revenues attributable to changes in each is only an approximation.</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8"/>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420" w:type="dxa"/>
            <w:vAlign w:val="bottom"/>
          </w:tcPr>
          <w:p>
            <w:pPr>
              <w:spacing w:after="0"/>
              <w:rPr>
                <w:sz w:val="14"/>
                <w:szCs w:val="14"/>
                <w:color w:val="auto"/>
              </w:rPr>
            </w:pPr>
          </w:p>
        </w:tc>
        <w:tc>
          <w:tcPr>
            <w:tcW w:w="6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1"/>
              </w:rPr>
              <w:t>Change</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bottom w:val="single" w:sz="8" w:color="auto"/>
            </w:tcBorders>
            <w:gridSpan w:val="3"/>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8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volume (in millions)</w:t>
            </w:r>
          </w:p>
        </w:tc>
        <w:tc>
          <w:tcPr>
            <w:tcW w:w="9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704.2</w:t>
            </w:r>
          </w:p>
        </w:tc>
        <w:tc>
          <w:tcPr>
            <w:tcW w:w="3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629.0</w:t>
            </w: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Clearing and transaction fees (in millions)</w:t>
            </w:r>
          </w:p>
        </w:tc>
        <w:tc>
          <w:tcPr>
            <w:tcW w:w="9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  578.0</w:t>
            </w:r>
          </w:p>
        </w:tc>
        <w:tc>
          <w:tcPr>
            <w:tcW w:w="32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527.8</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rate per contract</w:t>
            </w:r>
          </w:p>
        </w:tc>
        <w:tc>
          <w:tcPr>
            <w:tcW w:w="9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0.821</w:t>
            </w:r>
          </w:p>
        </w:tc>
        <w:tc>
          <w:tcPr>
            <w:tcW w:w="3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0.839</w:t>
            </w: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457"/>
        </w:trPr>
        <w:tc>
          <w:tcPr>
            <w:tcW w:w="74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Trading Volume</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summarizes average daily trading volume.</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20" w:type="dxa"/>
            <w:vAlign w:val="bottom"/>
          </w:tcPr>
          <w:p>
            <w:pPr>
              <w:spacing w:after="0"/>
              <w:rPr>
                <w:sz w:val="24"/>
                <w:szCs w:val="24"/>
                <w:color w:val="auto"/>
              </w:rPr>
            </w:pPr>
          </w:p>
        </w:tc>
        <w:tc>
          <w:tcPr>
            <w:tcW w:w="1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(amounts in thousands)</w:t>
            </w:r>
          </w:p>
        </w:tc>
        <w:tc>
          <w:tcPr>
            <w:tcW w:w="5060" w:type="dxa"/>
            <w:vAlign w:val="bottom"/>
            <w:vMerge w:val="restart"/>
          </w:tcPr>
          <w:p>
            <w:pPr>
              <w:spacing w:after="0"/>
              <w:rPr>
                <w:sz w:val="24"/>
                <w:szCs w:val="24"/>
                <w:color w:val="auto"/>
              </w:rPr>
            </w:pPr>
          </w:p>
        </w:tc>
        <w:tc>
          <w:tcPr>
            <w:tcW w:w="2040" w:type="dxa"/>
            <w:vAlign w:val="bottom"/>
            <w:gridSpan w:val="10"/>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420" w:type="dxa"/>
            <w:vAlign w:val="bottom"/>
          </w:tcPr>
          <w:p>
            <w:pPr>
              <w:spacing w:after="0"/>
              <w:rPr>
                <w:sz w:val="24"/>
                <w:szCs w:val="24"/>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Change</w:t>
            </w:r>
          </w:p>
        </w:tc>
        <w:tc>
          <w:tcPr>
            <w:tcW w:w="2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1420" w:type="dxa"/>
            <w:vAlign w:val="bottom"/>
            <w:tcBorders>
              <w:bottom w:val="single" w:sz="8" w:color="auto"/>
            </w:tcBorders>
            <w:vMerge w:val="continue"/>
          </w:tcPr>
          <w:p>
            <w:pPr>
              <w:spacing w:after="0"/>
              <w:rPr>
                <w:sz w:val="12"/>
                <w:szCs w:val="12"/>
                <w:color w:val="auto"/>
              </w:rPr>
            </w:pPr>
          </w:p>
        </w:tc>
        <w:tc>
          <w:tcPr>
            <w:tcW w:w="5060" w:type="dxa"/>
            <w:vAlign w:val="bottom"/>
            <w:vMerge w:val="continue"/>
          </w:tcPr>
          <w:p>
            <w:pPr>
              <w:spacing w:after="0"/>
              <w:rPr>
                <w:sz w:val="12"/>
                <w:szCs w:val="12"/>
                <w:color w:val="auto"/>
              </w:rPr>
            </w:pPr>
          </w:p>
        </w:tc>
        <w:tc>
          <w:tcPr>
            <w:tcW w:w="580" w:type="dxa"/>
            <w:vAlign w:val="bottom"/>
            <w:tcBorders>
              <w:top w:val="single" w:sz="8" w:color="auto"/>
              <w:bottom w:val="single" w:sz="8" w:color="auto"/>
            </w:tcBorders>
            <w:gridSpan w:val="3"/>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3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3"/>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Average Daily Volume by Product Line:</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5,120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3,843</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3,537</w:t>
            </w: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507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685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Energy</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1,524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Metal</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Aggregate average daily volume</w:t>
            </w:r>
          </w:p>
        </w:tc>
        <w:tc>
          <w:tcPr>
            <w:tcW w:w="5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11,544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10,311</w:t>
            </w:r>
          </w:p>
        </w:tc>
        <w:tc>
          <w:tcPr>
            <w:tcW w:w="1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9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Average Daily Volume by Venue:</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Electronic</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9,562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8,223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 outcry</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1,338</w:t>
            </w: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Privately negotiated</w:t>
            </w:r>
          </w:p>
        </w:tc>
        <w:tc>
          <w:tcPr>
            <w:tcW w:w="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exchange-traded volume</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11,070</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9,725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ClearPort</w:t>
            </w:r>
          </w:p>
        </w:tc>
        <w:tc>
          <w:tcPr>
            <w:tcW w:w="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80" w:type="dxa"/>
            <w:vAlign w:val="bottom"/>
          </w:tcPr>
          <w:p>
            <w:pPr>
              <w:spacing w:after="0"/>
              <w:rPr>
                <w:sz w:val="19"/>
                <w:szCs w:val="19"/>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average daily volume</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11,544</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10,311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2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Electronic Volume as a Percentage of Total Volume</w:t>
            </w:r>
          </w:p>
        </w:tc>
        <w:tc>
          <w:tcPr>
            <w:tcW w:w="88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4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Interest Rate Products</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summarizes average daily volume for our key interest rate products.</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20" w:type="dxa"/>
            <w:vAlign w:val="bottom"/>
          </w:tcPr>
          <w:p>
            <w:pPr>
              <w:spacing w:after="0"/>
              <w:rPr>
                <w:sz w:val="24"/>
                <w:szCs w:val="24"/>
                <w:color w:val="auto"/>
              </w:rPr>
            </w:pPr>
          </w:p>
        </w:tc>
        <w:tc>
          <w:tcPr>
            <w:tcW w:w="1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(amounts in thousands)</w:t>
            </w:r>
          </w:p>
        </w:tc>
        <w:tc>
          <w:tcPr>
            <w:tcW w:w="506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Borders>
              <w:bottom w:val="single" w:sz="8" w:color="auto"/>
            </w:tcBorders>
            <w:gridSpan w:val="8"/>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420" w:type="dxa"/>
            <w:vAlign w:val="bottom"/>
          </w:tcPr>
          <w:p>
            <w:pPr>
              <w:spacing w:after="0"/>
              <w:rPr>
                <w:sz w:val="24"/>
                <w:szCs w:val="24"/>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Change</w:t>
            </w:r>
          </w:p>
        </w:tc>
        <w:tc>
          <w:tcPr>
            <w:tcW w:w="2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1420" w:type="dxa"/>
            <w:vAlign w:val="bottom"/>
            <w:tcBorders>
              <w:bottom w:val="single" w:sz="8" w:color="auto"/>
            </w:tcBorders>
            <w:vMerge w:val="continue"/>
          </w:tcPr>
          <w:p>
            <w:pPr>
              <w:spacing w:after="0"/>
              <w:rPr>
                <w:sz w:val="12"/>
                <w:szCs w:val="12"/>
                <w:color w:val="auto"/>
              </w:rPr>
            </w:pPr>
          </w:p>
        </w:tc>
        <w:tc>
          <w:tcPr>
            <w:tcW w:w="5060" w:type="dxa"/>
            <w:vAlign w:val="bottom"/>
            <w:vMerge w:val="continue"/>
          </w:tcPr>
          <w:p>
            <w:pPr>
              <w:spacing w:after="0"/>
              <w:rPr>
                <w:sz w:val="12"/>
                <w:szCs w:val="12"/>
                <w:color w:val="auto"/>
              </w:rPr>
            </w:pPr>
          </w:p>
        </w:tc>
        <w:tc>
          <w:tcPr>
            <w:tcW w:w="220" w:type="dxa"/>
            <w:vAlign w:val="bottom"/>
            <w:gridSpan w:val="2"/>
          </w:tcPr>
          <w:p>
            <w:pPr>
              <w:spacing w:after="0"/>
              <w:rPr>
                <w:sz w:val="12"/>
                <w:szCs w:val="12"/>
                <w:color w:val="auto"/>
              </w:rPr>
            </w:pPr>
          </w:p>
        </w:tc>
        <w:tc>
          <w:tcPr>
            <w:tcW w:w="660" w:type="dxa"/>
            <w:vAlign w:val="bottom"/>
            <w:tcBorders>
              <w:bottom w:val="single" w:sz="8" w:color="auto"/>
            </w:tcBorders>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2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8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Eurodollar futures</w:t>
            </w:r>
          </w:p>
        </w:tc>
        <w:tc>
          <w:tcPr>
            <w:tcW w:w="9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3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Eurodollar options</w:t>
            </w: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32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futures and options:</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10-Year</w:t>
            </w: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32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5-Year</w:t>
            </w:r>
          </w:p>
        </w:tc>
        <w:tc>
          <w:tcPr>
            <w:tcW w:w="9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3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30-Year</w:t>
            </w: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32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2-Year</w:t>
            </w:r>
          </w:p>
        </w:tc>
        <w:tc>
          <w:tcPr>
            <w:tcW w:w="9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3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7400" w:type="dxa"/>
            <w:vAlign w:val="bottom"/>
            <w:gridSpan w:val="3"/>
          </w:tcPr>
          <w:p>
            <w:pPr>
              <w:ind w:left="5620"/>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5" w:right="2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increase in interest rate products volume in the first quarter of 2010 compared with the same period in 2009 was attributable to the overall improvement in the economic environment in 2010 following the credit crisis. The improving macroeconomic expectations led to changing expectations in U.S. Treasury products as well as increased market participants’ use of these products, which contributed to an increase in volume. We also believe that trading volume has increased due to the market’s changing expectations regarding the Federal Reserve Bank’s zero interest rate policy for short-term interest rates.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Products</w:t>
      </w:r>
    </w:p>
    <w:p>
      <w:pPr>
        <w:spacing w:after="0" w:line="92"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8"/>
          <w:szCs w:val="18"/>
          <w:color w:val="auto"/>
        </w:rPr>
        <w:t>During the first quarter of 2010, volatility within the equity markets declined, which we believe was attributable to a generally improved economic outlook. This decline in volatility contributed to a decrease in volume in the first quarter of 2010 when compared with the same period in 2009. Average volatility, as measured by the CBOE Volatility Index, decreased to 20% in the first quarter of 2010 from 45% in the same period of 2009.</w:t>
      </w:r>
    </w:p>
    <w:p>
      <w:pPr>
        <w:spacing w:after="0" w:line="13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Average daily volume for E-mini equity products decreased by 19% to 2.6 million contracts in the first quarter of 2010 when compared with the first quarter of 2009. The decline in volume was primarily attributable to the decline in E-mini S&amp;P 500 contracts, which decreased by 20% when compared with the first quarter of 2009 to an average of 2.2 million contracts per day. We believe that the diminished volatility contributed to the decrease in E-mini S&amp;P 500 contract volume.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Products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volume for our top foreign exchange futures and options products.</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1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(amounts in thousands)</w:t>
            </w:r>
          </w:p>
        </w:tc>
        <w:tc>
          <w:tcPr>
            <w:tcW w:w="5020" w:type="dxa"/>
            <w:vAlign w:val="bottom"/>
            <w:vMerge w:val="restart"/>
          </w:tcPr>
          <w:p>
            <w:pPr>
              <w:spacing w:after="0"/>
              <w:rPr>
                <w:sz w:val="14"/>
                <w:szCs w:val="14"/>
                <w:color w:val="auto"/>
              </w:rPr>
            </w:pPr>
          </w:p>
        </w:tc>
        <w:tc>
          <w:tcPr>
            <w:tcW w:w="2500" w:type="dxa"/>
            <w:vAlign w:val="bottom"/>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Change</w:t>
            </w:r>
          </w:p>
        </w:tc>
        <w:tc>
          <w:tcPr>
            <w:tcW w:w="2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420" w:type="dxa"/>
            <w:vAlign w:val="bottom"/>
            <w:tcBorders>
              <w:bottom w:val="single" w:sz="8" w:color="auto"/>
            </w:tcBorders>
            <w:vMerge w:val="continue"/>
          </w:tcPr>
          <w:p>
            <w:pPr>
              <w:spacing w:after="0"/>
              <w:rPr>
                <w:sz w:val="12"/>
                <w:szCs w:val="12"/>
                <w:color w:val="auto"/>
              </w:rPr>
            </w:pPr>
          </w:p>
        </w:tc>
        <w:tc>
          <w:tcPr>
            <w:tcW w:w="5020" w:type="dxa"/>
            <w:vAlign w:val="bottom"/>
            <w:vMerge w:val="continue"/>
          </w:tcPr>
          <w:p>
            <w:pPr>
              <w:spacing w:after="0"/>
              <w:rPr>
                <w:sz w:val="12"/>
                <w:szCs w:val="12"/>
                <w:color w:val="auto"/>
              </w:rPr>
            </w:pPr>
          </w:p>
        </w:tc>
        <w:tc>
          <w:tcPr>
            <w:tcW w:w="66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58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580" w:type="dxa"/>
            <w:vAlign w:val="bottom"/>
          </w:tcPr>
          <w:p>
            <w:pPr>
              <w:spacing w:after="0"/>
              <w:rPr>
                <w:sz w:val="12"/>
                <w:szCs w:val="12"/>
                <w:color w:val="auto"/>
              </w:rPr>
            </w:pPr>
          </w:p>
        </w:tc>
        <w:tc>
          <w:tcPr>
            <w:tcW w:w="44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84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205</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British pound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84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78</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Japanese yen</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84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90</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Australian dollar</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84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38</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Canadian dollar</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84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40</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We believe that the volume for our FX products has increased due to a divergence between interest rate policy in the United States and other global markets, as well as the sovereign debt crisis in Europe.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Products</w:t>
      </w:r>
    </w:p>
    <w:p>
      <w:pPr>
        <w:spacing w:after="0" w:line="92"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We believe the overall increase in average daily volume for commodities products in the first quarter of 2010 when compared with the same period in 2009 was largely due to improved economic conditions following the credit crisis. We also believe that the increase in volume was attributable to the broader use of commodities as an asset class as well as changes in global supply and demand.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Energy Products</w:t>
      </w:r>
    </w:p>
    <w:p>
      <w:pPr>
        <w:spacing w:after="0" w:line="92"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We believe the increase in average daily volume in the first quarter of 2010 when compared with the same period in 2009 was attributable to the increased use of energy products as an asset class as well as improving macroeconomic conditions.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Metal Products</w:t>
      </w:r>
    </w:p>
    <w:p>
      <w:pPr>
        <w:spacing w:after="0" w:line="92"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auto"/>
        </w:rPr>
        <w:t>We believe metal products volume increased in the first quarter of 2010 when compared with the first quarter of 2009 largely due to increased investment in precious metals as an asset class during periods of uncertainty in interest rates and foreign exchange.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Average Rate per Contract</w:t>
      </w:r>
    </w:p>
    <w:p>
      <w:pPr>
        <w:spacing w:after="0" w:line="92" w:lineRule="exact"/>
        <w:rPr>
          <w:sz w:val="20"/>
          <w:szCs w:val="20"/>
          <w:color w:val="auto"/>
        </w:rPr>
      </w:pPr>
    </w:p>
    <w:p>
      <w:pPr>
        <w:ind w:right="140"/>
        <w:spacing w:after="0" w:line="310" w:lineRule="auto"/>
        <w:rPr>
          <w:sz w:val="20"/>
          <w:szCs w:val="20"/>
          <w:color w:val="auto"/>
        </w:rPr>
      </w:pPr>
      <w:r>
        <w:rPr>
          <w:rFonts w:ascii="Times New Roman" w:cs="Times New Roman" w:eastAsia="Times New Roman" w:hAnsi="Times New Roman"/>
          <w:sz w:val="16"/>
          <w:szCs w:val="16"/>
          <w:color w:val="auto"/>
        </w:rPr>
        <w:t>The average rate per contract decreased in the first quarter of 2010 when compared with the same period in 2009 due to a higher portion of interest rate products as a percentage of total volume compared with equity products, which have a higher rate per contract. As a percentage of total volume, equity products trading volume decreased by 10% in the first quarter of 2010, while interest rate products volume increased by 7% when compared with the same period in 2009.</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5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Growth in member trading volume also contributed to the overall decrease in average rate per contract in the first quarter of 2010, when compared with the same period in 2009. Member trading volume increased faster than non-member trading in the first quarter of 2010.</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Revenue</w:t>
      </w:r>
    </w:p>
    <w:p>
      <w:pPr>
        <w:spacing w:after="0" w:line="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bill a substantial portion of our clearing and transaction fees to our clearing firms. The majority of clearing and transaction fees received from clearing firms represent charges for trades executed and cleared on behalf of their customers. As of March 31, 2010, we had approximately 140 clearing firms. One firm represented 12% of our clearing and transaction fees revenue in the first quarter of 2010. No other firm represented more than 10% of our clearing and transaction fees revenue in the first quarter of 2010. Should a clearing firm withdraw, we believe that the customer portion of the firm’s trading activity would likely transfer to another clearing firm of the exchange. Therefore, we do not believe we are exposed to significant risk from the loss of revenue received from a particular clearing firm.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Sources of Revenue</w:t>
      </w:r>
    </w:p>
    <w:p>
      <w:pPr>
        <w:spacing w:after="0" w:line="94"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The increase in market data and information services revenue was primarily attributable to an increase in the basic device monthly fee. The increase was fully offset by the decrease in basic device counts in the first quarter of 2010 due primarily to cost-cutting initiatives at customer firms.</w:t>
      </w:r>
    </w:p>
    <w:p>
      <w:pPr>
        <w:spacing w:after="0" w:line="158"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3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 except monthly fee per device)</w:t>
            </w:r>
          </w:p>
        </w:tc>
        <w:tc>
          <w:tcPr>
            <w:tcW w:w="324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100" w:type="dxa"/>
            <w:vAlign w:val="bottom"/>
          </w:tcPr>
          <w:p>
            <w:pPr>
              <w:spacing w:after="0"/>
              <w:rPr>
                <w:sz w:val="14"/>
                <w:szCs w:val="14"/>
                <w:color w:val="auto"/>
              </w:rPr>
            </w:pPr>
          </w:p>
        </w:tc>
        <w:tc>
          <w:tcPr>
            <w:tcW w:w="56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80" w:type="dxa"/>
            <w:vAlign w:val="bottom"/>
            <w:tcBorders>
              <w:bottom w:val="single" w:sz="8" w:color="auto"/>
            </w:tcBorders>
            <w:vMerge w:val="continue"/>
          </w:tcPr>
          <w:p>
            <w:pPr>
              <w:spacing w:after="0"/>
              <w:rPr>
                <w:sz w:val="12"/>
                <w:szCs w:val="12"/>
                <w:color w:val="auto"/>
              </w:rPr>
            </w:pPr>
          </w:p>
        </w:tc>
        <w:tc>
          <w:tcPr>
            <w:tcW w:w="3240" w:type="dxa"/>
            <w:vAlign w:val="bottom"/>
            <w:vMerge w:val="continue"/>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estimated monthly basic device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screen count</w:t>
            </w:r>
          </w:p>
        </w:tc>
        <w:tc>
          <w:tcPr>
            <w:tcW w:w="8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w w:val="95"/>
              </w:rPr>
              <w:t>387,000</w:t>
            </w:r>
          </w:p>
        </w:tc>
        <w:tc>
          <w:tcPr>
            <w:tcW w:w="10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w w:val="95"/>
              </w:rPr>
              <w:t>432,000</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(45,000)</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device monthly fee per device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increase (decrease) in revenues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Due to an increase in monthly fee per device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8"/>
        </w:trPr>
        <w:tc>
          <w:tcPr>
            <w:tcW w:w="63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Due to a decrease in screen counts</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March 19, 2010, market data and information services revenue includes market data and licensing revenue from Index Services.</w:t>
      </w:r>
    </w:p>
    <w:p>
      <w:pPr>
        <w:spacing w:after="0" w:line="171"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The two largest resellers of our market data represented approximately 51% of our quotation data fees in the first quarter of 2010. Despite this concentration, we consider exposure to significant risk of revenue loss to be minimal. In the event that one of these vendors no longer subscribes to our market data, we believe the majority of that vendor’s customers would likely subscribe to our market data through another reseller. Additionally, several of our largest institutional customers that utilize services from our two largest resellers report usage and remit payment of quotation data fees directly to us.</w:t>
      </w:r>
    </w:p>
    <w:p>
      <w:pPr>
        <w:spacing w:after="0" w:line="136" w:lineRule="exact"/>
        <w:rPr>
          <w:sz w:val="20"/>
          <w:szCs w:val="20"/>
          <w:color w:val="auto"/>
        </w:rPr>
      </w:pPr>
    </w:p>
    <w:p>
      <w:pPr>
        <w:jc w:val="both"/>
        <w:ind w:right="60"/>
        <w:spacing w:after="0" w:line="275" w:lineRule="auto"/>
        <w:rPr>
          <w:sz w:val="20"/>
          <w:szCs w:val="20"/>
          <w:color w:val="auto"/>
        </w:rPr>
      </w:pPr>
      <w:r>
        <w:rPr>
          <w:rFonts w:ascii="Times New Roman" w:cs="Times New Roman" w:eastAsia="Times New Roman" w:hAnsi="Times New Roman"/>
          <w:sz w:val="18"/>
          <w:szCs w:val="18"/>
          <w:color w:val="auto"/>
        </w:rPr>
        <w:t>Other revenues declined in the first quarter of 2010 when compared with the same period in 2009 due to a $5.2 million decrease in trading revenues generated by GFX Corporation (GFX) as the result of lower trading activity.</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455" w:right="2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11"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1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480" w:type="dxa"/>
            <w:vAlign w:val="bottom"/>
            <w:vMerge w:val="restart"/>
          </w:tcPr>
          <w:p>
            <w:pPr>
              <w:spacing w:after="0"/>
              <w:rPr>
                <w:sz w:val="14"/>
                <w:szCs w:val="14"/>
                <w:color w:val="auto"/>
              </w:rPr>
            </w:pPr>
          </w:p>
        </w:tc>
        <w:tc>
          <w:tcPr>
            <w:tcW w:w="1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Change</w:t>
            </w:r>
          </w:p>
        </w:tc>
        <w:tc>
          <w:tcPr>
            <w:tcW w:w="2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00" w:type="dxa"/>
            <w:vAlign w:val="bottom"/>
            <w:tcBorders>
              <w:bottom w:val="single" w:sz="8" w:color="auto"/>
            </w:tcBorders>
            <w:vMerge w:val="continue"/>
          </w:tcPr>
          <w:p>
            <w:pPr>
              <w:spacing w:after="0"/>
              <w:rPr>
                <w:sz w:val="12"/>
                <w:szCs w:val="12"/>
                <w:color w:val="auto"/>
              </w:rPr>
            </w:pPr>
          </w:p>
        </w:tc>
        <w:tc>
          <w:tcPr>
            <w:tcW w:w="3480" w:type="dxa"/>
            <w:vAlign w:val="bottom"/>
            <w:vMerge w:val="continue"/>
          </w:tcPr>
          <w:p>
            <w:pPr>
              <w:spacing w:after="0"/>
              <w:rPr>
                <w:sz w:val="12"/>
                <w:szCs w:val="12"/>
                <w:color w:val="auto"/>
              </w:rPr>
            </w:pPr>
          </w:p>
        </w:tc>
        <w:tc>
          <w:tcPr>
            <w:tcW w:w="19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3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420" w:type="dxa"/>
            <w:vAlign w:val="bottom"/>
          </w:tcPr>
          <w:p>
            <w:pPr>
              <w:spacing w:after="0"/>
              <w:rPr>
                <w:sz w:val="12"/>
                <w:szCs w:val="12"/>
                <w:color w:val="auto"/>
              </w:rPr>
            </w:pPr>
          </w:p>
        </w:tc>
        <w:tc>
          <w:tcPr>
            <w:tcW w:w="44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98.8</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4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support services</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11.8</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Professional fees and outside services</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4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4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Occupancy and building operations</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Licensing and other fee agreements</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4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4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2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278.5</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Operating expenses increased by $17.8 million in the first quarter of 2010 when compared with the same period in 2009. The following table shows the estimated impact of key factors resulting in the increase (decrease) in operating expenses:</w:t>
      </w:r>
    </w:p>
    <w:p>
      <w:pPr>
        <w:spacing w:after="0" w:line="14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Change as 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660" w:type="dxa"/>
            <w:vAlign w:val="bottom"/>
            <w:gridSpan w:val="4"/>
          </w:tcPr>
          <w:p>
            <w:pPr>
              <w:ind w:left="1560"/>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4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Percentage of</w:t>
            </w:r>
          </w:p>
        </w:tc>
        <w:tc>
          <w:tcPr>
            <w:tcW w:w="0" w:type="dxa"/>
            <w:vAlign w:val="bottom"/>
          </w:tcPr>
          <w:p>
            <w:pPr>
              <w:spacing w:after="0"/>
              <w:rPr>
                <w:sz w:val="1"/>
                <w:szCs w:val="1"/>
                <w:color w:val="auto"/>
              </w:rPr>
            </w:pPr>
          </w:p>
        </w:tc>
      </w:tr>
      <w:tr>
        <w:trPr>
          <w:trHeight w:val="165"/>
        </w:trPr>
        <w:tc>
          <w:tcPr>
            <w:tcW w:w="45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w w:val="91"/>
              </w:rPr>
              <w:t>Change</w:t>
            </w:r>
          </w:p>
        </w:tc>
        <w:tc>
          <w:tcPr>
            <w:tcW w:w="1480" w:type="dxa"/>
            <w:vAlign w:val="bottom"/>
            <w:gridSpan w:val="3"/>
          </w:tcPr>
          <w:p>
            <w:pPr>
              <w:jc w:val="center"/>
              <w:ind w:left="95"/>
              <w:spacing w:after="0"/>
              <w:rPr>
                <w:sz w:val="20"/>
                <w:szCs w:val="20"/>
                <w:color w:val="auto"/>
              </w:rPr>
            </w:pPr>
            <w:r>
              <w:rPr>
                <w:rFonts w:ascii="Times New Roman" w:cs="Times New Roman" w:eastAsia="Times New Roman" w:hAnsi="Times New Roman"/>
                <w:sz w:val="14"/>
                <w:szCs w:val="14"/>
                <w:b w:val="1"/>
                <w:bCs w:val="1"/>
                <w:color w:val="auto"/>
                <w:w w:val="94"/>
              </w:rPr>
              <w:t>Total Expenses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 related to Index Services</w:t>
            </w:r>
          </w:p>
        </w:tc>
        <w:tc>
          <w:tcPr>
            <w:tcW w:w="166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4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Salaries, benefits and employer taxes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6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Bonus expense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(2.9)</w:t>
            </w:r>
          </w:p>
        </w:tc>
        <w:tc>
          <w:tcPr>
            <w:tcW w:w="14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expense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(3.4)</w:t>
            </w:r>
          </w:p>
        </w:tc>
        <w:tc>
          <w:tcPr>
            <w:tcW w:w="14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expenses, net</w:t>
            </w:r>
          </w:p>
        </w:tc>
        <w:tc>
          <w:tcPr>
            <w:tcW w:w="1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4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Costs incurred for the formation of Index Services led to an increase in professional fee expenses of $10.3 million in the first quarter of 2010 when compared with the same period in 2009.</w:t>
      </w:r>
    </w:p>
    <w:p>
      <w:pPr>
        <w:spacing w:after="0" w:line="120"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The rise in salaries, benefits and employer taxes was attributable to salary increases and rising healthcare costs. An increase in average headcount of 1% in the first quarter of 2010 also contributed to an increase in expense.</w:t>
      </w:r>
    </w:p>
    <w:p>
      <w:pPr>
        <w:spacing w:after="0" w:line="120"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The increase in our bonus expense in the first quarter of 2010 was due to improved performance relative to our 2010 cash earnings target compared with 2009 relative to our 2009 cash earnings target.</w:t>
      </w:r>
    </w:p>
    <w:p>
      <w:pPr>
        <w:spacing w:after="0" w:line="120"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The decrease in amortization of purchased intangibles was attributable to the open interest intangible asset acquired in our merger with NYMEX Holdings, which was fully amortized during 2009.</w:t>
      </w:r>
    </w:p>
    <w:p>
      <w:pPr>
        <w:spacing w:after="0" w:line="120"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The restructuring program related to the NYMEX Holdings merger was substantially complete by August 2009, which resulted in a decrease in expense in the first quarter of 2010 when compared with the first quarter of 2009.</w:t>
      </w:r>
    </w:p>
    <w:p>
      <w:pPr>
        <w:spacing w:after="0" w:line="12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 the remainder of 2010, we expect an increase in operating expenses relative to the prior year due to the acquisition of Index Services, including an increase in amortization of purchased intangibles. Assuming equity product volume stays consistent with volume results for the first quarter of 2010, we also would expect a decrease in volume-based licensing fee expense for the remainder of 2010 when compared with the prior year due to lower trading volumes. In addition, Dow Jones licensing fees have been eliminated subsequent to our acquisition of Index Services on March 18, 2010.</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p>
      <w:pPr>
        <w:spacing w:after="0" w:line="211"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1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3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7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1"/>
              </w:rPr>
              <w:t>Change</w:t>
            </w:r>
          </w:p>
        </w:tc>
        <w:tc>
          <w:tcPr>
            <w:tcW w:w="0" w:type="dxa"/>
            <w:vAlign w:val="bottom"/>
          </w:tcPr>
          <w:p>
            <w:pPr>
              <w:spacing w:after="0"/>
              <w:rPr>
                <w:sz w:val="1"/>
                <w:szCs w:val="1"/>
                <w:color w:val="auto"/>
              </w:rPr>
            </w:pPr>
          </w:p>
        </w:tc>
      </w:tr>
      <w:tr>
        <w:trPr>
          <w:trHeight w:val="142"/>
        </w:trPr>
        <w:tc>
          <w:tcPr>
            <w:tcW w:w="1200" w:type="dxa"/>
            <w:vAlign w:val="bottom"/>
            <w:vMerge w:val="continue"/>
          </w:tcPr>
          <w:p>
            <w:pPr>
              <w:spacing w:after="0"/>
              <w:rPr>
                <w:sz w:val="12"/>
                <w:szCs w:val="12"/>
                <w:color w:val="auto"/>
              </w:rPr>
            </w:pPr>
          </w:p>
        </w:tc>
        <w:tc>
          <w:tcPr>
            <w:tcW w:w="5320" w:type="dxa"/>
            <w:vAlign w:val="bottom"/>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5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5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Gains (losses) on derivative investments</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lending interest income</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lending interest and other costs</w:t>
            </w:r>
          </w:p>
        </w:tc>
        <w:tc>
          <w:tcPr>
            <w:tcW w:w="140" w:type="dxa"/>
            <w:vAlign w:val="bottom"/>
          </w:tcPr>
          <w:p>
            <w:pPr>
              <w:spacing w:after="0"/>
              <w:rPr>
                <w:sz w:val="18"/>
                <w:szCs w:val="18"/>
                <w:color w:val="auto"/>
              </w:rPr>
            </w:pPr>
          </w:p>
        </w:tc>
        <w:tc>
          <w:tcPr>
            <w:tcW w:w="10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(0.4)</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borrowing costs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(31.4)</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(38.5)</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in losses of unconsolidated subsidiaries</w:t>
            </w:r>
          </w:p>
        </w:tc>
        <w:tc>
          <w:tcPr>
            <w:tcW w:w="14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(1.2)</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Non-Operating</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(15.8)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(35.9)</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not meaningful</w:t>
      </w:r>
    </w:p>
    <w:p>
      <w:pPr>
        <w:spacing w:after="0" w:line="171" w:lineRule="exact"/>
        <w:rPr>
          <w:sz w:val="20"/>
          <w:szCs w:val="20"/>
          <w:color w:val="auto"/>
        </w:rPr>
      </w:pPr>
    </w:p>
    <w:p>
      <w:pPr>
        <w:ind w:right="260"/>
        <w:spacing w:after="0" w:line="339" w:lineRule="auto"/>
        <w:rPr>
          <w:sz w:val="20"/>
          <w:szCs w:val="20"/>
          <w:color w:val="auto"/>
        </w:rPr>
      </w:pPr>
      <w:r>
        <w:rPr>
          <w:rFonts w:ascii="Times New Roman" w:cs="Times New Roman" w:eastAsia="Times New Roman" w:hAnsi="Times New Roman"/>
          <w:sz w:val="16"/>
          <w:szCs w:val="16"/>
          <w:color w:val="auto"/>
        </w:rPr>
        <w:t>The increase in investment income during the first quarter of 2010 when compared with the same period in 2009 was primarily due to an increase in dividend income from our investment in BM&amp;FBOVESPA. Total dividend income was $9.9 million and $0.4 million in the first quarter of 2010 and 2009, respectively.</w:t>
      </w:r>
    </w:p>
    <w:p>
      <w:pPr>
        <w:spacing w:after="0" w:line="7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In March 2010, we recognized a $6.0 million gain as a result of a settlement from the Lehman Brothers Holdings (Lehman Brothers) bankruptcy proceedings. The settlement relates to an unsecured claim tied to a derivative contract that we terminated in September 2008 when Lehman Brothers filed for bankruptcy.</w:t>
      </w:r>
    </w:p>
    <w:p>
      <w:pPr>
        <w:spacing w:after="0" w:line="12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We recognized $7.6 million of debt issuance costs in the first quarter of 2009 related to our revolving bridge facility, which was terminated in February 2009. This contributed to a decrease in interest and other borrowing costs in the first quarter of 2010 when compared with the same period in 2009. On March 18, 2010, we issued $612.5 million of 4.40% fixed rate notes due 2018.</w:t>
      </w:r>
    </w:p>
    <w:p>
      <w:pPr>
        <w:spacing w:after="0" w:line="171"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6320" w:type="dxa"/>
            <w:vAlign w:val="bottom"/>
          </w:tcPr>
          <w:p>
            <w:pPr>
              <w:spacing w:after="0"/>
              <w:rPr>
                <w:sz w:val="14"/>
                <w:szCs w:val="14"/>
                <w:color w:val="auto"/>
              </w:rPr>
            </w:pPr>
          </w:p>
        </w:tc>
        <w:tc>
          <w:tcPr>
            <w:tcW w:w="250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2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3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620" w:type="dxa"/>
            <w:vAlign w:val="bottom"/>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borrowings outstanding (in millions)</w:t>
            </w: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5"/>
              </w:rPr>
              <w:t>$2,545.8</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$ 3,178.4</w:t>
            </w:r>
          </w:p>
        </w:tc>
        <w:tc>
          <w:tcPr>
            <w:tcW w:w="6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$(632.6)</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effective yield</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4.73%</w:t>
            </w:r>
          </w:p>
        </w:tc>
        <w:tc>
          <w:tcPr>
            <w:tcW w:w="15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3.75%</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0.98%</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Total cost of borrowing </w:t>
            </w:r>
            <w:r>
              <w:rPr>
                <w:rFonts w:ascii="Times New Roman" w:cs="Times New Roman" w:eastAsia="Times New Roman" w:hAnsi="Times New Roman"/>
                <w:sz w:val="11"/>
                <w:szCs w:val="11"/>
                <w:color w:val="auto"/>
              </w:rPr>
              <w:t>(1)</w:t>
            </w: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5.00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cost of borrowing includes interest, commitment fees, discount accretion and debt issuance costs.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p>
      <w:pPr>
        <w:spacing w:after="0" w:line="92" w:lineRule="exact"/>
        <w:rPr>
          <w:sz w:val="20"/>
          <w:szCs w:val="20"/>
          <w:color w:val="auto"/>
        </w:rPr>
      </w:pPr>
    </w:p>
    <w:p>
      <w:pPr>
        <w:ind w:right="120"/>
        <w:spacing w:after="0" w:line="296" w:lineRule="auto"/>
        <w:rPr>
          <w:sz w:val="20"/>
          <w:szCs w:val="20"/>
          <w:color w:val="auto"/>
        </w:rPr>
      </w:pPr>
      <w:r>
        <w:rPr>
          <w:rFonts w:ascii="Times New Roman" w:cs="Times New Roman" w:eastAsia="Times New Roman" w:hAnsi="Times New Roman"/>
          <w:sz w:val="16"/>
          <w:szCs w:val="16"/>
          <w:color w:val="auto"/>
        </w:rPr>
        <w:t>The effective tax rate decreased to 39.8% in the first quarter of 2010 from 43.2% in the same period of 2009. In the first quarter of 2010, we reduced the liability for uncertain tax positions by $6.4 million, resulting in a decrease in the effective tax rate for the first quarter of 2010, when compared with the same period in 2009. Also, in the first quarter of 2009, it was determined that $6.3 million of federal tax did not meet the required more-likely-than-not standard. As a result, a liability for uncertain tax positions was established in the first quarter of 2009, which also contributed to a decrease in the effective tax rate in the first quarter of 2010 when compared with the same period in 2009. For the full year 2010, we expect the effective tax rate to be between 41% and 42%.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0" w:lineRule="exact"/>
        <w:rPr>
          <w:sz w:val="20"/>
          <w:szCs w:val="20"/>
          <w:color w:val="auto"/>
        </w:rPr>
      </w:pPr>
    </w:p>
    <w:p>
      <w:pPr>
        <w:ind w:right="60"/>
        <w:spacing w:after="0" w:line="293" w:lineRule="auto"/>
        <w:rPr>
          <w:sz w:val="20"/>
          <w:szCs w:val="20"/>
          <w:color w:val="auto"/>
        </w:rPr>
      </w:pPr>
      <w:r>
        <w:rPr>
          <w:rFonts w:ascii="Times New Roman" w:cs="Times New Roman" w:eastAsia="Times New Roman" w:hAnsi="Times New Roman"/>
          <w:sz w:val="16"/>
          <w:szCs w:val="16"/>
          <w:i w:val="1"/>
          <w:iCs w:val="1"/>
          <w:u w:val="single" w:color="auto"/>
          <w:color w:val="auto"/>
        </w:rPr>
        <w:t>Sources and Uses of Cash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Net cash provided by operating activities was $355.7 million for the first quarter of 2010 compared with $254.7 million for the same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period in 2009. The increase in net cash provided by operating activities was due primarily to higher trading volumes and increased profitability. In the first quarter of 2010, net cash provided by operating activities was $115.5 million higher than net income. This increase consisted of an increase of the income tax payable of $146.9 million, depreciation and amortization expense of $32.2 and amortization of purchased intangibles of $30.8 million. The increase was offset by an increase in accounts receivable of $48.3 million. The increase in income tax payable is due to the income tax expense exceeding the income tax payments during the first quarter. Accounts receivable in any period result primarily from the clearing and transaction fees billed in the last month of the reporting period.</w:t>
      </w:r>
    </w:p>
    <w:p>
      <w:pPr>
        <w:spacing w:after="0" w:line="11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Cash used in investing activities was $19.8 million in the first quarter of 2010 compared with cash provided by investing activities of $301.0 million in the first quarter of 2009. The increase in cash used was largely attributable to the termination of the NYMEX securities lending program in 2009 as well as net decrease in proceeds from marketable securities, net of purchases of $63.5 million.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Cash used in financing activities was $152.3 million in the first quarter of 2010 compared with $514.4 million for the same period in 2009. The decrease was primarily attributable to an increase in proceeds from commercial paper issuances, net of maturities as well as the termination of the NYMEX securities lending program in 2009. The decrease was partially offset by the distribution to Dow Jones of $607.5 million related to Index Services as well as an increase in share repurchases of $254.8 million.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 Instruments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following table summarizes our debt outstanding as of March 31, 2010:</w:t>
      </w:r>
    </w:p>
    <w:p>
      <w:pPr>
        <w:spacing w:after="0" w:line="211" w:lineRule="exact"/>
        <w:rPr>
          <w:sz w:val="20"/>
          <w:szCs w:val="20"/>
          <w:color w:val="auto"/>
        </w:rPr>
      </w:pPr>
    </w:p>
    <w:tbl>
      <w:tblPr>
        <w:tblLayout w:type="fixed"/>
        <w:tblInd w:w="1840" w:type="dxa"/>
        <w:tblCellMar>
          <w:top w:w="0" w:type="dxa"/>
          <w:left w:w="0" w:type="dxa"/>
          <w:bottom w:w="0" w:type="dxa"/>
          <w:right w:w="0" w:type="dxa"/>
        </w:tblCellMar>
      </w:tblPr>
      <w:tr>
        <w:trPr>
          <w:trHeight w:val="165"/>
        </w:trPr>
        <w:tc>
          <w:tcPr>
            <w:tcW w:w="6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Floating rate notes due August 2010, interest equal to 3-month LIBOR plus 0.65%</w:t>
            </w:r>
            <w:r>
              <w:rPr>
                <w:rFonts w:ascii="Times New Roman" w:cs="Times New Roman" w:eastAsia="Times New Roman" w:hAnsi="Times New Roman"/>
                <w:sz w:val="11"/>
                <w:szCs w:val="11"/>
                <w:color w:val="auto"/>
              </w:rPr>
              <w:t>(1)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Term loan due 2011, interest equal to 3-month LIBOR plus 1.00% </w:t>
            </w:r>
            <w:r>
              <w:rPr>
                <w:rFonts w:ascii="Times New Roman" w:cs="Times New Roman" w:eastAsia="Times New Roman" w:hAnsi="Times New Roman"/>
                <w:sz w:val="11"/>
                <w:szCs w:val="11"/>
                <w:color w:val="auto"/>
              </w:rPr>
              <w:t>(2)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rate notes due August 2013, interest equal to 5.40%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rate notes due February 2014, interest equal to 5.75%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Fixed rate notes due March 2018, interest equal to 4.40% </w:t>
            </w:r>
            <w:r>
              <w:rPr>
                <w:rFonts w:ascii="Times New Roman" w:cs="Times New Roman" w:eastAsia="Times New Roman" w:hAnsi="Times New Roman"/>
                <w:sz w:val="11"/>
                <w:szCs w:val="11"/>
                <w:color w:val="auto"/>
              </w:rPr>
              <w:t>(3)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612.5</w:t>
            </w: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460" w:right="160" w:hanging="452"/>
        <w:spacing w:after="0" w:line="289" w:lineRule="auto"/>
        <w:tabs>
          <w:tab w:leader="none" w:pos="4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September 2008, the company entered into an interest-rate swap agreement that modified the variable interest obligation associated with these notes so that the interest payable on the notes effectively became fixed at a rate of 3.92% beginning with the interest accrued after November 6, 2008.</w:t>
      </w:r>
    </w:p>
    <w:p>
      <w:pPr>
        <w:spacing w:after="0" w:line="1" w:lineRule="exact"/>
        <w:rPr>
          <w:rFonts w:ascii="Times New Roman" w:cs="Times New Roman" w:eastAsia="Times New Roman" w:hAnsi="Times New Roman"/>
          <w:sz w:val="16"/>
          <w:szCs w:val="16"/>
          <w:color w:val="auto"/>
        </w:rPr>
      </w:pPr>
    </w:p>
    <w:p>
      <w:pPr>
        <w:ind w:left="460" w:right="140" w:hanging="452"/>
        <w:spacing w:after="0" w:line="250"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2008, the company entered into an interest-rate swap agreement that modified the variable interest obligation associated with this facility so that the interest payable effectively became fixed at a rate of 4.72% beginning with the interest accrued after October 22, 2008.</w:t>
      </w:r>
    </w:p>
    <w:p>
      <w:pPr>
        <w:ind w:left="460" w:hanging="452"/>
        <w:spacing w:after="0" w:line="254"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2010, we completed an unregistered offering of fixed rate notes due 2018. Net proceeds from the offering were used to fund a distribution to Dow Jones in conjunction with our investment in Index Services. In February 2010, the company entered into a forward-starting interest-rate swap agreement that modified the interest obligation associated with these notes so that the interest payable on the notes effectively became fixed at a rate of 4.46% beginning with the interest accrued after March 18, 2010.</w:t>
      </w:r>
    </w:p>
    <w:p>
      <w:pPr>
        <w:spacing w:after="0" w:line="13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maintain a $1.4 billion senior credit facility with various financial institutions, including the $420.5 million term loan and a $945.5 million revolving credit facility. As long as we are not in default under the senior credit facility, we have the option to increase the facility from time to time by an aggregate amount of up to $1.1 billion, to a total of $2.5 billion, with only the consent of the agent and the lenders providing the additional funds. The revolving credit facility expires on August 21, 2011. Our commercial paper outstanding is backed by this revolving credit facility.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2010, we have excess borrowing capacity for general corporate purposes of approximately $645.5 million.</w:t>
      </w:r>
    </w:p>
    <w:p>
      <w:pPr>
        <w:spacing w:after="0" w:line="171" w:lineRule="exact"/>
        <w:rPr>
          <w:sz w:val="20"/>
          <w:szCs w:val="20"/>
          <w:color w:val="auto"/>
        </w:rPr>
      </w:pPr>
    </w:p>
    <w:p>
      <w:pPr>
        <w:ind w:right="100"/>
        <w:spacing w:after="0" w:line="296" w:lineRule="auto"/>
        <w:rPr>
          <w:sz w:val="20"/>
          <w:szCs w:val="20"/>
          <w:color w:val="auto"/>
        </w:rPr>
      </w:pPr>
      <w:r>
        <w:rPr>
          <w:rFonts w:ascii="Times New Roman" w:cs="Times New Roman" w:eastAsia="Times New Roman" w:hAnsi="Times New Roman"/>
          <w:sz w:val="16"/>
          <w:szCs w:val="16"/>
          <w:color w:val="auto"/>
        </w:rPr>
        <w:t>We maintain a 364-day revolving line of credit with a consortium of banks to be used in certain situations by our clearing house. The line of credit, which was renewed in December 2009, provides for borrowings of up to $1.0 billion. This line of credit is collateralized by clearing firm security deposits held by us in the form of U.S. Treasury or agency securities, as well as security deposit funds in the Interest Earnings Facility (IEF) and any performance bond deposits of a clearing firm that may default on its obligation. The line of credit can only be drawn on to the extent it is collateralized. At March 31, 2010, security deposit collateral available was $2.3 billion. We have the option to request an increase in the line from $1.0 billion to $1.5 billion with the participating banks’ approval.</w:t>
      </w:r>
    </w:p>
    <w:p>
      <w:pPr>
        <w:spacing w:after="0" w:line="108" w:lineRule="exact"/>
        <w:rPr>
          <w:sz w:val="20"/>
          <w:szCs w:val="20"/>
          <w:color w:val="auto"/>
        </w:rPr>
      </w:pPr>
    </w:p>
    <w:p>
      <w:pPr>
        <w:jc w:val="both"/>
        <w:ind w:right="160"/>
        <w:spacing w:after="0" w:line="262" w:lineRule="auto"/>
        <w:rPr>
          <w:sz w:val="20"/>
          <w:szCs w:val="20"/>
          <w:color w:val="auto"/>
        </w:rPr>
      </w:pPr>
      <w:r>
        <w:rPr>
          <w:rFonts w:ascii="Times New Roman" w:cs="Times New Roman" w:eastAsia="Times New Roman" w:hAnsi="Times New Roman"/>
          <w:sz w:val="18"/>
          <w:szCs w:val="18"/>
          <w:color w:val="auto"/>
        </w:rPr>
        <w:t>The indentures governing our floating and fixed rate notes, our 364-day revolving line of credit for $1.0 billion and our senior credit facility for $1.4 billion due 2011 do not contain specific covenants that restrict the ability to pay dividends. These documents, however, do contain other customary financial and operating covenants that place restrictions on the operations of the company, which could indirectly affect the ability to pay dividends.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our senior credit facility, we are required to maintain a consolidated net worth of at least $12.1 billion.</w:t>
      </w:r>
    </w:p>
    <w:p>
      <w:pPr>
        <w:spacing w:after="0" w:line="171"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In addition, our 364-day revolving line of credit contains a requirement that CME remain in compliance with a consolidated tangible net worth test, defined as consolidated shareholder’s equity less intangible assets (as defined in the agreement), of not less than $125.0 million. In the event that CME elects to increase the facility, the minimum consolidated tangible net worth test will increase ratably up to $187.5 million.</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455" w:right="2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2010, we are in compliance with the various covenant requirements of all our debt facilities.</w:t>
      </w:r>
    </w:p>
    <w:p>
      <w:pPr>
        <w:spacing w:after="0" w:line="171"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CME Group, as a holding company, has no operations of its own. Instead, it relies on dividends declared and paid to it by its subsidiaries, including CME, in order to provide a portion of the funds which it uses to pay dividends to its shareholders.</w:t>
      </w:r>
    </w:p>
    <w:p>
      <w:pPr>
        <w:spacing w:after="0" w:line="12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To satisfy our performance bond obligation with Singapore Exchange Limited, we may pledge CME-owned U.S. Treasury securities in lieu of, or in combination with, irrevocable letters of credit. At March 31, 2010, the letters of credit totaled $83.0 million. CME also guarantees a $5.0 million standby letter of credit for GFX. The beneficiary of this letter of credit is the clearing firm that is used by GFX to execute and maintain its futures position. The letter of credit would be utilized in the event that GFX defaults in meeting performance bond requirements to its clearing firm.</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credit ratings as of March 31, 2010:</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Short-Term</w:t>
            </w:r>
          </w:p>
        </w:tc>
        <w:tc>
          <w:tcPr>
            <w:tcW w:w="52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Long-Term</w:t>
            </w: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65"/>
        </w:trPr>
        <w:tc>
          <w:tcPr>
            <w:tcW w:w="6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Rating Agency</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Debt Rating</w:t>
            </w:r>
          </w:p>
        </w:tc>
        <w:tc>
          <w:tcPr>
            <w:tcW w:w="5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Debt Rating</w:t>
            </w:r>
          </w:p>
        </w:tc>
        <w:tc>
          <w:tcPr>
            <w:tcW w:w="52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3"/>
              </w:rPr>
              <w:t>Outlook</w:t>
            </w:r>
          </w:p>
        </w:tc>
      </w:tr>
      <w:tr>
        <w:trPr>
          <w:trHeight w:val="195"/>
        </w:trPr>
        <w:tc>
          <w:tcPr>
            <w:tcW w:w="92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Standard &amp;</w:t>
            </w:r>
          </w:p>
        </w:tc>
        <w:tc>
          <w:tcPr>
            <w:tcW w:w="57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Poor’s</w:t>
            </w:r>
          </w:p>
        </w:tc>
        <w:tc>
          <w:tcPr>
            <w:tcW w:w="700" w:type="dxa"/>
            <w:vAlign w:val="bottom"/>
            <w:tcBorders>
              <w:top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A1+</w:t>
            </w:r>
          </w:p>
        </w:tc>
        <w:tc>
          <w:tcPr>
            <w:tcW w:w="520" w:type="dxa"/>
            <w:vAlign w:val="bottom"/>
          </w:tcPr>
          <w:p>
            <w:pPr>
              <w:spacing w:after="0"/>
              <w:rPr>
                <w:sz w:val="16"/>
                <w:szCs w:val="16"/>
                <w:color w:val="auto"/>
              </w:rPr>
            </w:pPr>
          </w:p>
        </w:tc>
        <w:tc>
          <w:tcPr>
            <w:tcW w:w="700" w:type="dxa"/>
            <w:vAlign w:val="bottom"/>
            <w:tcBorders>
              <w:top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AA</w:t>
            </w:r>
          </w:p>
        </w:tc>
        <w:tc>
          <w:tcPr>
            <w:tcW w:w="520" w:type="dxa"/>
            <w:vAlign w:val="bottom"/>
          </w:tcPr>
          <w:p>
            <w:pPr>
              <w:spacing w:after="0"/>
              <w:rPr>
                <w:sz w:val="16"/>
                <w:szCs w:val="16"/>
                <w:color w:val="auto"/>
              </w:rPr>
            </w:pPr>
          </w:p>
        </w:tc>
        <w:tc>
          <w:tcPr>
            <w:tcW w:w="480" w:type="dxa"/>
            <w:vAlign w:val="bottom"/>
            <w:tcBorders>
              <w:top w:val="single" w:sz="8" w:color="auto"/>
            </w:tcBorders>
          </w:tcPr>
          <w:p>
            <w:pPr>
              <w:ind w:left="20"/>
              <w:spacing w:after="0" w:line="195" w:lineRule="exact"/>
              <w:rPr>
                <w:sz w:val="20"/>
                <w:szCs w:val="20"/>
                <w:color w:val="auto"/>
              </w:rPr>
            </w:pPr>
            <w:r>
              <w:rPr>
                <w:rFonts w:ascii="Times New Roman" w:cs="Times New Roman" w:eastAsia="Times New Roman" w:hAnsi="Times New Roman"/>
                <w:sz w:val="18"/>
                <w:szCs w:val="18"/>
                <w:color w:val="auto"/>
                <w:w w:val="97"/>
              </w:rPr>
              <w:t>Stable</w:t>
            </w:r>
          </w:p>
        </w:tc>
      </w:tr>
      <w:tr>
        <w:trPr>
          <w:trHeight w:val="228"/>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Moody’s Investors Service</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P1</w:t>
            </w:r>
          </w:p>
        </w:tc>
        <w:tc>
          <w:tcPr>
            <w:tcW w:w="52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Aa3</w:t>
            </w:r>
          </w:p>
        </w:tc>
        <w:tc>
          <w:tcPr>
            <w:tcW w:w="520" w:type="dxa"/>
            <w:vAlign w:val="bottom"/>
          </w:tcPr>
          <w:p>
            <w:pPr>
              <w:spacing w:after="0"/>
              <w:rPr>
                <w:sz w:val="19"/>
                <w:szCs w:val="19"/>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Stable</w:t>
            </w:r>
          </w:p>
        </w:tc>
      </w:tr>
    </w:tbl>
    <w:p>
      <w:pPr>
        <w:spacing w:after="0" w:line="150"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Given our ability to pay down debt levels and refinance existing debt facilities if necessary, we expect to maintain an investment grade rating. If our ratings are downgraded due to a change in control which results in a downgrade below investment grade, we are required to make an offer to repurchase our fixed and floating rate notes at a price equal to 101% of the principal amount, plus accrued and unpaid interest.</w:t>
      </w:r>
    </w:p>
    <w:p>
      <w:pPr>
        <w:spacing w:after="0" w:line="130"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8"/>
          <w:szCs w:val="18"/>
          <w:i w:val="1"/>
          <w:iCs w:val="1"/>
          <w:u w:val="single" w:color="auto"/>
          <w:color w:val="auto"/>
        </w:rPr>
        <w:t>Liquidity and Cash Management</w:t>
      </w:r>
      <w:r>
        <w:rPr>
          <w:rFonts w:ascii="Times New Roman" w:cs="Times New Roman" w:eastAsia="Times New Roman" w:hAnsi="Times New Roman"/>
          <w:sz w:val="18"/>
          <w:szCs w:val="18"/>
          <w:color w:val="auto"/>
        </w:rPr>
        <w:t>. Cash and cash equivalents totaled $444.2 million at March 31, 2010 and $260.6 million at December 31, 2009. The balance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retained in cash and cash equivalents is a function of anticipated or possible short-term cash needs, prevailing interest rates, our investment policy and alternative investment choices.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current deferred tax assets of $26.0 million and $23.8 million are included in other current assets at March 31, 2010 and December 31, 2009, respectively.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net current deferred tax assets include primarily unrealized losses and accrued expenses.</w:t>
      </w:r>
    </w:p>
    <w:p>
      <w:pPr>
        <w:spacing w:after="0" w:line="159"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Net long-term deferred tax liabilities were $7.8 billion and $7.6 billion at March 31, 2010 and December 31, 2009, respectively. Net deferred tax liabilities are primarily the result of purchase accounting for intangible assets in our mergers with CBOT Holdings and NYMEX Holdings.</w:t>
      </w:r>
    </w:p>
    <w:p>
      <w:pPr>
        <w:spacing w:after="0" w:line="12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a long-term deferred tax asset of $145.9 million included within our domestic long-term deferred tax liability. This deferred tax asset is for an unrealized capital loss incurred in Brazil related to our investment in BM&amp;FBOVESPA. As of March 31, 2010, we do not believe that we currently meet the more-likely-than-not threshold that would allow us to fully realize the value of the unrealized capital loss. As a result, a partial valuation allowance of $64.5 million has been provided for the amount of the unrealized capital loss that exceeds potential capital gains that could be used to offset the capital loss in future periods. We also have a long-term deferred tax asset related to Brazilian taxes of $125.3 million for an unrealized capital loss incurred in Brazil related to our investment in BM&amp;FBOVESPA. A full valuation allowance of $125.3 million has been provided because we do not believe that we currently meet the more-likely-than-not threshold that would allow us to realize the value of the unrealized capital loss in Brazil in the future. Valuation allowances of $53.9 million have also been provided for additional unrealized capital losses on various other investments.</w:t>
      </w:r>
    </w:p>
    <w:p>
      <w:pPr>
        <w:spacing w:after="0" w:line="138" w:lineRule="exact"/>
        <w:rPr>
          <w:sz w:val="20"/>
          <w:szCs w:val="20"/>
          <w:color w:val="auto"/>
        </w:rPr>
      </w:pPr>
    </w:p>
    <w:p>
      <w:pPr>
        <w:ind w:right="460"/>
        <w:spacing w:after="0" w:line="310" w:lineRule="auto"/>
        <w:rPr>
          <w:sz w:val="20"/>
          <w:szCs w:val="20"/>
          <w:color w:val="auto"/>
        </w:rPr>
      </w:pPr>
      <w:r>
        <w:rPr>
          <w:rFonts w:ascii="Times New Roman" w:cs="Times New Roman" w:eastAsia="Times New Roman" w:hAnsi="Times New Roman"/>
          <w:sz w:val="16"/>
          <w:szCs w:val="16"/>
          <w:color w:val="auto"/>
        </w:rPr>
        <w:t>Net long-term deferred tax assets also include a $24.0 million deferred tax asset for foreign net operating losses related to Swapstream. Our assessment at March 31, 2010 was that we did not currently meet the more-likely-than-not threshold that would allow us to realize the value of acquired and accumulated foreign net operating losses in the future. As a result, the $24.0 million deferred tax assets arising from these net operating losses has been fully reserved.</w:t>
      </w:r>
    </w:p>
    <w:p>
      <w:pPr>
        <w:spacing w:after="0" w:line="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80"/>
          </w:cols>
          <w:pgMar w:left="240" w:top="455" w:right="27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9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We are subject to various market risks, including those caused by changes in interest rates, credit, foreign currency exchange rates and equity prices. There have not been material changes in our exposure to market risk since December 31, 2009. Refer to Item 7A. of CME Group’s Annual Report on Form 10-K for the year ended December 31, 2009 for additional information.</w:t>
      </w:r>
    </w:p>
    <w:p>
      <w:pPr>
        <w:spacing w:after="0" w:line="25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90" w:lineRule="exact"/>
        <w:rPr>
          <w:sz w:val="20"/>
          <w:szCs w:val="20"/>
          <w:color w:val="auto"/>
        </w:rPr>
      </w:pPr>
    </w:p>
    <w:p>
      <w:pPr>
        <w:ind w:right="120" w:firstLine="8"/>
        <w:spacing w:after="0" w:line="259" w:lineRule="auto"/>
        <w:tabs>
          <w:tab w:leader="none" w:pos="23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Disclosure Controls and Procedures. </w:t>
      </w:r>
      <w:r>
        <w:rPr>
          <w:rFonts w:ascii="Times New Roman" w:cs="Times New Roman" w:eastAsia="Times New Roman" w:hAnsi="Times New Roman"/>
          <w:sz w:val="18"/>
          <w:szCs w:val="18"/>
          <w:color w:val="auto"/>
        </w:rPr>
        <w:t>Our management, with the participation of our Chief Executive Officer and Chief Financial Officer, has evaluated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effectiveness of our disclosure controls and procedures (as such term is defined in Rules 13a-15(e) and 15d-15(e) under the Securities Exchange Act of 1934, as amended (the Exchange Act)) as of the end of the period covered by this report. Based on such evaluation, our Chief Executive Officer and Chief Financial Officer have concluded that, as of the end of such period, our disclosure controls and procedures are effective.</w:t>
      </w:r>
    </w:p>
    <w:p>
      <w:pPr>
        <w:spacing w:after="0" w:line="133" w:lineRule="exact"/>
        <w:rPr>
          <w:sz w:val="20"/>
          <w:szCs w:val="20"/>
          <w:color w:val="auto"/>
        </w:rPr>
      </w:pPr>
    </w:p>
    <w:p>
      <w:pPr>
        <w:ind w:firstLine="8"/>
        <w:spacing w:after="0" w:line="259" w:lineRule="auto"/>
        <w:tabs>
          <w:tab w:leader="none" w:pos="19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As required by Rule 13a-15(d) under the Exchange Act, the company’s management,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Chief Executive Officer and Chief Financial Officer, have evaluated the company’s internal control over financial reporting (as such term is defined in Rules 13a-15(f) and 15d-15(f) under the Exchange Act) to determine whether any changes occurred during the quarter covered by this quarterly report that have materially affected, or are reasonably likely to materially affect, the company’s internal control over financial reporting.</w:t>
      </w:r>
    </w:p>
    <w:p>
      <w:pPr>
        <w:spacing w:after="0" w:line="135"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during the period covered by this quarterly report that have materially affected, or are reasonably likely to materially affect, internal control over financial reporting.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92"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There have been no material updates to the Legal Proceedings as set forth in Item 1. of our Annual Report on Form 10-K, filed with the SEC on February 26, 2010.</w:t>
      </w:r>
    </w:p>
    <w:p>
      <w:pPr>
        <w:spacing w:after="0" w:line="23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There have been no material updates to the Risk Factors as set forth in Item 1A of our Annual Report on Form 10-K, filed with the SEC on February 26, 2010. In addition to the other information contained in this Quarterly Report on Form 10-Q, you should carefully consider the factors discussed in our Annual Report on Form 10-K, which are the risks that we believe are material at this time. These risks could materially and adversely affect our business, financial condition and results of operations. These risks and uncertainties are not the only ones facing us. Additional risks and uncertainties not presently known to us or that we currently believe to be immaterial may also adversely affect our business in the future.</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80"/>
          </w:cols>
          <w:pgMar w:left="240" w:top="455" w:right="27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Unregistered Sales of Equity Securities and Use of Proceeds</w:t>
      </w:r>
    </w:p>
    <w:p>
      <w:pPr>
        <w:spacing w:after="0" w:line="90" w:lineRule="exact"/>
        <w:rPr>
          <w:sz w:val="20"/>
          <w:szCs w:val="20"/>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Issuer Purchases of Equity Securities</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(d) 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6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(c) Total Number of</w:t>
            </w:r>
          </w:p>
        </w:tc>
        <w:tc>
          <w:tcPr>
            <w:tcW w:w="8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6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Class A</w:t>
            </w:r>
          </w:p>
        </w:tc>
        <w:tc>
          <w:tcPr>
            <w:tcW w:w="8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6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Shares Purchased as</w:t>
            </w:r>
          </w:p>
        </w:tc>
        <w:tc>
          <w:tcPr>
            <w:tcW w:w="8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6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 Total Number of</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6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Part of Publicly</w:t>
            </w:r>
          </w:p>
        </w:tc>
        <w:tc>
          <w:tcPr>
            <w:tcW w:w="8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the Plans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6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Class A</w:t>
            </w:r>
          </w:p>
        </w:tc>
        <w:tc>
          <w:tcPr>
            <w:tcW w:w="38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1"/>
              </w:rPr>
              <w:t>(b) Average Price</w:t>
            </w:r>
          </w:p>
        </w:tc>
        <w:tc>
          <w:tcPr>
            <w:tcW w:w="760" w:type="dxa"/>
            <w:vAlign w:val="bottom"/>
          </w:tcPr>
          <w:p>
            <w:pPr>
              <w:spacing w:after="0"/>
              <w:rPr>
                <w:sz w:val="12"/>
                <w:szCs w:val="12"/>
                <w:color w:val="auto"/>
              </w:rPr>
            </w:pPr>
          </w:p>
        </w:tc>
        <w:tc>
          <w:tcPr>
            <w:tcW w:w="196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Announced</w:t>
            </w:r>
          </w:p>
        </w:tc>
        <w:tc>
          <w:tcPr>
            <w:tcW w:w="8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Programs(2)</w:t>
            </w:r>
          </w:p>
        </w:tc>
        <w:tc>
          <w:tcPr>
            <w:tcW w:w="0" w:type="dxa"/>
            <w:vAlign w:val="bottom"/>
          </w:tcPr>
          <w:p>
            <w:pPr>
              <w:spacing w:after="0"/>
              <w:rPr>
                <w:sz w:val="1"/>
                <w:szCs w:val="1"/>
                <w:color w:val="auto"/>
              </w:rPr>
            </w:pPr>
          </w:p>
        </w:tc>
      </w:tr>
      <w:tr>
        <w:trPr>
          <w:trHeight w:val="165"/>
        </w:trPr>
        <w:tc>
          <w:tcPr>
            <w:tcW w:w="4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4"/>
              </w:rPr>
              <w:t>Shares Purchased (1)</w:t>
            </w:r>
          </w:p>
        </w:tc>
        <w:tc>
          <w:tcPr>
            <w:tcW w:w="38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Paid Per Share</w:t>
            </w:r>
          </w:p>
        </w:tc>
        <w:tc>
          <w:tcPr>
            <w:tcW w:w="760" w:type="dxa"/>
            <w:vAlign w:val="bottom"/>
          </w:tcPr>
          <w:p>
            <w:pPr>
              <w:spacing w:after="0"/>
              <w:rPr>
                <w:sz w:val="14"/>
                <w:szCs w:val="14"/>
                <w:color w:val="auto"/>
              </w:rPr>
            </w:pPr>
          </w:p>
        </w:tc>
        <w:tc>
          <w:tcPr>
            <w:tcW w:w="196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w w:val="96"/>
              </w:rPr>
              <w:t>Plans or Programs</w:t>
            </w: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(in millions)</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3600" w:type="dxa"/>
            <w:vAlign w:val="bottom"/>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200" w:type="dxa"/>
            <w:vAlign w:val="bottom"/>
            <w:tcBorders>
              <w:top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to January 31</w:t>
            </w:r>
          </w:p>
        </w:tc>
        <w:tc>
          <w:tcPr>
            <w:tcW w:w="16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February 1 to February 28</w:t>
            </w:r>
          </w:p>
        </w:tc>
        <w:tc>
          <w:tcPr>
            <w:tcW w:w="16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360,236</w:t>
            </w: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292.16</w:t>
            </w:r>
          </w:p>
        </w:tc>
        <w:tc>
          <w:tcPr>
            <w:tcW w:w="272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360,233</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8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to March 31</w:t>
            </w:r>
          </w:p>
        </w:tc>
        <w:tc>
          <w:tcPr>
            <w:tcW w:w="16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575,217</w:t>
            </w: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306.94</w:t>
            </w:r>
          </w:p>
        </w:tc>
        <w:tc>
          <w:tcPr>
            <w:tcW w:w="2720" w:type="dxa"/>
            <w:vAlign w:val="bottom"/>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575,206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935,453</w:t>
            </w: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301.25</w:t>
            </w:r>
          </w:p>
        </w:tc>
        <w:tc>
          <w:tcPr>
            <w:tcW w:w="272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935,439</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60" w:right="160" w:hanging="452"/>
        <w:spacing w:after="0" w:line="255" w:lineRule="auto"/>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purchased consist of an aggregate of 14 shares of Class A common stock surrendered in the first quarter to satisfy employees’ tax obligations upon the vesting of restricted stock and an aggregate of 935,439 shares of Class A common stock purchased under our publicly announced share repurchase program as described below.</w:t>
      </w:r>
    </w:p>
    <w:p>
      <w:pPr>
        <w:ind w:left="460" w:hanging="452"/>
        <w:spacing w:after="0" w:line="254" w:lineRule="auto"/>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the share buyback program announced on February 12, 2010, the company is authorized to purchase shares of Class A common stock up to 2.35 million shares. The authorization of the buyback was approved in connection with our non-binding agreement to issue additional Class A common shares to BM&amp;FBOVESPA to increase its aggregate share ownership in the company to 5% and serves to offset the potential dilution upon the future issuance of the shares to BM&amp;FBOVESPA.</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45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05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285"/>
        </w:trPr>
        <w:tc>
          <w:tcPr>
            <w:tcW w:w="8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4.1</w:t>
            </w:r>
          </w:p>
        </w:tc>
        <w:tc>
          <w:tcPr>
            <w:tcW w:w="105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7"/>
              </w:rPr>
              <w:t>Indenture, dated March 18, 2010, between CME Group Index Services LLC, CME Group Inc. and U.S. Bank National Association (incorporated</w:t>
            </w:r>
          </w:p>
        </w:tc>
      </w:tr>
      <w:tr>
        <w:trPr>
          <w:trHeight w:val="228"/>
        </w:trPr>
        <w:tc>
          <w:tcPr>
            <w:tcW w:w="860" w:type="dxa"/>
            <w:vAlign w:val="bottom"/>
          </w:tcPr>
          <w:p>
            <w:pPr>
              <w:spacing w:after="0"/>
              <w:rPr>
                <w:sz w:val="19"/>
                <w:szCs w:val="19"/>
                <w:color w:val="auto"/>
              </w:rPr>
            </w:pPr>
          </w:p>
        </w:tc>
        <w:tc>
          <w:tcPr>
            <w:tcW w:w="10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by reference to CME Group’s Form 8-K, filed with the SEC on March 23, 2010, File No. 001-31553).</w:t>
            </w:r>
          </w:p>
        </w:tc>
      </w:tr>
      <w:tr>
        <w:trPr>
          <w:trHeight w:val="312"/>
        </w:trPr>
        <w:tc>
          <w:tcPr>
            <w:tcW w:w="8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10.1</w:t>
            </w:r>
          </w:p>
        </w:tc>
        <w:tc>
          <w:tcPr>
            <w:tcW w:w="105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7"/>
              </w:rPr>
              <w:t>Amendment No. 2 to Credit Agreement, dated as of February 26, 2010 by and among CME Group Inc. and each of the lenders party thereto from</w:t>
            </w:r>
          </w:p>
        </w:tc>
      </w:tr>
      <w:tr>
        <w:trPr>
          <w:trHeight w:val="228"/>
        </w:trPr>
        <w:tc>
          <w:tcPr>
            <w:tcW w:w="860" w:type="dxa"/>
            <w:vAlign w:val="bottom"/>
          </w:tcPr>
          <w:p>
            <w:pPr>
              <w:spacing w:after="0"/>
              <w:rPr>
                <w:sz w:val="19"/>
                <w:szCs w:val="19"/>
                <w:color w:val="auto"/>
              </w:rPr>
            </w:pPr>
          </w:p>
        </w:tc>
        <w:tc>
          <w:tcPr>
            <w:tcW w:w="10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time to time.</w:t>
            </w:r>
          </w:p>
        </w:tc>
      </w:tr>
      <w:tr>
        <w:trPr>
          <w:trHeight w:val="312"/>
        </w:trPr>
        <w:tc>
          <w:tcPr>
            <w:tcW w:w="8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10.2</w:t>
            </w:r>
          </w:p>
        </w:tc>
        <w:tc>
          <w:tcPr>
            <w:tcW w:w="105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7"/>
              </w:rPr>
              <w:t>Indenture, dated March 18, 2010, between CME Group Index Services LLC, CME Group Inc. and U.S. Bank National Association (incorporated</w:t>
            </w:r>
          </w:p>
        </w:tc>
      </w:tr>
      <w:tr>
        <w:trPr>
          <w:trHeight w:val="228"/>
        </w:trPr>
        <w:tc>
          <w:tcPr>
            <w:tcW w:w="860" w:type="dxa"/>
            <w:vAlign w:val="bottom"/>
          </w:tcPr>
          <w:p>
            <w:pPr>
              <w:spacing w:after="0"/>
              <w:rPr>
                <w:sz w:val="19"/>
                <w:szCs w:val="19"/>
                <w:color w:val="auto"/>
              </w:rPr>
            </w:pPr>
          </w:p>
        </w:tc>
        <w:tc>
          <w:tcPr>
            <w:tcW w:w="10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by reference to Exhibit 4.1 above).</w:t>
            </w:r>
          </w:p>
        </w:tc>
      </w:tr>
      <w:tr>
        <w:trPr>
          <w:trHeight w:val="324"/>
        </w:trPr>
        <w:tc>
          <w:tcPr>
            <w:tcW w:w="8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31.1</w:t>
            </w:r>
          </w:p>
        </w:tc>
        <w:tc>
          <w:tcPr>
            <w:tcW w:w="10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302 Certification—Craig S. Donohue</w:t>
            </w:r>
          </w:p>
        </w:tc>
      </w:tr>
      <w:tr>
        <w:trPr>
          <w:trHeight w:val="324"/>
        </w:trPr>
        <w:tc>
          <w:tcPr>
            <w:tcW w:w="8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31.2</w:t>
            </w:r>
          </w:p>
        </w:tc>
        <w:tc>
          <w:tcPr>
            <w:tcW w:w="10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302 Certification—James E. Parisi</w:t>
            </w:r>
          </w:p>
        </w:tc>
      </w:tr>
      <w:tr>
        <w:trPr>
          <w:trHeight w:val="324"/>
        </w:trPr>
        <w:tc>
          <w:tcPr>
            <w:tcW w:w="8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32.1</w:t>
            </w:r>
          </w:p>
        </w:tc>
        <w:tc>
          <w:tcPr>
            <w:tcW w:w="10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906 Certification</w:t>
            </w:r>
          </w:p>
        </w:tc>
      </w:tr>
      <w:tr>
        <w:trPr>
          <w:trHeight w:val="32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2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2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2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32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2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365"/>
        </w:trPr>
        <w:tc>
          <w:tcPr>
            <w:tcW w:w="860" w:type="dxa"/>
            <w:vAlign w:val="bottom"/>
          </w:tcPr>
          <w:p>
            <w:pPr>
              <w:spacing w:after="0"/>
              <w:rPr>
                <w:sz w:val="24"/>
                <w:szCs w:val="24"/>
                <w:color w:val="auto"/>
              </w:rPr>
            </w:pPr>
          </w:p>
        </w:tc>
        <w:tc>
          <w:tcPr>
            <w:tcW w:w="10520" w:type="dxa"/>
            <w:vAlign w:val="bottom"/>
          </w:tcPr>
          <w:p>
            <w:pPr>
              <w:ind w:left="4760"/>
              <w:spacing w:after="0"/>
              <w:rPr>
                <w:sz w:val="20"/>
                <w:szCs w:val="20"/>
                <w:color w:val="auto"/>
              </w:rPr>
            </w:pPr>
            <w:r>
              <w:rPr>
                <w:rFonts w:ascii="Times New Roman" w:cs="Times New Roman" w:eastAsia="Times New Roman" w:hAnsi="Times New Roman"/>
                <w:sz w:val="18"/>
                <w:szCs w:val="18"/>
                <w:color w:val="auto"/>
              </w:rPr>
              <w:t>30</w:t>
            </w:r>
          </w:p>
        </w:tc>
      </w:tr>
    </w:tbl>
    <w:p>
      <w:pPr>
        <w:sectPr>
          <w:pgSz w:w="11900" w:h="16838" w:orient="portrait"/>
          <w:cols w:equalWidth="0" w:num="1">
            <w:col w:w="11380"/>
          </w:cols>
          <w:pgMar w:left="240" w:top="455" w:right="27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3" w:lineRule="exact"/>
        <w:rPr>
          <w:sz w:val="20"/>
          <w:szCs w:val="20"/>
          <w:color w:val="auto"/>
        </w:rPr>
      </w:pPr>
    </w:p>
    <w:p>
      <w:pPr>
        <w:ind w:right="480"/>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20" w:type="dxa"/>
            <w:vAlign w:val="bottom"/>
          </w:tcPr>
          <w:p>
            <w:pPr>
              <w:spacing w:after="0"/>
              <w:rPr>
                <w:sz w:val="18"/>
                <w:szCs w:val="18"/>
                <w:color w:val="auto"/>
              </w:rPr>
            </w:pPr>
          </w:p>
        </w:tc>
        <w:tc>
          <w:tcPr>
            <w:tcW w:w="7900" w:type="dxa"/>
            <w:vAlign w:val="bottom"/>
            <w:gridSpan w:val="2"/>
          </w:tcPr>
          <w:p>
            <w:pPr>
              <w:ind w:left="2540"/>
              <w:spacing w:after="0"/>
              <w:rPr>
                <w:sz w:val="20"/>
                <w:szCs w:val="20"/>
                <w:color w:val="auto"/>
              </w:rPr>
            </w:pPr>
            <w:r>
              <w:rPr>
                <w:rFonts w:ascii="Times New Roman" w:cs="Times New Roman" w:eastAsia="Times New Roman" w:hAnsi="Times New Roman"/>
                <w:sz w:val="18"/>
                <w:szCs w:val="18"/>
                <w:b w:val="1"/>
                <w:bCs w:val="1"/>
                <w:color w:val="auto"/>
              </w:rPr>
              <w:t>CME Group Inc.</w:t>
            </w:r>
          </w:p>
        </w:tc>
      </w:tr>
      <w:tr>
        <w:trPr>
          <w:trHeight w:val="228"/>
        </w:trPr>
        <w:tc>
          <w:tcPr>
            <w:tcW w:w="3520" w:type="dxa"/>
            <w:vAlign w:val="bottom"/>
          </w:tcPr>
          <w:p>
            <w:pPr>
              <w:spacing w:after="0"/>
              <w:rPr>
                <w:sz w:val="19"/>
                <w:szCs w:val="19"/>
                <w:color w:val="auto"/>
              </w:rPr>
            </w:pPr>
          </w:p>
        </w:tc>
        <w:tc>
          <w:tcPr>
            <w:tcW w:w="7900" w:type="dxa"/>
            <w:vAlign w:val="bottom"/>
            <w:gridSpan w:val="2"/>
          </w:tcPr>
          <w:p>
            <w:pPr>
              <w:ind w:left="2540"/>
              <w:spacing w:after="0"/>
              <w:rPr>
                <w:sz w:val="20"/>
                <w:szCs w:val="20"/>
                <w:color w:val="auto"/>
              </w:rPr>
            </w:pPr>
            <w:r>
              <w:rPr>
                <w:rFonts w:ascii="Times New Roman" w:cs="Times New Roman" w:eastAsia="Times New Roman" w:hAnsi="Times New Roman"/>
                <w:sz w:val="18"/>
                <w:szCs w:val="18"/>
                <w:color w:val="auto"/>
              </w:rPr>
              <w:t>(Registrant)</w:t>
            </w:r>
          </w:p>
        </w:tc>
      </w:tr>
      <w:tr>
        <w:trPr>
          <w:trHeight w:val="44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Dated: May 7, 2010</w:t>
            </w:r>
          </w:p>
        </w:tc>
        <w:tc>
          <w:tcPr>
            <w:tcW w:w="312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By:</w:t>
            </w:r>
          </w:p>
        </w:tc>
        <w:tc>
          <w:tcPr>
            <w:tcW w:w="478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/S/  JAMES E. PARISI</w:t>
            </w:r>
          </w:p>
        </w:tc>
      </w:tr>
      <w:tr>
        <w:trPr>
          <w:trHeight w:val="209"/>
        </w:trPr>
        <w:tc>
          <w:tcPr>
            <w:tcW w:w="3520" w:type="dxa"/>
            <w:vAlign w:val="bottom"/>
          </w:tcPr>
          <w:p>
            <w:pPr>
              <w:spacing w:after="0"/>
              <w:rPr>
                <w:sz w:val="18"/>
                <w:szCs w:val="18"/>
                <w:color w:val="auto"/>
              </w:rPr>
            </w:pPr>
          </w:p>
        </w:tc>
        <w:tc>
          <w:tcPr>
            <w:tcW w:w="312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Name:</w:t>
            </w:r>
          </w:p>
        </w:tc>
        <w:tc>
          <w:tcPr>
            <w:tcW w:w="4780" w:type="dxa"/>
            <w:vAlign w:val="bottom"/>
          </w:tcPr>
          <w:p>
            <w:pPr>
              <w:ind w:left="1820"/>
              <w:spacing w:after="0"/>
              <w:rPr>
                <w:sz w:val="20"/>
                <w:szCs w:val="20"/>
                <w:color w:val="auto"/>
              </w:rPr>
            </w:pPr>
            <w:r>
              <w:rPr>
                <w:rFonts w:ascii="Times New Roman" w:cs="Times New Roman" w:eastAsia="Times New Roman" w:hAnsi="Times New Roman"/>
                <w:sz w:val="18"/>
                <w:szCs w:val="18"/>
                <w:b w:val="1"/>
                <w:bCs w:val="1"/>
                <w:color w:val="auto"/>
              </w:rPr>
              <w:t>James E. Parisi</w:t>
            </w:r>
          </w:p>
        </w:tc>
      </w:tr>
      <w:tr>
        <w:trPr>
          <w:trHeight w:val="216"/>
        </w:trPr>
        <w:tc>
          <w:tcPr>
            <w:tcW w:w="3520" w:type="dxa"/>
            <w:vAlign w:val="bottom"/>
          </w:tcPr>
          <w:p>
            <w:pPr>
              <w:spacing w:after="0"/>
              <w:rPr>
                <w:sz w:val="18"/>
                <w:szCs w:val="18"/>
                <w:color w:val="auto"/>
              </w:rPr>
            </w:pPr>
          </w:p>
        </w:tc>
        <w:tc>
          <w:tcPr>
            <w:tcW w:w="312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Title:</w:t>
            </w:r>
          </w:p>
        </w:tc>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Chief Financial Officer and Managing Director, Finance and</w:t>
            </w:r>
          </w:p>
        </w:tc>
      </w:tr>
      <w:tr>
        <w:trPr>
          <w:trHeight w:val="230"/>
        </w:trPr>
        <w:tc>
          <w:tcPr>
            <w:tcW w:w="35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Corporate Development</w:t>
            </w:r>
          </w:p>
        </w:tc>
      </w:tr>
      <w:tr>
        <w:trPr>
          <w:trHeight w:val="365"/>
        </w:trPr>
        <w:tc>
          <w:tcPr>
            <w:tcW w:w="3520" w:type="dxa"/>
            <w:vAlign w:val="bottom"/>
          </w:tcPr>
          <w:p>
            <w:pPr>
              <w:spacing w:after="0"/>
              <w:rPr>
                <w:sz w:val="24"/>
                <w:szCs w:val="24"/>
                <w:color w:val="auto"/>
              </w:rPr>
            </w:pPr>
          </w:p>
        </w:tc>
        <w:tc>
          <w:tcPr>
            <w:tcW w:w="31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31</w:t>
            </w:r>
          </w:p>
        </w:tc>
        <w:tc>
          <w:tcPr>
            <w:tcW w:w="478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2 TO CREDIT AGREEMENT</w:t>
      </w:r>
    </w:p>
    <w:p>
      <w:pPr>
        <w:spacing w:after="0" w:line="169" w:lineRule="exact"/>
        <w:rPr>
          <w:sz w:val="20"/>
          <w:szCs w:val="20"/>
          <w:color w:val="auto"/>
        </w:rPr>
      </w:pPr>
    </w:p>
    <w:p>
      <w:pPr>
        <w:ind w:right="280" w:firstLine="456"/>
        <w:spacing w:after="0" w:line="280"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AMENDMENT NO. 2 TO CREDIT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xml:space="preserve">”) dated as of February 26, 2010, is made by and among </w:t>
      </w:r>
      <w:r>
        <w:rPr>
          <w:rFonts w:ascii="Times New Roman" w:cs="Times New Roman" w:eastAsia="Times New Roman" w:hAnsi="Times New Roman"/>
          <w:sz w:val="18"/>
          <w:szCs w:val="18"/>
          <w:b w:val="1"/>
          <w:bCs w:val="1"/>
          <w:color w:val="auto"/>
        </w:rPr>
        <w:t>CME GROUP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b w:val="1"/>
          <w:bCs w:val="1"/>
          <w:i w:val="1"/>
          <w:iCs w:val="1"/>
          <w:color w:val="auto"/>
        </w:rPr>
        <w:t>Borrower</w:t>
      </w:r>
      <w:r>
        <w:rPr>
          <w:rFonts w:ascii="Times New Roman" w:cs="Times New Roman" w:eastAsia="Times New Roman" w:hAnsi="Times New Roman"/>
          <w:sz w:val="18"/>
          <w:szCs w:val="18"/>
          <w:color w:val="auto"/>
        </w:rPr>
        <w:t>”) and each of the Lenders (as defined in the Credit Agreement described below) party hereto.</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 I T N E S S E T H:</w:t>
      </w:r>
    </w:p>
    <w:p>
      <w:pPr>
        <w:spacing w:after="0" w:line="169" w:lineRule="exact"/>
        <w:rPr>
          <w:sz w:val="20"/>
          <w:szCs w:val="20"/>
          <w:color w:val="auto"/>
        </w:rPr>
      </w:pPr>
    </w:p>
    <w:p>
      <w:pPr>
        <w:ind w:right="4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Borrower, Bank of America, N.A., in its capacity as administrative agent for the Lenders (in such capacity, the “</w:t>
      </w:r>
      <w:r>
        <w:rPr>
          <w:rFonts w:ascii="Times New Roman" w:cs="Times New Roman" w:eastAsia="Times New Roman" w:hAnsi="Times New Roman"/>
          <w:sz w:val="18"/>
          <w:szCs w:val="18"/>
          <w:b w:val="1"/>
          <w:bCs w:val="1"/>
          <w:i w:val="1"/>
          <w:iCs w:val="1"/>
          <w:color w:val="auto"/>
        </w:rPr>
        <w:t>Administrative Agent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Lenders have entered into that certain Credit Agreement dated as of August 22, 2008 (as amended by Amendment No. 1 and Limited Waiver to Credit Agreement dated as of September 30, 2009, and as hereby amended, the “</w:t>
      </w:r>
      <w:r>
        <w:rPr>
          <w:rFonts w:ascii="Times New Roman" w:cs="Times New Roman" w:eastAsia="Times New Roman" w:hAnsi="Times New Roman"/>
          <w:sz w:val="18"/>
          <w:szCs w:val="18"/>
          <w:b w:val="1"/>
          <w:bCs w:val="1"/>
          <w:i w:val="1"/>
          <w:iCs w:val="1"/>
          <w:color w:val="auto"/>
        </w:rPr>
        <w:t>Credit Agreement</w:t>
      </w:r>
      <w:r>
        <w:rPr>
          <w:rFonts w:ascii="Times New Roman" w:cs="Times New Roman" w:eastAsia="Times New Roman" w:hAnsi="Times New Roman"/>
          <w:sz w:val="18"/>
          <w:szCs w:val="18"/>
          <w:color w:val="auto"/>
        </w:rPr>
        <w:t>”; capitalized terms used in this Amendment not otherwise defined herein shall have the respective meanings given thereto in the Credit Agreement), pursuant to which the Lenders have made available to the Borrower a term loan facility and a revolving credit facility; and</w:t>
      </w:r>
    </w:p>
    <w:p>
      <w:pPr>
        <w:spacing w:after="0" w:line="136" w:lineRule="exact"/>
        <w:rPr>
          <w:sz w:val="20"/>
          <w:szCs w:val="20"/>
          <w:color w:val="auto"/>
        </w:rPr>
      </w:pPr>
    </w:p>
    <w:p>
      <w:pPr>
        <w:ind w:right="12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Borrower has advised the Administrative Agent and the Lenders that it desires to amend certain provisions of the Credit Agreement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 certain Subsidiary Indebtedness in connection with such Subsidiary’s acquiring certain assets, including the Dow Jones stock market indices business and a license to use certain Dow Jones trademarks.</w:t>
      </w:r>
    </w:p>
    <w:p>
      <w:pPr>
        <w:spacing w:after="0" w:line="127" w:lineRule="exact"/>
        <w:rPr>
          <w:sz w:val="20"/>
          <w:szCs w:val="20"/>
          <w:color w:val="auto"/>
        </w:rPr>
      </w:pPr>
    </w:p>
    <w:p>
      <w:pPr>
        <w:ind w:right="18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further valuable consideration, the receipt and sufficiency of which is hereby acknowledged,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hereto agree as follows:</w:t>
      </w:r>
    </w:p>
    <w:p>
      <w:pPr>
        <w:spacing w:after="0" w:line="118" w:lineRule="exact"/>
        <w:rPr>
          <w:sz w:val="20"/>
          <w:szCs w:val="20"/>
          <w:color w:val="auto"/>
        </w:rPr>
      </w:pPr>
    </w:p>
    <w:p>
      <w:pPr>
        <w:ind w:left="640" w:hanging="17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Credit Agreement</w:t>
      </w:r>
      <w:r>
        <w:rPr>
          <w:rFonts w:ascii="Times New Roman" w:cs="Times New Roman" w:eastAsia="Times New Roman" w:hAnsi="Times New Roman"/>
          <w:sz w:val="18"/>
          <w:szCs w:val="18"/>
          <w:color w:val="auto"/>
        </w:rPr>
        <w:t>. Subject to the terms and conditions set forth herein, the Credit Agreement is hereby amended as follows:</w:t>
      </w:r>
    </w:p>
    <w:p>
      <w:pPr>
        <w:spacing w:after="0" w:line="90" w:lineRule="exact"/>
        <w:rPr>
          <w:rFonts w:ascii="Times New Roman" w:cs="Times New Roman" w:eastAsia="Times New Roman" w:hAnsi="Times New Roman"/>
          <w:sz w:val="18"/>
          <w:szCs w:val="18"/>
          <w:color w:val="auto"/>
        </w:rPr>
      </w:pPr>
    </w:p>
    <w:p>
      <w:pPr>
        <w:ind w:left="920" w:right="600" w:hanging="17"/>
        <w:spacing w:after="0" w:line="387" w:lineRule="auto"/>
        <w:tabs>
          <w:tab w:leader="none" w:pos="1140"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1.01</w:t>
      </w:r>
      <w:r>
        <w:rPr>
          <w:rFonts w:ascii="Times New Roman" w:cs="Times New Roman" w:eastAsia="Times New Roman" w:hAnsi="Times New Roman"/>
          <w:sz w:val="16"/>
          <w:szCs w:val="16"/>
          <w:color w:val="auto"/>
        </w:rPr>
        <w:t xml:space="preserve"> of the Credit Agreement is hereby amended by adding the following definitions in the appropriate alphabetical order therein: “</w:t>
      </w:r>
      <w:r>
        <w:rPr>
          <w:rFonts w:ascii="Times New Roman" w:cs="Times New Roman" w:eastAsia="Times New Roman" w:hAnsi="Times New Roman"/>
          <w:sz w:val="16"/>
          <w:szCs w:val="16"/>
          <w:u w:val="single" w:color="auto"/>
          <w:color w:val="auto"/>
        </w:rPr>
        <w:t>CIMD Holdings, LLC</w:t>
      </w:r>
      <w:r>
        <w:rPr>
          <w:rFonts w:ascii="Times New Roman" w:cs="Times New Roman" w:eastAsia="Times New Roman" w:hAnsi="Times New Roman"/>
          <w:sz w:val="16"/>
          <w:szCs w:val="16"/>
          <w:color w:val="auto"/>
        </w:rPr>
        <w:t>” means CIMD Holdings, LLC (and as such entity may be renamed), a Delaware limited liability company.</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CIMD, LLC</w:t>
      </w:r>
      <w:r>
        <w:rPr>
          <w:rFonts w:ascii="Times New Roman" w:cs="Times New Roman" w:eastAsia="Times New Roman" w:hAnsi="Times New Roman"/>
          <w:sz w:val="18"/>
          <w:szCs w:val="18"/>
          <w:color w:val="auto"/>
        </w:rPr>
        <w:t>” means CIMD, LLC (and as such entity may be renamed), a Delaware limited liability company.</w:t>
      </w:r>
    </w:p>
    <w:p>
      <w:pPr>
        <w:spacing w:after="0" w:line="90" w:lineRule="exact"/>
        <w:rPr>
          <w:sz w:val="20"/>
          <w:szCs w:val="20"/>
          <w:color w:val="auto"/>
        </w:rPr>
      </w:pPr>
    </w:p>
    <w:p>
      <w:pPr>
        <w:ind w:left="920" w:right="8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Dow Jones Index Transaction</w:t>
      </w:r>
      <w:r>
        <w:rPr>
          <w:rFonts w:ascii="Times New Roman" w:cs="Times New Roman" w:eastAsia="Times New Roman" w:hAnsi="Times New Roman"/>
          <w:sz w:val="18"/>
          <w:szCs w:val="18"/>
          <w:color w:val="auto"/>
        </w:rPr>
        <w:t>” means a transaction as a result of which (i) a wholly-owned Subsidiary of the Borrower will own 90% of the Equity Interests in CIMD Holdings, LLC, (ii) Dow Jones &amp; Company, Inc., a Delaware corporation, will own 10% of the Equity Interests in CIMD Holdings, LLC, (iii) CIMD Holdings, LLC will own all of the Equity Interests in CIMD, LLC, and (iv) CIMD, LLC will own certain assets including the Dow Jones stock market indices business and a license to use certain Dow Jones trademarks.</w:t>
      </w:r>
    </w:p>
    <w:p>
      <w:pPr>
        <w:sectPr>
          <w:pgSz w:w="11900" w:h="16838" w:orient="portrait"/>
          <w:cols w:equalWidth="0" w:num="1">
            <w:col w:w="11420"/>
          </w:cols>
          <w:pgMar w:left="240" w:top="123" w:right="239" w:bottom="1440" w:gutter="0" w:footer="0" w:header="0"/>
        </w:sectPr>
      </w:pPr>
    </w:p>
    <w:bookmarkStart w:id="32" w:name="page33"/>
    <w:bookmarkEnd w:id="32"/>
    <w:p>
      <w:pPr>
        <w:ind w:left="460" w:right="600" w:firstLine="443"/>
        <w:spacing w:after="0" w:line="275" w:lineRule="auto"/>
        <w:tabs>
          <w:tab w:leader="none" w:pos="114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6.02</w:t>
      </w:r>
      <w:r>
        <w:rPr>
          <w:rFonts w:ascii="Times New Roman" w:cs="Times New Roman" w:eastAsia="Times New Roman" w:hAnsi="Times New Roman"/>
          <w:sz w:val="18"/>
          <w:szCs w:val="18"/>
          <w:color w:val="auto"/>
        </w:rPr>
        <w:t xml:space="preserve"> of the Credit Agreement is hereby amended by (i) deleting “and” from subsection (m) therein, (ii) renumbering the existing </w:t>
      </w:r>
      <w:r>
        <w:rPr>
          <w:rFonts w:ascii="Times New Roman" w:cs="Times New Roman" w:eastAsia="Times New Roman" w:hAnsi="Times New Roman"/>
          <w:sz w:val="18"/>
          <w:szCs w:val="18"/>
          <w:u w:val="single" w:color="auto"/>
          <w:color w:val="auto"/>
        </w:rPr>
        <w:t>subsection (n)</w:t>
      </w:r>
      <w:r>
        <w:rPr>
          <w:rFonts w:ascii="Times New Roman" w:cs="Times New Roman" w:eastAsia="Times New Roman" w:hAnsi="Times New Roman"/>
          <w:sz w:val="18"/>
          <w:szCs w:val="18"/>
          <w:color w:val="auto"/>
        </w:rPr>
        <w:t xml:space="preserve"> as </w:t>
      </w:r>
      <w:r>
        <w:rPr>
          <w:rFonts w:ascii="Times New Roman" w:cs="Times New Roman" w:eastAsia="Times New Roman" w:hAnsi="Times New Roman"/>
          <w:sz w:val="18"/>
          <w:szCs w:val="18"/>
          <w:u w:val="single" w:color="auto"/>
          <w:color w:val="auto"/>
        </w:rPr>
        <w:t>subsection (o)</w:t>
      </w:r>
      <w:r>
        <w:rPr>
          <w:rFonts w:ascii="Times New Roman" w:cs="Times New Roman" w:eastAsia="Times New Roman" w:hAnsi="Times New Roman"/>
          <w:sz w:val="18"/>
          <w:szCs w:val="18"/>
          <w:color w:val="auto"/>
        </w:rPr>
        <w:t xml:space="preserve"> therein, and (iii) by adding the following as the new </w:t>
      </w:r>
      <w:r>
        <w:rPr>
          <w:rFonts w:ascii="Times New Roman" w:cs="Times New Roman" w:eastAsia="Times New Roman" w:hAnsi="Times New Roman"/>
          <w:sz w:val="18"/>
          <w:szCs w:val="18"/>
          <w:u w:val="single" w:color="auto"/>
          <w:color w:val="auto"/>
        </w:rPr>
        <w:t>subsection (n)</w:t>
      </w:r>
      <w:r>
        <w:rPr>
          <w:rFonts w:ascii="Times New Roman" w:cs="Times New Roman" w:eastAsia="Times New Roman" w:hAnsi="Times New Roman"/>
          <w:sz w:val="18"/>
          <w:szCs w:val="18"/>
          <w:color w:val="auto"/>
        </w:rPr>
        <w:t>:</w:t>
      </w:r>
    </w:p>
    <w:p>
      <w:pPr>
        <w:spacing w:after="0" w:line="39" w:lineRule="exact"/>
        <w:rPr>
          <w:sz w:val="20"/>
          <w:szCs w:val="20"/>
          <w:color w:val="auto"/>
        </w:rPr>
      </w:pPr>
    </w:p>
    <w:p>
      <w:pPr>
        <w:ind w:left="920" w:right="120"/>
        <w:spacing w:after="0" w:line="262" w:lineRule="auto"/>
        <w:rPr>
          <w:sz w:val="20"/>
          <w:szCs w:val="20"/>
          <w:color w:val="auto"/>
        </w:rPr>
      </w:pPr>
      <w:r>
        <w:rPr>
          <w:rFonts w:ascii="Times New Roman" w:cs="Times New Roman" w:eastAsia="Times New Roman" w:hAnsi="Times New Roman"/>
          <w:sz w:val="18"/>
          <w:szCs w:val="18"/>
          <w:color w:val="auto"/>
        </w:rPr>
        <w:t>“(n) Indebtedness incurred by CIMD, LLC, the proceeds of which are to be used to finance the Dow Jones Index Transaction (and transaction expenses related thereto), and extensions, renewals, replacements and refinancings of any such Indebtedness; provided that the aggregate principal amount of Indebtedness permitted by this clause (n) shall not exceed $615,000,000 at any time outstanding; and”</w:t>
      </w:r>
    </w:p>
    <w:p>
      <w:pPr>
        <w:spacing w:after="0" w:line="132" w:lineRule="exact"/>
        <w:rPr>
          <w:sz w:val="20"/>
          <w:szCs w:val="20"/>
          <w:color w:val="auto"/>
        </w:rPr>
      </w:pPr>
    </w:p>
    <w:p>
      <w:pPr>
        <w:ind w:right="20" w:firstLine="464"/>
        <w:spacing w:after="0" w:line="275" w:lineRule="auto"/>
        <w:tabs>
          <w:tab w:leader="none" w:pos="63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 Conditions Precedent</w:t>
      </w:r>
      <w:r>
        <w:rPr>
          <w:rFonts w:ascii="Times New Roman" w:cs="Times New Roman" w:eastAsia="Times New Roman" w:hAnsi="Times New Roman"/>
          <w:sz w:val="18"/>
          <w:szCs w:val="18"/>
          <w:color w:val="auto"/>
        </w:rPr>
        <w:t>. The effectiveness of this Amendment and the amendments to the Credit Agreement contained herein are subject to the satisfaction of the following conditions precedent:</w:t>
      </w:r>
    </w:p>
    <w:p>
      <w:pPr>
        <w:spacing w:after="0" w:line="38" w:lineRule="exact"/>
        <w:rPr>
          <w:rFonts w:ascii="Times New Roman" w:cs="Times New Roman" w:eastAsia="Times New Roman" w:hAnsi="Times New Roman"/>
          <w:sz w:val="18"/>
          <w:szCs w:val="18"/>
          <w:color w:val="auto"/>
        </w:rPr>
      </w:pPr>
    </w:p>
    <w:p>
      <w:pPr>
        <w:ind w:left="460" w:firstLine="443"/>
        <w:spacing w:after="0" w:line="275" w:lineRule="auto"/>
        <w:tabs>
          <w:tab w:leader="none" w:pos="113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each of the following documents or instruments in form and substance reasonably acceptable to the Administrative Agent:</w:t>
      </w:r>
    </w:p>
    <w:p>
      <w:pPr>
        <w:spacing w:after="0" w:line="38" w:lineRule="exact"/>
        <w:rPr>
          <w:rFonts w:ascii="Times New Roman" w:cs="Times New Roman" w:eastAsia="Times New Roman" w:hAnsi="Times New Roman"/>
          <w:sz w:val="18"/>
          <w:szCs w:val="18"/>
          <w:color w:val="auto"/>
        </w:rPr>
      </w:pPr>
    </w:p>
    <w:p>
      <w:pPr>
        <w:ind w:left="1560" w:hanging="219"/>
        <w:spacing w:after="0"/>
        <w:tabs>
          <w:tab w:leader="none" w:pos="156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of this Amendment duly executed by the Borrower, and Lenders which constitute Required Lenders; and</w:t>
      </w:r>
    </w:p>
    <w:p>
      <w:pPr>
        <w:spacing w:after="0" w:line="90" w:lineRule="exact"/>
        <w:rPr>
          <w:rFonts w:ascii="Times New Roman" w:cs="Times New Roman" w:eastAsia="Times New Roman" w:hAnsi="Times New Roman"/>
          <w:sz w:val="18"/>
          <w:szCs w:val="18"/>
          <w:color w:val="auto"/>
        </w:rPr>
      </w:pPr>
    </w:p>
    <w:p>
      <w:pPr>
        <w:ind w:left="1600" w:hanging="259"/>
        <w:spacing w:after="0"/>
        <w:tabs>
          <w:tab w:leader="none" w:pos="160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signed by a Senior Officer of the Borrower certifying as to the representations and warranties set forth in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460" w:right="40" w:firstLine="443"/>
        <w:spacing w:after="0" w:line="258" w:lineRule="auto"/>
        <w:tabs>
          <w:tab w:leader="none" w:pos="114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fee shall have been paid to the Administrative Agent for distribution to each Lender executing this Agreement and delivering such executed signature page to the Administrative Agent no later than 5:00 p.m. (New York time) on February 26, 2010, with each such executing Lender’s fee equal to 0.05%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sum</w:t>
      </w:r>
      <w:r>
        <w:rPr>
          <w:rFonts w:ascii="Times New Roman" w:cs="Times New Roman" w:eastAsia="Times New Roman" w:hAnsi="Times New Roman"/>
          <w:sz w:val="18"/>
          <w:szCs w:val="18"/>
          <w:color w:val="auto"/>
        </w:rPr>
        <w:t xml:space="preserve"> of (i) the outstanding principal amount of the Term Loan held by such Lender as of the date hereof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such Lender’s Revolving Commitment as of the date hereof.</w:t>
      </w:r>
    </w:p>
    <w:p>
      <w:pPr>
        <w:spacing w:after="0" w:line="55" w:lineRule="exact"/>
        <w:rPr>
          <w:rFonts w:ascii="Times New Roman" w:cs="Times New Roman" w:eastAsia="Times New Roman" w:hAnsi="Times New Roman"/>
          <w:sz w:val="18"/>
          <w:szCs w:val="18"/>
          <w:color w:val="auto"/>
        </w:rPr>
      </w:pPr>
    </w:p>
    <w:p>
      <w:pPr>
        <w:ind w:left="1140" w:hanging="237"/>
        <w:spacing w:after="0"/>
        <w:tabs>
          <w:tab w:leader="none" w:pos="11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waived by the Administrative Agent, all accrued reasonable and documented out-of-pocket expenses of the Arrangers and the</w:t>
      </w:r>
    </w:p>
    <w:p>
      <w:pPr>
        <w:spacing w:after="0" w:line="21" w:lineRule="exact"/>
        <w:rPr>
          <w:rFonts w:ascii="Times New Roman" w:cs="Times New Roman" w:eastAsia="Times New Roman" w:hAnsi="Times New Roman"/>
          <w:sz w:val="18"/>
          <w:szCs w:val="18"/>
          <w:color w:val="auto"/>
        </w:rPr>
      </w:pPr>
    </w:p>
    <w:p>
      <w:pPr>
        <w:ind w:left="460" w:right="2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Administrative Agent required to be paid pursuant to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of the Credit Agreement on or prior to the closing of the Amendment shall have been paid.</w:t>
      </w:r>
    </w:p>
    <w:p>
      <w:pPr>
        <w:spacing w:after="0" w:line="132"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This Agreement shall become effective as of the date hereof upon satisfaction of the conditions set forth in clauses (a) through (c) above and the Administrative Agent shall give notice to the Borrower of the effectiveness of this Amendment.</w:t>
      </w:r>
    </w:p>
    <w:p>
      <w:pPr>
        <w:spacing w:after="0" w:line="120" w:lineRule="exact"/>
        <w:rPr>
          <w:sz w:val="20"/>
          <w:szCs w:val="20"/>
          <w:color w:val="auto"/>
        </w:rPr>
      </w:pPr>
    </w:p>
    <w:p>
      <w:pPr>
        <w:ind w:left="640" w:hanging="176"/>
        <w:spacing w:after="0"/>
        <w:tabs>
          <w:tab w:leader="none" w:pos="6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and Warranties</w:t>
      </w:r>
      <w:r>
        <w:rPr>
          <w:rFonts w:ascii="Times New Roman" w:cs="Times New Roman" w:eastAsia="Times New Roman" w:hAnsi="Times New Roman"/>
          <w:sz w:val="16"/>
          <w:szCs w:val="16"/>
          <w:color w:val="auto"/>
        </w:rPr>
        <w:t>. In order to induce the Lenders to enter into this Amendment, the Borrower represents and warrants to the Lenders as</w:t>
      </w:r>
    </w:p>
    <w:p>
      <w:pPr>
        <w:spacing w:after="0" w:line="4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follows:</w:t>
      </w:r>
    </w:p>
    <w:p>
      <w:pPr>
        <w:spacing w:after="0" w:line="77" w:lineRule="exact"/>
        <w:rPr>
          <w:rFonts w:ascii="Times New Roman" w:cs="Times New Roman" w:eastAsia="Times New Roman" w:hAnsi="Times New Roman"/>
          <w:sz w:val="16"/>
          <w:szCs w:val="16"/>
          <w:color w:val="auto"/>
        </w:rPr>
      </w:pPr>
    </w:p>
    <w:p>
      <w:pPr>
        <w:ind w:left="460" w:right="120" w:firstLine="443"/>
        <w:spacing w:after="0" w:line="262" w:lineRule="auto"/>
        <w:tabs>
          <w:tab w:leader="none" w:pos="113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time of and immediately after giving effect to this Amendment, (i) the representations and warranties of the Borrower set forth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of the Credit Agreement shall be true and correct in all material respects on and as of the date hereof, and (ii) no Default or Event of Default has occurred and is continuing.</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40"/>
          </w:cols>
          <w:pgMar w:left="240" w:top="274" w:right="319" w:bottom="1440" w:gutter="0" w:footer="0" w:header="0"/>
        </w:sectPr>
      </w:pPr>
    </w:p>
    <w:bookmarkStart w:id="33" w:name="page34"/>
    <w:bookmarkEnd w:id="33"/>
    <w:p>
      <w:pPr>
        <w:jc w:val="both"/>
        <w:ind w:left="460" w:right="220" w:firstLine="443"/>
        <w:spacing w:after="0" w:line="310" w:lineRule="auto"/>
        <w:tabs>
          <w:tab w:leader="none" w:pos="1147"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has been duly executed and delivered by the Borrower and constitutes a legal, valid and binding obligation of the Borrower, enforceable against the Borrower in accordance with its terms, subject to applicable bankruptcy, insolvency, reorganization, moratorium or other similar laws affecting creditors’ rights generally and subject to general principles of equity, regardless of whether considered in a proceeding in equity or at law.</w:t>
      </w:r>
    </w:p>
    <w:p>
      <w:pPr>
        <w:spacing w:after="0" w:line="93" w:lineRule="exact"/>
        <w:rPr>
          <w:rFonts w:ascii="Times New Roman" w:cs="Times New Roman" w:eastAsia="Times New Roman" w:hAnsi="Times New Roman"/>
          <w:sz w:val="16"/>
          <w:szCs w:val="16"/>
          <w:color w:val="auto"/>
        </w:rPr>
      </w:pPr>
    </w:p>
    <w:p>
      <w:pPr>
        <w:ind w:right="120" w:firstLine="464"/>
        <w:spacing w:after="0" w:line="255" w:lineRule="auto"/>
        <w:tabs>
          <w:tab w:leader="none" w:pos="63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Amendment, together with the Credit Agreement (collectively, the “</w:t>
      </w:r>
      <w:r>
        <w:rPr>
          <w:rFonts w:ascii="Times New Roman" w:cs="Times New Roman" w:eastAsia="Times New Roman" w:hAnsi="Times New Roman"/>
          <w:sz w:val="18"/>
          <w:szCs w:val="18"/>
          <w:b w:val="1"/>
          <w:bCs w:val="1"/>
          <w:i w:val="1"/>
          <w:iCs w:val="1"/>
          <w:color w:val="auto"/>
        </w:rPr>
        <w:t>Relevant Documents</w:t>
      </w:r>
      <w:r>
        <w:rPr>
          <w:rFonts w:ascii="Times New Roman" w:cs="Times New Roman" w:eastAsia="Times New Roman" w:hAnsi="Times New Roman"/>
          <w:sz w:val="18"/>
          <w:szCs w:val="18"/>
          <w:color w:val="auto"/>
        </w:rPr>
        <w:t xml:space="preserve">”), sets forth the entire understanding and agreement of the parties hereto in relation to the subject matter hereof and supersedes any prior negotiations and agreements among the parties relating to such subject matter. No promise, condition, representation or warranty, express or implied, not set forth in the Relevant Documents shall bind any party hereto, and no such party has relied on any such promise, condition, representation or warranty. Each of the parties hereto acknowledges that, except as otherwise expressly stated in the Relevant Documents, no representations, warranties or commitments, express or implied, have been made by any party to any other party in relation to the subject matter hereof or thereof. None of the terms or conditions of this Amendment may be changed, modified, waived or canceled orally or otherwise, except in writing and in accordance with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of the Credit Agreement.</w:t>
      </w:r>
    </w:p>
    <w:p>
      <w:pPr>
        <w:spacing w:after="0" w:line="139" w:lineRule="exact"/>
        <w:rPr>
          <w:rFonts w:ascii="Times New Roman" w:cs="Times New Roman" w:eastAsia="Times New Roman" w:hAnsi="Times New Roman"/>
          <w:sz w:val="18"/>
          <w:szCs w:val="18"/>
          <w:color w:val="auto"/>
        </w:rPr>
      </w:pPr>
    </w:p>
    <w:p>
      <w:pPr>
        <w:ind w:right="120" w:firstLine="464"/>
        <w:spacing w:after="0" w:line="275" w:lineRule="auto"/>
        <w:tabs>
          <w:tab w:leader="none" w:pos="63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Full Force and Effect of Agreement</w:t>
      </w:r>
      <w:r>
        <w:rPr>
          <w:rFonts w:ascii="Times New Roman" w:cs="Times New Roman" w:eastAsia="Times New Roman" w:hAnsi="Times New Roman"/>
          <w:sz w:val="18"/>
          <w:szCs w:val="18"/>
          <w:color w:val="auto"/>
        </w:rPr>
        <w:t>. Except as hereby specifically amended, modified or supplemented, the Credit Agreement is hereby confirmed and ratified in all respects and shall be and remain in full force and effect according to its terms.</w:t>
      </w:r>
    </w:p>
    <w:p>
      <w:pPr>
        <w:spacing w:after="0" w:line="119" w:lineRule="exact"/>
        <w:rPr>
          <w:rFonts w:ascii="Times New Roman" w:cs="Times New Roman" w:eastAsia="Times New Roman" w:hAnsi="Times New Roman"/>
          <w:sz w:val="18"/>
          <w:szCs w:val="18"/>
          <w:color w:val="auto"/>
        </w:rPr>
      </w:pPr>
    </w:p>
    <w:p>
      <w:pPr>
        <w:jc w:val="both"/>
        <w:ind w:right="100" w:firstLine="464"/>
        <w:spacing w:after="0" w:line="310" w:lineRule="auto"/>
        <w:tabs>
          <w:tab w:leader="none" w:pos="632"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This Amendment may be executed in any number of counterparts, each of which shall be deemed an original as against any party whose signature appears thereon, and all of which shall together constitute one and the same instrument. Delivery of an executed counterpart of a signature page of this Amendment by telecopy or other electronic transmission (e.g. pdf or electronic mail) shall be effective as a manually executed counterpart of this Amendment.</w:t>
      </w:r>
    </w:p>
    <w:p>
      <w:pPr>
        <w:spacing w:after="0" w:line="97" w:lineRule="exact"/>
        <w:rPr>
          <w:rFonts w:ascii="Times New Roman" w:cs="Times New Roman" w:eastAsia="Times New Roman" w:hAnsi="Times New Roman"/>
          <w:sz w:val="16"/>
          <w:szCs w:val="16"/>
          <w:color w:val="auto"/>
        </w:rPr>
      </w:pPr>
    </w:p>
    <w:p>
      <w:pPr>
        <w:ind w:firstLine="464"/>
        <w:spacing w:after="0" w:line="254" w:lineRule="auto"/>
        <w:tabs>
          <w:tab w:leader="none" w:pos="63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THIS AMENDMENT SHALL IN ALL RESPECTS BE GOVERNED BY, AND CONSTRUED IN ACCORDANCE WITH, THE LAWS OF THE STATE OF NEW YORK. The Borrower hereby irrevocably and unconditionally submits, for itself and its property, to the nonexclusive jurisdiction of the Supreme Court of the State of New York sitting in New York County and of the United States District Court of the Southern District of New York, and any appellate court from any thereof, in any action or proceeding arising out of or relating to this Amendment,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This Amendment shall be further subject to the provisions of </w:t>
      </w:r>
      <w:r>
        <w:rPr>
          <w:rFonts w:ascii="Times New Roman" w:cs="Times New Roman" w:eastAsia="Times New Roman" w:hAnsi="Times New Roman"/>
          <w:sz w:val="18"/>
          <w:szCs w:val="18"/>
          <w:u w:val="single" w:color="auto"/>
          <w:color w:val="auto"/>
        </w:rPr>
        <w:t>Sections 9.09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9.10</w:t>
      </w:r>
      <w:r>
        <w:rPr>
          <w:rFonts w:ascii="Times New Roman" w:cs="Times New Roman" w:eastAsia="Times New Roman" w:hAnsi="Times New Roman"/>
          <w:sz w:val="18"/>
          <w:szCs w:val="18"/>
          <w:color w:val="auto"/>
        </w:rPr>
        <w:t xml:space="preserve"> of the Credit Agreement.</w:t>
      </w:r>
    </w:p>
    <w:p>
      <w:pPr>
        <w:spacing w:after="0" w:line="141"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Enforceability</w:t>
      </w:r>
      <w:r>
        <w:rPr>
          <w:rFonts w:ascii="Times New Roman" w:cs="Times New Roman" w:eastAsia="Times New Roman" w:hAnsi="Times New Roman"/>
          <w:sz w:val="18"/>
          <w:szCs w:val="18"/>
          <w:color w:val="auto"/>
        </w:rPr>
        <w:t>. Any provision of this Amendment held to be invalid, illegal or unenforceable in any jurisdiction shall, as to such jurisdiction, be</w:t>
      </w:r>
    </w:p>
    <w:p>
      <w:pPr>
        <w:spacing w:after="0" w:line="21" w:lineRule="exact"/>
        <w:rPr>
          <w:rFonts w:ascii="Times New Roman" w:cs="Times New Roman" w:eastAsia="Times New Roman" w:hAnsi="Times New Roman"/>
          <w:sz w:val="18"/>
          <w:szCs w:val="18"/>
          <w:color w:val="auto"/>
        </w:rPr>
      </w:pPr>
    </w:p>
    <w:p>
      <w:pPr>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 to the extent of such invalidity, illegality or 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80"/>
          </w:cols>
          <w:pgMar w:left="240" w:top="274" w:right="279" w:bottom="1440" w:gutter="0" w:footer="0" w:header="0"/>
        </w:sectPr>
      </w:pPr>
    </w:p>
    <w:bookmarkStart w:id="34" w:name="page35"/>
    <w:bookmarkEnd w:id="34"/>
    <w:p>
      <w:pPr>
        <w:ind w:left="400" w:hanging="176"/>
        <w:spacing w:after="0"/>
        <w:tabs>
          <w:tab w:leader="none" w:pos="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References</w:t>
      </w:r>
      <w:r>
        <w:rPr>
          <w:rFonts w:ascii="Times New Roman" w:cs="Times New Roman" w:eastAsia="Times New Roman" w:hAnsi="Times New Roman"/>
          <w:sz w:val="18"/>
          <w:szCs w:val="18"/>
          <w:color w:val="auto"/>
        </w:rPr>
        <w:t>. All references to the “Credit Agreement” shall mean the Credit Agreement, as amended hereby.</w:t>
      </w:r>
    </w:p>
    <w:p>
      <w:pPr>
        <w:spacing w:after="0" w:line="171" w:lineRule="exact"/>
        <w:rPr>
          <w:rFonts w:ascii="Times New Roman" w:cs="Times New Roman" w:eastAsia="Times New Roman" w:hAnsi="Times New Roman"/>
          <w:sz w:val="18"/>
          <w:szCs w:val="18"/>
          <w:color w:val="auto"/>
        </w:rPr>
      </w:pPr>
    </w:p>
    <w:p>
      <w:pPr>
        <w:ind w:left="-240" w:firstLine="464"/>
        <w:spacing w:after="0" w:line="262" w:lineRule="auto"/>
        <w:tabs>
          <w:tab w:leader="none" w:pos="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This Amendment shall be binding upon and inure to the benefit of the Borrower, the Administrative Agent, the Lenders and their respective successors, legal representatives, and assignees to the extent such assignees are permitted assignees as provided in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of the Credit Agreement.</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480" w:top="274" w:right="479" w:bottom="1440" w:gutter="0" w:footer="0" w:header="0"/>
        </w:sectPr>
      </w:pPr>
    </w:p>
    <w:bookmarkStart w:id="35" w:name="page36"/>
    <w:bookmarkEnd w:id="35"/>
    <w:p>
      <w:pPr>
        <w:ind w:right="20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hereto have caused this instrument to be made, executed and delivered by their duly authorized officers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and year first above written.</w:t>
      </w:r>
    </w:p>
    <w:p>
      <w:pPr>
        <w:spacing w:after="0" w:line="15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u w:val="single" w:color="auto"/>
          <w:color w:val="auto"/>
        </w:rPr>
        <w:t>BORROWER:</w:t>
      </w:r>
    </w:p>
    <w:p>
      <w:pPr>
        <w:spacing w:after="0" w:line="11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CME GROUP INC.</w:t>
      </w:r>
    </w:p>
    <w:p>
      <w:pPr>
        <w:spacing w:after="0" w:line="241" w:lineRule="exact"/>
        <w:rPr>
          <w:sz w:val="20"/>
          <w:szCs w:val="20"/>
          <w:color w:val="auto"/>
        </w:rPr>
      </w:pPr>
    </w:p>
    <w:tbl>
      <w:tblPr>
        <w:tblLayout w:type="fixed"/>
        <w:tblInd w:w="686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A. Pribel</w:t>
            </w:r>
          </w:p>
        </w:tc>
      </w:tr>
      <w:tr>
        <w:trPr>
          <w:trHeight w:val="21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James A. Pribel</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Treasurer</w:t>
            </w:r>
          </w:p>
        </w:tc>
      </w:tr>
    </w:tbl>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2 TO CREDIT AGREEMENT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11420"/>
          </w:cols>
          <w:pgMar w:left="240" w:top="272" w:right="239" w:bottom="1440" w:gutter="0" w:footer="0" w:header="0"/>
        </w:sectPr>
      </w:pPr>
    </w:p>
    <w:bookmarkStart w:id="36" w:name="page37"/>
    <w:bookmarkEnd w:id="36"/>
    <w:p>
      <w:pPr>
        <w:ind w:left="56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BANK OF AMERICA, N.A.</w:t>
      </w:r>
      <w:r>
        <w:rPr>
          <w:rFonts w:ascii="Times New Roman" w:cs="Times New Roman" w:eastAsia="Times New Roman" w:hAnsi="Times New Roman"/>
          <w:sz w:val="16"/>
          <w:szCs w:val="16"/>
          <w:color w:val="auto"/>
        </w:rPr>
        <w:t>, as a Lender</w:t>
      </w:r>
    </w:p>
    <w:p>
      <w:pPr>
        <w:spacing w:after="0" w:line="250"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Maryanne Fitzmaurice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Maryanne Fitzmaurice</w:t>
      </w:r>
    </w:p>
    <w:p>
      <w:pPr>
        <w:spacing w:after="0" w:line="21"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Title:</w:t>
        <w:tab/>
        <w:t>Senior Vice President</w:t>
      </w:r>
    </w:p>
    <w:p>
      <w:pPr>
        <w:spacing w:after="0" w:line="14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AMENDMENT NO. 2 TO CREDIT AGREEMENT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272" w:right="1440" w:bottom="1440" w:gutter="0" w:footer="0" w:header="0"/>
        </w:sectPr>
      </w:pPr>
    </w:p>
    <w:bookmarkStart w:id="37" w:name="page38"/>
    <w:bookmarkEnd w:id="37"/>
    <w:p>
      <w:pPr>
        <w:ind w:left="56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UBS LOAN FINANCE LLC, </w:t>
      </w:r>
      <w:r>
        <w:rPr>
          <w:rFonts w:ascii="Times New Roman" w:cs="Times New Roman" w:eastAsia="Times New Roman" w:hAnsi="Times New Roman"/>
          <w:sz w:val="18"/>
          <w:szCs w:val="18"/>
          <w:color w:val="auto"/>
        </w:rPr>
        <w:t>as a Lender</w:t>
      </w:r>
    </w:p>
    <w:p>
      <w:pPr>
        <w:spacing w:after="0" w:line="227" w:lineRule="exact"/>
        <w:rPr>
          <w:sz w:val="20"/>
          <w:szCs w:val="20"/>
          <w:color w:val="auto"/>
        </w:rPr>
      </w:pPr>
    </w:p>
    <w:tbl>
      <w:tblPr>
        <w:tblLayout w:type="fixed"/>
        <w:tblInd w:w="566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Iria R. Otsa</w:t>
            </w:r>
          </w:p>
        </w:tc>
      </w:tr>
      <w:tr>
        <w:trPr>
          <w:trHeight w:val="21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Iria R. Otsa</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Associate Director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Mary E. Evans</w:t>
            </w:r>
          </w:p>
        </w:tc>
      </w:tr>
      <w:tr>
        <w:trPr>
          <w:trHeight w:val="21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Mary E. Evans</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Associate Director</w:t>
            </w:r>
          </w:p>
        </w:tc>
      </w:tr>
    </w:tbl>
    <w:p>
      <w:pPr>
        <w:spacing w:after="0" w:line="136"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6"/>
          <w:szCs w:val="16"/>
          <w:color w:val="auto"/>
        </w:rPr>
        <w:t>AMENDMENT NO. 2 TO CREDIT AGREEMENT</w:t>
      </w:r>
    </w:p>
    <w:p>
      <w:pPr>
        <w:spacing w:after="0" w:line="44"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10220"/>
          </w:cols>
          <w:pgMar w:left="1440" w:top="272" w:right="239" w:bottom="1440" w:gutter="0" w:footer="0" w:header="0"/>
        </w:sectPr>
      </w:pPr>
    </w:p>
    <w:bookmarkStart w:id="38" w:name="page39"/>
    <w:bookmarkEnd w:id="38"/>
    <w:p>
      <w:pPr>
        <w:ind w:left="56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BMO CAPITAL MARKETS FINANCING, INC., </w:t>
      </w:r>
      <w:r>
        <w:rPr>
          <w:rFonts w:ascii="Times New Roman" w:cs="Times New Roman" w:eastAsia="Times New Roman" w:hAnsi="Times New Roman"/>
          <w:sz w:val="18"/>
          <w:szCs w:val="18"/>
          <w:color w:val="auto"/>
        </w:rPr>
        <w:t>as a</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Lender</w:t>
      </w:r>
    </w:p>
    <w:p>
      <w:pPr>
        <w:spacing w:after="0" w:line="213" w:lineRule="exact"/>
        <w:rPr>
          <w:sz w:val="20"/>
          <w:szCs w:val="20"/>
          <w:color w:val="auto"/>
        </w:rPr>
      </w:pPr>
    </w:p>
    <w:tbl>
      <w:tblPr>
        <w:tblLayout w:type="fixed"/>
        <w:tblInd w:w="566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Linda Haven</w:t>
            </w:r>
          </w:p>
        </w:tc>
      </w:tr>
      <w:tr>
        <w:trPr>
          <w:trHeight w:val="21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Linda Haven</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36"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6"/>
          <w:szCs w:val="16"/>
          <w:color w:val="auto"/>
        </w:rPr>
        <w:t>AMENDMENT NO. 2 TO CREDIT AGREEMENT</w:t>
      </w:r>
    </w:p>
    <w:p>
      <w:pPr>
        <w:spacing w:after="0" w:line="44"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10220"/>
          </w:cols>
          <w:pgMar w:left="1440" w:top="272" w:right="239" w:bottom="1440" w:gutter="0" w:footer="0" w:header="0"/>
        </w:sectPr>
      </w:pPr>
    </w:p>
    <w:bookmarkStart w:id="39" w:name="page40"/>
    <w:bookmarkEnd w:id="39"/>
    <w:p>
      <w:pPr>
        <w:ind w:left="56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BANK OF TOKYO-MITSUBISHI UFJ, LTD.,</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as a Lender</w:t>
      </w:r>
    </w:p>
    <w:p>
      <w:pPr>
        <w:spacing w:after="0" w:line="226" w:lineRule="exact"/>
        <w:rPr>
          <w:sz w:val="20"/>
          <w:szCs w:val="20"/>
          <w:color w:val="auto"/>
        </w:rPr>
      </w:pPr>
    </w:p>
    <w:tbl>
      <w:tblPr>
        <w:tblLayout w:type="fixed"/>
        <w:tblInd w:w="5660" w:type="dxa"/>
        <w:tblCellMar>
          <w:top w:w="0" w:type="dxa"/>
          <w:left w:w="0" w:type="dxa"/>
          <w:bottom w:w="0" w:type="dxa"/>
          <w:right w:w="0" w:type="dxa"/>
        </w:tblCellMar>
      </w:tblPr>
      <w:tr>
        <w:trPr>
          <w:trHeight w:val="22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Schaffer</w:t>
            </w:r>
          </w:p>
        </w:tc>
      </w:tr>
      <w:tr>
        <w:trPr>
          <w:trHeight w:val="21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Scott Schaffer</w:t>
            </w:r>
          </w:p>
        </w:tc>
      </w:tr>
      <w:tr>
        <w:trPr>
          <w:trHeight w:val="22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36"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6"/>
          <w:szCs w:val="16"/>
          <w:color w:val="auto"/>
        </w:rPr>
        <w:t>AMENDMENT NO. 2 TO CREDIT AGREEMENT</w:t>
      </w:r>
    </w:p>
    <w:p>
      <w:pPr>
        <w:spacing w:after="0" w:line="44"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10220"/>
          </w:cols>
          <w:pgMar w:left="1440" w:top="272" w:right="239" w:bottom="1440" w:gutter="0" w:footer="0" w:header="0"/>
        </w:sectPr>
      </w:pPr>
    </w:p>
    <w:bookmarkStart w:id="40" w:name="page41"/>
    <w:bookmarkEnd w:id="40"/>
    <w:p>
      <w:pPr>
        <w:ind w:left="56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BANK OF NOVA SCOTIA, </w:t>
      </w:r>
      <w:r>
        <w:rPr>
          <w:rFonts w:ascii="Times New Roman" w:cs="Times New Roman" w:eastAsia="Times New Roman" w:hAnsi="Times New Roman"/>
          <w:sz w:val="18"/>
          <w:szCs w:val="18"/>
          <w:color w:val="auto"/>
        </w:rPr>
        <w:t>as a Lender</w:t>
      </w:r>
    </w:p>
    <w:p>
      <w:pPr>
        <w:spacing w:after="0" w:line="227" w:lineRule="exact"/>
        <w:rPr>
          <w:sz w:val="20"/>
          <w:szCs w:val="20"/>
          <w:color w:val="auto"/>
        </w:rPr>
      </w:pPr>
    </w:p>
    <w:tbl>
      <w:tblPr>
        <w:tblLayout w:type="fixed"/>
        <w:tblInd w:w="566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Todd Meller</w:t>
            </w:r>
          </w:p>
        </w:tc>
      </w:tr>
      <w:tr>
        <w:trPr>
          <w:trHeight w:val="21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Todd Meller</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36"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6"/>
          <w:szCs w:val="16"/>
          <w:color w:val="auto"/>
        </w:rPr>
        <w:t>AMENDMENT NO. 2 TO CREDIT AGREEMENT</w:t>
      </w:r>
    </w:p>
    <w:p>
      <w:pPr>
        <w:spacing w:after="0" w:line="44"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10220"/>
          </w:cols>
          <w:pgMar w:left="1440" w:top="272" w:right="239" w:bottom="1440" w:gutter="0" w:footer="0" w:header="0"/>
        </w:sectPr>
      </w:pPr>
    </w:p>
    <w:bookmarkStart w:id="41" w:name="page42"/>
    <w:bookmarkEnd w:id="41"/>
    <w:p>
      <w:pPr>
        <w:ind w:left="56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U.S. BANK NATIONAL ASSOCIATION, </w:t>
      </w:r>
      <w:r>
        <w:rPr>
          <w:rFonts w:ascii="Times New Roman" w:cs="Times New Roman" w:eastAsia="Times New Roman" w:hAnsi="Times New Roman"/>
          <w:sz w:val="16"/>
          <w:szCs w:val="16"/>
          <w:color w:val="auto"/>
        </w:rPr>
        <w:t>as a Lender</w:t>
      </w:r>
    </w:p>
    <w:p>
      <w:pPr>
        <w:spacing w:after="0" w:line="250"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N. DeVries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James N. DeVries</w:t>
      </w:r>
    </w:p>
    <w:p>
      <w:pPr>
        <w:spacing w:after="0" w:line="21"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Title:</w:t>
        <w:tab/>
        <w:t>Senior Vice President</w:t>
      </w:r>
    </w:p>
    <w:p>
      <w:pPr>
        <w:spacing w:after="0" w:line="14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AMENDMENT NO. 2 TO CREDIT AGREEMENT</w:t>
      </w:r>
    </w:p>
    <w:p>
      <w:pPr>
        <w:spacing w:after="0" w:line="2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660"/>
          </w:cols>
          <w:pgMar w:left="1440" w:top="272" w:right="799" w:bottom="1440" w:gutter="0" w:footer="0" w:header="0"/>
        </w:sectPr>
      </w:pPr>
    </w:p>
    <w:bookmarkStart w:id="42" w:name="page43"/>
    <w:bookmarkEnd w:id="42"/>
    <w:p>
      <w:pPr>
        <w:ind w:left="56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LLOYDS TSB BANK PLC, </w:t>
      </w:r>
      <w:r>
        <w:rPr>
          <w:rFonts w:ascii="Times New Roman" w:cs="Times New Roman" w:eastAsia="Times New Roman" w:hAnsi="Times New Roman"/>
          <w:sz w:val="18"/>
          <w:szCs w:val="18"/>
          <w:color w:val="auto"/>
        </w:rPr>
        <w:t>as a Lender</w:t>
      </w:r>
    </w:p>
    <w:p>
      <w:pPr>
        <w:spacing w:after="0" w:line="227" w:lineRule="exact"/>
        <w:rPr>
          <w:sz w:val="20"/>
          <w:szCs w:val="20"/>
          <w:color w:val="auto"/>
        </w:rPr>
      </w:pPr>
    </w:p>
    <w:tbl>
      <w:tblPr>
        <w:tblLayout w:type="fixed"/>
        <w:tblInd w:w="566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Shane Klein</w:t>
            </w:r>
          </w:p>
        </w:tc>
      </w:tr>
      <w:tr>
        <w:trPr>
          <w:trHeight w:val="21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Shane Klein</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K042</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Candi Obrentz</w:t>
            </w:r>
          </w:p>
        </w:tc>
      </w:tr>
      <w:tr>
        <w:trPr>
          <w:trHeight w:val="21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Candi Obrentz</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O013</w:t>
            </w:r>
          </w:p>
        </w:tc>
      </w:tr>
    </w:tbl>
    <w:p>
      <w:pPr>
        <w:spacing w:after="0" w:line="136"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6"/>
          <w:szCs w:val="16"/>
          <w:color w:val="auto"/>
        </w:rPr>
        <w:t>AMENDMENT NO. 2 TO CREDIT AGREEMENT</w:t>
      </w:r>
    </w:p>
    <w:p>
      <w:pPr>
        <w:spacing w:after="0" w:line="44"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10220"/>
          </w:cols>
          <w:pgMar w:left="1440" w:top="272" w:right="239" w:bottom="1440" w:gutter="0" w:footer="0" w:header="0"/>
        </w:sectPr>
      </w:pPr>
    </w:p>
    <w:bookmarkStart w:id="43" w:name="page44"/>
    <w:bookmarkEnd w:id="43"/>
    <w:p>
      <w:pPr>
        <w:ind w:left="56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COMMONWEALTH BANK OF AUSTRAILIA,</w:t>
      </w:r>
    </w:p>
    <w:p>
      <w:pPr>
        <w:spacing w:after="0" w:line="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as a Lender</w:t>
      </w:r>
    </w:p>
    <w:p>
      <w:pPr>
        <w:spacing w:after="0" w:line="226"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Raftopoulos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John Raftopoulos</w:t>
      </w:r>
    </w:p>
    <w:p>
      <w:pPr>
        <w:spacing w:after="0" w:line="21"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Title:</w:t>
        <w:tab/>
        <w:t>Risk Executive</w:t>
      </w:r>
    </w:p>
    <w:p>
      <w:pPr>
        <w:spacing w:after="0" w:line="14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AMENDMENT NO. 2 TO CREDIT AGREEMENT</w:t>
      </w:r>
    </w:p>
    <w:p>
      <w:pPr>
        <w:spacing w:after="0" w:line="2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320"/>
          </w:cols>
          <w:pgMar w:left="1440" w:top="272" w:right="1139" w:bottom="1440" w:gutter="0" w:footer="0" w:header="0"/>
        </w:sectPr>
      </w:pPr>
    </w:p>
    <w:bookmarkStart w:id="44" w:name="page45"/>
    <w:bookmarkEnd w:id="44"/>
    <w:p>
      <w:pPr>
        <w:ind w:left="56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SVENSKA HANDELSBANKEN, </w:t>
      </w:r>
      <w:r>
        <w:rPr>
          <w:rFonts w:ascii="Times New Roman" w:cs="Times New Roman" w:eastAsia="Times New Roman" w:hAnsi="Times New Roman"/>
          <w:sz w:val="16"/>
          <w:szCs w:val="16"/>
          <w:color w:val="auto"/>
        </w:rPr>
        <w:t>as a Lender</w:t>
      </w:r>
    </w:p>
    <w:p>
      <w:pPr>
        <w:spacing w:after="0" w:line="250"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Richard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Richard Johnson</w:t>
      </w:r>
    </w:p>
    <w:p>
      <w:pPr>
        <w:spacing w:after="0" w:line="21"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Title:</w:t>
        <w:tab/>
        <w:t>Senior Vice President</w:t>
      </w:r>
    </w:p>
    <w:p>
      <w:pPr>
        <w:spacing w:after="0" w:line="213"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Mieko Miyamoto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Mieko Miyamoto</w:t>
      </w:r>
    </w:p>
    <w:p>
      <w:pPr>
        <w:spacing w:after="0" w:line="21"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14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AMENDMENT NO. 2 TO CREDIT AGREEMENT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20"/>
          </w:cols>
          <w:pgMar w:left="1440" w:top="272" w:right="1439" w:bottom="1440" w:gutter="0" w:footer="0" w:header="0"/>
        </w:sectPr>
      </w:pPr>
    </w:p>
    <w:bookmarkStart w:id="45" w:name="page46"/>
    <w:bookmarkEnd w:id="45"/>
    <w:p>
      <w:pPr>
        <w:ind w:left="56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TD BANK, NA, </w:t>
      </w:r>
      <w:r>
        <w:rPr>
          <w:rFonts w:ascii="Times New Roman" w:cs="Times New Roman" w:eastAsia="Times New Roman" w:hAnsi="Times New Roman"/>
          <w:sz w:val="18"/>
          <w:szCs w:val="18"/>
          <w:color w:val="auto"/>
        </w:rPr>
        <w:t>as a Lender</w:t>
      </w:r>
    </w:p>
    <w:p>
      <w:pPr>
        <w:spacing w:after="0" w:line="227" w:lineRule="exact"/>
        <w:rPr>
          <w:sz w:val="20"/>
          <w:szCs w:val="20"/>
          <w:color w:val="auto"/>
        </w:rPr>
      </w:pPr>
    </w:p>
    <w:tbl>
      <w:tblPr>
        <w:tblLayout w:type="fixed"/>
        <w:tblInd w:w="566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Robyn Zeller</w:t>
            </w:r>
          </w:p>
        </w:tc>
      </w:tr>
      <w:tr>
        <w:trPr>
          <w:trHeight w:val="21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Robyn Zeller</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w:t>
            </w:r>
          </w:p>
        </w:tc>
      </w:tr>
    </w:tbl>
    <w:p>
      <w:pPr>
        <w:spacing w:after="0" w:line="136"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6"/>
          <w:szCs w:val="16"/>
          <w:color w:val="auto"/>
        </w:rPr>
        <w:t>AMENDMENT NO. 2 TO CREDIT AGREEMENT</w:t>
      </w:r>
    </w:p>
    <w:p>
      <w:pPr>
        <w:spacing w:after="0" w:line="44"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10220"/>
          </w:cols>
          <w:pgMar w:left="1440" w:top="272" w:right="239" w:bottom="1440" w:gutter="0" w:footer="0" w:header="0"/>
        </w:sectPr>
      </w:pPr>
    </w:p>
    <w:bookmarkStart w:id="46" w:name="page47"/>
    <w:bookmarkEnd w:id="46"/>
    <w:p>
      <w:pPr>
        <w:ind w:left="56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BANK OF NEW YORK MELLON, </w:t>
      </w:r>
      <w:r>
        <w:rPr>
          <w:rFonts w:ascii="Times New Roman" w:cs="Times New Roman" w:eastAsia="Times New Roman" w:hAnsi="Times New Roman"/>
          <w:sz w:val="16"/>
          <w:szCs w:val="16"/>
          <w:color w:val="auto"/>
        </w:rPr>
        <w:t>as a Lender</w:t>
      </w:r>
    </w:p>
    <w:p>
      <w:pPr>
        <w:spacing w:after="0" w:line="250"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Caruso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Thomas Caruso</w:t>
      </w:r>
    </w:p>
    <w:p>
      <w:pPr>
        <w:spacing w:after="0" w:line="21"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14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AMENDMENT NO. 2 TO CREDIT AGREEMENT</w:t>
      </w:r>
    </w:p>
    <w:p>
      <w:pPr>
        <w:spacing w:after="0" w:line="2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620"/>
          </w:cols>
          <w:pgMar w:left="1440" w:top="272" w:right="839" w:bottom="1440" w:gutter="0" w:footer="0" w:header="0"/>
        </w:sectPr>
      </w:pPr>
    </w:p>
    <w:bookmarkStart w:id="47" w:name="page48"/>
    <w:bookmarkEnd w:id="47"/>
    <w:p>
      <w:pPr>
        <w:ind w:left="56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WILLIAM STREET LLC, </w:t>
      </w:r>
      <w:r>
        <w:rPr>
          <w:rFonts w:ascii="Times New Roman" w:cs="Times New Roman" w:eastAsia="Times New Roman" w:hAnsi="Times New Roman"/>
          <w:sz w:val="18"/>
          <w:szCs w:val="18"/>
          <w:color w:val="auto"/>
        </w:rPr>
        <w:t>as a Lender</w:t>
      </w:r>
    </w:p>
    <w:p>
      <w:pPr>
        <w:spacing w:after="0" w:line="227" w:lineRule="exact"/>
        <w:rPr>
          <w:sz w:val="20"/>
          <w:szCs w:val="20"/>
          <w:color w:val="auto"/>
        </w:rPr>
      </w:pPr>
    </w:p>
    <w:tbl>
      <w:tblPr>
        <w:tblLayout w:type="fixed"/>
        <w:tblInd w:w="566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Walton</w:t>
            </w:r>
          </w:p>
        </w:tc>
      </w:tr>
      <w:tr>
        <w:trPr>
          <w:trHeight w:val="21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Mark Walton</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36"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6"/>
          <w:szCs w:val="16"/>
          <w:color w:val="auto"/>
        </w:rPr>
        <w:t>AMENDMENT NO. 2 TO CREDIT AGREEMENT</w:t>
      </w:r>
    </w:p>
    <w:p>
      <w:pPr>
        <w:spacing w:after="0" w:line="44"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10220"/>
          </w:cols>
          <w:pgMar w:left="1440" w:top="272" w:right="239" w:bottom="1440" w:gutter="0" w:footer="0" w:header="0"/>
        </w:sectPr>
      </w:pPr>
    </w:p>
    <w:bookmarkStart w:id="48" w:name="page49"/>
    <w:bookmarkEnd w:id="48"/>
    <w:p>
      <w:pPr>
        <w:ind w:left="56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PNC BANK NATIONAL ASSOCIATION, </w:t>
      </w:r>
      <w:r>
        <w:rPr>
          <w:rFonts w:ascii="Times New Roman" w:cs="Times New Roman" w:eastAsia="Times New Roman" w:hAnsi="Times New Roman"/>
          <w:sz w:val="16"/>
          <w:szCs w:val="16"/>
          <w:color w:val="auto"/>
        </w:rPr>
        <w:t>as a Lender</w:t>
      </w:r>
    </w:p>
    <w:p>
      <w:pPr>
        <w:spacing w:after="0" w:line="250"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Cara Gentile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Cara Gentile</w:t>
      </w:r>
    </w:p>
    <w:p>
      <w:pPr>
        <w:spacing w:after="0" w:line="21"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14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AMENDMENT NO. 2 TO CREDIT AGREEMENT</w:t>
      </w:r>
    </w:p>
    <w:p>
      <w:pPr>
        <w:spacing w:after="0" w:line="2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700"/>
          </w:cols>
          <w:pgMar w:left="1440" w:top="272" w:right="759" w:bottom="1440" w:gutter="0" w:footer="0" w:header="0"/>
        </w:sectPr>
      </w:pPr>
    </w:p>
    <w:bookmarkStart w:id="49" w:name="page50"/>
    <w:bookmarkEnd w:id="49"/>
    <w:p>
      <w:pPr>
        <w:ind w:left="56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BANK OF CHINA, NEW YORK BRANCH, </w:t>
      </w:r>
      <w:r>
        <w:rPr>
          <w:rFonts w:ascii="Times New Roman" w:cs="Times New Roman" w:eastAsia="Times New Roman" w:hAnsi="Times New Roman"/>
          <w:sz w:val="18"/>
          <w:szCs w:val="18"/>
          <w:color w:val="auto"/>
        </w:rPr>
        <w:t>as a Lender</w:t>
      </w:r>
    </w:p>
    <w:p>
      <w:pPr>
        <w:spacing w:after="0" w:line="227" w:lineRule="exact"/>
        <w:rPr>
          <w:sz w:val="20"/>
          <w:szCs w:val="20"/>
          <w:color w:val="auto"/>
        </w:rPr>
      </w:pPr>
    </w:p>
    <w:tbl>
      <w:tblPr>
        <w:tblLayout w:type="fixed"/>
        <w:tblInd w:w="566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W. Smith</w:t>
            </w:r>
          </w:p>
        </w:tc>
      </w:tr>
      <w:tr>
        <w:trPr>
          <w:trHeight w:val="21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William W. Smith</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Deputy General Manager</w:t>
            </w:r>
          </w:p>
        </w:tc>
      </w:tr>
    </w:tbl>
    <w:p>
      <w:pPr>
        <w:spacing w:after="0" w:line="136"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6"/>
          <w:szCs w:val="16"/>
          <w:color w:val="auto"/>
        </w:rPr>
        <w:t>AMENDMENT NO. 2 TO CREDIT AGREEMENT</w:t>
      </w:r>
    </w:p>
    <w:p>
      <w:pPr>
        <w:spacing w:after="0" w:line="44"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10220"/>
          </w:cols>
          <w:pgMar w:left="1440" w:top="272" w:right="239" w:bottom="1440" w:gutter="0" w:footer="0" w:header="0"/>
        </w:sectPr>
      </w:pPr>
    </w:p>
    <w:bookmarkStart w:id="50" w:name="page51"/>
    <w:bookmarkEnd w:id="50"/>
    <w:p>
      <w:pPr>
        <w:ind w:left="56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NORTHERN TRUST COMPANY, </w:t>
      </w:r>
      <w:r>
        <w:rPr>
          <w:rFonts w:ascii="Times New Roman" w:cs="Times New Roman" w:eastAsia="Times New Roman" w:hAnsi="Times New Roman"/>
          <w:sz w:val="16"/>
          <w:szCs w:val="16"/>
          <w:color w:val="auto"/>
        </w:rPr>
        <w:t>as a Lender</w:t>
      </w:r>
    </w:p>
    <w:p>
      <w:pPr>
        <w:spacing w:after="0" w:line="250"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J. Hallen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Peter J. Hallen</w:t>
      </w:r>
    </w:p>
    <w:p>
      <w:pPr>
        <w:spacing w:after="0" w:line="21"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14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AMENDMENT NO. 2 TO CREDIT AGREEMENT</w:t>
      </w:r>
    </w:p>
    <w:p>
      <w:pPr>
        <w:spacing w:after="0" w:line="2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540"/>
          </w:cols>
          <w:pgMar w:left="1440" w:top="272" w:right="919" w:bottom="1440" w:gutter="0" w:footer="0" w:header="0"/>
        </w:sectPr>
      </w:pPr>
    </w:p>
    <w:bookmarkStart w:id="51" w:name="page52"/>
    <w:bookmarkEnd w:id="51"/>
    <w:p>
      <w:pPr>
        <w:ind w:left="56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 OF COMMUNICATIONS CO., LTD.,</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 xml:space="preserve">NEW YORK BRANCH, </w:t>
      </w:r>
      <w:r>
        <w:rPr>
          <w:rFonts w:ascii="Times New Roman" w:cs="Times New Roman" w:eastAsia="Times New Roman" w:hAnsi="Times New Roman"/>
          <w:sz w:val="18"/>
          <w:szCs w:val="18"/>
          <w:color w:val="auto"/>
        </w:rPr>
        <w:t>as a Lender</w:t>
      </w:r>
    </w:p>
    <w:p>
      <w:pPr>
        <w:spacing w:after="0" w:line="226" w:lineRule="exact"/>
        <w:rPr>
          <w:sz w:val="20"/>
          <w:szCs w:val="20"/>
          <w:color w:val="auto"/>
        </w:rPr>
      </w:pPr>
    </w:p>
    <w:tbl>
      <w:tblPr>
        <w:tblLayout w:type="fixed"/>
        <w:tblInd w:w="566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Shelley He</w:t>
            </w:r>
          </w:p>
        </w:tc>
      </w:tr>
      <w:tr>
        <w:trPr>
          <w:trHeight w:val="21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Shelley He</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Deputy General Manager</w:t>
            </w:r>
          </w:p>
        </w:tc>
      </w:tr>
    </w:tbl>
    <w:p>
      <w:pPr>
        <w:spacing w:after="0" w:line="136"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6"/>
          <w:szCs w:val="16"/>
          <w:color w:val="auto"/>
        </w:rPr>
        <w:t>AMENDMENT NO. 2 TO CREDIT AGREEMENT</w:t>
      </w:r>
    </w:p>
    <w:p>
      <w:pPr>
        <w:spacing w:after="0" w:line="44"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10220"/>
          </w:cols>
          <w:pgMar w:left="1440" w:top="272" w:right="239" w:bottom="1440" w:gutter="0" w:footer="0" w:header="0"/>
        </w:sectPr>
      </w:pPr>
    </w:p>
    <w:bookmarkStart w:id="52" w:name="page53"/>
    <w:bookmarkEnd w:id="52"/>
    <w:p>
      <w:pPr>
        <w:ind w:left="56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FIRST COMMERCIAL BANK NEW YORK AGENCY, </w:t>
      </w:r>
      <w:r>
        <w:rPr>
          <w:rFonts w:ascii="Times New Roman" w:cs="Times New Roman" w:eastAsia="Times New Roman" w:hAnsi="Times New Roman"/>
          <w:sz w:val="16"/>
          <w:szCs w:val="16"/>
          <w:color w:val="auto"/>
        </w:rPr>
        <w:t>as</w:t>
      </w:r>
    </w:p>
    <w:p>
      <w:pPr>
        <w:spacing w:after="0" w:line="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 Lender</w:t>
      </w:r>
    </w:p>
    <w:p>
      <w:pPr>
        <w:spacing w:after="0" w:line="213" w:lineRule="exact"/>
        <w:rPr>
          <w:sz w:val="20"/>
          <w:szCs w:val="20"/>
          <w:color w:val="auto"/>
        </w:rPr>
      </w:pPr>
    </w:p>
    <w:tbl>
      <w:tblPr>
        <w:tblLayout w:type="fixed"/>
        <w:tblInd w:w="566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May Hsiao</w:t>
            </w:r>
          </w:p>
        </w:tc>
      </w:tr>
      <w:tr>
        <w:trPr>
          <w:trHeight w:val="21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May Hsiao</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Assistant General Manager</w:t>
            </w:r>
          </w:p>
        </w:tc>
      </w:tr>
    </w:tbl>
    <w:p>
      <w:pPr>
        <w:spacing w:after="0" w:line="136"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6"/>
          <w:szCs w:val="16"/>
          <w:color w:val="auto"/>
        </w:rPr>
        <w:t>AMENDMENT NO. 2 TO CREDIT AGREEMENT</w:t>
      </w:r>
    </w:p>
    <w:p>
      <w:pPr>
        <w:spacing w:after="0" w:line="44"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10220"/>
          </w:cols>
          <w:pgMar w:left="1440" w:top="272" w:right="239" w:bottom="1440" w:gutter="0" w:footer="0" w:header="0"/>
        </w:sectPr>
      </w:pPr>
    </w:p>
    <w:bookmarkStart w:id="53" w:name="page54"/>
    <w:bookmarkEnd w:id="53"/>
    <w:p>
      <w:pPr>
        <w:ind w:left="56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MEGA INTERNATIONAL COMMERCIAL</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 xml:space="preserve">BANK CO., LTD. NEW YORK BRANCH, </w:t>
      </w:r>
      <w:r>
        <w:rPr>
          <w:rFonts w:ascii="Times New Roman" w:cs="Times New Roman" w:eastAsia="Times New Roman" w:hAnsi="Times New Roman"/>
          <w:sz w:val="18"/>
          <w:szCs w:val="18"/>
          <w:color w:val="auto"/>
        </w:rPr>
        <w:t>as a</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Lender</w:t>
      </w:r>
    </w:p>
    <w:p>
      <w:pPr>
        <w:spacing w:after="0" w:line="226" w:lineRule="exact"/>
        <w:rPr>
          <w:sz w:val="20"/>
          <w:szCs w:val="20"/>
          <w:color w:val="auto"/>
        </w:rPr>
      </w:pPr>
    </w:p>
    <w:tbl>
      <w:tblPr>
        <w:tblLayout w:type="fixed"/>
        <w:tblInd w:w="566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Priscilla Hsing</w:t>
            </w:r>
          </w:p>
        </w:tc>
      </w:tr>
      <w:tr>
        <w:trPr>
          <w:trHeight w:val="21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Priscilla Hsing</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&amp; Deputy General Manager</w:t>
            </w:r>
          </w:p>
        </w:tc>
      </w:tr>
    </w:tbl>
    <w:p>
      <w:pPr>
        <w:spacing w:after="0" w:line="136"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6"/>
          <w:szCs w:val="16"/>
          <w:color w:val="auto"/>
        </w:rPr>
        <w:t>AMENDMENT NO. 2 TO CREDIT AGREEMENT</w:t>
      </w:r>
    </w:p>
    <w:p>
      <w:pPr>
        <w:spacing w:after="0" w:line="44"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10220"/>
          </w:cols>
          <w:pgMar w:left="1440" w:top="272" w:right="239" w:bottom="1440" w:gutter="0" w:footer="0" w:header="0"/>
        </w:sectPr>
      </w:pPr>
    </w:p>
    <w:bookmarkStart w:id="54" w:name="page55"/>
    <w:bookmarkEnd w:id="54"/>
    <w:p>
      <w:pPr>
        <w:ind w:left="56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CHIBA BANK, LTD., NEW YORK BRANCH, </w:t>
      </w:r>
      <w:r>
        <w:rPr>
          <w:rFonts w:ascii="Times New Roman" w:cs="Times New Roman" w:eastAsia="Times New Roman" w:hAnsi="Times New Roman"/>
          <w:sz w:val="16"/>
          <w:szCs w:val="16"/>
          <w:color w:val="auto"/>
        </w:rPr>
        <w:t>as a</w:t>
      </w:r>
    </w:p>
    <w:p>
      <w:pPr>
        <w:spacing w:after="0" w:line="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Lender</w:t>
      </w:r>
    </w:p>
    <w:p>
      <w:pPr>
        <w:spacing w:after="0" w:line="213"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Yukihito Inamura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Yukihito Inamura</w:t>
      </w:r>
    </w:p>
    <w:p>
      <w:pPr>
        <w:spacing w:after="0" w:line="21"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Title:</w:t>
        <w:tab/>
        <w:t>General Manager</w:t>
      </w:r>
    </w:p>
    <w:p>
      <w:pPr>
        <w:spacing w:after="0" w:line="14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AMENDMENT NO. 2 TO CREDIT AGREEMENT</w:t>
      </w:r>
    </w:p>
    <w:p>
      <w:pPr>
        <w:spacing w:after="0" w:line="2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920"/>
          </w:cols>
          <w:pgMar w:left="1440" w:top="272" w:right="539" w:bottom="1440" w:gutter="0" w:footer="0" w:header="0"/>
        </w:sectPr>
      </w:pPr>
    </w:p>
    <w:bookmarkStart w:id="55" w:name="page56"/>
    <w:bookmarkEnd w:id="55"/>
    <w:p>
      <w:pPr>
        <w:ind w:left="56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TAIWAN COOPERATIVE BANK </w:t>
      </w:r>
      <w:r>
        <w:rPr>
          <w:rFonts w:ascii="Times New Roman" w:cs="Times New Roman" w:eastAsia="Times New Roman" w:hAnsi="Times New Roman"/>
          <w:sz w:val="18"/>
          <w:szCs w:val="18"/>
          <w:color w:val="auto"/>
        </w:rPr>
        <w:t>as a Lender</w:t>
      </w:r>
    </w:p>
    <w:p>
      <w:pPr>
        <w:spacing w:after="0" w:line="227" w:lineRule="exact"/>
        <w:rPr>
          <w:sz w:val="20"/>
          <w:szCs w:val="20"/>
          <w:color w:val="auto"/>
        </w:rPr>
      </w:pPr>
    </w:p>
    <w:tbl>
      <w:tblPr>
        <w:tblLayout w:type="fixed"/>
        <w:tblInd w:w="566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Li-Hua Huang</w:t>
            </w:r>
          </w:p>
        </w:tc>
      </w:tr>
      <w:tr>
        <w:trPr>
          <w:trHeight w:val="21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Li-Hua Huang</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Assistant Vice President and General Manager</w:t>
            </w:r>
          </w:p>
        </w:tc>
      </w:tr>
    </w:tbl>
    <w:p>
      <w:pPr>
        <w:spacing w:after="0" w:line="136"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6"/>
          <w:szCs w:val="16"/>
          <w:color w:val="auto"/>
        </w:rPr>
        <w:t>AMENDMENT NO. 2 TO CREDIT AGREEMENT</w:t>
      </w:r>
    </w:p>
    <w:p>
      <w:pPr>
        <w:spacing w:after="0" w:line="44"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10220"/>
          </w:cols>
          <w:pgMar w:left="1440" w:top="272" w:right="2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Craig S. Donohue, certify that:</w:t>
      </w:r>
    </w:p>
    <w:p>
      <w:pPr>
        <w:spacing w:after="0" w:line="90" w:lineRule="exact"/>
        <w:rPr>
          <w:sz w:val="20"/>
          <w:szCs w:val="20"/>
          <w:color w:val="auto"/>
        </w:rPr>
      </w:pPr>
    </w:p>
    <w:p>
      <w:pPr>
        <w:ind w:left="640" w:hanging="17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CME Group Inc.;</w:t>
      </w:r>
    </w:p>
    <w:p>
      <w:pPr>
        <w:spacing w:after="0" w:line="90" w:lineRule="exact"/>
        <w:rPr>
          <w:rFonts w:ascii="Times New Roman" w:cs="Times New Roman" w:eastAsia="Times New Roman" w:hAnsi="Times New Roman"/>
          <w:sz w:val="18"/>
          <w:szCs w:val="18"/>
          <w:color w:val="auto"/>
        </w:rPr>
      </w:pPr>
    </w:p>
    <w:p>
      <w:pPr>
        <w:ind w:right="560" w:firstLine="464"/>
        <w:spacing w:after="0" w:line="334" w:lineRule="auto"/>
        <w:tabs>
          <w:tab w:leader="none" w:pos="632"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right="540" w:firstLine="464"/>
        <w:spacing w:after="0" w:line="275" w:lineRule="auto"/>
        <w:tabs>
          <w:tab w:leader="none" w:pos="63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Times New Roman" w:cs="Times New Roman" w:eastAsia="Times New Roman" w:hAnsi="Times New Roman"/>
          <w:sz w:val="18"/>
          <w:szCs w:val="18"/>
          <w:color w:val="auto"/>
        </w:rPr>
      </w:pPr>
    </w:p>
    <w:p>
      <w:pPr>
        <w:jc w:val="both"/>
        <w:ind w:firstLine="464"/>
        <w:spacing w:after="0" w:line="262" w:lineRule="auto"/>
        <w:tabs>
          <w:tab w:leader="none" w:pos="63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Times New Roman" w:cs="Times New Roman" w:eastAsia="Times New Roman" w:hAnsi="Times New Roman"/>
          <w:sz w:val="18"/>
          <w:szCs w:val="18"/>
          <w:color w:val="auto"/>
        </w:rPr>
      </w:pPr>
    </w:p>
    <w:p>
      <w:pPr>
        <w:ind w:left="460" w:right="380" w:firstLine="443"/>
        <w:spacing w:after="0" w:line="262" w:lineRule="auto"/>
        <w:tabs>
          <w:tab w:leader="none" w:pos="107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ind w:left="460" w:right="20" w:firstLine="443"/>
        <w:spacing w:after="0" w:line="262" w:lineRule="auto"/>
        <w:tabs>
          <w:tab w:leader="none" w:pos="108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Times New Roman" w:cs="Times New Roman" w:eastAsia="Times New Roman" w:hAnsi="Times New Roman"/>
          <w:sz w:val="18"/>
          <w:szCs w:val="18"/>
          <w:color w:val="auto"/>
        </w:rPr>
      </w:pPr>
    </w:p>
    <w:p>
      <w:pPr>
        <w:ind w:left="460" w:right="880" w:firstLine="443"/>
        <w:spacing w:after="0" w:line="275" w:lineRule="auto"/>
        <w:tabs>
          <w:tab w:leader="none" w:pos="107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Times New Roman" w:cs="Times New Roman" w:eastAsia="Times New Roman" w:hAnsi="Times New Roman"/>
          <w:sz w:val="18"/>
          <w:szCs w:val="18"/>
          <w:color w:val="auto"/>
        </w:rPr>
      </w:pPr>
    </w:p>
    <w:p>
      <w:pPr>
        <w:ind w:left="460" w:right="220" w:firstLine="443"/>
        <w:spacing w:after="0" w:line="262" w:lineRule="auto"/>
        <w:tabs>
          <w:tab w:leader="none" w:pos="108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1" w:lineRule="exact"/>
        <w:rPr>
          <w:rFonts w:ascii="Times New Roman" w:cs="Times New Roman" w:eastAsia="Times New Roman" w:hAnsi="Times New Roman"/>
          <w:sz w:val="18"/>
          <w:szCs w:val="18"/>
          <w:color w:val="auto"/>
        </w:rPr>
      </w:pPr>
    </w:p>
    <w:p>
      <w:pPr>
        <w:ind w:right="460" w:firstLine="464"/>
        <w:spacing w:after="0" w:line="275" w:lineRule="auto"/>
        <w:tabs>
          <w:tab w:leader="none" w:pos="63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38" w:lineRule="exact"/>
        <w:rPr>
          <w:rFonts w:ascii="Times New Roman" w:cs="Times New Roman" w:eastAsia="Times New Roman" w:hAnsi="Times New Roman"/>
          <w:sz w:val="18"/>
          <w:szCs w:val="18"/>
          <w:color w:val="auto"/>
        </w:rPr>
      </w:pPr>
    </w:p>
    <w:p>
      <w:pPr>
        <w:ind w:left="460" w:right="280" w:firstLine="443"/>
        <w:spacing w:after="0" w:line="275" w:lineRule="auto"/>
        <w:tabs>
          <w:tab w:leader="none" w:pos="107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Times New Roman" w:cs="Times New Roman" w:eastAsia="Times New Roman" w:hAnsi="Times New Roman"/>
          <w:sz w:val="18"/>
          <w:szCs w:val="18"/>
          <w:color w:val="auto"/>
        </w:rPr>
      </w:pPr>
    </w:p>
    <w:p>
      <w:pPr>
        <w:ind w:left="460" w:right="240" w:firstLine="443"/>
        <w:spacing w:after="0" w:line="275" w:lineRule="auto"/>
        <w:tabs>
          <w:tab w:leader="none" w:pos="108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2010</w:t>
      </w:r>
    </w:p>
    <w:p>
      <w:pPr>
        <w:spacing w:after="0" w:line="200" w:lineRule="exact"/>
        <w:rPr>
          <w:sz w:val="20"/>
          <w:szCs w:val="20"/>
          <w:color w:val="auto"/>
        </w:rPr>
      </w:pPr>
    </w:p>
    <w:p>
      <w:pPr>
        <w:spacing w:after="0" w:line="228" w:lineRule="exact"/>
        <w:rPr>
          <w:sz w:val="20"/>
          <w:szCs w:val="20"/>
          <w:color w:val="auto"/>
        </w:rPr>
      </w:pPr>
    </w:p>
    <w:p>
      <w:pPr>
        <w:ind w:left="6860"/>
        <w:spacing w:after="0"/>
        <w:tabs>
          <w:tab w:leader="none" w:pos="720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CRAIG S. DONOHUE</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Craig S. Donohue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420"/>
          </w:cols>
          <w:pgMar w:left="240" w:top="123" w:right="2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E. Parisi, certify that:</w:t>
      </w:r>
    </w:p>
    <w:p>
      <w:pPr>
        <w:spacing w:after="0" w:line="90" w:lineRule="exact"/>
        <w:rPr>
          <w:sz w:val="20"/>
          <w:szCs w:val="20"/>
          <w:color w:val="auto"/>
        </w:rPr>
      </w:pPr>
    </w:p>
    <w:p>
      <w:pPr>
        <w:ind w:left="640" w:hanging="17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CME Group Inc.;</w:t>
      </w:r>
    </w:p>
    <w:p>
      <w:pPr>
        <w:spacing w:after="0" w:line="90" w:lineRule="exact"/>
        <w:rPr>
          <w:rFonts w:ascii="Times New Roman" w:cs="Times New Roman" w:eastAsia="Times New Roman" w:hAnsi="Times New Roman"/>
          <w:sz w:val="18"/>
          <w:szCs w:val="18"/>
          <w:color w:val="auto"/>
        </w:rPr>
      </w:pPr>
    </w:p>
    <w:p>
      <w:pPr>
        <w:ind w:right="560" w:firstLine="464"/>
        <w:spacing w:after="0" w:line="334" w:lineRule="auto"/>
        <w:tabs>
          <w:tab w:leader="none" w:pos="632"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right="540" w:firstLine="464"/>
        <w:spacing w:after="0" w:line="275" w:lineRule="auto"/>
        <w:tabs>
          <w:tab w:leader="none" w:pos="63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Times New Roman" w:cs="Times New Roman" w:eastAsia="Times New Roman" w:hAnsi="Times New Roman"/>
          <w:sz w:val="18"/>
          <w:szCs w:val="18"/>
          <w:color w:val="auto"/>
        </w:rPr>
      </w:pPr>
    </w:p>
    <w:p>
      <w:pPr>
        <w:jc w:val="both"/>
        <w:ind w:firstLine="464"/>
        <w:spacing w:after="0" w:line="262" w:lineRule="auto"/>
        <w:tabs>
          <w:tab w:leader="none" w:pos="63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Times New Roman" w:cs="Times New Roman" w:eastAsia="Times New Roman" w:hAnsi="Times New Roman"/>
          <w:sz w:val="18"/>
          <w:szCs w:val="18"/>
          <w:color w:val="auto"/>
        </w:rPr>
      </w:pPr>
    </w:p>
    <w:p>
      <w:pPr>
        <w:ind w:left="460" w:right="380" w:firstLine="443"/>
        <w:spacing w:after="0" w:line="262" w:lineRule="auto"/>
        <w:tabs>
          <w:tab w:leader="none" w:pos="107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ind w:left="460" w:right="20" w:firstLine="443"/>
        <w:spacing w:after="0" w:line="262" w:lineRule="auto"/>
        <w:tabs>
          <w:tab w:leader="none" w:pos="108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Times New Roman" w:cs="Times New Roman" w:eastAsia="Times New Roman" w:hAnsi="Times New Roman"/>
          <w:sz w:val="18"/>
          <w:szCs w:val="18"/>
          <w:color w:val="auto"/>
        </w:rPr>
      </w:pPr>
    </w:p>
    <w:p>
      <w:pPr>
        <w:ind w:left="460" w:right="880" w:firstLine="443"/>
        <w:spacing w:after="0" w:line="275" w:lineRule="auto"/>
        <w:tabs>
          <w:tab w:leader="none" w:pos="107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Times New Roman" w:cs="Times New Roman" w:eastAsia="Times New Roman" w:hAnsi="Times New Roman"/>
          <w:sz w:val="18"/>
          <w:szCs w:val="18"/>
          <w:color w:val="auto"/>
        </w:rPr>
      </w:pPr>
    </w:p>
    <w:p>
      <w:pPr>
        <w:ind w:left="460" w:right="220" w:firstLine="443"/>
        <w:spacing w:after="0" w:line="262" w:lineRule="auto"/>
        <w:tabs>
          <w:tab w:leader="none" w:pos="108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1" w:lineRule="exact"/>
        <w:rPr>
          <w:rFonts w:ascii="Times New Roman" w:cs="Times New Roman" w:eastAsia="Times New Roman" w:hAnsi="Times New Roman"/>
          <w:sz w:val="18"/>
          <w:szCs w:val="18"/>
          <w:color w:val="auto"/>
        </w:rPr>
      </w:pPr>
    </w:p>
    <w:p>
      <w:pPr>
        <w:ind w:right="460" w:firstLine="464"/>
        <w:spacing w:after="0" w:line="275" w:lineRule="auto"/>
        <w:tabs>
          <w:tab w:leader="none" w:pos="63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38" w:lineRule="exact"/>
        <w:rPr>
          <w:rFonts w:ascii="Times New Roman" w:cs="Times New Roman" w:eastAsia="Times New Roman" w:hAnsi="Times New Roman"/>
          <w:sz w:val="18"/>
          <w:szCs w:val="18"/>
          <w:color w:val="auto"/>
        </w:rPr>
      </w:pPr>
    </w:p>
    <w:p>
      <w:pPr>
        <w:ind w:left="460" w:right="280" w:firstLine="443"/>
        <w:spacing w:after="0" w:line="275" w:lineRule="auto"/>
        <w:tabs>
          <w:tab w:leader="none" w:pos="107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Times New Roman" w:cs="Times New Roman" w:eastAsia="Times New Roman" w:hAnsi="Times New Roman"/>
          <w:sz w:val="18"/>
          <w:szCs w:val="18"/>
          <w:color w:val="auto"/>
        </w:rPr>
      </w:pPr>
    </w:p>
    <w:p>
      <w:pPr>
        <w:ind w:left="460" w:right="240" w:firstLine="443"/>
        <w:spacing w:after="0" w:line="275" w:lineRule="auto"/>
        <w:tabs>
          <w:tab w:leader="none" w:pos="108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2010</w:t>
      </w:r>
    </w:p>
    <w:p>
      <w:pPr>
        <w:spacing w:after="0" w:line="200" w:lineRule="exact"/>
        <w:rPr>
          <w:sz w:val="20"/>
          <w:szCs w:val="20"/>
          <w:color w:val="auto"/>
        </w:rPr>
      </w:pPr>
    </w:p>
    <w:p>
      <w:pPr>
        <w:spacing w:after="0" w:line="228" w:lineRule="exact"/>
        <w:rPr>
          <w:sz w:val="20"/>
          <w:szCs w:val="20"/>
          <w:color w:val="auto"/>
        </w:rPr>
      </w:pPr>
    </w:p>
    <w:p>
      <w:pPr>
        <w:ind w:left="6860"/>
        <w:spacing w:after="0"/>
        <w:tabs>
          <w:tab w:leader="none" w:pos="720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JAMES E. PARISI</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420"/>
          </w:cols>
          <w:pgMar w:left="240" w:top="123" w:right="2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9"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on Form 10-Q of CME Group Inc. (the “Company”) for the quarter ended March 31, 2010 as filed with the Securities and Exchange Commission on the date hereof (the “Report”), Craig S. Donohue, as Chief Executive Officer of the Company, and James E. Parisi, as Chief Financial Officer of the Company, each hereby certifies, pursuant to 18 U.S.C. § 1350, as adopted pursuant to § 906 of the Sarbanes-Oxley Act of 2002, that, to the best of his knowledge:</w:t>
      </w:r>
    </w:p>
    <w:p>
      <w:pPr>
        <w:spacing w:after="0" w:line="55" w:lineRule="exact"/>
        <w:rPr>
          <w:sz w:val="20"/>
          <w:szCs w:val="20"/>
          <w:color w:val="auto"/>
        </w:rPr>
      </w:pPr>
    </w:p>
    <w:p>
      <w:pPr>
        <w:ind w:left="1160" w:hanging="257"/>
        <w:spacing w:after="0"/>
        <w:tabs>
          <w:tab w:leader="none" w:pos="11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0"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42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CRAIG S. DONOHUE</w:t>
            </w:r>
          </w:p>
        </w:tc>
      </w:tr>
      <w:tr>
        <w:trPr>
          <w:trHeight w:val="196"/>
        </w:trPr>
        <w:tc>
          <w:tcPr>
            <w:tcW w:w="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Craig S. Donohue</w:t>
            </w:r>
          </w:p>
        </w:tc>
      </w:tr>
      <w:tr>
        <w:trPr>
          <w:trHeight w:val="228"/>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378"/>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May 7, 2010</w:t>
            </w:r>
          </w:p>
        </w:tc>
      </w:tr>
      <w:tr>
        <w:trPr>
          <w:trHeight w:val="636"/>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42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JAMES E. PARISI</w:t>
            </w:r>
          </w:p>
        </w:tc>
      </w:tr>
      <w:tr>
        <w:trPr>
          <w:trHeight w:val="196"/>
        </w:trPr>
        <w:tc>
          <w:tcPr>
            <w:tcW w:w="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James E. Parisi</w:t>
            </w:r>
          </w:p>
        </w:tc>
      </w:tr>
      <w:tr>
        <w:trPr>
          <w:trHeight w:val="228"/>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2010</w:t>
      </w:r>
    </w:p>
    <w:p>
      <w:pPr>
        <w:spacing w:after="0" w:line="252"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39"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1)"/>
      <w:numFmt w:val="lowerLetter"/>
      <w:start w:val="1"/>
    </w:lvl>
  </w:abstractNum>
  <w:abstractNum w:abstractNumId="7">
    <w:nsid w:val="519B500D"/>
    <w:multiLevelType w:val="hybridMultilevel"/>
    <w:lvl w:ilvl="0">
      <w:lvlJc w:val="left"/>
      <w:lvlText w:val="(%1)"/>
      <w:numFmt w:val="lowerLetter"/>
      <w:start w:val="4"/>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lowerLetter"/>
      <w:start w:val="1"/>
    </w:lvl>
  </w:abstractNum>
  <w:abstractNum w:abstractNumId="14">
    <w:nsid w:val="628C895D"/>
    <w:multiLevelType w:val="hybridMultilevel"/>
    <w:lvl w:ilvl="0">
      <w:lvlJc w:val="left"/>
      <w:lvlText w:val="%1)"/>
      <w:numFmt w:val="lowerLetter"/>
      <w:start w:val="2"/>
    </w:lvl>
  </w:abstractNum>
  <w:abstractNum w:abstractNumId="15">
    <w:nsid w:val="333AB105"/>
    <w:multiLevelType w:val="hybridMultilevel"/>
    <w:lvl w:ilvl="0">
      <w:lvlJc w:val="left"/>
      <w:lvlText w:val="(%1)"/>
      <w:numFmt w:val="lowerLetter"/>
      <w:start w:val="3"/>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1"/>
    </w:lvl>
    <w:lvl w:ilvl="1">
      <w:lvlJc w:val="left"/>
      <w:lvlText w:val="(%2)"/>
      <w:numFmt w:val="lowerLetter"/>
      <w:start w:val="1"/>
    </w:lvl>
  </w:abstractNum>
  <w:abstractNum w:abstractNumId="18">
    <w:nsid w:val="2D1D5AE9"/>
    <w:multiLevelType w:val="hybridMultilevel"/>
    <w:lvl w:ilvl="0">
      <w:lvlJc w:val="left"/>
      <w:lvlText w:val="(%1)"/>
      <w:numFmt w:val="lowerLetter"/>
      <w:start w:val="2"/>
    </w:lvl>
  </w:abstractNum>
  <w:abstractNum w:abstractNumId="19">
    <w:nsid w:val="6763845E"/>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0">
    <w:nsid w:val="75A2A8D4"/>
    <w:multiLevelType w:val="hybridMultilevel"/>
    <w:lvl w:ilvl="0">
      <w:lvlJc w:val="left"/>
      <w:lvlText w:val="%1."/>
      <w:numFmt w:val="decimal"/>
      <w:start w:val="3"/>
    </w:lvl>
    <w:lvl w:ilvl="1">
      <w:lvlJc w:val="left"/>
      <w:lvlText w:val="(%2)"/>
      <w:numFmt w:val="lowerLetter"/>
      <w:start w:val="1"/>
    </w:lvl>
  </w:abstractNum>
  <w:abstractNum w:abstractNumId="21">
    <w:nsid w:val="8EDBDAB"/>
    <w:multiLevelType w:val="hybridMultilevel"/>
    <w:lvl w:ilvl="0">
      <w:lvlJc w:val="left"/>
      <w:lvlText w:val="%1"/>
      <w:numFmt w:val="decimal"/>
      <w:start w:val="1"/>
    </w:lvl>
    <w:lvl w:ilvl="1">
      <w:lvlJc w:val="left"/>
      <w:lvlText w:val="(%2)"/>
      <w:numFmt w:val="lowerLetter"/>
      <w:start w:val="2"/>
    </w:lvl>
  </w:abstractNum>
  <w:abstractNum w:abstractNumId="22">
    <w:nsid w:val="79838CB2"/>
    <w:multiLevelType w:val="hybridMultilevel"/>
    <w:lvl w:ilvl="0">
      <w:lvlJc w:val="left"/>
      <w:lvlText w:val="%1."/>
      <w:numFmt w:val="decimal"/>
      <w:start w:val="4"/>
    </w:lvl>
    <w:lvl w:ilvl="1">
      <w:lvlJc w:val="left"/>
      <w:lvlText w:val="%2"/>
      <w:numFmt w:val="lowerLetter"/>
      <w:start w:val="1"/>
    </w:lvl>
  </w:abstractNum>
  <w:abstractNum w:abstractNumId="23">
    <w:nsid w:val="4353D0CD"/>
    <w:multiLevelType w:val="hybridMultilevel"/>
    <w:lvl w:ilvl="0">
      <w:lvlJc w:val="left"/>
      <w:lvlText w:val="%1."/>
      <w:numFmt w:val="decimal"/>
      <w:start w:val="9"/>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2019-12-15T06:02:08Z</dcterms:created>
  <dcterms:modified xsi:type="dcterms:W3CDTF">2019-12-15T06:02:08Z</dcterms:modified>
</cp:coreProperties>
</file>