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6" w:lineRule="exact"/>
        <w:rPr>
          <w:rFonts w:ascii="MS PGothic" w:cs="MS PGothic" w:eastAsia="MS PGothic" w:hAnsi="MS PGothic"/>
          <w:sz w:val="22"/>
          <w:szCs w:val="22"/>
          <w:color w:val="auto"/>
        </w:rPr>
      </w:pPr>
    </w:p>
    <w:p>
      <w:pPr>
        <w:ind w:left="39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March 31, 2018</w:t>
      </w:r>
    </w:p>
    <w:p>
      <w:pPr>
        <w:spacing w:after="0" w:line="16" w:lineRule="exact"/>
        <w:rPr>
          <w:rFonts w:ascii="MS PGothic" w:cs="MS PGothic" w:eastAsia="MS PGothic" w:hAnsi="MS PGothic"/>
          <w:sz w:val="22"/>
          <w:szCs w:val="22"/>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001-31553</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1"/>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1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18"/>
                <w:szCs w:val="18"/>
                <w:color w:val="auto"/>
              </w:rPr>
            </w:pPr>
          </w:p>
        </w:tc>
      </w:tr>
      <w:tr>
        <w:trPr>
          <w:trHeight w:val="166"/>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4"/>
                <w:szCs w:val="14"/>
                <w:color w:val="auto"/>
              </w:rPr>
            </w:pPr>
          </w:p>
        </w:tc>
      </w:tr>
      <w:tr>
        <w:trPr>
          <w:trHeight w:val="234"/>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0"/>
                <w:szCs w:val="20"/>
                <w:color w:val="auto"/>
              </w:rPr>
            </w:pPr>
          </w:p>
        </w:tc>
      </w:tr>
    </w:tbl>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0" w:lineRule="exact"/>
        <w:rPr>
          <w:sz w:val="24"/>
          <w:szCs w:val="24"/>
          <w:color w:val="auto"/>
        </w:rPr>
      </w:pPr>
    </w:p>
    <w:p>
      <w:pPr>
        <w:ind w:right="12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24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1440" w:gutter="0" w:footer="0" w:header="0"/>
        </w:sectPr>
      </w:pPr>
    </w:p>
    <w:p>
      <w:pPr>
        <w:spacing w:after="0" w:line="145"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tabs>
          <w:tab w:leader="none" w:pos="128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6020" w:space="720"/>
            <w:col w:w="4660"/>
          </w:cols>
          <w:pgMar w:left="240" w:top="233" w:right="2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3">
            <w:col w:w="1400" w:space="160"/>
            <w:col w:w="4460" w:space="720"/>
            <w:col w:w="4660"/>
          </w:cols>
          <w:pgMar w:left="240" w:top="233" w:right="259" w:bottom="1440" w:gutter="0" w:footer="0" w:header="0"/>
          <w:type w:val="continuous"/>
        </w:sectPr>
      </w:pPr>
    </w:p>
    <w:p>
      <w:pPr>
        <w:spacing w:after="0" w:line="31" w:lineRule="exact"/>
        <w:rPr>
          <w:sz w:val="24"/>
          <w:szCs w:val="24"/>
          <w:color w:val="auto"/>
        </w:rPr>
      </w:pPr>
    </w:p>
    <w:p>
      <w:pPr>
        <w:ind w:left="67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11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36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April 11, 2018 was as follows: 340,509,620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70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Balance Sheets at March 31, 2018 and December 31, 2017</w:t>
              </w:r>
            </w:hyperlink>
          </w:p>
        </w:tc>
        <w:tc>
          <w:tcPr>
            <w:tcW w:w="5080" w:type="dxa"/>
            <w:vAlign w:val="bottom"/>
            <w:gridSpan w:val="6"/>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54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Ended March 31, 2018 and 2017</w:t>
              </w:r>
            </w:hyperlink>
          </w:p>
        </w:tc>
        <w:tc>
          <w:tcPr>
            <w:tcW w:w="4240" w:type="dxa"/>
            <w:vAlign w:val="bottom"/>
            <w:gridSpan w:val="4"/>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60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Comprehensive Income for the Quarters Ended March 31, 2018 and 2017</w:t>
              </w:r>
            </w:hyperlink>
          </w:p>
        </w:tc>
        <w:tc>
          <w:tcPr>
            <w:tcW w:w="318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Quarters Ended March 31, 2018 and 2017</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Consolidated Statements of Cash Flows for the Quarters Ended March 31, 2018 and 2017</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800" w:type="dxa"/>
            <w:vAlign w:val="bottom"/>
            <w:tcBorders>
              <w:top w:val="single" w:sz="8" w:color="0000EE"/>
            </w:tcBorders>
            <w:gridSpan w:val="1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Notes to Unaudited Consolidated Financial Statements</w:t>
              </w:r>
            </w:hyperlink>
          </w:p>
        </w:tc>
        <w:tc>
          <w:tcPr>
            <w:tcW w:w="3980" w:type="dxa"/>
            <w:vAlign w:val="bottom"/>
            <w:gridSpan w:val="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21">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8">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5"/>
          </w:tcPr>
          <w:p>
            <w:pPr>
              <w:spacing w:after="0"/>
              <w:rPr>
                <w:sz w:val="24"/>
                <w:szCs w:val="24"/>
                <w:color w:val="auto"/>
              </w:rPr>
            </w:pPr>
          </w:p>
        </w:tc>
        <w:tc>
          <w:tcPr>
            <w:tcW w:w="364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8">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9">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9">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31">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48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(CDS) contracts. CME exited the CDS clearing business in March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CME Group,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39"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regulations, including the impact of any changes in laws or government policy with respect to our industry, such as any changes to regulations and policies that require increased financial and operational resources from us or our customers;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our brand's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uncertainties of the ultimate impact of the Tax Cuts and Jobs Acts (2017 Tax Act).</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2018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60" w:type="dxa"/>
            <w:vAlign w:val="bottom"/>
          </w:tcPr>
          <w:p>
            <w:pPr>
              <w:spacing w:after="0"/>
              <w:rPr>
                <w:sz w:val="24"/>
                <w:szCs w:val="24"/>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60" w:type="dxa"/>
            <w:vAlign w:val="bottom"/>
            <w:tcBorders>
              <w:bottom w:val="single" w:sz="8" w:color="CCEEFF"/>
            </w:tcBorders>
          </w:tcPr>
          <w:p>
            <w:pPr>
              <w:spacing w:after="0"/>
              <w:rPr>
                <w:sz w:val="24"/>
                <w:szCs w:val="24"/>
                <w:color w:val="auto"/>
              </w:rPr>
            </w:pPr>
          </w:p>
        </w:tc>
        <w:tc>
          <w:tcPr>
            <w:tcW w:w="68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70"/>
        </w:trPr>
        <w:tc>
          <w:tcPr>
            <w:tcW w:w="1260" w:type="dxa"/>
            <w:vAlign w:val="bottom"/>
            <w:shd w:val="clear" w:color="auto" w:fill="CCEEFF"/>
          </w:tcPr>
          <w:p>
            <w:pPr>
              <w:spacing w:after="0"/>
              <w:rPr>
                <w:sz w:val="23"/>
                <w:szCs w:val="23"/>
                <w:color w:val="auto"/>
              </w:rPr>
            </w:pPr>
          </w:p>
        </w:tc>
        <w:tc>
          <w:tcPr>
            <w:tcW w:w="6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Current Assets:</w:t>
            </w:r>
          </w:p>
        </w:tc>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784.6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1,903.6</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 of $2.7 and $2.2</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359.7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 (includes $492.3 and $0 in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39,088.9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44,185.3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46,906.5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net of accumulated depreciation and amortization of $704.8 and $676.6</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399.7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17,175.3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assets—other,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2,346.3</w:t>
            </w:r>
          </w:p>
        </w:tc>
      </w:tr>
      <w:tr>
        <w:trPr>
          <w:trHeight w:val="27"/>
        </w:trPr>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7,569.0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 (includes $1.4 and $2.4 in restricted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1,394.4</w:t>
            </w:r>
          </w:p>
        </w:tc>
      </w:tr>
      <w:tr>
        <w:trPr>
          <w:trHeight w:val="27"/>
        </w:trPr>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69,919.3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75,791.2</w:t>
            </w:r>
          </w:p>
        </w:tc>
      </w:tr>
      <w:tr>
        <w:trPr>
          <w:trHeight w:val="20"/>
        </w:trPr>
        <w:tc>
          <w:tcPr>
            <w:tcW w:w="81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1,456.3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44,185.3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39,445.3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45,672.9</w:t>
            </w:r>
          </w:p>
        </w:tc>
      </w:tr>
      <w:tr>
        <w:trPr>
          <w:trHeight w:val="27"/>
        </w:trPr>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Long-term debt</w:t>
            </w:r>
          </w:p>
        </w:tc>
        <w:tc>
          <w:tcPr>
            <w:tcW w:w="6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2,233.1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4,846.6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4,857.7</w:t>
            </w:r>
          </w:p>
        </w:tc>
      </w:tr>
      <w:tr>
        <w:trPr>
          <w:trHeight w:val="27"/>
        </w:trPr>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615.7</w:t>
            </w: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68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47,146.5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53,379.4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Preferred stock, $0.01 par value, 10,000 shares authorized at March 31, 2018 and December 31, 2017;</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1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8"/>
              </w:rPr>
              <w:t>none issued</w:t>
            </w:r>
          </w:p>
        </w:tc>
        <w:tc>
          <w:tcPr>
            <w:tcW w:w="6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at March 31, 2018 and December</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3"/>
              </w:rPr>
              <w:t>31, 2017; 339,435 and 339,235 shares issued and outstanding as of March 31, 2018 and December 31,</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2017, respectively</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Class B common stock, $0.01 par value, 3 shares authorized, issued and outstanding as of March 31,</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2018 and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17,904.1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17,896.9</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4,497.2</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22,411.8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69,919.3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75,791.2</w:t>
            </w:r>
          </w:p>
        </w:tc>
      </w:tr>
      <w:tr>
        <w:trPr>
          <w:trHeight w:val="27"/>
        </w:trPr>
        <w:tc>
          <w:tcPr>
            <w:tcW w:w="12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Quarter Ended</w:t>
            </w:r>
          </w:p>
        </w:tc>
      </w:tr>
      <w:tr>
        <w:trPr>
          <w:trHeight w:val="276"/>
        </w:trPr>
        <w:tc>
          <w:tcPr>
            <w:tcW w:w="9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792.0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929.3</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142.6</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328.4</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of unconsolidated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 Income (Expense)</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w:t>
            </w:r>
          </w:p>
        </w:tc>
      </w:tr>
      <w:tr>
        <w:trPr>
          <w:trHeight w:val="297"/>
        </w:trPr>
        <w:tc>
          <w:tcPr>
            <w:tcW w:w="9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399.8</w:t>
            </w:r>
          </w:p>
        </w:tc>
      </w:tr>
      <w:tr>
        <w:trPr>
          <w:trHeight w:val="217"/>
        </w:trPr>
        <w:tc>
          <w:tcPr>
            <w:tcW w:w="9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339,305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338,339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340,747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339,946</w:t>
            </w:r>
          </w:p>
        </w:tc>
      </w:tr>
      <w:tr>
        <w:trPr>
          <w:trHeight w:val="27"/>
        </w:trPr>
        <w:tc>
          <w:tcPr>
            <w:tcW w:w="9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of net (gains) losses on sales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76.6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net actuarial (gains) losses included in compensation and benefits expense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effective portion of net (gains) losses on cash flow hedges included in 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424.7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339,235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17,900.3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22,411.8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$0.70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adoption of standards update on tax effects</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related to accumulated other comprehensive income and</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recognition,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339,435</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17,907.5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22,772.8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338,240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$0.66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Impact of adoption of standards update on employee share-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payments</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153</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338,506</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20,554.2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399.8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BM&amp;FBOVESPA shares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Income tax expense reclassified from accumulated other comprehensive income upon final sale of</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BM&amp;FBOVESPA shares</w:t>
            </w:r>
          </w:p>
        </w:tc>
        <w:tc>
          <w:tcPr>
            <w:tcW w:w="3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519.4</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8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BM&amp;FBOVESPA shares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8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taxes paid on restricted stock vesting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8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1,380.2</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43"/>
        </w:trPr>
        <w:tc>
          <w:tcPr>
            <w:tcW w:w="8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restricted cash</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1,380.2</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70"/>
        </w:trPr>
        <w:tc>
          <w:tcPr>
            <w:tcW w:w="8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w:t>
            </w: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6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568"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and Commodity Exchange, Inc. (COMEX). CME, CBOT, NYMEX, COMEX and their subsidiaries are referred to collectively as “the exchange” in the notes to the consolidated financial statements. The clearing house is a division of CME.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2018 and December 31, 2017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2017, filed with the Securities and Exchange Commission (SEC) on February 28,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Newly Adopted Accounting Policies. </w:t>
      </w:r>
      <w:r>
        <w:rPr>
          <w:rFonts w:ascii="Arial" w:cs="Arial" w:eastAsia="Arial" w:hAnsi="Arial"/>
          <w:sz w:val="17"/>
          <w:szCs w:val="17"/>
          <w:color w:val="auto"/>
        </w:rPr>
        <w:t>In May 2014, the Financial Accounting Standards Board (FASB) issued a new standard on revenue recognition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replaces numerous, industry-specific requirements and converges U.S. accounting standards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company implemented this standard as of January 1, 2018 using the modified retrospective approach with the cumulative effect of initially applying the guidance recognized at the date of initial adoption. Management recognized an $8.7 million reduction to the opening balance of retained earnings as of January 1, 2018, which it believes to be an immaterial impact to the consolidated financial statements. The adjustment to the opening balance of retained earnings primarily relates to a deferral of a portion of clearing and transaction fees revenue earned and recognized subsequent to the contract trade execution date. The on-going application of the new standard is not expected to have a material impact on the company's financial statements.</w:t>
      </w:r>
    </w:p>
    <w:p>
      <w:pPr>
        <w:spacing w:after="0" w:line="12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For equity investments in privately held entities that do not have a readily determinable fair value, our accounting policy is to utilize the measurement alternative for valuation of these investments, which permits the company to estimate fair value at cost minus impairment, plus or minus changes resulting from observable price changes. Adoption of this guidance on January 1, 2018 did not result in an adjustment to the financial statements as our investment portfolio consists primarily of debt securities, to which this accounting standards update does not apply.</w:t>
      </w:r>
    </w:p>
    <w:p>
      <w:pPr>
        <w:spacing w:after="0" w:line="1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November 2016, the FASB issued a standards update aimed at promoting consistency in the classification and presentation of changes in restricted cash on the statement of cash flows. Previously, there was diversity in practice as to whether the change in restricted cash was included in the reconciliation of beginning-of-period and end-of-period total cash amounts shown on the statement of cash flows. The amendments require that a statement of cash flows explain the change during the period in the total of cash, cash equivalents, as well as amounts described as restricted cash on the balance sheet. This guidance was adopted on January 1, 2018 using the retrospective approach. The statements of cash flows shows a change in our cash balances in the amount of $627.7 million and $580.1 million for the quarters ended March 31, 2018 and 2017, respectively.</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March 2017, the FASB issued a standards update that will change certain presentation and disclosure requirements for employers that sponsor defined benefit pension as well as other postretirement benefit plans. Under current accounting rules, defined benefit pension cost and postretirement benefit cost (net benefit cost) comprise several components that reflect different aspects of an employer’s financial arrangements as well as the cost of benefits provided to the employees. Those components are aggregated for reporting in the financial statements within compensation and benefits on the consolidated statement of income. The amendments in the update require that the service cost component is reported in the same line as other compensation costs, whereas the other components of net benefit cost are required to be presented on the consolidated statement of income separately from the service cost component. This update was adopted as of January 1, 2018 with</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retrospective application to the earliest period presented. For the quarters ended March 31, 2018 and 2017, the company recognized total net pension expense of $2.5 million and $4.3 million, respectively. Total net pension expense includes service cost of $4.7 million and $4.6 million, which is recorded in compensation and benefits on the consolidated statements of income for the quarters ended March 31, 2018 and 2017, respectively. The other components of total net pension expense were recognized as income within other non-operating income (expense) in the amount of $2.2 million and $0.3 million for the quarters ended March 31, 2018 and 2017, respectively. Total net pension expense remains unchanged upon adoption of the standards update.</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February 2018, the FASB issued guidance that gives entities the option to reclassify to retained earnings the tax effects related to items in accumulated other comprehensive income (AOCI) that were previously stranded within AOCI as a result of applying the Tax Cuts and Jobs Act (2017 Tax Act). An entity that elects to reclassify these amounts must reclassify stranded tax effects related to the change in federal tax rate for all items accounted for within AOCI. Entities can also elect to reclassify other stranded tax effects that relate to the 2017 Tax Act but do not directly relate to the change in federal rate. Tax effects that are stranded in AOCI for other reasons may not be reclassified. These amendments should be applied either in the period of adoption as a cumulative adjustment to the opening balance of retained earnings or retrospectively to each period in which the effect of the 2017 Tax Act is recognized. This guidance is effective for entities with fiscal years beginning after December 15, 2018. The company early adopted this guidance as of January 1, 2018, resulting in an adjustment in the amount of $3.8 million to reduce beginning retained earnings and increase AOCI. Tax effects from previously stranded items are released from AOCI when the entire portfolio of similar items is liquidated.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In February 2016, the FASB issued a standards update that requires lessees to recognize on the balance sheet</w:t>
      </w:r>
      <w:r>
        <w:rPr>
          <w:rFonts w:ascii="Arial" w:cs="Arial" w:eastAsia="Arial" w:hAnsi="Arial"/>
          <w:sz w:val="16"/>
          <w:szCs w:val="16"/>
          <w:b w:val="1"/>
          <w:bCs w:val="1"/>
          <w:color w:val="auto"/>
        </w:rPr>
        <w:t xml:space="preserve"> </w:t>
      </w:r>
      <w:r>
        <w:rPr>
          <w:rFonts w:ascii="Arial" w:cs="Arial" w:eastAsia="Arial" w:hAnsi="Arial"/>
          <w:sz w:val="16"/>
          <w:szCs w:val="16"/>
          <w:color w:val="auto"/>
        </w:rPr>
        <w:t>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Adoption of the guidance in 2019 will result in the gross-up of our balance sheet to reflect the present value of the lease payments over the lease term and offsetting lease liability at the lease commencement date. Presentation of lease expense and the pattern of expense recognition on the consolidated statement of income is expected to remain materially consistent with existing lease accounting guidance.</w:t>
      </w:r>
    </w:p>
    <w:p>
      <w:pPr>
        <w:spacing w:after="0" w:line="13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June 2016, the FASB issued guidance that changes how credit losses are measured for most financial assets measured at amortized cost and certain other instruments. The standard requires an entity to estimate its lifetime expected credit loss and record an allowance, that when deducted from the amortized cost basis of the financial asset, presents the net amount expected to be collected on the financial asset. This forward-looking expected loss model generally will result in the earlier recognition of allowances for losses. The standard also amends the impairment model for available for sale debt securities and requires entities to determine whether all or a portion of the unrealized loss on an available for sale debt security is a credit loss. Severity and duration of the unrealized loss are no longer permissible factors in concluding whether a credit loss exists. Entities will recognize improvements to estimated credit losses on available for sale debt securities immediately in earnings rather than as interest income over time. The standard is effective for reporting periods beginning after December 15, 2019. The standard’s provisions must be applied as a cumulative-effect adjustment to retained earnings as of the beginning of the first reporting period in which the guidance is effective. Early adoption is permitted for reporting periods beginning in 2019. The company does not believe that the adoption of this guidance in 2020 will have a material impact on the consolidated financial statements.</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2017, the FASB issued a standards update that amends the existing hedge accounting model to enable entities to better reflect their risk management activities in the financial statements.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The guidance is effective for fiscal years beginning after December 15, 2018. Early adoption is permitted. The company does not believe that the adoption of this standard will have a material impact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Revenue from Contracts with Customers. </w:t>
      </w:r>
      <w:r>
        <w:rPr>
          <w:rFonts w:ascii="Arial" w:cs="Arial" w:eastAsia="Arial" w:hAnsi="Arial"/>
          <w:sz w:val="16"/>
          <w:szCs w:val="16"/>
          <w:color w:val="auto"/>
        </w:rPr>
        <w:t>The majority of our revenue is driven by clearing and transaction fees. We account for revenue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“Revenue from Contracts with Customers,” which we adopted on January 1, 2018, using the modified retrospective approach. The new standard introduces a framework for recognizing revenue that focuses on the transfer of control rather than risks and rewards. We have recognized a one-time adjustment of $8.7 million within the opening balance of retained earnings as of January 1, 2018 as a result of adopting this standard. This deferral of revenue is primarily related to the outstanding performance obligations for clearing and transaction fees for our longer-term cleared swap products.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Clearing and transaction fees</w:t>
      </w:r>
      <w:r>
        <w:rPr>
          <w:rFonts w:ascii="Arial" w:cs="Arial" w:eastAsia="Arial" w:hAnsi="Arial"/>
          <w:sz w:val="16"/>
          <w:szCs w:val="16"/>
          <w:color w:val="auto"/>
        </w:rPr>
        <w:t>. Clearing and transaction fees include electronic trading fees, surcharges for privately negotiated transactions,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volume-related charges for exchange-traded and cleared swaps contracts. Clearing and transaction fees are assessed upfront at the time of trade execution. As such, we recognize the majority of the fee revenue upon successful execution of the trade. The minimal remaining portion of the fee revenue related to clearing activities performed after the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These assumptions include the average number of days that a contract remains in open interest, contract turnover, average revenue per day, and revenue remaining in open interest at the end of each period.</w:t>
      </w:r>
    </w:p>
    <w:p>
      <w:pPr>
        <w:spacing w:after="0" w:line="16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nature of our contracts gives rise to several types of variable consideration, including incentive tiers, incentives associated with market maker programs and other fee discounts. We include fee discounts and incentives in the estimated transaction price when there is a basis to reasonably estimate the amount of the fee. These estimates are based on historical experience, anticipated performance, and our best judgment at the time. Because of our certainty in estimating these amounts, they are included in the transaction price of our contracts.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fees represents revenue from the dissemination of our market data to subscribers,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and other third-party licensees of our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we also maintain certain annual license arrangements with one-time upfront fees. The fees for annual licenses are initially recorded as a contract liability and recognized as revenue monthly over the term of the annual period.</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and communication fees are charges to members and clearing firms that utilize our various telecommunications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and communications services. Fees for these services are generally billed monthly. These services are satisfied over time and revenue is recognized on a monthly basis as the customers receive and consume the benefit of the services.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fees for collateral management, fees for trade order routing through agreements from various strategic relationships,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 services to members and clearing firms. Collateral management fees are charged to clearing firms that have collateral on deposit with CME to meet their minimum performance bond and guaranty fund obligations. These fees are calculated based on daily collateral balances and billed monthly. This fee revenue is recognized as billed as the customers receive and consume the benefits of the services. Pricing for strategic relationships may be driven by customer levels and activity. There are fee arrangements which provide for monthly as well as quarterly payments in arrears. Revenue is recognized monthly for strategic relationships arrangements as the customers receive and consume the benefits of the services.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from contracts with customers for the quarters ended March 31,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8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Agricultural commodity</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104.4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Metal</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and credit default swap</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clearing and transaction fees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973.6</w:t>
            </w: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Access and communication fees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1,109.0</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929.3</w:t>
            </w:r>
          </w:p>
        </w:tc>
      </w:tr>
      <w:tr>
        <w:trPr>
          <w:trHeight w:val="311"/>
        </w:trPr>
        <w:tc>
          <w:tcPr>
            <w:tcW w:w="8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Timing of Revenue Recognition</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Services transferred at a point in time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Services transferred over time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148.6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One-time charges and miscellaneous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1,109.0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929.3</w:t>
            </w:r>
          </w:p>
        </w:tc>
      </w:tr>
      <w:tr>
        <w:trPr>
          <w:trHeight w:val="20"/>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reported on the consolidated balance sheets on a contract-by-contract basis at the end of each reporting period. For our annual licenses and upfront fee arrangements, we generally bill customers upon contract execution. These payments are recognized as revenue over time as the obligations under the contracts are satisfied. Changes in the contract liability balances during the quarter ended March 31, 2018, were not materially impacted by any other factors. The balance of contract liabilities is $29.7 million and $3.9 million as of March 31, 2018 and December 31, 2017 respectively.</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adoption of the new revenue guidance in the first quarter of 2018, we have elected to use the package of practical expedients available under the standard. This guidance has been applied only to contracts that are not completed at the date of initial application on January 1, 2018. We have not restated completed contracts that begin and end in the same annual reporting period. In addition, we have excluded disclosures of transaction prices allocated to remaining performance obligations and when we expect to recognize such revenue for reporting periods presented before the date of initial application. As our material contracts have an original expected duration of one year or less, we utilized the practical expedient which does not require disclosure of the aggregate amount of the transaction price, including variable consideration, which is allocated to performance obligations that are unsatisfied as of the end of the reporting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Performance Bonds and Guaranty Fund Contributions. </w:t>
      </w:r>
      <w:r>
        <w:rPr>
          <w:rFonts w:ascii="Arial" w:cs="Arial" w:eastAsia="Arial" w:hAnsi="Arial"/>
          <w:sz w:val="18"/>
          <w:szCs w:val="18"/>
          <w:color w:val="auto"/>
        </w:rPr>
        <w:t>CME has been designated as a systemically important financial market utility by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Stability Oversight Council and is authorized to establish and maintain a cash account at the Federal Reserve Bank of Chicago. At March 31, 2018, CME maintained $29.7 billion within the cash account at the Federal Reserve Bank of Chicago.</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At March 31, 2018, performance bonds and guaranty fund contribution assets on the consolidated balance sheets also included U.S. Treasury securities with maturity dates of 90 days or less. U.S. Treasury securities are purchased by CME, at its discretion, using cash collateral. The benefits, including interest earned, and risks of ownership accrue to CME. Interest earned is included in investment income on the consolidated statements of income. At March 31, 2018, the amortized cost and fair value of the U.S. Treasury securities were $547.8 million and $547.9 million, respectively.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Clearing House Contract Settlement. </w:t>
      </w:r>
      <w:r>
        <w:rPr>
          <w:rFonts w:ascii="Arial" w:cs="Arial" w:eastAsia="Arial" w:hAnsi="Arial"/>
          <w:sz w:val="17"/>
          <w:szCs w:val="17"/>
          <w:color w:val="auto"/>
        </w:rPr>
        <w:t>The clearing house marks-to-market open positions for all futures and options contracts twice a day (once a day for</w:t>
      </w:r>
      <w:r>
        <w:rPr>
          <w:rFonts w:ascii="Arial" w:cs="Arial" w:eastAsia="Arial" w:hAnsi="Arial"/>
          <w:sz w:val="17"/>
          <w:szCs w:val="17"/>
          <w:i w:val="1"/>
          <w:iCs w:val="1"/>
          <w:color w:val="auto"/>
        </w:rPr>
        <w:t xml:space="preserve"> </w:t>
      </w:r>
      <w:r>
        <w:rPr>
          <w:rFonts w:ascii="Arial" w:cs="Arial" w:eastAsia="Arial" w:hAnsi="Arial"/>
          <w:sz w:val="17"/>
          <w:szCs w:val="17"/>
          <w:color w:val="auto"/>
        </w:rPr>
        <w:t>CME's cleared-only credit default swap (CDS) and interest rate swap contracts). Based on values derived from the mark-to-market process, the clearing house requires payments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CME's cleared-only CDS and interest rate swap contracts, the maximum exposure related to CME's guarantee would be one full day of changes in fair value of all open positions, before considering CME's ability to access defaulting clearing firms' collateral. CME exited the CDS clearing business in March 2018.</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2018, the clearing house transferred an average of approximately $3.8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The company believes that its guarantee liability is immaterial and therefore has not recorded any liability at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2018 and December 31, 2017:</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1,871.4</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1,872.6</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$23.7 million and $24.0 million for the quarters ended March 31, 2018 and 2017, respectively.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the future estimated amortization expense related to amortizable intangible assets is expected to be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2021</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2023</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1,328.1</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March 31, 2018 and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746.0</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745.1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744.9</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742.2</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2,233.5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2,233.1</w:t>
            </w:r>
          </w:p>
        </w:tc>
      </w:tr>
      <w:tr>
        <w:trPr>
          <w:trHeight w:val="27"/>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2022</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750.0</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2013, the CFTC filed suit against NYMEX and two former employees alleging disclosure of confidential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73"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In 2003, the U.S. Futures Exchange, L.L.C. (Eurex U.S.) and U.S. Exchange Holdings, Inc. filed suit in federal court alleging that CBOT and CME violated the antitrust laws and tortuously interfered with the business relationship and contract between Eurex U.S. and The Clearing Corporation. On April 27, 2018, the Court informed the parties that it has reached a preliminary decision to grant CBOT's and CME's motion for summary judgment on the antitrust claims.</w:t>
      </w:r>
    </w:p>
    <w:p>
      <w:pPr>
        <w:ind w:right="60"/>
        <w:spacing w:after="0" w:line="261" w:lineRule="auto"/>
        <w:rPr>
          <w:sz w:val="20"/>
          <w:szCs w:val="20"/>
          <w:color w:val="auto"/>
        </w:rPr>
      </w:pPr>
      <w:r>
        <w:rPr>
          <w:rFonts w:ascii="Arial" w:cs="Arial" w:eastAsia="Arial" w:hAnsi="Arial"/>
          <w:sz w:val="18"/>
          <w:szCs w:val="18"/>
          <w:color w:val="auto"/>
        </w:rPr>
        <w:t>The Court is expected to issue a written decision finalizing that decision and dismissing the entire case. In the meantime, the previously set trial date has been vacated.</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 accrual was required for legal and regulatory matters that were probable and estimable as of March 31, 2018 and December 31,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have a mutual offset agreement with a current term through October 2018.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can maintain collateral in the form of U.S. Treasury securities or irrevocable, standby letters of credit. At March 31, 2018, CME was contingently liable to SGX on letters of credit totaling $285.0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March 31, 2018.</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March 31, 2018.</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5"/>
              </w:rPr>
              <w:t>Impact of adoption of standards update on tax effects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w w:val="97"/>
              </w:rPr>
              <w:t>related to accumulated other comprehensive income</w:t>
            </w:r>
          </w:p>
        </w:tc>
        <w:tc>
          <w:tcPr>
            <w:tcW w:w="5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 Level 2 assets also include a foreign exchange option contract. The company is using the foreign exchange option to mitigate certain exposure to foreign exchange rate fluctuation on anticipated currency required to facilitate the previously announced acquisition of NEX Group plc. The foreign exchange option was measured at fair value based on similar assets with similar inputs.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assets recorded in the consolidated balance sheet as of March 31, 2018 were classified in their entirety based on the lowest level of input that was significant to each asset's fair value measurement. There were no liabilities that were measured at fair value as of March 31, 2018.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March 31,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w:t>
            </w:r>
          </w:p>
        </w:tc>
      </w:tr>
      <w:tr>
        <w:trPr>
          <w:trHeight w:val="270"/>
        </w:trPr>
        <w:tc>
          <w:tcPr>
            <w:tcW w:w="51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Performance bonds and guaranty fund contributions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exchange option contract</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March 31, 2018 include cash collateral that has been invested in U.S. Treasury securities.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quarter of 2018. There were no level 3 assets or liabilities valued at fair value on a recurring or non-recurring basis during the first quarter of 2018.</w:t>
      </w:r>
    </w:p>
    <w:p>
      <w:pPr>
        <w:spacing w:after="0" w:line="2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March 31, 2018,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743.2</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729.6</w:t>
            </w:r>
          </w:p>
        </w:tc>
      </w:tr>
      <w:tr>
        <w:trPr>
          <w:trHeight w:val="27"/>
        </w:trPr>
        <w:tc>
          <w:tcPr>
            <w:tcW w:w="7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911.1</w:t>
            </w:r>
          </w:p>
        </w:tc>
      </w:tr>
      <w:tr>
        <w:trPr>
          <w:trHeight w:val="27"/>
        </w:trPr>
        <w:tc>
          <w:tcPr>
            <w:tcW w:w="77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Basic earnings per share is computed by dividing net income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33"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81915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4"/>
        </w:trPr>
        <w:tc>
          <w:tcPr>
            <w:tcW w:w="902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800" w:type="dxa"/>
            <w:vAlign w:val="bottom"/>
          </w:tcPr>
          <w:p>
            <w:pPr>
              <w:spacing w:after="0"/>
              <w:rPr>
                <w:sz w:val="21"/>
                <w:szCs w:val="21"/>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406"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379"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339,305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338,339</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340,747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339,946</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2017.</w:t>
      </w:r>
    </w:p>
    <w:p>
      <w:pPr>
        <w:spacing w:after="0" w:line="12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collectively, unless otherwise noted.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2017</w:t>
            </w: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1,109.0</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929.3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328.4</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12</w:t>
            </w:r>
          </w:p>
        </w:tc>
      </w:tr>
      <w:tr>
        <w:trPr>
          <w:trHeight w:val="27"/>
        </w:trPr>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47.8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106.1</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(55)</w:t>
            </w:r>
          </w:p>
        </w:tc>
      </w:tr>
      <w:tr>
        <w:trPr>
          <w:trHeight w:val="27"/>
        </w:trPr>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598.8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399.8</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50</w:t>
            </w:r>
          </w:p>
        </w:tc>
      </w:tr>
      <w:tr>
        <w:trPr>
          <w:trHeight w:val="27"/>
        </w:trPr>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1.18</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519.4</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59</w:t>
            </w:r>
          </w:p>
        </w:tc>
      </w:tr>
      <w:tr>
        <w:trPr>
          <w:trHeight w:val="351"/>
        </w:trPr>
        <w:tc>
          <w:tcPr>
            <w:tcW w:w="7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Quarter Ended</w:t>
            </w:r>
          </w:p>
        </w:tc>
        <w:tc>
          <w:tcPr>
            <w:tcW w:w="1360" w:type="dxa"/>
            <w:vAlign w:val="bottom"/>
          </w:tcPr>
          <w:p>
            <w:pPr>
              <w:spacing w:after="0"/>
              <w:rPr>
                <w:sz w:val="24"/>
                <w:szCs w:val="24"/>
                <w:color w:val="auto"/>
              </w:rPr>
            </w:pPr>
          </w:p>
        </w:tc>
      </w:tr>
      <w:tr>
        <w:trPr>
          <w:trHeight w:val="192"/>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973.6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96.8</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w:t>
            </w:r>
          </w:p>
        </w:tc>
      </w:tr>
      <w:tr>
        <w:trPr>
          <w:trHeight w:val="27"/>
        </w:trPr>
        <w:tc>
          <w:tcPr>
            <w:tcW w:w="7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(11)</w:t>
            </w:r>
          </w:p>
        </w:tc>
      </w:tr>
      <w:tr>
        <w:trPr>
          <w:trHeight w:val="27"/>
        </w:trPr>
        <w:tc>
          <w:tcPr>
            <w:tcW w:w="7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1,109.0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929.3</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081"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1,354.4</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6"/>
              </w:rPr>
              <w:t>1,060.1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956.4</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774.7</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23</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0.706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0.731</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r>
      <w:tr>
        <w:trPr>
          <w:trHeight w:val="27"/>
        </w:trPr>
        <w:tc>
          <w:tcPr>
            <w:tcW w:w="7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estimate the following net increase in clearing and transaction fees based on a change in total contract volumes and a change in average rate per contract for futures and options during the first quarter of 2018 when compared with the same period in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 Ended</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a change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due to a change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r>
      <w:tr>
        <w:trPr>
          <w:trHeight w:val="27"/>
        </w:trPr>
        <w:tc>
          <w:tcPr>
            <w:tcW w:w="10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9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980" w:type="dxa"/>
            <w:vAlign w:val="bottom"/>
          </w:tcPr>
          <w:p>
            <w:pPr>
              <w:spacing w:after="0"/>
              <w:rPr>
                <w:sz w:val="14"/>
                <w:szCs w:val="14"/>
                <w:color w:val="auto"/>
              </w:rPr>
            </w:pPr>
          </w:p>
        </w:tc>
      </w:tr>
      <w:tr>
        <w:trPr>
          <w:trHeight w:val="192"/>
        </w:trPr>
        <w:tc>
          <w:tcPr>
            <w:tcW w:w="8360" w:type="dxa"/>
            <w:vAlign w:val="bottom"/>
          </w:tcPr>
          <w:p>
            <w:pPr>
              <w:spacing w:after="0"/>
              <w:rPr>
                <w:sz w:val="16"/>
                <w:szCs w:val="16"/>
                <w:color w:val="auto"/>
              </w:rPr>
            </w:pPr>
          </w:p>
        </w:tc>
        <w:tc>
          <w:tcPr>
            <w:tcW w:w="138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9"/>
              </w:rPr>
              <w:t>March 31,</w:t>
            </w:r>
          </w:p>
        </w:tc>
        <w:tc>
          <w:tcPr>
            <w:tcW w:w="70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Change</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11,948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9,169</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2,766</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894</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1,261</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Energy</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2,496</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512</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0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22,204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0"/>
              </w:rPr>
              <w:t>17,098</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30</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19,797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w w:val="90"/>
              </w:rPr>
              <w:t>14,947</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32</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1,362</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789</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w:t>
            </w:r>
          </w:p>
        </w:tc>
      </w:tr>
      <w:tr>
        <w:trPr>
          <w:trHeight w:val="27"/>
        </w:trPr>
        <w:tc>
          <w:tcPr>
            <w:tcW w:w="8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0"/>
              </w:rPr>
              <w:t>17,098</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9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Overall market volatility remained high throughout the first quarter of 2018, resulting in record quarterly average daily volume. The markets continued to experience uncertainty surrounding the Federal Reserve's interest rate policy. In March 2018, the Federal Open Markets Committee (FOMC) raised the federal funds rate, which contributed to additional interest rate volatility for the quarter. In addition, there was market uncertainty regarding the United States' foreign trade policies, with the threat of new tariffs on certain imports and exports, as well as the potential for increased United States' government spending and future inflation. We believe this generated additional market volatility, which resulted in higher volumes across all of the asset classes.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360"/>
              <w:spacing w:after="0"/>
              <w:rPr>
                <w:sz w:val="20"/>
                <w:szCs w:val="20"/>
                <w:color w:val="auto"/>
              </w:rPr>
            </w:pPr>
            <w:r>
              <w:rPr>
                <w:rFonts w:ascii="Arial" w:cs="Arial" w:eastAsia="Arial" w:hAnsi="Arial"/>
                <w:sz w:val="18"/>
                <w:szCs w:val="18"/>
                <w:color w:val="auto"/>
              </w:rPr>
              <w:t>Front 8 futures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2,802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2,134</w:t>
            </w:r>
          </w:p>
        </w:tc>
        <w:tc>
          <w:tcPr>
            <w:tcW w:w="1320" w:type="dxa"/>
            <w:vAlign w:val="bottom"/>
          </w:tcPr>
          <w:p>
            <w:pPr>
              <w:ind w:left="960"/>
              <w:spacing w:after="0"/>
              <w:rPr>
                <w:sz w:val="20"/>
                <w:szCs w:val="20"/>
                <w:color w:val="auto"/>
              </w:rPr>
            </w:pPr>
            <w:r>
              <w:rPr>
                <w:rFonts w:ascii="Arial" w:cs="Arial" w:eastAsia="Arial" w:hAnsi="Arial"/>
                <w:sz w:val="18"/>
                <w:szCs w:val="18"/>
                <w:color w:val="auto"/>
                <w:w w:val="94"/>
              </w:rPr>
              <w:t>31%</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Back 32 futures</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1,171</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25</w:t>
            </w:r>
          </w:p>
        </w:tc>
      </w:tr>
      <w:tr>
        <w:trPr>
          <w:trHeight w:val="243"/>
        </w:trPr>
        <w:tc>
          <w:tcPr>
            <w:tcW w:w="7720" w:type="dxa"/>
            <w:vAlign w:val="bottom"/>
          </w:tcPr>
          <w:p>
            <w:pPr>
              <w:ind w:left="360"/>
              <w:spacing w:after="0"/>
              <w:rPr>
                <w:sz w:val="20"/>
                <w:szCs w:val="20"/>
                <w:color w:val="auto"/>
              </w:rPr>
            </w:pPr>
            <w:r>
              <w:rPr>
                <w:rFonts w:ascii="Arial" w:cs="Arial" w:eastAsia="Arial" w:hAnsi="Arial"/>
                <w:sz w:val="18"/>
                <w:szCs w:val="18"/>
                <w:color w:val="auto"/>
              </w:rPr>
              <w:t>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1,988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1,611</w:t>
            </w:r>
          </w:p>
        </w:tc>
        <w:tc>
          <w:tcPr>
            <w:tcW w:w="1320" w:type="dxa"/>
            <w:vAlign w:val="bottom"/>
          </w:tcPr>
          <w:p>
            <w:pPr>
              <w:ind w:left="960"/>
              <w:spacing w:after="0"/>
              <w:rPr>
                <w:sz w:val="20"/>
                <w:szCs w:val="20"/>
                <w:color w:val="auto"/>
              </w:rPr>
            </w:pPr>
            <w:r>
              <w:rPr>
                <w:rFonts w:ascii="Arial" w:cs="Arial" w:eastAsia="Arial" w:hAnsi="Arial"/>
                <w:sz w:val="18"/>
                <w:szCs w:val="18"/>
                <w:color w:val="auto"/>
              </w:rPr>
              <w:t>23</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2,537</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1,980</w:t>
            </w:r>
          </w:p>
        </w:tc>
        <w:tc>
          <w:tcPr>
            <w:tcW w:w="1320" w:type="dxa"/>
            <w:vAlign w:val="bottom"/>
          </w:tcPr>
          <w:p>
            <w:pPr>
              <w:ind w:left="960"/>
              <w:spacing w:after="0"/>
              <w:rPr>
                <w:sz w:val="20"/>
                <w:szCs w:val="20"/>
                <w:color w:val="auto"/>
              </w:rPr>
            </w:pPr>
            <w:r>
              <w:rPr>
                <w:rFonts w:ascii="Arial" w:cs="Arial" w:eastAsia="Arial" w:hAnsi="Arial"/>
                <w:sz w:val="18"/>
                <w:szCs w:val="18"/>
                <w:color w:val="auto"/>
              </w:rPr>
              <w:t>28</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1,370</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1,095</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25</w:t>
            </w: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2-Year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632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384</w:t>
            </w:r>
          </w:p>
        </w:tc>
        <w:tc>
          <w:tcPr>
            <w:tcW w:w="1320" w:type="dxa"/>
            <w:vAlign w:val="bottom"/>
          </w:tcPr>
          <w:p>
            <w:pPr>
              <w:ind w:left="960"/>
              <w:spacing w:after="0"/>
              <w:rPr>
                <w:sz w:val="20"/>
                <w:szCs w:val="20"/>
                <w:color w:val="auto"/>
              </w:rPr>
            </w:pPr>
            <w:r>
              <w:rPr>
                <w:rFonts w:ascii="Arial" w:cs="Arial" w:eastAsia="Arial" w:hAnsi="Arial"/>
                <w:sz w:val="18"/>
                <w:szCs w:val="18"/>
                <w:color w:val="auto"/>
              </w:rPr>
              <w:t>65</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bond</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503</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Federal Funds futures and 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283</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320" w:type="dxa"/>
            <w:vAlign w:val="bottom"/>
          </w:tcPr>
          <w:p>
            <w:pPr>
              <w:ind w:left="96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the first quarter of 2018 when compared with the same period in 2017, overall interest rate contract volume increased largely due to volatility caused by continued uncertainty surrounding future interest rate hikes by the Federal Reserve, including volatility caused by the federal funds rate increase by the FOMC in March 2018. In addition, we believe the increase in contract volume in the first quarter of 2018 when compared with the same period in 2017 was also due to the uncertainty surrounding the United States' foreign trade policies, future rates of inflation and the potential for increased government spending.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E-mini S&amp;P 500 futures and options</w:t>
            </w:r>
          </w:p>
        </w:tc>
        <w:tc>
          <w:tcPr>
            <w:tcW w:w="1660" w:type="dxa"/>
            <w:vAlign w:val="bottom"/>
          </w:tcPr>
          <w:p>
            <w:pPr>
              <w:jc w:val="right"/>
              <w:ind w:right="561"/>
              <w:spacing w:after="0"/>
              <w:rPr>
                <w:sz w:val="20"/>
                <w:szCs w:val="20"/>
                <w:color w:val="auto"/>
              </w:rPr>
            </w:pPr>
            <w:r>
              <w:rPr>
                <w:rFonts w:ascii="Arial" w:cs="Arial" w:eastAsia="Arial" w:hAnsi="Arial"/>
                <w:sz w:val="18"/>
                <w:szCs w:val="18"/>
                <w:color w:val="auto"/>
              </w:rPr>
              <w:t>2,957</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2,250</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E-mini NASDAQ 100 futures and options</w:t>
            </w:r>
          </w:p>
        </w:tc>
        <w:tc>
          <w:tcPr>
            <w:tcW w:w="166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rPr>
              <w:t>495</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214</w:t>
            </w: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131</w:t>
            </w:r>
          </w:p>
        </w:tc>
      </w:tr>
      <w:tr>
        <w:trPr>
          <w:trHeight w:val="27"/>
        </w:trPr>
        <w:tc>
          <w:tcPr>
            <w:tcW w:w="77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Overall equity contract volume increased in the first quarter of 2018 when compared with the same period in 2017 due to overall high market volatility, as measured by the CBOE Volatility Index and CBOE Nasdaq-100 Volatility Index. We believe the comparatively higher volatility within the equity markets resulted from uncertainty surrounding the Federal Reserve's interest rate policy for the upcoming year and uncertainty surrounding the United States' foreign trade policy.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330</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187</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6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156</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60" w:type="dxa"/>
            <w:vAlign w:val="bottom"/>
          </w:tcPr>
          <w:p>
            <w:pPr>
              <w:jc w:val="right"/>
              <w:ind w:right="557"/>
              <w:spacing w:after="0"/>
              <w:rPr>
                <w:sz w:val="20"/>
                <w:szCs w:val="20"/>
                <w:color w:val="auto"/>
              </w:rPr>
            </w:pPr>
            <w:r>
              <w:rPr>
                <w:rFonts w:ascii="Arial" w:cs="Arial" w:eastAsia="Arial" w:hAnsi="Arial"/>
                <w:sz w:val="18"/>
                <w:szCs w:val="18"/>
                <w:color w:val="auto"/>
              </w:rPr>
              <w:t>133</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42</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r>
      <w:tr>
        <w:trPr>
          <w:trHeight w:val="27"/>
        </w:trPr>
        <w:tc>
          <w:tcPr>
            <w:tcW w:w="77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first quarter of 2018 when compared with the same period in 2017, overall foreign exchange contract volume increased. Euro contract volume was higher due to volatility caused by the uncertainty surrounding future interest rate increases by the European Central Bank and the Federal Reserve. We believe the increase in Australian dollar contract volume was driven by volatile commodity markets and uncertainty surrounding the United States' foreign trade policies. In addition, we believe the increase in British pound contract volume resulted from the uncertainty surrounding the United Kingdom European Union membership referendum as well as a potential for future interest rate hikes in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515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26%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341</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268</w:t>
            </w:r>
          </w:p>
        </w:tc>
        <w:tc>
          <w:tcPr>
            <w:tcW w:w="1320" w:type="dxa"/>
            <w:vAlign w:val="bottom"/>
          </w:tcPr>
          <w:p>
            <w:pPr>
              <w:ind w:left="960"/>
              <w:spacing w:after="0"/>
              <w:rPr>
                <w:sz w:val="20"/>
                <w:szCs w:val="20"/>
                <w:color w:val="auto"/>
              </w:rPr>
            </w:pPr>
            <w:r>
              <w:rPr>
                <w:rFonts w:ascii="Arial" w:cs="Arial" w:eastAsia="Arial" w:hAnsi="Arial"/>
                <w:sz w:val="18"/>
                <w:szCs w:val="18"/>
                <w:color w:val="auto"/>
              </w:rPr>
              <w:t>27</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274</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35</w:t>
            </w:r>
          </w:p>
        </w:tc>
      </w:tr>
      <w:tr>
        <w:trPr>
          <w:trHeight w:val="27"/>
        </w:trPr>
        <w:tc>
          <w:tcPr>
            <w:tcW w:w="77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Overall agricultural commodity contract volume increased in the first quarter of 2018 when compared with the same period in 2017 due to higher price volatility, which we believe was caused by greater uncertainty surrounding crop production due to dry weather conditions over the winter months. We believe the overall increase in commodity contract volume was also attributable to volatility caused by concern surrounding the United States' foreign trade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1,542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665</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601</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11</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419</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389</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w:t>
            </w:r>
          </w:p>
        </w:tc>
      </w:tr>
      <w:tr>
        <w:trPr>
          <w:trHeight w:val="27"/>
        </w:trPr>
        <w:tc>
          <w:tcPr>
            <w:tcW w:w="77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first quarter of 2018 when compared with the same period in 2017, overall energy contract volume increased largely due to higher volatility within the crude oil markets. We believe the increased volatility in 2018 was caused by strong growth in United States crude oil production in early 2018. Natural gas contract volume also increased in the first quarter of 2018 due to higher price volatility caused by colder than expected winter months across much of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rPr>
              <w:t>437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1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4"/>
              </w:rPr>
              <w:t>41%</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tcPr>
          <w:p>
            <w:pPr>
              <w:jc w:val="right"/>
              <w:ind w:right="559"/>
              <w:spacing w:after="0"/>
              <w:rPr>
                <w:sz w:val="20"/>
                <w:szCs w:val="20"/>
                <w:color w:val="auto"/>
              </w:rPr>
            </w:pPr>
            <w:r>
              <w:rPr>
                <w:rFonts w:ascii="Arial" w:cs="Arial" w:eastAsia="Arial" w:hAnsi="Arial"/>
                <w:sz w:val="18"/>
                <w:szCs w:val="18"/>
                <w:color w:val="auto"/>
              </w:rPr>
              <w:t>137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320" w:type="dxa"/>
            <w:vAlign w:val="bottom"/>
          </w:tcPr>
          <w:p>
            <w:pPr>
              <w:ind w:left="960"/>
              <w:spacing w:after="0"/>
              <w:rPr>
                <w:sz w:val="20"/>
                <w:szCs w:val="20"/>
                <w:color w:val="auto"/>
              </w:rPr>
            </w:pPr>
            <w:r>
              <w:rPr>
                <w:rFonts w:ascii="Arial" w:cs="Arial" w:eastAsia="Arial" w:hAnsi="Arial"/>
                <w:sz w:val="18"/>
                <w:szCs w:val="18"/>
                <w:color w:val="auto"/>
              </w:rPr>
              <w:t>44</w:t>
            </w:r>
          </w:p>
        </w:tc>
      </w:tr>
      <w:tr>
        <w:trPr>
          <w:trHeight w:val="27"/>
        </w:trPr>
        <w:tc>
          <w:tcPr>
            <w:tcW w:w="7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109</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34</w:t>
            </w:r>
          </w:p>
        </w:tc>
      </w:tr>
      <w:tr>
        <w:trPr>
          <w:trHeight w:val="27"/>
        </w:trPr>
        <w:tc>
          <w:tcPr>
            <w:tcW w:w="77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the increase in metal contract volume in the first quarter of 2018 when compared with the same period in 2017 was due to an increase in investors using gold and other precious metals as safe-haven alternative investments to other volatile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average rate per contract decreased in the first quarter of 2018 when compared with the same period in 2017 largely due to an increase in trades executed by members, as a percentage of total trading volume, as well as a shift in relative mix of product volume. Equity contract volume, when measured as a percentage of total volume, increased by 2 percentage points in the first quarter of 2018, while energy contract volume decreased by 2 percentage points. In general, equity contracts have a lower rate per contract compared with energy contracts. In addition, average rate per contract decreased due to higher volume-based incentives and discounts on our contracts.</w:t>
      </w:r>
    </w:p>
    <w:p>
      <w:pPr>
        <w:sectPr>
          <w:pgSz w:w="11900" w:h="16838" w:orient="portrait"/>
          <w:cols w:equalWidth="0" w:num="1">
            <w:col w:w="11420"/>
          </w:cols>
          <w:pgMar w:left="240" w:top="125"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and another firm represented 11% of our clearing and transaction fees in the first quarter of 2018.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first quarter of 2018 when compared with the same period in 2017, market data and information services revenue decreased, which was attributable to a modest decline in screen counts due to cost-cutting initiatives at member firms.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two largest resellers of our market data represented approximately 43% of our market data and information services revenue in the first quarter of 2018.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r>
      <w:tr>
        <w:trPr>
          <w:trHeight w:val="264"/>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2017</w:t>
            </w: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47</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328.4</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Operating expenses increased by $39.7 million in the first quarter of 2018 when compared with the same period in 2017. The following table shows the estimated impacts of key factors resulting in the changes in operating expenses:</w:t>
      </w:r>
    </w:p>
    <w:p>
      <w:pPr>
        <w:spacing w:after="0" w:line="216"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13335</wp:posOffset>
            </wp:positionV>
            <wp:extent cx="17151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8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36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Non-qualified deferred compensation plans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00" w:type="dxa"/>
            <w:vAlign w:val="bottom"/>
          </w:tcPr>
          <w:p>
            <w:pPr>
              <w:ind w:left="40"/>
              <w:spacing w:after="0"/>
              <w:rPr>
                <w:sz w:val="20"/>
                <w:szCs w:val="20"/>
                <w:color w:val="auto"/>
              </w:rPr>
            </w:pPr>
            <w:r>
              <w:rPr>
                <w:rFonts w:ascii="Arial" w:cs="Arial" w:eastAsia="Arial" w:hAnsi="Arial"/>
                <w:sz w:val="18"/>
                <w:szCs w:val="18"/>
                <w:color w:val="auto"/>
              </w:rPr>
              <w:t>Total increase (decrease)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Increases in operating expenses in the first quarter of 2018 when compared with the same period in 2017 were as follows:</w:t>
      </w:r>
    </w:p>
    <w:p>
      <w:pPr>
        <w:spacing w:after="0" w:line="225" w:lineRule="exact"/>
        <w:rPr>
          <w:sz w:val="20"/>
          <w:szCs w:val="20"/>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Licensing and other fee sharing agreements expense increased due to higher expense related to revenue sharing agreements for certain equity and energy contracts due to both an increase in volume and an increase in license rates for certain equity products.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Professional fees and outside services expense increased compared to the same period in 2017, largely due to higher legal fees in 2018 incurred as a result of the Eurex litigation and our proposed transaction with NEX Group plc (NEX).</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Bonus expense increased due to performance relative to our 2018 cash earnings target when compared with 2017 performance relative to our 2017 cash earnings target.</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and benefits expense increased as a result of higher average headcount primarily in our international locations as well as normal cost of living adjustments.</w:t>
      </w:r>
    </w:p>
    <w:p>
      <w:pPr>
        <w:spacing w:after="0" w:line="170"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first quarter of 2018, we recognized a net loss of $1.6 million due to an unfavorable change in exchange rates on foreign cash balances, compared with a net gain of $2.5 million in the first quarter of 2017. Gains and losses from exchange rate fluctuations result when subsidiaries with a U.S. dollar functional currency hold cash as well as certain other monetary assets and liabilities denominated in foreign currencies.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expenses in the first quarter of 2018 when compared with the same period in 2017 was as follows:</w:t>
      </w:r>
    </w:p>
    <w:p>
      <w:pPr>
        <w:spacing w:after="0" w:line="198" w:lineRule="exact"/>
        <w:rPr>
          <w:sz w:val="20"/>
          <w:szCs w:val="20"/>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our non-qualified deferred compensation liability, the impact of which does not affect net income because of an equal and offsetting change in investment income, contributed to a decrease in compensation and benefits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r>
      <w:tr>
        <w:trPr>
          <w:trHeight w:val="192"/>
        </w:trPr>
        <w:tc>
          <w:tcPr>
            <w:tcW w:w="8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2017</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106.1</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w:t>
            </w: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not meaningful</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Investment income increased in the first quarter of 2018, when compared with the same period in 2017, largely due to an increase in earnings from cash performance bond and guaranty fund contributions that are reinvested, which resulted primarily from higher average reinvestment balances and higher rates of interest earned in the cash account at the Federal Reserve Bank of Chicago. The increase in 2018 was partially offset by the net gain of $86.5 million that we recognized on the sale of our remaining ownership interest in BM&amp;FBOVESPA, S.A. (BM&amp;FBOVESPA) during 2017.</w:t>
      </w:r>
    </w:p>
    <w:p>
      <w:pPr>
        <w:spacing w:after="0" w:line="144"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an increase in equity in net earnings (losses) of unconsolidated subsidiaries in the first quarter of 2018 when compared with the same period in 2017.</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recognized higher expense in the first quarter of 2018 related to the distribution of interest earned on performance bond collateral reinvestment to the clearing firms. This expense is included in other non-operating income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43"/>
        </w:trPr>
        <w:tc>
          <w:tcPr>
            <w:tcW w:w="9340" w:type="dxa"/>
            <w:vAlign w:val="bottom"/>
            <w:shd w:val="clear" w:color="auto" w:fill="CCEEFF"/>
          </w:tcPr>
          <w:p>
            <w:pPr>
              <w:jc w:val="right"/>
              <w:ind w:right="7459"/>
              <w:spacing w:after="0"/>
              <w:rPr>
                <w:sz w:val="20"/>
                <w:szCs w:val="20"/>
                <w:color w:val="auto"/>
              </w:rPr>
            </w:pPr>
            <w:r>
              <w:rPr>
                <w:rFonts w:ascii="Arial" w:cs="Arial" w:eastAsia="Arial" w:hAnsi="Arial"/>
                <w:sz w:val="18"/>
                <w:szCs w:val="18"/>
                <w:color w:val="auto"/>
                <w:w w:val="90"/>
              </w:rPr>
              <w:t>Quarter ended March 31</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3"/>
              </w:rPr>
              <w:t>24.1%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9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overall decrease in the effective tax rate in the first quarter of 2018 was primarily due to a reduction in the federal statutory rate from 35% to 21% as a result of the recent tax law changes. Also, in the first quarter of 2017, we reclassified income tax expense from accumulated other comprehensive income for the sale of the remaining BM&amp;FBOVESPA shares.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increased in the first quarter of 2018 when compared with the same period in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net cash provided by operating activities was largely attributable to the increase in trading volume as well as higher investment income related to our reinvestment of cash performance bonds and guaranty fund collateral, net of the distribution of interest earned to the clearing firms. Net cash provided by investing activities decreased in the first quarter of 2018 when compared with the same period of 2017. In the first quarter of 2017, we received proceeds from our sale of BM&amp;FBOVESPA shares. Cash used in financing activities was higher in the first quarter of 2018 when compared with the same period in 2017 due to higher cash dividends paid in the first quarter of 2018 when compared with the same period in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March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cash or U.S. Treasury securities as well as the performance bond assets deposited by defaulting clearing members can be used to collateralize the facility. At March 31, 2018, guaranty funds available to collateralize the facility totaled $8.4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5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2018,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we were in compliance with the various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March 31, 2018, the letters of credit totaled $285.0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March 31,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$0.8 billion and $1.9 billion at March 31, 2018 and December 31, 2017,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w:t>
      </w:r>
    </w:p>
    <w:p>
      <w:pPr>
        <w:jc w:val="both"/>
        <w:ind w:right="80"/>
        <w:spacing w:after="0" w:line="302" w:lineRule="auto"/>
        <w:rPr>
          <w:sz w:val="20"/>
          <w:szCs w:val="20"/>
          <w:color w:val="auto"/>
        </w:rPr>
      </w:pPr>
      <w:r>
        <w:rPr>
          <w:rFonts w:ascii="Arial" w:cs="Arial" w:eastAsia="Arial" w:hAnsi="Arial"/>
          <w:sz w:val="16"/>
          <w:szCs w:val="16"/>
          <w:color w:val="auto"/>
        </w:rPr>
        <w:t>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4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March 2018, we announced that we have reached an agreement to acquire NEX in a transaction valued at £10 per share, consisting of 500 pence in cash and 0.0444 CME Group shares. The proposed transaction is pending approvals by regulators and NEX shareholders and is expected to close in the second half of 2018. As of March 31, 2018, $491.3 million of cash has been restricted related to the proposed transaction with NEX. In conjunction with the proposed transaction, we also purchased a foreign exchange option contract to mitigate certain exposure to foreign exchange rate fluctuation on anticipated currency required to facilitate the acquisition. The foreign exchange option has a notional value of £1.6 billion and expires in July 2018. The income statement impact of the foreign exchange option was immaterial for the quarter ended March 31, 2018.</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CME is regulated by the CFTC as a U.S. Derivatives Clearing Organization (DCO). DCOs are required to maintain capital,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Dodd-Frank. As a result, CME must comply with CFTC regulations applicable to a systemically important DCO for financial resources and liquidity resources. CME is in compliance with all DCO financial requirements.</w:t>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Refer to Note 2. Accounting Policies in our notes to the consolidated financial statements for information on new and recently adopted accounting pronouncements that are applicable to us.</w:t>
      </w:r>
    </w:p>
    <w:p>
      <w:pPr>
        <w:spacing w:after="0" w:line="28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2017. Refer to Item 7A. of CME Group’s Annual Report on Form 10-K for the year ended December 31, 2017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right="20" w:firstLine="8"/>
        <w:spacing w:after="0" w:line="264"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period covered by this report. Based on such evaluation, our Chief Executive Officer and Chief Financial Officer have concluded that, as of the end of such period, our disclosure controls and procedures are effective.</w:t>
      </w:r>
    </w:p>
    <w:p>
      <w:pPr>
        <w:spacing w:after="0" w:line="170" w:lineRule="exact"/>
        <w:rPr>
          <w:sz w:val="20"/>
          <w:szCs w:val="20"/>
          <w:color w:val="auto"/>
        </w:rPr>
      </w:pPr>
    </w:p>
    <w:p>
      <w:pPr>
        <w:ind w:right="60" w:firstLine="8"/>
        <w:spacing w:after="0" w:line="273" w:lineRule="auto"/>
        <w:tabs>
          <w:tab w:leader="none" w:pos="2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March 31, 2018,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28, 2018.</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2018.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152.90</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February 1 to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159.11</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86,511</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165.38</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89,250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165.01</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purchased consist of an aggregate of 89,250 shares of Class A common stock surrendered in the first quarter of 2018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40"/>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64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Consulting Agreement between Leo Melamed and CME Group Inc., dated April 27, 2018</w:t>
              </w:r>
            </w:hyperlink>
          </w:p>
        </w:tc>
        <w:tc>
          <w:tcPr>
            <w:tcW w:w="140" w:type="dxa"/>
            <w:vAlign w:val="bottom"/>
          </w:tcPr>
          <w:p>
            <w:pPr>
              <w:spacing w:after="0"/>
              <w:rPr>
                <w:sz w:val="24"/>
                <w:szCs w:val="24"/>
                <w:color w:val="auto"/>
              </w:rPr>
            </w:pPr>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662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Consulting Agreement between John F. Sandner and CME Group Inc., dated April 23, 2018</w:t>
              </w:r>
            </w:hyperlink>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Section 302</w:t>
              </w:r>
            </w:hyperlink>
          </w:p>
        </w:tc>
        <w:tc>
          <w:tcPr>
            <w:tcW w:w="2440" w:type="dxa"/>
            <w:vAlign w:val="bottom"/>
            <w:tcBorders>
              <w:bottom w:val="single" w:sz="8" w:color="0000FF"/>
            </w:tcBorders>
            <w:gridSpan w:val="2"/>
          </w:tcPr>
          <w:p>
            <w:pPr>
              <w:ind w:left="20"/>
              <w:spacing w:after="0"/>
              <w:rPr>
                <w:rFonts w:ascii="Arial" w:cs="Arial" w:eastAsia="Arial" w:hAnsi="Arial"/>
                <w:sz w:val="18"/>
                <w:szCs w:val="18"/>
                <w:color w:val="0000FF"/>
                <w:w w:val="94"/>
              </w:rPr>
            </w:pPr>
            <w:hyperlink w:anchor="page41">
              <w:r>
                <w:rPr>
                  <w:rFonts w:ascii="Arial" w:cs="Arial" w:eastAsia="Arial" w:hAnsi="Arial"/>
                  <w:sz w:val="18"/>
                  <w:szCs w:val="18"/>
                  <w:color w:val="0000FF"/>
                  <w:w w:val="94"/>
                </w:rPr>
                <w:t>Certification—Terrence A. Duffy</w:t>
              </w:r>
            </w:hyperlink>
          </w:p>
        </w:tc>
        <w:tc>
          <w:tcPr>
            <w:tcW w:w="3300" w:type="dxa"/>
            <w:vAlign w:val="bottom"/>
            <w:gridSpan w:val="3"/>
          </w:tcPr>
          <w:p>
            <w:pPr>
              <w:spacing w:after="0"/>
              <w:rPr>
                <w:sz w:val="24"/>
                <w:szCs w:val="24"/>
                <w:color w:val="auto"/>
              </w:rPr>
            </w:pPr>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Section 302</w:t>
              </w:r>
            </w:hyperlink>
          </w:p>
        </w:tc>
        <w:tc>
          <w:tcPr>
            <w:tcW w:w="5740" w:type="dxa"/>
            <w:vAlign w:val="bottom"/>
            <w:gridSpan w:val="5"/>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Certification—John W. Pietrowicz</w:t>
              </w:r>
            </w:hyperlink>
          </w:p>
        </w:tc>
      </w:tr>
      <w:tr>
        <w:trPr>
          <w:trHeight w:val="41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Section 906</w:t>
              </w:r>
            </w:hyperlink>
          </w:p>
        </w:tc>
        <w:tc>
          <w:tcPr>
            <w:tcW w:w="940" w:type="dxa"/>
            <w:vAlign w:val="bottom"/>
            <w:tcBorders>
              <w:top w:val="single" w:sz="8" w:color="0000FF"/>
              <w:bottom w:val="single" w:sz="8" w:color="0000FF"/>
            </w:tcBorders>
          </w:tcPr>
          <w:p>
            <w:pPr>
              <w:ind w:left="20"/>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Certification</w:t>
              </w:r>
            </w:hyperlink>
          </w:p>
        </w:tc>
        <w:tc>
          <w:tcPr>
            <w:tcW w:w="1560" w:type="dxa"/>
            <w:vAlign w:val="bottom"/>
            <w:tcBorders>
              <w:top w:val="single" w:sz="8" w:color="0000FF"/>
            </w:tcBorders>
            <w:gridSpan w:val="2"/>
          </w:tcPr>
          <w:p>
            <w:pPr>
              <w:spacing w:after="0"/>
              <w:rPr>
                <w:sz w:val="24"/>
                <w:szCs w:val="24"/>
                <w:color w:val="auto"/>
              </w:rPr>
            </w:pPr>
          </w:p>
        </w:tc>
        <w:tc>
          <w:tcPr>
            <w:tcW w:w="3240" w:type="dxa"/>
            <w:vAlign w:val="bottom"/>
            <w:gridSpan w:val="2"/>
          </w:tcPr>
          <w:p>
            <w:pPr>
              <w:spacing w:after="0"/>
              <w:rPr>
                <w:sz w:val="24"/>
                <w:szCs w:val="24"/>
                <w:color w:val="auto"/>
              </w:rPr>
            </w:pPr>
          </w:p>
        </w:tc>
      </w:tr>
      <w:tr>
        <w:trPr>
          <w:trHeight w:val="453"/>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66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66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66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66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66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66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108" w:right="1440"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May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25"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52654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26540" cy="325755"/>
                    </a:xfrm>
                    <a:prstGeom prst="rect">
                      <a:avLst/>
                    </a:prstGeom>
                    <a:noFill/>
                  </pic:spPr>
                </pic:pic>
              </a:graphicData>
            </a:graphic>
          </wp:anchor>
        </w:drawing>
        <w:t>Terrence A. Duffy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Chairman and CEO</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27, 2018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Mr. Leo Melamed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Melamed &amp; Associates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30 South Wacker Drive, Suite 1625</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60606</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Dear Mr. Melamed:</w:t>
      </w:r>
    </w:p>
    <w:p>
      <w:pPr>
        <w:spacing w:after="0" w:line="200" w:lineRule="exact"/>
        <w:rPr>
          <w:sz w:val="20"/>
          <w:szCs w:val="20"/>
          <w:color w:val="auto"/>
        </w:rPr>
      </w:pPr>
    </w:p>
    <w:p>
      <w:pPr>
        <w:spacing w:after="0" w:line="236" w:lineRule="exact"/>
        <w:rPr>
          <w:sz w:val="20"/>
          <w:szCs w:val="20"/>
          <w:color w:val="auto"/>
        </w:rPr>
      </w:pPr>
    </w:p>
    <w:p>
      <w:pPr>
        <w:ind w:right="140" w:firstLine="648"/>
        <w:spacing w:after="0" w:line="287" w:lineRule="auto"/>
        <w:rPr>
          <w:sz w:val="20"/>
          <w:szCs w:val="20"/>
          <w:color w:val="auto"/>
        </w:rPr>
      </w:pPr>
      <w:r>
        <w:rPr>
          <w:rFonts w:ascii="Arial" w:cs="Arial" w:eastAsia="Arial" w:hAnsi="Arial"/>
          <w:sz w:val="22"/>
          <w:szCs w:val="22"/>
          <w:color w:val="auto"/>
        </w:rPr>
        <w:t>Reference is made to that certain letter agreement between you and the undersigned CME Group Inc. (“</w:t>
      </w:r>
      <w:r>
        <w:rPr>
          <w:rFonts w:ascii="Arial" w:cs="Arial" w:eastAsia="Arial" w:hAnsi="Arial"/>
          <w:sz w:val="22"/>
          <w:szCs w:val="22"/>
          <w:u w:val="single" w:color="auto"/>
          <w:color w:val="auto"/>
        </w:rPr>
        <w:t>CME</w:t>
      </w:r>
      <w:r>
        <w:rPr>
          <w:rFonts w:ascii="Arial" w:cs="Arial" w:eastAsia="Arial" w:hAnsi="Arial"/>
          <w:sz w:val="22"/>
          <w:szCs w:val="22"/>
          <w:color w:val="auto"/>
        </w:rPr>
        <w:t>”), dated June 26, 2009, which governs, among other things, the terms of your consulting arrangement with CME and its subsidiaries and affiliates (collectively with CME, the “</w:t>
      </w:r>
      <w:r>
        <w:rPr>
          <w:rFonts w:ascii="Arial" w:cs="Arial" w:eastAsia="Arial" w:hAnsi="Arial"/>
          <w:sz w:val="22"/>
          <w:szCs w:val="22"/>
          <w:u w:val="single" w:color="auto"/>
          <w:color w:val="auto"/>
        </w:rPr>
        <w:t>CME Entities</w:t>
      </w:r>
      <w:r>
        <w:rPr>
          <w:rFonts w:ascii="Arial" w:cs="Arial" w:eastAsia="Arial" w:hAnsi="Arial"/>
          <w:sz w:val="22"/>
          <w:szCs w:val="22"/>
          <w:color w:val="auto"/>
        </w:rPr>
        <w:t>”) following your retirement from the Board of Directors of CME (such agreement, the “</w:t>
      </w:r>
      <w:r>
        <w:rPr>
          <w:rFonts w:ascii="Arial" w:cs="Arial" w:eastAsia="Arial" w:hAnsi="Arial"/>
          <w:sz w:val="22"/>
          <w:szCs w:val="22"/>
          <w:u w:val="single" w:color="auto"/>
          <w:color w:val="auto"/>
        </w:rPr>
        <w:t>Post-Board Agreement</w:t>
      </w:r>
      <w:r>
        <w:rPr>
          <w:rFonts w:ascii="Arial" w:cs="Arial" w:eastAsia="Arial" w:hAnsi="Arial"/>
          <w:sz w:val="22"/>
          <w:szCs w:val="22"/>
          <w:color w:val="auto"/>
        </w:rPr>
        <w:t>”). Notwithstanding anything to the contrary in the Post-Board Agreement, you and CME hereby agree as follows:</w:t>
      </w:r>
    </w:p>
    <w:p>
      <w:pPr>
        <w:spacing w:after="0" w:line="200" w:lineRule="exact"/>
        <w:rPr>
          <w:sz w:val="20"/>
          <w:szCs w:val="20"/>
          <w:color w:val="auto"/>
        </w:rPr>
      </w:pPr>
    </w:p>
    <w:p>
      <w:pPr>
        <w:spacing w:after="0" w:line="205" w:lineRule="exact"/>
        <w:rPr>
          <w:sz w:val="20"/>
          <w:szCs w:val="20"/>
          <w:color w:val="auto"/>
        </w:rPr>
      </w:pPr>
    </w:p>
    <w:p>
      <w:pPr>
        <w:ind w:left="1300" w:right="40" w:hanging="644"/>
        <w:spacing w:after="0" w:line="333" w:lineRule="auto"/>
        <w:tabs>
          <w:tab w:leader="none" w:pos="976" w:val="left"/>
        </w:tabs>
        <w:numPr>
          <w:ilvl w:val="0"/>
          <w:numId w:val="15"/>
        </w:numPr>
        <w:rPr>
          <w:rFonts w:ascii="Arial" w:cs="Arial" w:eastAsia="Arial" w:hAnsi="Arial"/>
          <w:sz w:val="19"/>
          <w:szCs w:val="19"/>
          <w:color w:val="auto"/>
        </w:rPr>
      </w:pPr>
      <w:r>
        <w:rPr>
          <w:rFonts w:ascii="Arial" w:cs="Arial" w:eastAsia="Arial" w:hAnsi="Arial"/>
          <w:sz w:val="19"/>
          <w:szCs w:val="19"/>
          <w:color w:val="auto"/>
        </w:rPr>
        <w:t>During the term of the Post-Board Agreement, you will render consulting services to CME and CME Entities upon request with respect to the futures business and industry and related matters and other matters in which you have expertise. In providing such services, you shall comply with all applicable laws, statutes, regulations, orders, codes and other acts of any applicable governmental authority and the policies, standards and regulations of CME and the CME Entities. You will personally perform all of the consulting services required under the Post-Board Agreement. Any request for consulting services under the Post-Board Agreement will be made by the Chief Executive Officer of CME. The Chief Executive Officer insofar as reasonably practicable, shall consider your convenience in the timing of his requests, and your failure or inability, by reason of temporary illness or other cause beyond your control or because of your absence for reasonable periods, to respond to such requests during any such temporary period shall not be deemed to constitute a default on your part in the performance of your consulting services under the Post-Board Agreement.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2.Section 3 of the Post-Board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1011540.03D-CHISR01A - MSW</w:t>
      </w:r>
    </w:p>
    <w:p>
      <w:pPr>
        <w:sectPr>
          <w:pgSz w:w="11900" w:h="16838" w:orient="portrait"/>
          <w:cols w:equalWidth="0" w:num="1">
            <w:col w:w="11420"/>
          </w:cols>
          <w:pgMar w:left="240" w:top="888" w:right="239" w:bottom="1440" w:gutter="0" w:footer="0" w:header="0"/>
        </w:sectPr>
      </w:pPr>
    </w:p>
    <w:bookmarkStart w:id="32" w:name="page33"/>
    <w:bookmarkEnd w:id="32"/>
    <w:p>
      <w:pPr>
        <w:ind w:left="980"/>
        <w:spacing w:after="0"/>
        <w:rPr>
          <w:sz w:val="20"/>
          <w:szCs w:val="20"/>
          <w:color w:val="auto"/>
        </w:rPr>
      </w:pPr>
      <w:r>
        <w:rPr>
          <w:rFonts w:ascii="Arial" w:cs="Arial" w:eastAsia="Arial" w:hAnsi="Arial"/>
          <w:sz w:val="19"/>
          <w:szCs w:val="19"/>
          <w:u w:val="single" w:color="auto"/>
          <w:color w:val="auto"/>
        </w:rPr>
        <w:t>Consulting Fee</w:t>
      </w:r>
      <w:r>
        <w:rPr>
          <w:rFonts w:ascii="Arial" w:cs="Arial" w:eastAsia="Arial" w:hAnsi="Arial"/>
          <w:sz w:val="19"/>
          <w:szCs w:val="19"/>
          <w:color w:val="auto"/>
        </w:rPr>
        <w:t>. In consideration for your consulting services and the non-compete and confidentiality provisions of this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21"/>
          <w:szCs w:val="21"/>
          <w:color w:val="auto"/>
        </w:rPr>
        <w:t>Agreement, during the first two years of the term of this Agreement (the “</w:t>
      </w:r>
      <w:r>
        <w:rPr>
          <w:rFonts w:ascii="Arial" w:cs="Arial" w:eastAsia="Arial" w:hAnsi="Arial"/>
          <w:sz w:val="21"/>
          <w:szCs w:val="21"/>
          <w:u w:val="single" w:color="auto"/>
          <w:color w:val="auto"/>
        </w:rPr>
        <w:t>Initial Term</w:t>
      </w:r>
      <w:r>
        <w:rPr>
          <w:rFonts w:ascii="Arial" w:cs="Arial" w:eastAsia="Arial" w:hAnsi="Arial"/>
          <w:sz w:val="21"/>
          <w:szCs w:val="21"/>
          <w:color w:val="auto"/>
        </w:rPr>
        <w:t>”) CME shall pay to you</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9"/>
          <w:szCs w:val="19"/>
          <w:color w:val="auto"/>
        </w:rPr>
        <w:t>$1,300,000 per annum, payable in four equal installments of $325,000 and a pro-rata amount for periods less than a full</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three-month period. After the Initial Term and for the remainder of the term of this Agreement, CME shall pay to you</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$300,000 per annum, payable in four equal installments of $75,000 and a pro-rata amount for periods less than a full</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three-month period. The first such installment due during the Initial Term shall be paid as soon as practicable following</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the beginning of the Initial Term, with respect to the first three-month period, and all subsequent installments due during</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the term of this Agreement shall be due and payable on or about the first day of each subsequent three-month period</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during the term of this Agreement.</w:t>
      </w:r>
    </w:p>
    <w:p>
      <w:pPr>
        <w:spacing w:after="0" w:line="200" w:lineRule="exact"/>
        <w:rPr>
          <w:sz w:val="20"/>
          <w:szCs w:val="20"/>
          <w:color w:val="auto"/>
        </w:rPr>
      </w:pPr>
    </w:p>
    <w:p>
      <w:pPr>
        <w:spacing w:after="0" w:line="276" w:lineRule="exact"/>
        <w:rPr>
          <w:sz w:val="20"/>
          <w:szCs w:val="20"/>
          <w:color w:val="auto"/>
        </w:rPr>
      </w:pPr>
    </w:p>
    <w:p>
      <w:pPr>
        <w:ind w:left="980" w:hanging="324"/>
        <w:spacing w:after="0" w:line="299" w:lineRule="auto"/>
        <w:tabs>
          <w:tab w:leader="none" w:pos="9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During the term of the Post-Board Agreement, you will not use the names “CME” or “Chicago Mercantile Exchange” or any related logo or trademark, or any other trademark or intellectual property owned or used by any CME Entity (“</w:t>
      </w:r>
      <w:r>
        <w:rPr>
          <w:rFonts w:ascii="Arial" w:cs="Arial" w:eastAsia="Arial" w:hAnsi="Arial"/>
          <w:sz w:val="21"/>
          <w:szCs w:val="21"/>
          <w:u w:val="single" w:color="auto"/>
          <w:color w:val="auto"/>
        </w:rPr>
        <w:t>CME</w:t>
      </w:r>
      <w:r>
        <w:rPr>
          <w:rFonts w:ascii="Arial" w:cs="Arial" w:eastAsia="Arial" w:hAnsi="Arial"/>
          <w:sz w:val="21"/>
          <w:szCs w:val="21"/>
          <w:color w:val="auto"/>
        </w:rPr>
        <w:t xml:space="preserve"> </w:t>
      </w:r>
      <w:r>
        <w:rPr>
          <w:rFonts w:ascii="Arial" w:cs="Arial" w:eastAsia="Arial" w:hAnsi="Arial"/>
          <w:sz w:val="21"/>
          <w:szCs w:val="21"/>
          <w:u w:val="single" w:color="auto"/>
          <w:color w:val="auto"/>
        </w:rPr>
        <w:t>IP</w:t>
      </w:r>
      <w:r>
        <w:rPr>
          <w:rFonts w:ascii="Arial" w:cs="Arial" w:eastAsia="Arial" w:hAnsi="Arial"/>
          <w:sz w:val="21"/>
          <w:szCs w:val="21"/>
          <w:color w:val="auto"/>
        </w:rPr>
        <w:t>”), or otherwise use or make reference to your prior relationship, experience or role with any CME Entity, to (i) promote any product, service, business or enterprise, whether offered by you or by any other entity or (ii) otherwise further the interests of any entity, in each case regardless of whether such entity engages in a business that is competitive with any CME Entity. Notwithstanding the foregoing, you may use the name or CME IP of any CME Entity in a non-promotional manner in your resume, curriculum vitae or other description of your prior professional experience that is not inconsistent with the foregoing.</w:t>
      </w:r>
    </w:p>
    <w:p>
      <w:pPr>
        <w:spacing w:after="0" w:line="200" w:lineRule="exact"/>
        <w:rPr>
          <w:sz w:val="20"/>
          <w:szCs w:val="20"/>
          <w:color w:val="auto"/>
        </w:rPr>
      </w:pPr>
    </w:p>
    <w:p>
      <w:pPr>
        <w:spacing w:after="0" w:line="202" w:lineRule="exact"/>
        <w:rPr>
          <w:sz w:val="20"/>
          <w:szCs w:val="20"/>
          <w:color w:val="auto"/>
        </w:rPr>
      </w:pPr>
    </w:p>
    <w:p>
      <w:pPr>
        <w:ind w:left="1140" w:right="120" w:hanging="485"/>
        <w:spacing w:after="0" w:line="292" w:lineRule="auto"/>
        <w:rPr>
          <w:sz w:val="20"/>
          <w:szCs w:val="20"/>
          <w:color w:val="auto"/>
        </w:rPr>
      </w:pPr>
      <w:r>
        <w:rPr>
          <w:rFonts w:ascii="Arial" w:cs="Arial" w:eastAsia="Arial" w:hAnsi="Arial"/>
          <w:sz w:val="22"/>
          <w:szCs w:val="22"/>
          <w:color w:val="auto"/>
        </w:rPr>
        <w:t>4.Effective upon your retirement from the Board of Directors of CME on May 9, 2018, you resign from the Chicago Mercantile Exchange Trust and CME Group Foundation, and any other board or board committee of any CME Entity that you serve on.</w:t>
      </w:r>
    </w:p>
    <w:p>
      <w:pPr>
        <w:spacing w:after="0" w:line="400" w:lineRule="exact"/>
        <w:rPr>
          <w:sz w:val="20"/>
          <w:szCs w:val="20"/>
          <w:color w:val="auto"/>
        </w:rPr>
      </w:pPr>
    </w:p>
    <w:p>
      <w:pPr>
        <w:ind w:left="1140" w:right="100" w:hanging="485"/>
        <w:spacing w:after="0" w:line="328" w:lineRule="auto"/>
        <w:rPr>
          <w:sz w:val="20"/>
          <w:szCs w:val="20"/>
          <w:color w:val="auto"/>
        </w:rPr>
      </w:pPr>
      <w:r>
        <w:rPr>
          <w:rFonts w:ascii="Arial" w:cs="Arial" w:eastAsia="Arial" w:hAnsi="Arial"/>
          <w:sz w:val="21"/>
          <w:szCs w:val="21"/>
          <w:color w:val="auto"/>
        </w:rPr>
        <w:t>5.Each reference in the Post-Board Agreement to “this Agreement,” “hereof,” “herein,” “hereunder,” “hereby” or any other similar reference shall be deemed to refer to the Post-Board Agreement as amended hereby.</w:t>
      </w:r>
    </w:p>
    <w:p>
      <w:pPr>
        <w:spacing w:after="0" w:line="366" w:lineRule="exact"/>
        <w:rPr>
          <w:sz w:val="20"/>
          <w:szCs w:val="20"/>
          <w:color w:val="auto"/>
        </w:rPr>
      </w:pPr>
    </w:p>
    <w:p>
      <w:pPr>
        <w:ind w:left="1140" w:right="20" w:hanging="485"/>
        <w:spacing w:after="0" w:line="287" w:lineRule="auto"/>
        <w:rPr>
          <w:sz w:val="20"/>
          <w:szCs w:val="20"/>
          <w:color w:val="auto"/>
        </w:rPr>
      </w:pPr>
      <w:r>
        <w:rPr>
          <w:rFonts w:ascii="Arial" w:cs="Arial" w:eastAsia="Arial" w:hAnsi="Arial"/>
          <w:sz w:val="22"/>
          <w:szCs w:val="22"/>
          <w:color w:val="auto"/>
        </w:rPr>
        <w:t>6.This letter agreement shall be effective as of the date hereof. Except as expressly provided above, all terms, conditions and provisions contained in the Post-Board Agreement are hereby ratified and confirmed and shall remain in full force and effect without any further change or modification whatsoever. This letter agreement is made a part of, and is incorporated into, the Post-Board Agreement and is subject to all terms, conditions and provisions contained therein as amended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1011540.03D-CHISR01A - MSW</w:t>
      </w:r>
    </w:p>
    <w:p>
      <w:pPr>
        <w:sectPr>
          <w:pgSz w:w="11900" w:h="16838" w:orient="portrait"/>
          <w:cols w:equalWidth="0" w:num="1">
            <w:col w:w="11420"/>
          </w:cols>
          <w:pgMar w:left="240" w:top="604" w:right="239" w:bottom="1440" w:gutter="0" w:footer="0" w:header="0"/>
        </w:sectPr>
      </w:pPr>
    </w:p>
    <w:bookmarkStart w:id="33" w:name="page34"/>
    <w:bookmarkEnd w:id="33"/>
    <w:p>
      <w:pPr>
        <w:ind w:left="1140" w:hanging="485"/>
        <w:spacing w:after="0" w:line="302" w:lineRule="auto"/>
        <w:rPr>
          <w:sz w:val="20"/>
          <w:szCs w:val="20"/>
          <w:color w:val="auto"/>
        </w:rPr>
      </w:pPr>
      <w:r>
        <w:rPr>
          <w:rFonts w:ascii="Arial" w:cs="Arial" w:eastAsia="Arial" w:hAnsi="Arial"/>
          <w:sz w:val="22"/>
          <w:szCs w:val="22"/>
          <w:color w:val="auto"/>
        </w:rPr>
        <w:t>7.The provisions of Sections 8 through 11 of the Post-Board Agreement are incorporated herein by reference on a mutatis mutandis basis.</w:t>
      </w:r>
    </w:p>
    <w:p>
      <w:pPr>
        <w:spacing w:after="0" w:line="390" w:lineRule="exact"/>
        <w:rPr>
          <w:sz w:val="20"/>
          <w:szCs w:val="20"/>
          <w:color w:val="auto"/>
        </w:rPr>
      </w:pPr>
    </w:p>
    <w:p>
      <w:pPr>
        <w:ind w:left="7120"/>
        <w:spacing w:after="0"/>
        <w:tabs>
          <w:tab w:leader="none" w:pos="7420" w:val="left"/>
          <w:tab w:leader="none" w:pos="7740" w:val="left"/>
        </w:tabs>
        <w:rPr>
          <w:sz w:val="20"/>
          <w:szCs w:val="20"/>
          <w:color w:val="auto"/>
        </w:rPr>
      </w:pPr>
      <w:r>
        <w:rPr>
          <w:rFonts w:ascii="Arial" w:cs="Arial" w:eastAsia="Arial" w:hAnsi="Arial"/>
          <w:sz w:val="22"/>
          <w:szCs w:val="22"/>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1011540.03D-CHISR01A - MSW</w:t>
      </w:r>
    </w:p>
    <w:p>
      <w:pPr>
        <w:sectPr>
          <w:pgSz w:w="11900" w:h="16838" w:orient="portrait"/>
          <w:cols w:equalWidth="0" w:num="1">
            <w:col w:w="11160"/>
          </w:cols>
          <w:pgMar w:left="240" w:top="604" w:right="499" w:bottom="1440" w:gutter="0" w:footer="0" w:header="0"/>
        </w:sectPr>
      </w:pPr>
    </w:p>
    <w:bookmarkStart w:id="34" w:name="page35"/>
    <w:bookmarkEnd w:id="34"/>
    <w:p>
      <w:pPr>
        <w:ind w:firstLine="648"/>
        <w:spacing w:after="0" w:line="302" w:lineRule="auto"/>
        <w:rPr>
          <w:sz w:val="20"/>
          <w:szCs w:val="20"/>
          <w:color w:val="auto"/>
        </w:rPr>
      </w:pPr>
      <w:r>
        <w:rPr>
          <w:rFonts w:ascii="Arial" w:cs="Arial" w:eastAsia="Arial" w:hAnsi="Arial"/>
          <w:sz w:val="22"/>
          <w:szCs w:val="22"/>
          <w:color w:val="auto"/>
        </w:rPr>
        <w:t>Please confirm that the foregoing letter agreement correctly sets forth the agreement between CME and yourself by signing and returning to CME one of the enclosed copies of this letter.</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4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Very truly yours,</w:t>
            </w:r>
          </w:p>
        </w:tc>
      </w:tr>
      <w:tr>
        <w:trPr>
          <w:trHeight w:val="689"/>
        </w:trPr>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CME GROUP INC.</w:t>
            </w:r>
          </w:p>
        </w:tc>
      </w:tr>
      <w:tr>
        <w:trPr>
          <w:trHeight w:val="652"/>
        </w:trPr>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Terrence A. Duffy</w:t>
            </w:r>
          </w:p>
        </w:tc>
        <w:tc>
          <w:tcPr>
            <w:tcW w:w="380" w:type="dxa"/>
            <w:vAlign w:val="bottom"/>
          </w:tcPr>
          <w:p>
            <w:pPr>
              <w:spacing w:after="0"/>
              <w:rPr>
                <w:sz w:val="24"/>
                <w:szCs w:val="24"/>
                <w:color w:val="auto"/>
              </w:rPr>
            </w:pPr>
          </w:p>
        </w:tc>
      </w:tr>
      <w:tr>
        <w:trPr>
          <w:trHeight w:val="341"/>
        </w:trPr>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Terrence A. Duffy</w:t>
            </w:r>
          </w:p>
        </w:tc>
      </w:tr>
      <w:tr>
        <w:trPr>
          <w:trHeight w:val="311"/>
        </w:trPr>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Chairman and CEO</w:t>
            </w:r>
          </w:p>
        </w:tc>
      </w:tr>
      <w:tr>
        <w:trPr>
          <w:trHeight w:val="689"/>
        </w:trPr>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April 23, 2018</w:t>
            </w:r>
          </w:p>
        </w:tc>
      </w:tr>
      <w:tr>
        <w:trPr>
          <w:trHeight w:val="833"/>
        </w:trPr>
        <w:tc>
          <w:tcPr>
            <w:tcW w:w="4380" w:type="dxa"/>
            <w:vAlign w:val="bottom"/>
            <w:gridSpan w:val="2"/>
          </w:tcPr>
          <w:p>
            <w:pPr>
              <w:spacing w:after="0"/>
              <w:rPr>
                <w:sz w:val="20"/>
                <w:szCs w:val="20"/>
                <w:color w:val="auto"/>
              </w:rPr>
            </w:pPr>
            <w:r>
              <w:rPr>
                <w:rFonts w:ascii="Arial" w:cs="Arial" w:eastAsia="Arial" w:hAnsi="Arial"/>
                <w:sz w:val="22"/>
                <w:szCs w:val="22"/>
                <w:color w:val="auto"/>
              </w:rPr>
              <w:t>Agreed and Accepted as of</w:t>
            </w:r>
          </w:p>
        </w:tc>
        <w:tc>
          <w:tcPr>
            <w:tcW w:w="1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5"/>
        </w:trPr>
        <w:tc>
          <w:tcPr>
            <w:tcW w:w="4380" w:type="dxa"/>
            <w:vAlign w:val="bottom"/>
            <w:gridSpan w:val="2"/>
          </w:tcPr>
          <w:p>
            <w:pPr>
              <w:spacing w:after="0"/>
              <w:rPr>
                <w:sz w:val="20"/>
                <w:szCs w:val="20"/>
                <w:color w:val="auto"/>
              </w:rPr>
            </w:pPr>
            <w:r>
              <w:rPr>
                <w:rFonts w:ascii="Arial" w:cs="Arial" w:eastAsia="Arial" w:hAnsi="Arial"/>
                <w:sz w:val="22"/>
                <w:szCs w:val="22"/>
                <w:color w:val="auto"/>
              </w:rPr>
              <w:t>April 27, 2018</w:t>
            </w:r>
          </w:p>
        </w:tc>
        <w:tc>
          <w:tcPr>
            <w:tcW w:w="3860" w:type="dxa"/>
            <w:vAlign w:val="bottom"/>
            <w:gridSpan w:val="3"/>
          </w:tcPr>
          <w:p>
            <w:pPr>
              <w:ind w:left="1320"/>
              <w:spacing w:after="0"/>
              <w:rPr>
                <w:sz w:val="20"/>
                <w:szCs w:val="20"/>
                <w:color w:val="auto"/>
              </w:rPr>
            </w:pPr>
            <w:r>
              <w:rPr>
                <w:rFonts w:ascii="Arial" w:cs="Arial" w:eastAsia="Arial" w:hAnsi="Arial"/>
                <w:sz w:val="22"/>
                <w:szCs w:val="22"/>
                <w:color w:val="auto"/>
                <w:w w:val="88"/>
              </w:rPr>
              <w:t>Address for Notice Purposes:</w:t>
            </w:r>
          </w:p>
        </w:tc>
      </w:tr>
      <w:tr>
        <w:trPr>
          <w:trHeight w:val="544"/>
        </w:trPr>
        <w:tc>
          <w:tcPr>
            <w:tcW w:w="1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Leo Melamed</w:t>
            </w:r>
          </w:p>
        </w:tc>
        <w:tc>
          <w:tcPr>
            <w:tcW w:w="2920" w:type="dxa"/>
            <w:vAlign w:val="bottom"/>
          </w:tcPr>
          <w:p>
            <w:pPr>
              <w:spacing w:after="0"/>
              <w:rPr>
                <w:sz w:val="24"/>
                <w:szCs w:val="24"/>
                <w:color w:val="auto"/>
              </w:rPr>
            </w:pPr>
          </w:p>
        </w:tc>
        <w:tc>
          <w:tcPr>
            <w:tcW w:w="3860" w:type="dxa"/>
            <w:vAlign w:val="bottom"/>
            <w:gridSpan w:val="3"/>
          </w:tcPr>
          <w:p>
            <w:pPr>
              <w:ind w:left="1320"/>
              <w:spacing w:after="0"/>
              <w:rPr>
                <w:sz w:val="20"/>
                <w:szCs w:val="20"/>
                <w:color w:val="auto"/>
              </w:rPr>
            </w:pPr>
            <w:r>
              <w:rPr>
                <w:rFonts w:ascii="Arial" w:cs="Arial" w:eastAsia="Arial" w:hAnsi="Arial"/>
                <w:sz w:val="22"/>
                <w:szCs w:val="22"/>
                <w:color w:val="auto"/>
              </w:rPr>
              <w:t>CME Group Inc.</w:t>
            </w:r>
          </w:p>
        </w:tc>
      </w:tr>
      <w:tr>
        <w:trPr>
          <w:trHeight w:val="242"/>
        </w:trPr>
        <w:tc>
          <w:tcPr>
            <w:tcW w:w="4380" w:type="dxa"/>
            <w:vAlign w:val="bottom"/>
            <w:gridSpan w:val="2"/>
          </w:tcPr>
          <w:p>
            <w:pPr>
              <w:spacing w:after="0" w:line="242" w:lineRule="exact"/>
              <w:rPr>
                <w:sz w:val="20"/>
                <w:szCs w:val="20"/>
                <w:color w:val="auto"/>
              </w:rPr>
            </w:pPr>
            <w:r>
              <w:rPr>
                <w:rFonts w:ascii="Arial" w:cs="Arial" w:eastAsia="Arial" w:hAnsi="Arial"/>
                <w:sz w:val="22"/>
                <w:szCs w:val="22"/>
                <w:color w:val="auto"/>
              </w:rPr>
              <w:t>Leo Melamed</w:t>
            </w:r>
          </w:p>
        </w:tc>
        <w:tc>
          <w:tcPr>
            <w:tcW w:w="3860" w:type="dxa"/>
            <w:vAlign w:val="bottom"/>
            <w:gridSpan w:val="3"/>
          </w:tcPr>
          <w:p>
            <w:pPr>
              <w:ind w:left="1320"/>
              <w:spacing w:after="0" w:line="242" w:lineRule="exact"/>
              <w:rPr>
                <w:sz w:val="20"/>
                <w:szCs w:val="20"/>
                <w:color w:val="auto"/>
              </w:rPr>
            </w:pPr>
            <w:r>
              <w:rPr>
                <w:rFonts w:ascii="Arial" w:cs="Arial" w:eastAsia="Arial" w:hAnsi="Arial"/>
                <w:sz w:val="22"/>
                <w:szCs w:val="22"/>
                <w:color w:val="auto"/>
              </w:rPr>
              <w:t>20 South Wacker Drive</w:t>
            </w:r>
          </w:p>
        </w:tc>
      </w:tr>
      <w:tr>
        <w:trPr>
          <w:trHeight w:val="243"/>
        </w:trPr>
        <w:tc>
          <w:tcPr>
            <w:tcW w:w="14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860" w:type="dxa"/>
            <w:vAlign w:val="bottom"/>
            <w:gridSpan w:val="3"/>
          </w:tcPr>
          <w:p>
            <w:pPr>
              <w:ind w:left="1320"/>
              <w:spacing w:after="0" w:line="243" w:lineRule="exact"/>
              <w:rPr>
                <w:sz w:val="20"/>
                <w:szCs w:val="20"/>
                <w:color w:val="auto"/>
              </w:rPr>
            </w:pPr>
            <w:r>
              <w:rPr>
                <w:rFonts w:ascii="Arial" w:cs="Arial" w:eastAsia="Arial" w:hAnsi="Arial"/>
                <w:sz w:val="22"/>
                <w:szCs w:val="22"/>
                <w:color w:val="auto"/>
              </w:rPr>
              <w:t>Chicago, IL 60606</w:t>
            </w:r>
          </w:p>
        </w:tc>
      </w:tr>
      <w:tr>
        <w:trPr>
          <w:trHeight w:val="275"/>
        </w:trPr>
        <w:tc>
          <w:tcPr>
            <w:tcW w:w="14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3860" w:type="dxa"/>
            <w:vAlign w:val="bottom"/>
            <w:gridSpan w:val="3"/>
          </w:tcPr>
          <w:p>
            <w:pPr>
              <w:ind w:left="1320"/>
              <w:spacing w:after="0"/>
              <w:rPr>
                <w:sz w:val="20"/>
                <w:szCs w:val="20"/>
                <w:color w:val="auto"/>
              </w:rPr>
            </w:pPr>
            <w:r>
              <w:rPr>
                <w:rFonts w:ascii="Arial" w:cs="Arial" w:eastAsia="Arial" w:hAnsi="Arial"/>
                <w:sz w:val="22"/>
                <w:szCs w:val="22"/>
                <w:color w:val="auto"/>
                <w:w w:val="95"/>
              </w:rPr>
              <w:t>Attention: General Counsel</w:t>
            </w:r>
          </w:p>
        </w:tc>
      </w:tr>
      <w:tr>
        <w:trPr>
          <w:trHeight w:val="297"/>
        </w:trPr>
        <w:tc>
          <w:tcPr>
            <w:tcW w:w="4380" w:type="dxa"/>
            <w:vAlign w:val="bottom"/>
            <w:gridSpan w:val="2"/>
          </w:tcPr>
          <w:p>
            <w:pPr>
              <w:spacing w:after="0"/>
              <w:rPr>
                <w:sz w:val="20"/>
                <w:szCs w:val="20"/>
                <w:color w:val="auto"/>
              </w:rPr>
            </w:pPr>
            <w:r>
              <w:rPr>
                <w:rFonts w:ascii="Arial" w:cs="Arial" w:eastAsia="Arial" w:hAnsi="Arial"/>
                <w:sz w:val="22"/>
                <w:szCs w:val="22"/>
                <w:color w:val="auto"/>
              </w:rPr>
              <w:t>Address for Notice Purposes:</w:t>
            </w:r>
          </w:p>
        </w:tc>
        <w:tc>
          <w:tcPr>
            <w:tcW w:w="1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63"/>
        </w:trPr>
        <w:tc>
          <w:tcPr>
            <w:tcW w:w="4380" w:type="dxa"/>
            <w:vAlign w:val="bottom"/>
            <w:gridSpan w:val="2"/>
          </w:tcPr>
          <w:p>
            <w:pPr>
              <w:spacing w:after="0"/>
              <w:rPr>
                <w:sz w:val="20"/>
                <w:szCs w:val="20"/>
                <w:color w:val="auto"/>
              </w:rPr>
            </w:pPr>
            <w:r>
              <w:rPr>
                <w:rFonts w:ascii="Arial" w:cs="Arial" w:eastAsia="Arial" w:hAnsi="Arial"/>
                <w:sz w:val="22"/>
                <w:szCs w:val="22"/>
                <w:color w:val="auto"/>
              </w:rPr>
              <w:t>Melamed &amp; Associates</w:t>
            </w:r>
          </w:p>
        </w:tc>
        <w:tc>
          <w:tcPr>
            <w:tcW w:w="1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4380" w:type="dxa"/>
            <w:vAlign w:val="bottom"/>
            <w:gridSpan w:val="2"/>
          </w:tcPr>
          <w:p>
            <w:pPr>
              <w:spacing w:after="0" w:line="243" w:lineRule="exact"/>
              <w:rPr>
                <w:sz w:val="20"/>
                <w:szCs w:val="20"/>
                <w:color w:val="auto"/>
              </w:rPr>
            </w:pPr>
            <w:r>
              <w:rPr>
                <w:rFonts w:ascii="Arial" w:cs="Arial" w:eastAsia="Arial" w:hAnsi="Arial"/>
                <w:sz w:val="22"/>
                <w:szCs w:val="22"/>
                <w:color w:val="auto"/>
              </w:rPr>
              <w:t>30 South Wacker Drive, Suite 1625</w:t>
            </w:r>
          </w:p>
        </w:tc>
        <w:tc>
          <w:tcPr>
            <w:tcW w:w="1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5"/>
        </w:trPr>
        <w:tc>
          <w:tcPr>
            <w:tcW w:w="4380" w:type="dxa"/>
            <w:vAlign w:val="bottom"/>
            <w:gridSpan w:val="2"/>
          </w:tcPr>
          <w:p>
            <w:pPr>
              <w:spacing w:after="0"/>
              <w:rPr>
                <w:sz w:val="20"/>
                <w:szCs w:val="20"/>
                <w:color w:val="auto"/>
              </w:rPr>
            </w:pPr>
            <w:r>
              <w:rPr>
                <w:rFonts w:ascii="Arial" w:cs="Arial" w:eastAsia="Arial" w:hAnsi="Arial"/>
                <w:sz w:val="22"/>
                <w:szCs w:val="22"/>
                <w:color w:val="auto"/>
              </w:rPr>
              <w:t>Chicago, IL 60606</w:t>
            </w:r>
          </w:p>
        </w:tc>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1011540.03D-CHISR01A - MSW</w:t>
      </w:r>
    </w:p>
    <w:p>
      <w:pPr>
        <w:sectPr>
          <w:pgSz w:w="11900" w:h="16838" w:orient="portrait"/>
          <w:cols w:equalWidth="0" w:num="1">
            <w:col w:w="11320"/>
          </w:cols>
          <w:pgMar w:left="240" w:top="60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52654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26540" cy="325755"/>
                    </a:xfrm>
                    <a:prstGeom prst="rect">
                      <a:avLst/>
                    </a:prstGeom>
                    <a:noFill/>
                  </pic:spPr>
                </pic:pic>
              </a:graphicData>
            </a:graphic>
          </wp:anchor>
        </w:drawing>
        <w:t>Terrence A. Duffy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Chairman and CEO</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23, 2018</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Mr. John F. Sandner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John F. Sandner &amp; Associates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30 S. Wacker #1912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Mr. Sandner:</w:t>
      </w:r>
    </w:p>
    <w:p>
      <w:pPr>
        <w:spacing w:after="0" w:line="200" w:lineRule="exact"/>
        <w:rPr>
          <w:sz w:val="20"/>
          <w:szCs w:val="20"/>
          <w:color w:val="auto"/>
        </w:rPr>
      </w:pPr>
    </w:p>
    <w:p>
      <w:pPr>
        <w:spacing w:after="0" w:line="236" w:lineRule="exact"/>
        <w:rPr>
          <w:sz w:val="20"/>
          <w:szCs w:val="20"/>
          <w:color w:val="auto"/>
        </w:rPr>
      </w:pPr>
    </w:p>
    <w:p>
      <w:pPr>
        <w:ind w:right="260" w:firstLine="648"/>
        <w:spacing w:after="0" w:line="311" w:lineRule="auto"/>
        <w:rPr>
          <w:sz w:val="20"/>
          <w:szCs w:val="20"/>
          <w:color w:val="auto"/>
        </w:rPr>
      </w:pPr>
      <w:r>
        <w:rPr>
          <w:rFonts w:ascii="Arial" w:cs="Arial" w:eastAsia="Arial" w:hAnsi="Arial"/>
          <w:sz w:val="21"/>
          <w:szCs w:val="21"/>
          <w:color w:val="auto"/>
        </w:rPr>
        <w:t>This letter agreement will confirm the terms of your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with the undersigned CME Group Inc. (“</w:t>
      </w:r>
      <w:r>
        <w:rPr>
          <w:rFonts w:ascii="Arial" w:cs="Arial" w:eastAsia="Arial" w:hAnsi="Arial"/>
          <w:sz w:val="21"/>
          <w:szCs w:val="21"/>
          <w:u w:val="single" w:color="auto"/>
          <w:color w:val="auto"/>
        </w:rPr>
        <w:t>CME</w:t>
      </w:r>
      <w:r>
        <w:rPr>
          <w:rFonts w:ascii="Arial" w:cs="Arial" w:eastAsia="Arial" w:hAnsi="Arial"/>
          <w:sz w:val="21"/>
          <w:szCs w:val="21"/>
          <w:color w:val="auto"/>
        </w:rPr>
        <w:t>”), with respect to your performance of consulting services for CME and its subsidiaries and affiliates (collectively with CME, the “</w:t>
      </w:r>
      <w:r>
        <w:rPr>
          <w:rFonts w:ascii="Arial" w:cs="Arial" w:eastAsia="Arial" w:hAnsi="Arial"/>
          <w:sz w:val="21"/>
          <w:szCs w:val="21"/>
          <w:u w:val="single" w:color="auto"/>
          <w:color w:val="auto"/>
        </w:rPr>
        <w:t>CME Entities</w:t>
      </w:r>
      <w:r>
        <w:rPr>
          <w:rFonts w:ascii="Arial" w:cs="Arial" w:eastAsia="Arial" w:hAnsi="Arial"/>
          <w:sz w:val="21"/>
          <w:szCs w:val="21"/>
          <w:color w:val="auto"/>
        </w:rPr>
        <w:t>”) following your retirement from the Board of Directors of CME (the “</w:t>
      </w:r>
      <w:r>
        <w:rPr>
          <w:rFonts w:ascii="Arial" w:cs="Arial" w:eastAsia="Arial" w:hAnsi="Arial"/>
          <w:sz w:val="21"/>
          <w:szCs w:val="21"/>
          <w:u w:val="single" w:color="auto"/>
          <w:color w:val="auto"/>
        </w:rPr>
        <w:t>Board</w:t>
      </w:r>
      <w:r>
        <w:rPr>
          <w:rFonts w:ascii="Arial" w:cs="Arial" w:eastAsia="Arial" w:hAnsi="Arial"/>
          <w:sz w:val="21"/>
          <w:szCs w:val="21"/>
          <w:color w:val="auto"/>
        </w:rPr>
        <w:t>”).</w:t>
      </w:r>
    </w:p>
    <w:p>
      <w:pPr>
        <w:spacing w:after="0" w:line="385" w:lineRule="exact"/>
        <w:rPr>
          <w:sz w:val="20"/>
          <w:szCs w:val="20"/>
          <w:color w:val="auto"/>
        </w:rPr>
      </w:pPr>
    </w:p>
    <w:p>
      <w:pPr>
        <w:ind w:left="980" w:right="60" w:hanging="324"/>
        <w:spacing w:after="0" w:line="328" w:lineRule="auto"/>
        <w:tabs>
          <w:tab w:leader="none" w:pos="98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commence effective upon the actual date of your retirement from the Board and shall end on the second anniversary thereof, unless sooner terminated as provided herein (“</w:t>
      </w: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366" w:lineRule="exact"/>
        <w:rPr>
          <w:rFonts w:ascii="Arial" w:cs="Arial" w:eastAsia="Arial" w:hAnsi="Arial"/>
          <w:sz w:val="21"/>
          <w:szCs w:val="21"/>
          <w:color w:val="auto"/>
        </w:rPr>
      </w:pPr>
    </w:p>
    <w:p>
      <w:pPr>
        <w:ind w:left="980" w:right="180" w:hanging="324"/>
        <w:spacing w:after="0" w:line="333" w:lineRule="auto"/>
        <w:tabs>
          <w:tab w:leader="none" w:pos="98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Scope of Consulting Services</w:t>
      </w:r>
      <w:r>
        <w:rPr>
          <w:rFonts w:ascii="Arial" w:cs="Arial" w:eastAsia="Arial" w:hAnsi="Arial"/>
          <w:sz w:val="19"/>
          <w:szCs w:val="19"/>
          <w:color w:val="auto"/>
        </w:rPr>
        <w:t>. During the Term, you will render consulting services to the CME Entities upon request with respect to the businesses of the CME Entities and other matters in which you have expertise. In providing such services, you shall comply with all applicable laws, statutes, regulations, orders, codes and other acts of any applicable governmental authority and the policies, standards and regulations of CME and the CME Entities. You will personally perform all of the consulting services required under this Agreement. Any request for consulting services under this Agreement will be made by the Chief Executive Officer of CME. The Chief Executive Officer insofar as reasonably practicable, shall consider your convenience in the timing of his requests, and your failure or inability, by reason of temporary illness or other cause beyond your control or because of your absence for reasonable periods, to respond to such requests during any such temporary period shall not be deemed to constitute a default on your part in the performance of your consulting services under this Agreement.</w:t>
      </w:r>
    </w:p>
    <w:p>
      <w:pPr>
        <w:spacing w:after="0" w:line="371" w:lineRule="exact"/>
        <w:rPr>
          <w:rFonts w:ascii="Arial" w:cs="Arial" w:eastAsia="Arial" w:hAnsi="Arial"/>
          <w:sz w:val="19"/>
          <w:szCs w:val="19"/>
          <w:color w:val="auto"/>
        </w:rPr>
      </w:pPr>
    </w:p>
    <w:p>
      <w:pPr>
        <w:ind w:left="980" w:right="60" w:hanging="324"/>
        <w:spacing w:after="0" w:line="302" w:lineRule="auto"/>
        <w:tabs>
          <w:tab w:leader="none" w:pos="9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Consulting Fee</w:t>
      </w:r>
      <w:r>
        <w:rPr>
          <w:rFonts w:ascii="Arial" w:cs="Arial" w:eastAsia="Arial" w:hAnsi="Arial"/>
          <w:sz w:val="22"/>
          <w:szCs w:val="22"/>
          <w:color w:val="auto"/>
        </w:rPr>
        <w:t>. In consideration for your consulting services and the non-compete and confidentiality provisions of this Agreement, CME shall pay to you $1,000,000</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1011537.04-CHISR01A - MSW</w:t>
      </w:r>
    </w:p>
    <w:p>
      <w:pPr>
        <w:sectPr>
          <w:pgSz w:w="11900" w:h="16838" w:orient="portrait"/>
          <w:cols w:equalWidth="0" w:num="1">
            <w:col w:w="11420"/>
          </w:cols>
          <w:pgMar w:left="240" w:top="888" w:right="239" w:bottom="1440" w:gutter="0" w:footer="0" w:header="0"/>
        </w:sectPr>
      </w:pPr>
    </w:p>
    <w:bookmarkStart w:id="36" w:name="page37"/>
    <w:bookmarkEnd w:id="36"/>
    <w:p>
      <w:pPr>
        <w:ind w:left="980" w:right="40"/>
        <w:spacing w:after="0" w:line="306" w:lineRule="auto"/>
        <w:rPr>
          <w:sz w:val="20"/>
          <w:szCs w:val="20"/>
          <w:color w:val="auto"/>
        </w:rPr>
      </w:pPr>
      <w:r>
        <w:rPr>
          <w:rFonts w:ascii="Arial" w:cs="Arial" w:eastAsia="Arial" w:hAnsi="Arial"/>
          <w:sz w:val="21"/>
          <w:szCs w:val="21"/>
          <w:color w:val="auto"/>
        </w:rPr>
        <w:t>per annum during the Term, payable in four equal installments of $250,000 and a pro-rata amount for periods less than a full three-month period. The first such installment shall be paid as soon as practicable following the beginning of the Term, with respect to the first three-month period, and all subsequent installments shall be due and payable on or about the first day of each subsequent three-month period during the Term.</w:t>
      </w:r>
    </w:p>
    <w:p>
      <w:pPr>
        <w:spacing w:after="0" w:line="389" w:lineRule="exact"/>
        <w:rPr>
          <w:sz w:val="20"/>
          <w:szCs w:val="20"/>
          <w:color w:val="auto"/>
        </w:rPr>
      </w:pPr>
    </w:p>
    <w:p>
      <w:pPr>
        <w:ind w:left="980" w:right="20" w:hanging="324"/>
        <w:spacing w:after="0" w:line="301"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Expense Reimbursement / Other Benefits</w:t>
      </w:r>
      <w:r>
        <w:rPr>
          <w:rFonts w:ascii="Arial" w:cs="Arial" w:eastAsia="Arial" w:hAnsi="Arial"/>
          <w:sz w:val="21"/>
          <w:szCs w:val="21"/>
          <w:color w:val="auto"/>
        </w:rPr>
        <w:t>. During the Term, CME shall reimburse you for, or advance to you, all reasonable and necessary out-of-pocket travel and other expenses incurred by you at the specific request of a CME Entity and otherwise consistent with CME expense reimbursement policies from time to time in effect in connection with your performance of consulting services hereunder. Such expenses shall be reimbursed or advanced promptly after your submission to CME of expense statements, including copies of receipts and other documents verifying the amounts included therein, in such reasonable detail as CME may require.</w:t>
      </w:r>
    </w:p>
    <w:p>
      <w:pPr>
        <w:spacing w:after="0" w:line="397" w:lineRule="exact"/>
        <w:rPr>
          <w:rFonts w:ascii="Arial" w:cs="Arial" w:eastAsia="Arial" w:hAnsi="Arial"/>
          <w:sz w:val="21"/>
          <w:szCs w:val="21"/>
          <w:color w:val="auto"/>
        </w:rPr>
      </w:pPr>
    </w:p>
    <w:p>
      <w:pPr>
        <w:ind w:left="980" w:hanging="324"/>
        <w:spacing w:after="0" w:line="335" w:lineRule="auto"/>
        <w:tabs>
          <w:tab w:leader="none" w:pos="98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Nature of the Consulting Relationship</w:t>
      </w:r>
      <w:r>
        <w:rPr>
          <w:rFonts w:ascii="Arial" w:cs="Arial" w:eastAsia="Arial" w:hAnsi="Arial"/>
          <w:sz w:val="19"/>
          <w:szCs w:val="19"/>
          <w:color w:val="auto"/>
        </w:rPr>
        <w:t>. You will perform the consulting services required under this Agreement as an independent contractor to, and not as an agent or employee of, any CME Entity. Except as and to the extent that a CME Entity, as the case may be, may otherwise prescribe in writing, you shall not have any authority to negotiate or to conclude any contracts on behalf of, or otherwise bind, CME or any other CME Entity. You shall be solely responsible for and shall pay all amounts of applicable federal and state income and self-employment taxes. You shall not be eligible to participate in any employee benefit, group insurance or compensation plans or programs maintained by any CME Entity. Neither CME nor any other CME Entity shall provide Social Security, unemployment compensation, disability insurance, workers’ compensation or similar coverage, or any other statutory employment benefit, to you.</w:t>
      </w:r>
    </w:p>
    <w:p>
      <w:pPr>
        <w:spacing w:after="0" w:line="369" w:lineRule="exact"/>
        <w:rPr>
          <w:rFonts w:ascii="Arial" w:cs="Arial" w:eastAsia="Arial" w:hAnsi="Arial"/>
          <w:sz w:val="19"/>
          <w:szCs w:val="19"/>
          <w:color w:val="auto"/>
        </w:rPr>
      </w:pPr>
    </w:p>
    <w:p>
      <w:pPr>
        <w:ind w:left="980" w:hanging="324"/>
        <w:spacing w:after="0"/>
        <w:tabs>
          <w:tab w:leader="none" w:pos="98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60" w:right="20" w:hanging="655"/>
        <w:spacing w:after="0" w:line="341" w:lineRule="auto"/>
        <w:tabs>
          <w:tab w:leader="none" w:pos="19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During the Term and for a period of one year thereafter, you will not, without the prior written consent of CME (i) render any services whether or not for compensation, to other individuals, firms, corporations or entities in connection with any matter that involves material interests adverse to any CME Entity, (ii) directly or indirectly compete with any CME Entity anywhere in the world or (iii) engage in any business or activity that you reasonably believe to be materially detrimental to the business or interests of any CME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1011537.04-CHISR01A - MSW</w:t>
      </w:r>
    </w:p>
    <w:p>
      <w:pPr>
        <w:sectPr>
          <w:pgSz w:w="11900" w:h="16838" w:orient="portrait"/>
          <w:cols w:equalWidth="0" w:num="1">
            <w:col w:w="11420"/>
          </w:cols>
          <w:pgMar w:left="240" w:top="604" w:right="239" w:bottom="1440" w:gutter="0" w:footer="0" w:header="0"/>
        </w:sectPr>
      </w:pPr>
    </w:p>
    <w:bookmarkStart w:id="37" w:name="page38"/>
    <w:bookmarkEnd w:id="37"/>
    <w:p>
      <w:pPr>
        <w:ind w:left="1960" w:hanging="655"/>
        <w:spacing w:after="0" w:line="335" w:lineRule="auto"/>
        <w:tabs>
          <w:tab w:leader="none" w:pos="19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You will not use the names “CME” or “Chicago Mercantile Exchange” or any related logo or trademark, or any other trademark or intellectual property owned or used by any CME Entity (“</w:t>
      </w:r>
      <w:r>
        <w:rPr>
          <w:rFonts w:ascii="Arial" w:cs="Arial" w:eastAsia="Arial" w:hAnsi="Arial"/>
          <w:sz w:val="19"/>
          <w:szCs w:val="19"/>
          <w:u w:val="single" w:color="auto"/>
          <w:color w:val="auto"/>
        </w:rPr>
        <w:t>CME IP</w:t>
      </w:r>
      <w:r>
        <w:rPr>
          <w:rFonts w:ascii="Arial" w:cs="Arial" w:eastAsia="Arial" w:hAnsi="Arial"/>
          <w:sz w:val="19"/>
          <w:szCs w:val="19"/>
          <w:color w:val="auto"/>
        </w:rPr>
        <w:t>”), or otherwise use or make reference to your prior relationship, experience or role with any CME Entity, to (i) promote any product, service, business or enterprise, whether offered by you or by any other entity or (ii) otherwise further the interests of any entity, in each case regardless of whether such entity engages in a business that is competitive with any CME Entity. Notwithstanding the foregoing, you may use the name or CME IP of any CME Entity in a non-promotional manner in your resume, curriculum vitae or other description of your prior professional experience that is not inconsistent with the foregoing.</w:t>
      </w:r>
    </w:p>
    <w:p>
      <w:pPr>
        <w:spacing w:after="0" w:line="369" w:lineRule="exact"/>
        <w:rPr>
          <w:rFonts w:ascii="Arial" w:cs="Arial" w:eastAsia="Arial" w:hAnsi="Arial"/>
          <w:sz w:val="19"/>
          <w:szCs w:val="19"/>
          <w:color w:val="auto"/>
        </w:rPr>
      </w:pPr>
    </w:p>
    <w:p>
      <w:pPr>
        <w:ind w:left="980" w:right="100" w:hanging="324"/>
        <w:spacing w:after="0" w:line="332"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In connection with your service to the CME Entities, and pursuant to this Agreement, you have acquired or may acquire confidential information with respect to the business, plans, strategies, finances, technology, markets, operations, customers, members, employees, suppliers and vendors and other matters of or related to the CME Entities (collectively,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Unless disclosure is required by law, you shall not, without the prior written consent of CME, at any time, whether during or after the Term, communicate or divulge any Confidential Information to anyone other than a CME Entity or those other persons or entities designated by CME. All records, files, documents, notes, data and the like relating to the business or activities of any CME Entity which you shall prepare, develop, use, compile or receive shall be and remain the sole property of such CME Entity, as the case may be, and shall be returned upon CME’s request. “Confidential Information” shall exclude information (a) readily available in the public domain other than as a result of your act or omission or (b) obtained from third parties rightfully in possession of such information and having no direct or indirect confidentiality obligation to any CME Entity.</w:t>
      </w:r>
    </w:p>
    <w:p>
      <w:pPr>
        <w:spacing w:after="0" w:line="375" w:lineRule="exact"/>
        <w:rPr>
          <w:rFonts w:ascii="Arial" w:cs="Arial" w:eastAsia="Arial" w:hAnsi="Arial"/>
          <w:sz w:val="19"/>
          <w:szCs w:val="19"/>
          <w:color w:val="auto"/>
        </w:rPr>
      </w:pPr>
    </w:p>
    <w:p>
      <w:pPr>
        <w:ind w:left="980" w:right="20" w:hanging="324"/>
        <w:spacing w:after="0" w:line="292"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Effective upon your retirement from the Board of Directors of CME on May 9, 2018, you resign from the Chicago Mercantile Exchange Trust, CME Group Foundation and any other board or committee of any CME Entity that you serve 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jc w:val="both"/>
        <w:ind w:left="980" w:right="100" w:hanging="324"/>
        <w:spacing w:after="0" w:line="357"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Non-Waiver</w:t>
      </w:r>
      <w:r>
        <w:rPr>
          <w:rFonts w:ascii="Arial" w:cs="Arial" w:eastAsia="Arial" w:hAnsi="Arial"/>
          <w:sz w:val="19"/>
          <w:szCs w:val="19"/>
          <w:color w:val="auto"/>
        </w:rPr>
        <w:t>. The failure by either party to exercise any of its or his rights in the event of a breach of this Agreement by the other party shall not be construed as a waiver of such breach or any subsequent breach, or prevent either party from later enforcing strict compliance with this Agreement as to such breach or any subsequent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1011537.04-CHISR01A - MSW</w:t>
      </w:r>
    </w:p>
    <w:p>
      <w:pPr>
        <w:sectPr>
          <w:pgSz w:w="11900" w:h="16838" w:orient="portrait"/>
          <w:cols w:equalWidth="0" w:num="1">
            <w:col w:w="11400"/>
          </w:cols>
          <w:pgMar w:left="240" w:top="604" w:right="259" w:bottom="1440" w:gutter="0" w:footer="0" w:header="0"/>
        </w:sectPr>
      </w:pPr>
    </w:p>
    <w:bookmarkStart w:id="38" w:name="page39"/>
    <w:bookmarkEnd w:id="38"/>
    <w:p>
      <w:pPr>
        <w:ind w:left="980" w:right="80" w:hanging="324"/>
        <w:spacing w:after="0" w:line="357"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by a court of competent jurisdiction to be void or unenforceable for any reason, such provision shall be modified or deleted in such manner so as to make this Agreement, as modified, legal and enforceable, and the remaining provisions hereof shall continue in full force and effect.</w:t>
      </w:r>
    </w:p>
    <w:p>
      <w:pPr>
        <w:spacing w:after="0" w:line="348" w:lineRule="exact"/>
        <w:rPr>
          <w:rFonts w:ascii="Arial" w:cs="Arial" w:eastAsia="Arial" w:hAnsi="Arial"/>
          <w:sz w:val="19"/>
          <w:szCs w:val="19"/>
          <w:color w:val="auto"/>
        </w:rPr>
      </w:pPr>
    </w:p>
    <w:p>
      <w:pPr>
        <w:ind w:left="980" w:right="120" w:hanging="324"/>
        <w:spacing w:after="0" w:line="326"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required communications under this Agreement (“</w:t>
      </w:r>
      <w:r>
        <w:rPr>
          <w:rFonts w:ascii="Arial" w:cs="Arial" w:eastAsia="Arial" w:hAnsi="Arial"/>
          <w:sz w:val="19"/>
          <w:szCs w:val="19"/>
          <w:u w:val="single" w:color="auto"/>
          <w:color w:val="auto"/>
        </w:rPr>
        <w:t>Notices</w:t>
      </w:r>
      <w:r>
        <w:rPr>
          <w:rFonts w:ascii="Arial" w:cs="Arial" w:eastAsia="Arial" w:hAnsi="Arial"/>
          <w:sz w:val="19"/>
          <w:szCs w:val="19"/>
          <w:color w:val="auto"/>
        </w:rPr>
        <w:t>”) shall be in writing, and shall be sent to a party at the address set forth below such party’s signature block below. A party may change its address by sending Notice to the other party of the new address. Notices shall be given: (a) by personal delivery to the other party;</w:t>
      </w:r>
    </w:p>
    <w:p>
      <w:pPr>
        <w:spacing w:after="0" w:line="1" w:lineRule="exact"/>
        <w:rPr>
          <w:rFonts w:ascii="Arial" w:cs="Arial" w:eastAsia="Arial" w:hAnsi="Arial"/>
          <w:sz w:val="19"/>
          <w:szCs w:val="19"/>
          <w:color w:val="auto"/>
        </w:rPr>
      </w:pPr>
    </w:p>
    <w:p>
      <w:pPr>
        <w:ind w:left="980" w:right="140"/>
        <w:spacing w:after="0" w:line="300" w:lineRule="auto"/>
        <w:tabs>
          <w:tab w:leader="none" w:pos="1286" w:val="left"/>
        </w:tabs>
        <w:numPr>
          <w:ilvl w:val="1"/>
          <w:numId w:val="21"/>
        </w:numPr>
        <w:rPr>
          <w:rFonts w:ascii="Arial" w:cs="Arial" w:eastAsia="Arial" w:hAnsi="Arial"/>
          <w:sz w:val="21"/>
          <w:szCs w:val="21"/>
          <w:color w:val="auto"/>
        </w:rPr>
      </w:pPr>
      <w:r>
        <w:rPr>
          <w:rFonts w:ascii="Arial" w:cs="Arial" w:eastAsia="Arial" w:hAnsi="Arial"/>
          <w:sz w:val="21"/>
          <w:szCs w:val="21"/>
          <w:color w:val="auto"/>
        </w:rPr>
        <w:t>by facsimile, with a confirmation sent by registered or certified mail, return receipt requested; (c) by registered or certified mail, return receipt requested; or (d) by express courier (e.g., FedEx). Notices shall be effective and shall be deemed delivered: (i) if by personal delivery, on the date of the personal delivery; (ii) if by facsimile, on the date stated in the electronic confirmation, delivered during normal business hours (8:00 a.m. to 5:00 p.m. at recipient’s location), and, if not delivered during normal business hours, on the next business day following delivery; (iii) if solely by mail, on the date of receipt as stated on the return receipt; or (iv) if by express courier, on the date signed for or rejected as reflected in the courier’s delivery log.</w:t>
      </w:r>
    </w:p>
    <w:p>
      <w:pPr>
        <w:spacing w:after="0" w:line="399" w:lineRule="exact"/>
        <w:rPr>
          <w:rFonts w:ascii="Arial" w:cs="Arial" w:eastAsia="Arial" w:hAnsi="Arial"/>
          <w:sz w:val="21"/>
          <w:szCs w:val="21"/>
          <w:color w:val="auto"/>
        </w:rPr>
      </w:pPr>
    </w:p>
    <w:p>
      <w:pPr>
        <w:ind w:left="980" w:hanging="324"/>
        <w:spacing w:after="0" w:line="341" w:lineRule="auto"/>
        <w:tabs>
          <w:tab w:leader="none" w:pos="98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is personal to you, and you shall not assign this Agreement, and any purported assignment is void. This Agreement shall be governed by and construed in accordance with the laws of the State of Illinois. This Agreement contains the entire understanding between CME and yourself with respect to the subject matter hereof and supersedes and voids all prior negotiations, discussions, and agreements, whether written or oral. This Agreement may not be amended, modified or extended other than by a written agreement executed by the parties hereto.</w:t>
      </w:r>
    </w:p>
    <w:p>
      <w:pPr>
        <w:spacing w:after="0" w:line="352" w:lineRule="exact"/>
        <w:rPr>
          <w:rFonts w:ascii="Arial" w:cs="Arial" w:eastAsia="Arial" w:hAnsi="Arial"/>
          <w:sz w:val="19"/>
          <w:szCs w:val="19"/>
          <w:color w:val="auto"/>
        </w:rPr>
      </w:pPr>
    </w:p>
    <w:p>
      <w:pPr>
        <w:ind w:left="7280"/>
        <w:spacing w:after="0"/>
        <w:rPr>
          <w:rFonts w:ascii="Arial" w:cs="Arial" w:eastAsia="Arial" w:hAnsi="Arial"/>
          <w:sz w:val="19"/>
          <w:szCs w:val="19"/>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1011537.04-CHISR01A - MSW</w:t>
      </w:r>
    </w:p>
    <w:p>
      <w:pPr>
        <w:sectPr>
          <w:pgSz w:w="11900" w:h="16838" w:orient="portrait"/>
          <w:cols w:equalWidth="0" w:num="1">
            <w:col w:w="11400"/>
          </w:cols>
          <w:pgMar w:left="240" w:top="604" w:right="259" w:bottom="1440" w:gutter="0" w:footer="0" w:header="0"/>
        </w:sectPr>
      </w:pPr>
    </w:p>
    <w:bookmarkStart w:id="39" w:name="page40"/>
    <w:bookmarkEnd w:id="39"/>
    <w:p>
      <w:pPr>
        <w:ind w:firstLine="648"/>
        <w:spacing w:after="0" w:line="302" w:lineRule="auto"/>
        <w:rPr>
          <w:sz w:val="20"/>
          <w:szCs w:val="20"/>
          <w:color w:val="auto"/>
        </w:rPr>
      </w:pPr>
      <w:r>
        <w:rPr>
          <w:rFonts w:ascii="Arial" w:cs="Arial" w:eastAsia="Arial" w:hAnsi="Arial"/>
          <w:sz w:val="22"/>
          <w:szCs w:val="22"/>
          <w:color w:val="auto"/>
        </w:rPr>
        <w:t>Please confirm that the foregoing Agreement correctly sets forth the agreement between CME and yourself by signing and returning to CME one of the enclosed copies of this letter.</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6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Very truly yours,</w:t>
            </w:r>
          </w:p>
        </w:tc>
      </w:tr>
      <w:tr>
        <w:trPr>
          <w:trHeight w:val="689"/>
        </w:trPr>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CME GROUP INC.</w:t>
            </w:r>
          </w:p>
        </w:tc>
      </w:tr>
      <w:tr>
        <w:trPr>
          <w:trHeight w:val="652"/>
        </w:trPr>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Terrence A. Duffy</w:t>
            </w:r>
          </w:p>
        </w:tc>
        <w:tc>
          <w:tcPr>
            <w:tcW w:w="160" w:type="dxa"/>
            <w:vAlign w:val="bottom"/>
          </w:tcPr>
          <w:p>
            <w:pPr>
              <w:spacing w:after="0"/>
              <w:rPr>
                <w:sz w:val="24"/>
                <w:szCs w:val="24"/>
                <w:color w:val="auto"/>
              </w:rPr>
            </w:pPr>
          </w:p>
        </w:tc>
      </w:tr>
      <w:tr>
        <w:trPr>
          <w:trHeight w:val="341"/>
        </w:trPr>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Terrence A. Duffy</w:t>
            </w:r>
          </w:p>
        </w:tc>
      </w:tr>
      <w:tr>
        <w:trPr>
          <w:trHeight w:val="311"/>
        </w:trPr>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Chairman and CEO</w:t>
            </w:r>
          </w:p>
        </w:tc>
      </w:tr>
      <w:tr>
        <w:trPr>
          <w:trHeight w:val="689"/>
        </w:trPr>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April 23, 2018</w:t>
            </w:r>
          </w:p>
        </w:tc>
      </w:tr>
      <w:tr>
        <w:trPr>
          <w:trHeight w:val="833"/>
        </w:trPr>
        <w:tc>
          <w:tcPr>
            <w:tcW w:w="3200" w:type="dxa"/>
            <w:vAlign w:val="bottom"/>
            <w:gridSpan w:val="2"/>
          </w:tcPr>
          <w:p>
            <w:pPr>
              <w:spacing w:after="0"/>
              <w:rPr>
                <w:sz w:val="20"/>
                <w:szCs w:val="20"/>
                <w:color w:val="auto"/>
              </w:rPr>
            </w:pPr>
            <w:r>
              <w:rPr>
                <w:rFonts w:ascii="Arial" w:cs="Arial" w:eastAsia="Arial" w:hAnsi="Arial"/>
                <w:sz w:val="22"/>
                <w:szCs w:val="22"/>
                <w:color w:val="auto"/>
              </w:rPr>
              <w:t>Agreed and Accepted as of</w:t>
            </w: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5"/>
        </w:trPr>
        <w:tc>
          <w:tcPr>
            <w:tcW w:w="3200" w:type="dxa"/>
            <w:vAlign w:val="bottom"/>
            <w:gridSpan w:val="2"/>
          </w:tcPr>
          <w:p>
            <w:pPr>
              <w:spacing w:after="0"/>
              <w:rPr>
                <w:sz w:val="20"/>
                <w:szCs w:val="20"/>
                <w:color w:val="auto"/>
              </w:rPr>
            </w:pPr>
            <w:r>
              <w:rPr>
                <w:rFonts w:ascii="Arial" w:cs="Arial" w:eastAsia="Arial" w:hAnsi="Arial"/>
                <w:sz w:val="22"/>
                <w:szCs w:val="22"/>
                <w:color w:val="auto"/>
              </w:rPr>
              <w:t>April , 2018</w:t>
            </w:r>
          </w:p>
        </w:tc>
        <w:tc>
          <w:tcPr>
            <w:tcW w:w="5040" w:type="dxa"/>
            <w:vAlign w:val="bottom"/>
            <w:gridSpan w:val="3"/>
          </w:tcPr>
          <w:p>
            <w:pPr>
              <w:ind w:left="2500"/>
              <w:spacing w:after="0"/>
              <w:rPr>
                <w:sz w:val="20"/>
                <w:szCs w:val="20"/>
                <w:color w:val="auto"/>
              </w:rPr>
            </w:pPr>
            <w:r>
              <w:rPr>
                <w:rFonts w:ascii="Arial" w:cs="Arial" w:eastAsia="Arial" w:hAnsi="Arial"/>
                <w:sz w:val="22"/>
                <w:szCs w:val="22"/>
                <w:color w:val="auto"/>
                <w:w w:val="88"/>
              </w:rPr>
              <w:t>Address for Notice Purposes:</w:t>
            </w:r>
          </w:p>
        </w:tc>
      </w:tr>
      <w:tr>
        <w:trPr>
          <w:trHeight w:val="544"/>
        </w:trPr>
        <w:tc>
          <w:tcPr>
            <w:tcW w:w="1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4"/>
              </w:rPr>
              <w:t>/s/ John F. Sandner</w:t>
            </w:r>
          </w:p>
        </w:tc>
        <w:tc>
          <w:tcPr>
            <w:tcW w:w="1560" w:type="dxa"/>
            <w:vAlign w:val="bottom"/>
          </w:tcPr>
          <w:p>
            <w:pPr>
              <w:spacing w:after="0"/>
              <w:rPr>
                <w:sz w:val="24"/>
                <w:szCs w:val="24"/>
                <w:color w:val="auto"/>
              </w:rPr>
            </w:pPr>
          </w:p>
        </w:tc>
        <w:tc>
          <w:tcPr>
            <w:tcW w:w="5040" w:type="dxa"/>
            <w:vAlign w:val="bottom"/>
            <w:gridSpan w:val="3"/>
          </w:tcPr>
          <w:p>
            <w:pPr>
              <w:ind w:left="2500"/>
              <w:spacing w:after="0"/>
              <w:rPr>
                <w:sz w:val="20"/>
                <w:szCs w:val="20"/>
                <w:color w:val="auto"/>
              </w:rPr>
            </w:pPr>
            <w:r>
              <w:rPr>
                <w:rFonts w:ascii="Arial" w:cs="Arial" w:eastAsia="Arial" w:hAnsi="Arial"/>
                <w:sz w:val="22"/>
                <w:szCs w:val="22"/>
                <w:color w:val="auto"/>
              </w:rPr>
              <w:t>CME Group Inc.</w:t>
            </w:r>
          </w:p>
        </w:tc>
      </w:tr>
      <w:tr>
        <w:trPr>
          <w:trHeight w:val="242"/>
        </w:trPr>
        <w:tc>
          <w:tcPr>
            <w:tcW w:w="3200" w:type="dxa"/>
            <w:vAlign w:val="bottom"/>
            <w:gridSpan w:val="2"/>
          </w:tcPr>
          <w:p>
            <w:pPr>
              <w:spacing w:after="0" w:line="242" w:lineRule="exact"/>
              <w:rPr>
                <w:sz w:val="20"/>
                <w:szCs w:val="20"/>
                <w:color w:val="auto"/>
              </w:rPr>
            </w:pPr>
            <w:r>
              <w:rPr>
                <w:rFonts w:ascii="Arial" w:cs="Arial" w:eastAsia="Arial" w:hAnsi="Arial"/>
                <w:sz w:val="22"/>
                <w:szCs w:val="22"/>
                <w:color w:val="auto"/>
              </w:rPr>
              <w:t>John F. Sandner</w:t>
            </w:r>
          </w:p>
        </w:tc>
        <w:tc>
          <w:tcPr>
            <w:tcW w:w="5040" w:type="dxa"/>
            <w:vAlign w:val="bottom"/>
            <w:gridSpan w:val="3"/>
          </w:tcPr>
          <w:p>
            <w:pPr>
              <w:ind w:left="2500"/>
              <w:spacing w:after="0" w:line="242" w:lineRule="exact"/>
              <w:rPr>
                <w:sz w:val="20"/>
                <w:szCs w:val="20"/>
                <w:color w:val="auto"/>
              </w:rPr>
            </w:pPr>
            <w:r>
              <w:rPr>
                <w:rFonts w:ascii="Arial" w:cs="Arial" w:eastAsia="Arial" w:hAnsi="Arial"/>
                <w:sz w:val="22"/>
                <w:szCs w:val="22"/>
                <w:color w:val="auto"/>
              </w:rPr>
              <w:t>20 South Wacker Drive</w:t>
            </w:r>
          </w:p>
        </w:tc>
      </w:tr>
      <w:tr>
        <w:trPr>
          <w:trHeight w:val="243"/>
        </w:trPr>
        <w:tc>
          <w:tcPr>
            <w:tcW w:w="16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040" w:type="dxa"/>
            <w:vAlign w:val="bottom"/>
            <w:gridSpan w:val="3"/>
          </w:tcPr>
          <w:p>
            <w:pPr>
              <w:ind w:left="2500"/>
              <w:spacing w:after="0" w:line="243" w:lineRule="exact"/>
              <w:rPr>
                <w:sz w:val="20"/>
                <w:szCs w:val="20"/>
                <w:color w:val="auto"/>
              </w:rPr>
            </w:pPr>
            <w:r>
              <w:rPr>
                <w:rFonts w:ascii="Arial" w:cs="Arial" w:eastAsia="Arial" w:hAnsi="Arial"/>
                <w:sz w:val="22"/>
                <w:szCs w:val="22"/>
                <w:color w:val="auto"/>
              </w:rPr>
              <w:t>Chicago, IL 60606</w:t>
            </w:r>
          </w:p>
        </w:tc>
      </w:tr>
      <w:tr>
        <w:trPr>
          <w:trHeight w:val="275"/>
        </w:trPr>
        <w:tc>
          <w:tcPr>
            <w:tcW w:w="16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040" w:type="dxa"/>
            <w:vAlign w:val="bottom"/>
            <w:gridSpan w:val="3"/>
          </w:tcPr>
          <w:p>
            <w:pPr>
              <w:ind w:left="2500"/>
              <w:spacing w:after="0"/>
              <w:rPr>
                <w:sz w:val="20"/>
                <w:szCs w:val="20"/>
                <w:color w:val="auto"/>
              </w:rPr>
            </w:pPr>
            <w:r>
              <w:rPr>
                <w:rFonts w:ascii="Arial" w:cs="Arial" w:eastAsia="Arial" w:hAnsi="Arial"/>
                <w:sz w:val="22"/>
                <w:szCs w:val="22"/>
                <w:color w:val="auto"/>
                <w:w w:val="95"/>
              </w:rPr>
              <w:t>Attention: General Counsel</w:t>
            </w:r>
          </w:p>
        </w:tc>
      </w:tr>
      <w:tr>
        <w:trPr>
          <w:trHeight w:val="297"/>
        </w:trPr>
        <w:tc>
          <w:tcPr>
            <w:tcW w:w="3200" w:type="dxa"/>
            <w:vAlign w:val="bottom"/>
            <w:gridSpan w:val="2"/>
          </w:tcPr>
          <w:p>
            <w:pPr>
              <w:spacing w:after="0"/>
              <w:rPr>
                <w:sz w:val="20"/>
                <w:szCs w:val="20"/>
                <w:color w:val="auto"/>
              </w:rPr>
            </w:pPr>
            <w:r>
              <w:rPr>
                <w:rFonts w:ascii="Arial" w:cs="Arial" w:eastAsia="Arial" w:hAnsi="Arial"/>
                <w:sz w:val="22"/>
                <w:szCs w:val="22"/>
                <w:color w:val="auto"/>
              </w:rPr>
              <w:t>Address for Notice Purposes:</w:t>
            </w: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63"/>
        </w:trPr>
        <w:tc>
          <w:tcPr>
            <w:tcW w:w="3200" w:type="dxa"/>
            <w:vAlign w:val="bottom"/>
            <w:gridSpan w:val="2"/>
          </w:tcPr>
          <w:p>
            <w:pPr>
              <w:spacing w:after="0"/>
              <w:rPr>
                <w:sz w:val="20"/>
                <w:szCs w:val="20"/>
                <w:color w:val="auto"/>
              </w:rPr>
            </w:pPr>
            <w:r>
              <w:rPr>
                <w:rFonts w:ascii="Arial" w:cs="Arial" w:eastAsia="Arial" w:hAnsi="Arial"/>
                <w:sz w:val="22"/>
                <w:szCs w:val="22"/>
                <w:color w:val="auto"/>
              </w:rPr>
              <w:t>John F. Sandner &amp; Associates</w:t>
            </w: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200" w:type="dxa"/>
            <w:vAlign w:val="bottom"/>
            <w:gridSpan w:val="2"/>
          </w:tcPr>
          <w:p>
            <w:pPr>
              <w:spacing w:after="0" w:line="243" w:lineRule="exact"/>
              <w:rPr>
                <w:sz w:val="20"/>
                <w:szCs w:val="20"/>
                <w:color w:val="auto"/>
              </w:rPr>
            </w:pPr>
            <w:r>
              <w:rPr>
                <w:rFonts w:ascii="Arial" w:cs="Arial" w:eastAsia="Arial" w:hAnsi="Arial"/>
                <w:sz w:val="22"/>
                <w:szCs w:val="22"/>
                <w:color w:val="auto"/>
              </w:rPr>
              <w:t>30 S. Wacker #1912</w:t>
            </w:r>
          </w:p>
        </w:tc>
        <w:tc>
          <w:tcPr>
            <w:tcW w:w="26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5"/>
        </w:trPr>
        <w:tc>
          <w:tcPr>
            <w:tcW w:w="3200" w:type="dxa"/>
            <w:vAlign w:val="bottom"/>
            <w:gridSpan w:val="2"/>
          </w:tcPr>
          <w:p>
            <w:pPr>
              <w:spacing w:after="0"/>
              <w:rPr>
                <w:sz w:val="20"/>
                <w:szCs w:val="20"/>
                <w:color w:val="auto"/>
              </w:rPr>
            </w:pPr>
            <w:r>
              <w:rPr>
                <w:rFonts w:ascii="Arial" w:cs="Arial" w:eastAsia="Arial" w:hAnsi="Arial"/>
                <w:sz w:val="22"/>
                <w:szCs w:val="22"/>
                <w:color w:val="auto"/>
              </w:rPr>
              <w:t>Chicago, IL 60606</w:t>
            </w:r>
          </w:p>
        </w:tc>
        <w:tc>
          <w:tcPr>
            <w:tcW w:w="26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783"/>
        </w:trPr>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40" w:type="dxa"/>
            <w:vAlign w:val="bottom"/>
            <w:gridSpan w:val="3"/>
          </w:tcPr>
          <w:p>
            <w:pPr>
              <w:ind w:left="640"/>
              <w:spacing w:after="0"/>
              <w:rPr>
                <w:sz w:val="20"/>
                <w:szCs w:val="20"/>
                <w:color w:val="auto"/>
              </w:rPr>
            </w:pPr>
            <w:r>
              <w:rPr>
                <w:rFonts w:ascii="Arial" w:cs="Arial" w:eastAsia="Arial" w:hAnsi="Arial"/>
                <w:sz w:val="22"/>
                <w:szCs w:val="22"/>
                <w:color w:val="auto"/>
              </w:rPr>
              <w:t>[Signature Page to Consulting Agreement]</w:t>
            </w:r>
          </w:p>
        </w:tc>
      </w:tr>
    </w:tbl>
    <w:p>
      <w:pPr>
        <w:sectPr>
          <w:pgSz w:w="11900" w:h="16838" w:orient="portrait"/>
          <w:cols w:equalWidth="0" w:num="1">
            <w:col w:w="11240"/>
          </w:cols>
          <w:pgMar w:left="240" w:top="604" w:right="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71" w:lineRule="exact"/>
        <w:rPr>
          <w:sz w:val="20"/>
          <w:szCs w:val="20"/>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May 3, 2018</w:t>
      </w:r>
      <w:r>
        <w:rPr>
          <w:sz w:val="20"/>
          <w:szCs w:val="20"/>
          <w:color w:val="auto"/>
        </w:rPr>
        <w:tab/>
      </w:r>
      <w:r>
        <w:rPr>
          <w:rFonts w:ascii="Arial" w:cs="Arial" w:eastAsia="Arial" w:hAnsi="Arial"/>
          <w:sz w:val="16"/>
          <w:szCs w:val="16"/>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May 3, 2018</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2018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Terrence A. Duffy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2018</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2"/>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4"/>
    </w:lvl>
    <w:lvl w:ilvl="1">
      <w:lvlJc w:val="left"/>
      <w:lvlText w:val="(%2)"/>
      <w:numFmt w:val="lowerLetter"/>
      <w:start w:val="1"/>
    </w:lvl>
  </w:abstractNum>
  <w:abstractNum w:abstractNumId="18">
    <w:nsid w:val="8EDBDAB"/>
    <w:multiLevelType w:val="hybridMultilevel"/>
    <w:lvl w:ilvl="0">
      <w:lvlJc w:val="left"/>
      <w:lvlText w:val="%1"/>
      <w:numFmt w:val="decimal"/>
      <w:start w:val="1"/>
    </w:lvl>
    <w:lvl w:ilvl="1">
      <w:lvlJc w:val="left"/>
      <w:lvlText w:val="(%2)"/>
      <w:numFmt w:val="lowerLetter"/>
      <w:start w:val="2"/>
    </w:lvl>
  </w:abstractNum>
  <w:abstractNum w:abstractNumId="19">
    <w:nsid w:val="79838CB2"/>
    <w:multiLevelType w:val="hybridMultilevel"/>
    <w:lvl w:ilvl="0">
      <w:lvlJc w:val="left"/>
      <w:lvlText w:val="%1."/>
      <w:numFmt w:val="decimal"/>
      <w:start w:val="7"/>
    </w:lvl>
    <w:lvl w:ilvl="1">
      <w:lvlJc w:val="left"/>
      <w:lvlText w:val="%2"/>
      <w:numFmt w:val="lowerLetter"/>
      <w:start w:val="1"/>
    </w:lvl>
  </w:abstractNum>
  <w:abstractNum w:abstractNumId="20">
    <w:nsid w:val="4353D0CD"/>
    <w:multiLevelType w:val="hybridMultilevel"/>
    <w:lvl w:ilvl="0">
      <w:lvlJc w:val="left"/>
      <w:lvlText w:val="%1."/>
      <w:numFmt w:val="decimal"/>
      <w:start w:val="10"/>
    </w:lvl>
    <w:lvl w:ilvl="1">
      <w:lvlJc w:val="left"/>
      <w:lvlText w:val="(%2)"/>
      <w:numFmt w:val="lowerLetter"/>
      <w:start w:val="2"/>
    </w:lvl>
    <w:lvl w:ilvl="2">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5"/>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2019-12-28T22:32:28Z</dcterms:created>
  <dcterms:modified xsi:type="dcterms:W3CDTF">2019-12-28T22:32:28Z</dcterms:modified>
</cp:coreProperties>
</file>