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76" w:lineRule="exact"/>
        <w:rPr>
          <w:rFonts w:ascii="MS PGothic" w:cs="MS PGothic" w:eastAsia="MS PGothic" w:hAnsi="MS PGothic"/>
          <w:sz w:val="22"/>
          <w:szCs w:val="22"/>
          <w:color w:val="auto"/>
        </w:rPr>
      </w:pPr>
    </w:p>
    <w:p>
      <w:pPr>
        <w:ind w:left="374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September 30, 2017</w:t>
      </w:r>
    </w:p>
    <w:p>
      <w:pPr>
        <w:spacing w:after="0" w:line="16" w:lineRule="exact"/>
        <w:rPr>
          <w:rFonts w:ascii="MS PGothic" w:cs="MS PGothic" w:eastAsia="MS PGothic" w:hAnsi="MS PGothic"/>
          <w:sz w:val="22"/>
          <w:szCs w:val="22"/>
          <w:color w:val="auto"/>
        </w:rPr>
      </w:pPr>
    </w:p>
    <w:p>
      <w:pPr>
        <w:ind w:left="5580" w:hanging="106"/>
        <w:spacing w:after="0"/>
        <w:tabs>
          <w:tab w:leader="none" w:pos="55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OR -</w:t>
      </w:r>
    </w:p>
    <w:p>
      <w:pPr>
        <w:spacing w:after="0" w:line="18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7" w:lineRule="exact"/>
        <w:rPr>
          <w:sz w:val="24"/>
          <w:szCs w:val="24"/>
          <w:color w:val="auto"/>
        </w:rPr>
      </w:pPr>
    </w:p>
    <w:p>
      <w:pPr>
        <w:ind w:left="37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Commission file number 001-31553</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CME GROUP INC.</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3"/>
              </w:rPr>
              <w:t>Delaware</w:t>
            </w:r>
          </w:p>
        </w:tc>
        <w:tc>
          <w:tcPr>
            <w:tcW w:w="1540" w:type="dxa"/>
            <w:vAlign w:val="bottom"/>
          </w:tcPr>
          <w:p>
            <w:pPr>
              <w:jc w:val="right"/>
              <w:ind w:right="41"/>
              <w:spacing w:after="0"/>
              <w:rPr>
                <w:sz w:val="20"/>
                <w:szCs w:val="20"/>
                <w:color w:val="auto"/>
              </w:rPr>
            </w:pPr>
            <w:r>
              <w:rPr>
                <w:rFonts w:ascii="Arial" w:cs="Arial" w:eastAsia="Arial" w:hAnsi="Arial"/>
                <w:sz w:val="18"/>
                <w:szCs w:val="18"/>
                <w:b w:val="1"/>
                <w:bCs w:val="1"/>
                <w:color w:val="auto"/>
              </w:rPr>
              <w:t>36-4459170</w:t>
            </w:r>
          </w:p>
        </w:tc>
      </w:tr>
      <w:tr>
        <w:trPr>
          <w:trHeight w:val="180"/>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2"/>
              </w:rPr>
              <w:t>(State or other jurisdiction of</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3"/>
              </w:rPr>
              <w:t>incorporation or organization)</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1"/>
              </w:rPr>
              <w:t>20 South Wacker Drive, Chicago, Illinois</w:t>
            </w:r>
          </w:p>
        </w:tc>
        <w:tc>
          <w:tcPr>
            <w:tcW w:w="1540" w:type="dxa"/>
            <w:vAlign w:val="bottom"/>
          </w:tcPr>
          <w:p>
            <w:pPr>
              <w:jc w:val="right"/>
              <w:ind w:right="261"/>
              <w:spacing w:after="0"/>
              <w:rPr>
                <w:sz w:val="20"/>
                <w:szCs w:val="20"/>
                <w:color w:val="auto"/>
              </w:rPr>
            </w:pPr>
            <w:r>
              <w:rPr>
                <w:rFonts w:ascii="Arial" w:cs="Arial" w:eastAsia="Arial" w:hAnsi="Arial"/>
                <w:sz w:val="18"/>
                <w:szCs w:val="18"/>
                <w:b w:val="1"/>
                <w:bCs w:val="1"/>
                <w:color w:val="auto"/>
              </w:rPr>
              <w:t>60606</w:t>
            </w:r>
          </w:p>
        </w:tc>
      </w:tr>
      <w:tr>
        <w:trPr>
          <w:trHeight w:val="211"/>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8"/>
              </w:rPr>
              <w:t>(Zip Code)</w:t>
            </w:r>
          </w:p>
        </w:tc>
      </w:tr>
      <w:tr>
        <w:trPr>
          <w:trHeight w:val="212"/>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0"/>
              </w:rPr>
              <w:t>(312) 930-1000</w:t>
            </w:r>
          </w:p>
        </w:tc>
        <w:tc>
          <w:tcPr>
            <w:tcW w:w="1540" w:type="dxa"/>
            <w:vAlign w:val="bottom"/>
          </w:tcPr>
          <w:p>
            <w:pPr>
              <w:spacing w:after="0"/>
              <w:rPr>
                <w:sz w:val="18"/>
                <w:szCs w:val="18"/>
                <w:color w:val="auto"/>
              </w:rPr>
            </w:pPr>
          </w:p>
        </w:tc>
      </w:tr>
      <w:tr>
        <w:trPr>
          <w:trHeight w:val="166"/>
        </w:trPr>
        <w:tc>
          <w:tcPr>
            <w:tcW w:w="6520" w:type="dxa"/>
            <w:vAlign w:val="bottom"/>
          </w:tcPr>
          <w:p>
            <w:pPr>
              <w:jc w:val="center"/>
              <w:ind w:left="23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14"/>
                <w:szCs w:val="14"/>
                <w:color w:val="auto"/>
              </w:rPr>
            </w:pPr>
          </w:p>
        </w:tc>
      </w:tr>
      <w:tr>
        <w:trPr>
          <w:trHeight w:val="234"/>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2"/>
              </w:rPr>
              <w:t>Not Applicable</w:t>
            </w:r>
          </w:p>
        </w:tc>
        <w:tc>
          <w:tcPr>
            <w:tcW w:w="1540" w:type="dxa"/>
            <w:vAlign w:val="bottom"/>
          </w:tcPr>
          <w:p>
            <w:pPr>
              <w:spacing w:after="0"/>
              <w:rPr>
                <w:sz w:val="20"/>
                <w:szCs w:val="20"/>
                <w:color w:val="auto"/>
              </w:rPr>
            </w:pPr>
          </w:p>
        </w:tc>
      </w:tr>
    </w:tbl>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0" w:lineRule="exact"/>
        <w:rPr>
          <w:sz w:val="24"/>
          <w:szCs w:val="24"/>
          <w:color w:val="auto"/>
        </w:rPr>
      </w:pPr>
    </w:p>
    <w:p>
      <w:pPr>
        <w:ind w:right="120" w:firstLine="324"/>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center"/>
        <w:ind w:right="24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w:t>
      </w:r>
    </w:p>
    <w:p>
      <w:pPr>
        <w:spacing w:after="0" w:line="1" w:lineRule="exact"/>
        <w:rPr>
          <w:sz w:val="24"/>
          <w:szCs w:val="24"/>
          <w:color w:val="auto"/>
        </w:rPr>
      </w:pPr>
    </w:p>
    <w:p>
      <w:pPr>
        <w:spacing w:after="0" w:line="207" w:lineRule="exact"/>
        <w:tabs>
          <w:tab w:leader="none" w:pos="7260" w:val="left"/>
          <w:tab w:leader="none" w:pos="7960" w:val="left"/>
        </w:tabs>
        <w:rPr>
          <w:sz w:val="20"/>
          <w:szCs w:val="20"/>
          <w:color w:val="auto"/>
        </w:rPr>
      </w:pPr>
      <w:r>
        <w:rPr>
          <w:rFonts w:ascii="Arial" w:cs="Arial" w:eastAsia="Arial" w:hAnsi="Arial"/>
          <w:sz w:val="18"/>
          <w:szCs w:val="18"/>
          <w:color w:val="auto"/>
        </w:rPr>
        <w:t>period that the registrant was required to submit and post such 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33" w:right="259" w:bottom="1440" w:gutter="0" w:footer="0" w:header="0"/>
        </w:sectPr>
      </w:pPr>
    </w:p>
    <w:p>
      <w:pPr>
        <w:spacing w:after="0" w:line="145"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 accelerated filer x</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tabs>
          <w:tab w:leader="none" w:pos="1280" w:val="left"/>
        </w:tabs>
        <w:rPr>
          <w:sz w:val="20"/>
          <w:szCs w:val="20"/>
          <w:color w:val="auto"/>
        </w:rPr>
      </w:pPr>
      <w:r>
        <w:rPr>
          <w:rFonts w:ascii="Arial" w:cs="Arial" w:eastAsia="Arial" w:hAnsi="Arial"/>
          <w:sz w:val="16"/>
          <w:szCs w:val="16"/>
          <w:color w:val="auto"/>
        </w:rPr>
        <w:t>Accelerated filer</w:t>
      </w:r>
      <w:r>
        <w:rPr>
          <w:sz w:val="20"/>
          <w:szCs w:val="20"/>
          <w:color w:val="auto"/>
        </w:rPr>
        <w:tab/>
      </w: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2">
            <w:col w:w="6020" w:space="720"/>
            <w:col w:w="4660"/>
          </w:cols>
          <w:pgMar w:left="240" w:top="233" w:right="259" w:bottom="1440" w:gutter="0" w:footer="0" w:header="0"/>
          <w:type w:val="continuous"/>
        </w:sectPr>
      </w:pPr>
    </w:p>
    <w:p>
      <w:pPr>
        <w:spacing w:after="0" w:line="8"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200" w:lineRule="exact"/>
        <w:rPr>
          <w:sz w:val="24"/>
          <w:szCs w:val="24"/>
          <w:color w:val="auto"/>
        </w:rPr>
      </w:pPr>
    </w:p>
    <w:p>
      <w:pPr>
        <w:sectPr>
          <w:pgSz w:w="11900" w:h="16838" w:orient="portrait"/>
          <w:cols w:equalWidth="0" w:num="3">
            <w:col w:w="1400" w:space="160"/>
            <w:col w:w="4460" w:space="720"/>
            <w:col w:w="4660"/>
          </w:cols>
          <w:pgMar w:left="240" w:top="233" w:right="259" w:bottom="1440" w:gutter="0" w:footer="0" w:header="0"/>
          <w:type w:val="continuous"/>
        </w:sectPr>
      </w:pPr>
    </w:p>
    <w:p>
      <w:pPr>
        <w:spacing w:after="0" w:line="31" w:lineRule="exact"/>
        <w:rPr>
          <w:sz w:val="24"/>
          <w:szCs w:val="24"/>
          <w:color w:val="auto"/>
        </w:rPr>
      </w:pPr>
    </w:p>
    <w:p>
      <w:pPr>
        <w:ind w:left="674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00"/>
          </w:cols>
          <w:pgMar w:left="240" w:top="233" w:right="259" w:bottom="1440" w:gutter="0" w:footer="0" w:header="0"/>
          <w:type w:val="continuous"/>
        </w:sectPr>
      </w:pPr>
    </w:p>
    <w:p>
      <w:pPr>
        <w:spacing w:after="0" w:line="11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6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84" w:lineRule="exact"/>
        <w:rPr>
          <w:sz w:val="24"/>
          <w:szCs w:val="24"/>
          <w:color w:val="auto"/>
        </w:rPr>
      </w:pPr>
    </w:p>
    <w:p>
      <w:pPr>
        <w:ind w:left="7780"/>
        <w:spacing w:after="0" w:line="207" w:lineRule="exact"/>
        <w:tabs>
          <w:tab w:leader="none" w:pos="84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86" w:lineRule="auto"/>
        <w:rPr>
          <w:sz w:val="20"/>
          <w:szCs w:val="20"/>
          <w:color w:val="auto"/>
        </w:rPr>
      </w:pPr>
      <w:r>
        <w:rPr>
          <w:rFonts w:ascii="Arial" w:cs="Arial" w:eastAsia="Arial" w:hAnsi="Arial"/>
          <w:sz w:val="17"/>
          <w:szCs w:val="17"/>
          <w:color w:val="auto"/>
        </w:rPr>
        <w:t>The number of shares outstanding of each of the registrant’s classes of common stock as of October 11, 2017 was as follows: 340,291,358 shares of Class A common stock, $0.01 par value; 625 shares of Class B-1 common stock, $0.01 par value; 813 shares of Class B-2 common stock, $0.01 par value; 1,287 shares of Class B-3 common stock, $0.01 par value; and 413 shares of Class B-4 common stock, $0.01 par value.</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33"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13"/>
        </w:trPr>
        <w:tc>
          <w:tcPr>
            <w:tcW w:w="2760" w:type="dxa"/>
            <w:vAlign w:val="bottom"/>
            <w:tcBorders>
              <w:bottom w:val="single" w:sz="8" w:color="0000EE"/>
            </w:tcBorders>
            <w:gridSpan w:val="10"/>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 FINANCIAL INFORMATION</w:t>
              </w:r>
            </w:hyperlink>
          </w:p>
        </w:tc>
        <w:tc>
          <w:tcPr>
            <w:tcW w:w="7940" w:type="dxa"/>
            <w:vAlign w:val="bottom"/>
            <w:gridSpan w:val="10"/>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780" w:type="dxa"/>
            <w:vAlign w:val="bottom"/>
            <w:gridSpan w:val="19"/>
          </w:tcPr>
          <w:p>
            <w:pPr>
              <w:spacing w:after="0"/>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Financial Statements</w:t>
              </w:r>
            </w:hyperlink>
          </w:p>
        </w:tc>
        <w:tc>
          <w:tcPr>
            <w:tcW w:w="6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Balance Sheets at September 30, 2017 and December 31, 2016</w:t>
              </w:r>
            </w:hyperlink>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6980" w:type="dxa"/>
            <w:vAlign w:val="bottom"/>
            <w:tcBorders>
              <w:bottom w:val="single" w:sz="8" w:color="0000EE"/>
            </w:tcBorders>
            <w:gridSpan w:val="17"/>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Consolidated Statements of Income for the Quarters and Nine Months Ended September 30, 2017 and 2016</w:t>
              </w:r>
            </w:hyperlink>
          </w:p>
        </w:tc>
        <w:tc>
          <w:tcPr>
            <w:tcW w:w="2800" w:type="dxa"/>
            <w:vAlign w:val="bottom"/>
            <w:gridSpan w:val="2"/>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Consolidated Statements of Comprehensive Income for the Quarters and Nine Months Ended September 30, 2017 and 2016</w:t>
              </w:r>
            </w:hyperlink>
          </w:p>
        </w:tc>
        <w:tc>
          <w:tcPr>
            <w:tcW w:w="6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8020" w:type="dxa"/>
            <w:vAlign w:val="bottom"/>
            <w:tcBorders>
              <w:top w:val="single" w:sz="8" w:color="0000EE"/>
            </w:tcBorders>
            <w:gridSpan w:val="18"/>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Consolidated Statements of Equity for the Nine Months Ended September 30, 2017 and 2016</w:t>
              </w:r>
            </w:hyperlink>
          </w:p>
        </w:tc>
        <w:tc>
          <w:tcPr>
            <w:tcW w:w="1760" w:type="dxa"/>
            <w:vAlign w:val="bottom"/>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6380" w:type="dxa"/>
            <w:vAlign w:val="bottom"/>
            <w:tcBorders>
              <w:bottom w:val="single" w:sz="8" w:color="0000EE"/>
            </w:tcBorders>
            <w:gridSpan w:val="16"/>
          </w:tcPr>
          <w:p>
            <w:pPr>
              <w:spacing w:after="0"/>
              <w:rPr>
                <w:rFonts w:ascii="Arial" w:cs="Arial" w:eastAsia="Arial" w:hAnsi="Arial"/>
                <w:sz w:val="16"/>
                <w:szCs w:val="16"/>
                <w:color w:val="0000EE"/>
                <w:w w:val="90"/>
              </w:rPr>
            </w:pPr>
            <w:hyperlink w:anchor="page10">
              <w:r>
                <w:rPr>
                  <w:rFonts w:ascii="Arial" w:cs="Arial" w:eastAsia="Arial" w:hAnsi="Arial"/>
                  <w:sz w:val="16"/>
                  <w:szCs w:val="16"/>
                  <w:color w:val="0000EE"/>
                  <w:w w:val="90"/>
                </w:rPr>
                <w:t>Consolidated Statements of Cash Flows for the Nine Months Ended September 30, 2017 and 2016</w:t>
              </w:r>
            </w:hyperlink>
          </w:p>
        </w:tc>
        <w:tc>
          <w:tcPr>
            <w:tcW w:w="3400" w:type="dxa"/>
            <w:vAlign w:val="bottom"/>
            <w:gridSpan w:val="3"/>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Notes to Unaudited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19</w:t>
              </w:r>
            </w:hyperlink>
          </w:p>
        </w:tc>
        <w:tc>
          <w:tcPr>
            <w:tcW w:w="0" w:type="dxa"/>
            <w:vAlign w:val="bottom"/>
          </w:tcPr>
          <w:p>
            <w:pPr>
              <w:spacing w:after="0" w:line="20" w:lineRule="exact"/>
              <w:rPr>
                <w:sz w:val="1"/>
                <w:szCs w:val="1"/>
                <w:color w:val="auto"/>
              </w:rPr>
            </w:pPr>
          </w:p>
        </w:tc>
      </w:tr>
      <w:tr>
        <w:trPr>
          <w:trHeight w:val="372"/>
        </w:trPr>
        <w:tc>
          <w:tcPr>
            <w:tcW w:w="920" w:type="dxa"/>
            <w:vAlign w:val="bottom"/>
            <w:vMerge w:val="continue"/>
          </w:tcPr>
          <w:p>
            <w:pPr>
              <w:spacing w:after="0"/>
              <w:rPr>
                <w:sz w:val="24"/>
                <w:szCs w:val="24"/>
                <w:color w:val="auto"/>
              </w:rPr>
            </w:pPr>
          </w:p>
        </w:tc>
        <w:tc>
          <w:tcPr>
            <w:tcW w:w="9780" w:type="dxa"/>
            <w:vAlign w:val="bottom"/>
            <w:gridSpan w:val="19"/>
          </w:tcPr>
          <w:p>
            <w:pPr>
              <w:spacing w:after="0"/>
              <w:rPr>
                <w:rFonts w:ascii="Arial" w:cs="Arial" w:eastAsia="Arial" w:hAnsi="Arial"/>
                <w:sz w:val="16"/>
                <w:szCs w:val="16"/>
                <w:b w:val="1"/>
                <w:bCs w:val="1"/>
                <w:color w:val="0000EE"/>
              </w:rPr>
            </w:pPr>
            <w:hyperlink w:anchor="page19">
              <w:r>
                <w:rPr>
                  <w:rFonts w:ascii="Arial" w:cs="Arial" w:eastAsia="Arial" w:hAnsi="Arial"/>
                  <w:sz w:val="16"/>
                  <w:szCs w:val="16"/>
                  <w:b w:val="1"/>
                  <w:bCs w:val="1"/>
                  <w:color w:val="0000EE"/>
                </w:rPr>
                <w:t>Management’s Discussion and Analysis of Financial Condition and Results of Operations</w:t>
              </w:r>
            </w:hyperlink>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00" w:type="dxa"/>
            <w:vAlign w:val="bottom"/>
            <w:tcBorders>
              <w:top w:val="single" w:sz="8" w:color="0000EE"/>
              <w:bottom w:val="single" w:sz="8" w:color="0000EE"/>
            </w:tcBorders>
            <w:gridSpan w:val="12"/>
          </w:tcPr>
          <w:p>
            <w:pPr>
              <w:spacing w:after="0"/>
              <w:rPr>
                <w:rFonts w:ascii="Arial" w:cs="Arial" w:eastAsia="Arial" w:hAnsi="Arial"/>
                <w:sz w:val="16"/>
                <w:szCs w:val="16"/>
                <w:b w:val="1"/>
                <w:bCs w:val="1"/>
                <w:color w:val="0000EE"/>
                <w:w w:val="92"/>
              </w:rPr>
            </w:pPr>
            <w:hyperlink w:anchor="page28">
              <w:r>
                <w:rPr>
                  <w:rFonts w:ascii="Arial" w:cs="Arial" w:eastAsia="Arial" w:hAnsi="Arial"/>
                  <w:sz w:val="16"/>
                  <w:szCs w:val="16"/>
                  <w:b w:val="1"/>
                  <w:bCs w:val="1"/>
                  <w:color w:val="0000EE"/>
                  <w:w w:val="92"/>
                </w:rPr>
                <w:t>Quantitative and Qualitative Disclosures About Market Risk</w:t>
              </w:r>
            </w:hyperlink>
          </w:p>
        </w:tc>
        <w:tc>
          <w:tcPr>
            <w:tcW w:w="1940" w:type="dxa"/>
            <w:vAlign w:val="bottom"/>
            <w:tcBorders>
              <w:top w:val="single" w:sz="8" w:color="0000EE"/>
            </w:tcBorders>
            <w:gridSpan w:val="3"/>
          </w:tcPr>
          <w:p>
            <w:pPr>
              <w:spacing w:after="0"/>
              <w:rPr>
                <w:sz w:val="24"/>
                <w:szCs w:val="24"/>
                <w:color w:val="auto"/>
              </w:rPr>
            </w:pPr>
          </w:p>
        </w:tc>
        <w:tc>
          <w:tcPr>
            <w:tcW w:w="3640" w:type="dxa"/>
            <w:vAlign w:val="bottom"/>
            <w:gridSpan w:val="4"/>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20" w:type="dxa"/>
            <w:vAlign w:val="bottom"/>
            <w:tcBorders>
              <w:bottom w:val="single" w:sz="8" w:color="0000EE"/>
            </w:tcBorders>
            <w:gridSpan w:val="8"/>
          </w:tcPr>
          <w:p>
            <w:pPr>
              <w:spacing w:after="0"/>
              <w:rPr>
                <w:rFonts w:ascii="Arial" w:cs="Arial" w:eastAsia="Arial" w:hAnsi="Arial"/>
                <w:sz w:val="16"/>
                <w:szCs w:val="16"/>
                <w:b w:val="1"/>
                <w:bCs w:val="1"/>
                <w:color w:val="0000EE"/>
                <w:w w:val="88"/>
              </w:rPr>
            </w:pPr>
            <w:hyperlink w:anchor="page29">
              <w:r>
                <w:rPr>
                  <w:rFonts w:ascii="Arial" w:cs="Arial" w:eastAsia="Arial" w:hAnsi="Arial"/>
                  <w:sz w:val="16"/>
                  <w:szCs w:val="16"/>
                  <w:b w:val="1"/>
                  <w:bCs w:val="1"/>
                  <w:color w:val="0000EE"/>
                  <w:w w:val="88"/>
                </w:rPr>
                <w:t>Controls and Procedures</w:t>
              </w:r>
            </w:hyperlink>
          </w:p>
        </w:tc>
        <w:tc>
          <w:tcPr>
            <w:tcW w:w="8060" w:type="dxa"/>
            <w:vAlign w:val="bottom"/>
            <w:gridSpan w:val="11"/>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358"/>
        </w:trPr>
        <w:tc>
          <w:tcPr>
            <w:tcW w:w="10700" w:type="dxa"/>
            <w:vAlign w:val="bottom"/>
            <w:gridSpan w:val="20"/>
          </w:tcPr>
          <w:p>
            <w:pPr>
              <w:spacing w:after="0"/>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PART II. OTHER INFORMATION</w:t>
              </w:r>
            </w:hyperlink>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385"/>
        </w:trPr>
        <w:tc>
          <w:tcPr>
            <w:tcW w:w="920" w:type="dxa"/>
            <w:vAlign w:val="bottom"/>
            <w:tcBorders>
              <w:top w:val="single" w:sz="8" w:color="0000EE"/>
            </w:tcBorders>
          </w:tcPr>
          <w:p>
            <w:pPr>
              <w:spacing w:after="0"/>
              <w:rPr>
                <w:sz w:val="20"/>
                <w:szCs w:val="20"/>
                <w:color w:val="auto"/>
              </w:rPr>
            </w:pPr>
            <w:r>
              <w:rPr>
                <w:rFonts w:ascii="Arial" w:cs="Arial" w:eastAsia="Arial" w:hAnsi="Arial"/>
                <w:sz w:val="16"/>
                <w:szCs w:val="16"/>
                <w:b w:val="1"/>
                <w:bCs w:val="1"/>
                <w:color w:val="auto"/>
              </w:rPr>
              <w:t>Item 1.</w:t>
            </w:r>
          </w:p>
        </w:tc>
        <w:tc>
          <w:tcPr>
            <w:tcW w:w="1260" w:type="dxa"/>
            <w:vAlign w:val="bottom"/>
            <w:tcBorders>
              <w:top w:val="single" w:sz="8" w:color="0000EE"/>
              <w:bottom w:val="single" w:sz="8" w:color="0000EE"/>
            </w:tcBorders>
            <w:gridSpan w:val="4"/>
          </w:tcPr>
          <w:p>
            <w:pPr>
              <w:spacing w:after="0"/>
              <w:rPr>
                <w:rFonts w:ascii="Arial" w:cs="Arial" w:eastAsia="Arial" w:hAnsi="Arial"/>
                <w:sz w:val="16"/>
                <w:szCs w:val="16"/>
                <w:b w:val="1"/>
                <w:bCs w:val="1"/>
                <w:color w:val="0000EE"/>
                <w:w w:val="87"/>
              </w:rPr>
            </w:pPr>
            <w:hyperlink w:anchor="page29">
              <w:r>
                <w:rPr>
                  <w:rFonts w:ascii="Arial" w:cs="Arial" w:eastAsia="Arial" w:hAnsi="Arial"/>
                  <w:sz w:val="16"/>
                  <w:szCs w:val="16"/>
                  <w:b w:val="1"/>
                  <w:bCs w:val="1"/>
                  <w:color w:val="0000EE"/>
                  <w:w w:val="87"/>
                </w:rPr>
                <w:t>Legal Proceedings</w:t>
              </w:r>
            </w:hyperlink>
          </w:p>
        </w:tc>
        <w:tc>
          <w:tcPr>
            <w:tcW w:w="300" w:type="dxa"/>
            <w:vAlign w:val="bottom"/>
            <w:tcBorders>
              <w:top w:val="single" w:sz="8" w:color="0000EE"/>
            </w:tcBorders>
            <w:gridSpan w:val="2"/>
          </w:tcPr>
          <w:p>
            <w:pPr>
              <w:spacing w:after="0"/>
              <w:rPr>
                <w:sz w:val="24"/>
                <w:szCs w:val="24"/>
                <w:color w:val="auto"/>
              </w:rPr>
            </w:pPr>
          </w:p>
        </w:tc>
        <w:tc>
          <w:tcPr>
            <w:tcW w:w="8220" w:type="dxa"/>
            <w:vAlign w:val="bottom"/>
            <w:gridSpan w:val="13"/>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880" w:type="dxa"/>
            <w:vAlign w:val="bottom"/>
            <w:tcBorders>
              <w:bottom w:val="single" w:sz="8" w:color="0000EE"/>
            </w:tcBorders>
            <w:gridSpan w:val="3"/>
          </w:tcPr>
          <w:p>
            <w:pPr>
              <w:spacing w:after="0"/>
              <w:rPr>
                <w:rFonts w:ascii="Arial" w:cs="Arial" w:eastAsia="Arial" w:hAnsi="Arial"/>
                <w:sz w:val="16"/>
                <w:szCs w:val="16"/>
                <w:b w:val="1"/>
                <w:bCs w:val="1"/>
                <w:color w:val="0000EE"/>
                <w:w w:val="89"/>
              </w:rPr>
            </w:pPr>
            <w:hyperlink w:anchor="page29">
              <w:r>
                <w:rPr>
                  <w:rFonts w:ascii="Arial" w:cs="Arial" w:eastAsia="Arial" w:hAnsi="Arial"/>
                  <w:sz w:val="16"/>
                  <w:szCs w:val="16"/>
                  <w:b w:val="1"/>
                  <w:bCs w:val="1"/>
                  <w:color w:val="0000EE"/>
                  <w:w w:val="89"/>
                </w:rPr>
                <w:t>Risk Factors</w:t>
              </w:r>
            </w:hyperlink>
          </w:p>
        </w:tc>
        <w:tc>
          <w:tcPr>
            <w:tcW w:w="8900" w:type="dxa"/>
            <w:vAlign w:val="bottom"/>
            <w:gridSpan w:val="16"/>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780" w:type="dxa"/>
            <w:vAlign w:val="bottom"/>
            <w:gridSpan w:val="19"/>
          </w:tcPr>
          <w:p>
            <w:pPr>
              <w:spacing w:after="0"/>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Unregistered Sales of Equity Securities and Use of Proceeds</w:t>
              </w:r>
            </w:hyperlink>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4100" w:type="dxa"/>
            <w:vAlign w:val="bottom"/>
            <w:tcBorders>
              <w:top w:val="single" w:sz="8" w:color="0000EE"/>
            </w:tcBorders>
            <w:gridSpan w:val="11"/>
          </w:tcPr>
          <w:p>
            <w:pPr>
              <w:spacing w:after="0"/>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Mine Safety Disclosures</w:t>
              </w:r>
            </w:hyperlink>
          </w:p>
        </w:tc>
        <w:tc>
          <w:tcPr>
            <w:tcW w:w="5680" w:type="dxa"/>
            <w:vAlign w:val="bottom"/>
            <w:gridSpan w:val="8"/>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1640" w:type="dxa"/>
            <w:vAlign w:val="bottom"/>
            <w:tcBorders>
              <w:top w:val="single" w:sz="8" w:color="0000EE"/>
            </w:tcBorders>
            <w:gridSpan w:val="7"/>
          </w:tcPr>
          <w:p>
            <w:pPr>
              <w:spacing w:after="0"/>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Exhibits</w:t>
              </w:r>
            </w:hyperlink>
          </w:p>
        </w:tc>
        <w:tc>
          <w:tcPr>
            <w:tcW w:w="8140" w:type="dxa"/>
            <w:vAlign w:val="bottom"/>
            <w:gridSpan w:val="12"/>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20" w:type="dxa"/>
            <w:vAlign w:val="bottom"/>
            <w:gridSpan w:val="17"/>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line="20" w:lineRule="exact"/>
              <w:rPr>
                <w:sz w:val="1"/>
                <w:szCs w:val="1"/>
                <w:color w:val="auto"/>
              </w:rPr>
            </w:pPr>
          </w:p>
        </w:tc>
      </w:tr>
      <w:tr>
        <w:trPr>
          <w:trHeight w:val="358"/>
        </w:trPr>
        <w:tc>
          <w:tcPr>
            <w:tcW w:w="1040" w:type="dxa"/>
            <w:vAlign w:val="bottom"/>
            <w:tcBorders>
              <w:bottom w:val="single" w:sz="8" w:color="0000EE"/>
            </w:tcBorders>
            <w:gridSpan w:val="2"/>
          </w:tcPr>
          <w:p>
            <w:pPr>
              <w:spacing w:after="0"/>
              <w:rPr>
                <w:rFonts w:ascii="Arial" w:cs="Arial" w:eastAsia="Arial" w:hAnsi="Arial"/>
                <w:sz w:val="16"/>
                <w:szCs w:val="16"/>
                <w:b w:val="1"/>
                <w:bCs w:val="1"/>
                <w:color w:val="0000EE"/>
                <w:w w:val="97"/>
              </w:rPr>
            </w:pPr>
            <w:hyperlink w:anchor="page31">
              <w:r>
                <w:rPr>
                  <w:rFonts w:ascii="Arial" w:cs="Arial" w:eastAsia="Arial" w:hAnsi="Arial"/>
                  <w:sz w:val="16"/>
                  <w:szCs w:val="16"/>
                  <w:b w:val="1"/>
                  <w:bCs w:val="1"/>
                  <w:color w:val="0000EE"/>
                  <w:w w:val="97"/>
                </w:rPr>
                <w:t>SIGNATURES</w:t>
              </w:r>
            </w:hyperlink>
          </w:p>
        </w:tc>
        <w:tc>
          <w:tcPr>
            <w:tcW w:w="9660" w:type="dxa"/>
            <w:vAlign w:val="bottom"/>
            <w:gridSpan w:val="18"/>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920" w:type="dxa"/>
            <w:vAlign w:val="bottom"/>
          </w:tcPr>
          <w:p>
            <w:pPr>
              <w:spacing w:after="0"/>
              <w:rPr>
                <w:sz w:val="24"/>
                <w:szCs w:val="24"/>
                <w:color w:val="auto"/>
              </w:rPr>
            </w:pPr>
          </w:p>
        </w:tc>
        <w:tc>
          <w:tcPr>
            <w:tcW w:w="4960" w:type="dxa"/>
            <w:vAlign w:val="bottom"/>
            <w:gridSpan w:val="13"/>
          </w:tcPr>
          <w:p>
            <w:pPr>
              <w:ind w:left="470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Unless otherwise indicated, references to CME Group Inc. (CME Group or the company) products include references to products listed on one of its regulated U.S.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All amounts regarding contract volume and average rate per contract exclude our interest rate swaps and credit default swaps contracts.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CME Group, the Globe logo, CME, Chicago Mercantile Exchange, Globex and E-mini are trademarks of Chicago Mercantile Exchange Inc. CBOT, Chicago Board of Trade, KCBT and Kansas City Board of Trade are trademarks of Board of Trade of the City of Chicago, Inc. NYMEX, New York Mercantile Exchange and ClearPort are trademarks of New York Mercantile Exchange, Inc. COMEX is a trademark of Commodity Exchange,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139" w:lineRule="exact"/>
        <w:rPr>
          <w:sz w:val="20"/>
          <w:szCs w:val="20"/>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181"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key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regulations, including the impact of any changes in laws or government policy with respect to our industry, such as any changes to regulations and policies that require increased financial and operational resources from us or our customers;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ectPr>
          <w:pgSz w:w="11900" w:h="16838" w:orient="portrait"/>
          <w:cols w:equalWidth="0" w:num="1">
            <w:col w:w="11400"/>
          </w:cols>
          <w:pgMar w:left="240" w:top="125" w:right="25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5" w:right="25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w:t>
      </w:r>
    </w:p>
    <w:p>
      <w:pPr>
        <w:spacing w:after="0" w:line="225"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22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equity, foreign exchange, interest rate and commodities markets;</w:t>
      </w:r>
    </w:p>
    <w:p>
      <w:pPr>
        <w:spacing w:after="0" w:line="248"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volatility of the capital and credit markets and the impact of economic conditions on the trading activity of our current and potential customers;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strategy for acquisitions, investments and alliances;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27, 2017 and Item 1A. of this Quarterly Report on Form 10-Q.</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125" w:right="3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88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1"/>
        </w:trPr>
        <w:tc>
          <w:tcPr>
            <w:tcW w:w="1240" w:type="dxa"/>
            <w:vAlign w:val="bottom"/>
          </w:tcPr>
          <w:p>
            <w:pPr>
              <w:spacing w:after="0"/>
              <w:rPr>
                <w:sz w:val="24"/>
                <w:szCs w:val="24"/>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CME GROUP INC. AND SUBSIDIARIES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1240" w:type="dxa"/>
            <w:vAlign w:val="bottom"/>
          </w:tcPr>
          <w:p>
            <w:pPr>
              <w:spacing w:after="0"/>
              <w:rPr>
                <w:sz w:val="19"/>
                <w:szCs w:val="19"/>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1240" w:type="dxa"/>
            <w:vAlign w:val="bottom"/>
          </w:tcPr>
          <w:p>
            <w:pPr>
              <w:spacing w:after="0"/>
              <w:rPr>
                <w:sz w:val="18"/>
                <w:szCs w:val="18"/>
                <w:color w:val="auto"/>
              </w:rPr>
            </w:pPr>
          </w:p>
        </w:tc>
        <w:tc>
          <w:tcPr>
            <w:tcW w:w="6880" w:type="dxa"/>
            <w:vAlign w:val="bottom"/>
          </w:tcPr>
          <w:p>
            <w:pPr>
              <w:jc w:val="center"/>
              <w:ind w:left="1970"/>
              <w:spacing w:after="0"/>
              <w:rPr>
                <w:sz w:val="20"/>
                <w:szCs w:val="20"/>
                <w:color w:val="auto"/>
              </w:rPr>
            </w:pPr>
            <w:r>
              <w:rPr>
                <w:rFonts w:ascii="Arial" w:cs="Arial" w:eastAsia="Arial" w:hAnsi="Arial"/>
                <w:sz w:val="18"/>
                <w:szCs w:val="18"/>
                <w:color w:val="auto"/>
                <w:w w:val="90"/>
              </w:rPr>
              <w:t>(dollars in millions, except par value data; shares in thousands)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6880" w:type="dxa"/>
            <w:vAlign w:val="bottom"/>
          </w:tcPr>
          <w:p>
            <w:pPr>
              <w:jc w:val="center"/>
              <w:ind w:left="1970"/>
              <w:spacing w:after="0"/>
              <w:rPr>
                <w:sz w:val="20"/>
                <w:szCs w:val="20"/>
                <w:color w:val="auto"/>
              </w:rPr>
            </w:pPr>
            <w:r>
              <w:rPr>
                <w:rFonts w:ascii="Arial" w:cs="Arial" w:eastAsia="Arial" w:hAnsi="Arial"/>
                <w:sz w:val="18"/>
                <w:szCs w:val="18"/>
                <w:color w:val="auto"/>
                <w:w w:val="90"/>
              </w:rPr>
              <w:t>(unaudited)</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12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24"/>
                <w:szCs w:val="2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1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5"/>
              </w:rPr>
              <w:t>Current Assets:</w:t>
            </w:r>
          </w:p>
        </w:tc>
        <w:tc>
          <w:tcPr>
            <w:tcW w:w="6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1,868.6</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83.3</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$1.4 and $3.5</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364.4</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assets (includes $50.0 and $30.0 in restricted cash)</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340.8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171.7</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46,942.3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37,543.5</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49,392.5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40,031.5</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net of accumulated depreciation and amortization of $649.9 and $597.2</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assets—trading products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17,175.3</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2,441.8</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rPr>
              <w:t>Goodwill</w:t>
            </w:r>
          </w:p>
        </w:tc>
        <w:tc>
          <w:tcPr>
            <w:tcW w:w="6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7,569.0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7,569.0</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(includes $2.2 and $61.7 in restricted cash)</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1,726.6</w:t>
            </w: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68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78,323.0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69,369.4</w:t>
            </w:r>
          </w:p>
        </w:tc>
      </w:tr>
      <w:tr>
        <w:trPr>
          <w:trHeight w:val="67"/>
        </w:trPr>
        <w:tc>
          <w:tcPr>
            <w:tcW w:w="8120" w:type="dxa"/>
            <w:vAlign w:val="bottom"/>
            <w:tcBorders>
              <w:bottom w:val="single" w:sz="8" w:color="CCEEFF"/>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78"/>
        </w:trPr>
        <w:tc>
          <w:tcPr>
            <w:tcW w:w="1240" w:type="dxa"/>
            <w:vAlign w:val="bottom"/>
            <w:shd w:val="clear" w:color="auto" w:fill="CCEEFF"/>
          </w:tcPr>
          <w:p>
            <w:pPr>
              <w:spacing w:after="0"/>
              <w:rPr>
                <w:sz w:val="24"/>
                <w:szCs w:val="24"/>
                <w:color w:val="auto"/>
              </w:rPr>
            </w:pPr>
          </w:p>
        </w:tc>
        <w:tc>
          <w:tcPr>
            <w:tcW w:w="6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26.2</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1,376.7</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46,942.3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37,542.7</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38,945.6</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6"/>
              </w:rPr>
              <w:t>Long-term debt</w:t>
            </w:r>
          </w:p>
        </w:tc>
        <w:tc>
          <w:tcPr>
            <w:tcW w:w="6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2,232.6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2,231.2</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7,291.0</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9"/>
              </w:rPr>
              <w:t>Other liabilities</w:t>
            </w:r>
          </w:p>
        </w:tc>
        <w:tc>
          <w:tcPr>
            <w:tcW w:w="6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566.5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560.9</w:t>
            </w:r>
          </w:p>
        </w:tc>
      </w:tr>
      <w:tr>
        <w:trPr>
          <w:trHeight w:val="27"/>
        </w:trPr>
        <w:tc>
          <w:tcPr>
            <w:tcW w:w="124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Total Liabilities</w:t>
            </w:r>
          </w:p>
        </w:tc>
        <w:tc>
          <w:tcPr>
            <w:tcW w:w="6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57,459.1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49,028.7</w:t>
            </w:r>
          </w:p>
        </w:tc>
      </w:tr>
      <w:tr>
        <w:trPr>
          <w:trHeight w:val="223"/>
        </w:trPr>
        <w:tc>
          <w:tcPr>
            <w:tcW w:w="12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5"/>
              </w:rPr>
              <w:t>Preferred stock, $0.01 par value, 10,000 shares authorized at September 30, 2017 and December 31,</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2016; none issued</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Class A common stock, $0.01 par value, 1,000,000 shares authorized at September 30, 2017 and</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6"/>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2"/>
              </w:rPr>
              <w:t>December 31, 2016; 339,115 and 338,240 shares issued and outstanding as of September 30, 2017 and</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December 31, 2016,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1"/>
              </w:rPr>
              <w:t>Class B common stock, $0.01 par value, 3 shares authorized, issued and outstanding as of September 30,</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2017 and December 31, 2016</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17,874.6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17,826.9</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2,973.8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2,524.5</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20,863.9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20,340.7</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78,323.0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69,369.4</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756.2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2,340.2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2,267.9</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Access and communication fees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67.7</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890.8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841.7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2,744.7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2,682.3</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394.2</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52.4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72.0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65.3</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103.3</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113.0</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970.0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1,019.8</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567.9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525.3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1,774.7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1,662.5</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(91.9)</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earnings (losses) of unconsolidated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non-operating income (expense)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Non-Operating Income (Expense)</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607.3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548.8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1,951.6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1,693.4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827.4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532.7</w:t>
            </w:r>
          </w:p>
        </w:tc>
      </w:tr>
      <w:tr>
        <w:trPr>
          <w:trHeight w:val="297"/>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308.6</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472.8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1,124.2</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1,160.7</w:t>
            </w:r>
          </w:p>
        </w:tc>
      </w:tr>
      <w:tr>
        <w:trPr>
          <w:trHeight w:val="217"/>
        </w:trPr>
        <w:tc>
          <w:tcPr>
            <w:tcW w:w="6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3.43</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338,771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337,592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338,557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337,299</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6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340,329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339,143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340,114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2"/>
              </w:rPr>
              <w:t>338,834</w:t>
            </w:r>
          </w:p>
        </w:tc>
      </w:tr>
      <w:tr>
        <w:trPr>
          <w:trHeight w:val="27"/>
        </w:trPr>
        <w:tc>
          <w:tcPr>
            <w:tcW w:w="6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1,160.7</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177.7</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Reclassification of net (gains) losses on sales included in investment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Defined benefit plans: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29"/>
        </w:trPr>
        <w:tc>
          <w:tcPr>
            <w:tcW w:w="6080" w:type="dxa"/>
            <w:vAlign w:val="bottom"/>
          </w:tcPr>
          <w:p>
            <w:pPr>
              <w:ind w:left="500"/>
              <w:spacing w:after="0"/>
              <w:rPr>
                <w:sz w:val="20"/>
                <w:szCs w:val="20"/>
                <w:color w:val="auto"/>
              </w:rPr>
            </w:pPr>
            <w:r>
              <w:rPr>
                <w:rFonts w:ascii="Arial" w:cs="Arial" w:eastAsia="Arial" w:hAnsi="Arial"/>
                <w:sz w:val="18"/>
                <w:szCs w:val="18"/>
                <w:color w:val="auto"/>
                <w:w w:val="95"/>
              </w:rPr>
              <w:t>Amortization of net actuarial (gains) losses included in compensation and</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benefits expense</w:t>
            </w: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9"/>
        </w:trPr>
        <w:tc>
          <w:tcPr>
            <w:tcW w:w="6080" w:type="dxa"/>
            <w:vAlign w:val="bottom"/>
          </w:tcPr>
          <w:p>
            <w:pPr>
              <w:ind w:left="500"/>
              <w:spacing w:after="0"/>
              <w:rPr>
                <w:sz w:val="20"/>
                <w:szCs w:val="20"/>
                <w:color w:val="auto"/>
              </w:rPr>
            </w:pPr>
            <w:r>
              <w:rPr>
                <w:rFonts w:ascii="Arial" w:cs="Arial" w:eastAsia="Arial" w:hAnsi="Arial"/>
                <w:sz w:val="18"/>
                <w:szCs w:val="18"/>
                <w:color w:val="auto"/>
                <w:w w:val="94"/>
              </w:rPr>
              <w:t>Amortization of effective portion of net (gains) losses on cash flow hedges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included in interest expense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Derivative investments,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103.7</w:t>
            </w: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307.4</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382.4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1,150.4</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1,264.4</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Class A</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 and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9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338,240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17,830.3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2,524.5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20,340.7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1,124.2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1,124.2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Dividends on common stock of $1.98 per share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(672.7)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adoption of standards update on employee</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payments, net of tax</w:t>
            </w: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501</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Shares issued to Board of Directors</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under Employee Stock Purchase Plan</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2017</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339,115</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17,878.0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2,973.8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20,863.9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A</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Stock and</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9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336,938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17,725.0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2,907.6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20,551.8</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1,160.7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1,160.7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Dividends on common stock of $1.80 per share</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4340" w:type="dxa"/>
            <w:vAlign w:val="bottom"/>
          </w:tcPr>
          <w:p>
            <w:pPr>
              <w:ind w:left="40"/>
              <w:spacing w:after="0"/>
              <w:rPr>
                <w:sz w:val="20"/>
                <w:szCs w:val="20"/>
                <w:color w:val="auto"/>
              </w:rPr>
            </w:pPr>
            <w:r>
              <w:rPr>
                <w:rFonts w:ascii="Arial" w:cs="Arial" w:eastAsia="Arial" w:hAnsi="Arial"/>
                <w:sz w:val="18"/>
                <w:szCs w:val="18"/>
                <w:color w:val="auto"/>
                <w:w w:val="96"/>
              </w:rPr>
              <w:t>Excess tax benefits from option exercises and restricted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40"/>
              <w:spacing w:after="0"/>
              <w:rPr>
                <w:sz w:val="20"/>
                <w:szCs w:val="20"/>
                <w:color w:val="auto"/>
              </w:rPr>
            </w:pPr>
            <w:r>
              <w:rPr>
                <w:rFonts w:ascii="Arial" w:cs="Arial" w:eastAsia="Arial" w:hAnsi="Arial"/>
                <w:sz w:val="18"/>
                <w:szCs w:val="18"/>
                <w:color w:val="auto"/>
              </w:rPr>
              <w:t>stock vesting</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Shares issued to Board of Directors</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under Employee Stock Purchase Plan</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2016</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337,978</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17,783.4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3,458.6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21,264.9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1,124.2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1,160.7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BM&amp;FBOVESPA shares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Gain on sale of Bolsa Mexicana de Valores, S.A.B de C.V.</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 reclassified from accumulated other comprehensive income upon final sale of</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BM&amp;FBOVESPA shares</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Loss on datacenter</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Undistributed earnings, net of losses, of unconsolidated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1,330.2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1,232.4</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29"/>
        </w:trPr>
        <w:tc>
          <w:tcPr>
            <w:tcW w:w="8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net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Investments in business ventures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business venture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sale of BM&amp;FBOVESPA shares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Bolsa Mexicana de Valores, S.A.B de C.V.</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29"/>
        </w:trPr>
        <w:tc>
          <w:tcPr>
            <w:tcW w:w="8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finance lease obligation</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130.0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taxes paid on restricted stock vesting</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(1,440.7)</w:t>
            </w:r>
          </w:p>
        </w:tc>
      </w:tr>
      <w:tr>
        <w:trPr>
          <w:trHeight w:val="129"/>
        </w:trPr>
        <w:tc>
          <w:tcPr>
            <w:tcW w:w="85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1,868.6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1,692.6</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1,420.5</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8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642.7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545.5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Non-cash investing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proceeds from sale of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270"/>
        </w:trPr>
        <w:tc>
          <w:tcPr>
            <w:tcW w:w="8580" w:type="dxa"/>
            <w:vAlign w:val="bottom"/>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CME Clearing Europe Limited (CMECE) and CME Europe Limited (CME Europe). CME, CBOT, NYMEX, COMEX, CMECE and CME Europe and their subsidiaries are referred to collectively as “the exchange” in the notes to the consolidated financial statements. The clearing houses include CME Clearing, which is the U.S. clearing house and a division of CME, and CMECE.</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September 30, 2017 and December 31, 2016 and the results of operations and cash flows for the periods indicated. Quarterly results are not necessarily indicative of results for any subsequent period.</w:t>
      </w:r>
    </w:p>
    <w:p>
      <w:pPr>
        <w:spacing w:after="0" w:line="1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2016, filed with the Securities and Exchange Commission (SEC) on February 27, 2017.</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Newly Adopted Accounting Policies. </w:t>
      </w:r>
      <w:r>
        <w:rPr>
          <w:rFonts w:ascii="Arial" w:cs="Arial" w:eastAsia="Arial" w:hAnsi="Arial"/>
          <w:sz w:val="17"/>
          <w:szCs w:val="17"/>
          <w:color w:val="auto"/>
        </w:rPr>
        <w:t>In March 2016, the Financial Accounting Standards Board (FASB) issued a standards update that changes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aspects of accounting for share-based payments to employees. The guidance requires all income tax effects of awards to be recognized in the income statement when the awards vest or are settled. It also allows an employer to repurchase more of an employee’s shares for tax withholding purposes without triggering liability accounting and to make a policy election to account for forfeitures as they occur. The company implemented this standards update as of January 1, 2017 on a prospective basis. Starting in the first quarter of 2017, all income tax effects of awards are recognized in the income statement as part of income tax expense when the awards vest or are settled. During the first nine months of 2017, the company recognized a net tax benefit of $11.5 million related to the income tax effects of awards as part of income tax expense. The company also adopted a policy to recognize forfeitures as compensation expense as the forfeitures occur. Previously, the company estimated the number of awards that would be forfeited and recognized the estimate as part of compensation expense. This policy change was adopted on a modified retrospective basis with a cumulative-effect adjustment to additional paid in capital and retained earnings as of January 1, 2017. The excess tax benefits are now reported as an operating activity within the change in income taxes payable instead of a financing activity on the statements of cash flows. Prior periods have not been adjusted for this change. The employee taxes paid by the company when the company withholds shares for tax-withholding purposes when restricted stock awards vest are now classified as a financing activity on the statements of cash flows. Prior periods have been adjusted for this change.</w:t>
      </w:r>
    </w:p>
    <w:p>
      <w:pPr>
        <w:spacing w:after="0" w:line="12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 xml:space="preserve">Recently Issued Accounting Pronouncements. </w:t>
      </w:r>
      <w:r>
        <w:rPr>
          <w:rFonts w:ascii="Arial" w:cs="Arial" w:eastAsia="Arial" w:hAnsi="Arial"/>
          <w:sz w:val="16"/>
          <w:szCs w:val="16"/>
          <w:color w:val="auto"/>
        </w:rPr>
        <w:t>In May 2014, the FASB issued a new standard on revenue recognition that replaces numerous, industry-specific requirements and converges U.S. accounting standards with International Financial Reporting Standards. The new standard introduces a framework for recognizing revenue that focuses on the transfer of control rather than risks and rewards. The new standard also requires significant additional disclosures about the nature, amount, timing and uncertainty of revenue and cash flows arising from customer contracts, including significant judgments, changes in judgments and assets recognized from costs incurred to obtain or fulfill a contract. The application of the new standard becomes effective in the first annual period beginning after December 15, 2017, with early adoption permitted. This guidance may be adopted using one of two transition methods: retrospectively to each prior reporting period presented (full retrospective method) or retrospectively with the cumulative effect of initially applying the guidance recognized at the date of initial adoption (the modified retrospective approach). Management is on course to comply with the guidance by the effective date as the project team has completed the contract review and implementation phases. Based on the assessment, management expects the impact to the financial statements and internal controls environment to be immaterial. Management also notes that adoption of the guidance will result in expanded disclosures within the footnotes.</w:t>
      </w:r>
    </w:p>
    <w:p>
      <w:pPr>
        <w:spacing w:after="0" w:line="1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January 2016, the FASB issued a standards update that will change how entities measure certain equity investments. It does not change the guidance for classifying and measuring investments in debt securities and loans. Under the new guidance, entities will have to measure many equity investments at fair value and recognize any changes in fair value in net income, unless the investments qualify for a practicability exception. Entities will no longer be able to recognize unrealized holding gains and losses on equity securities classified today as available for sale in other comprehensive income. The update is effective for reporting periods beginning after December 15, 2017. Early adoption is permitted. The company is still in the process of evaluating the impact of this update on the consolidated financial statements.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February 2016, the FASB issued a standards update that requires lessees to recognize on the balance sheet the assets and liabilities associated with the rights and obligations created by those leases. The guidance for lessors is largely unchanged from current U.S. GAAP. Under the new guidance, a lessee will be required to recognize assets and liabilities for leases with terms of more than 12 months. Consistent with current U.S. GAAP, the recognition, measurement, and presentation of expenses and cash flows arising from a lease by a lessee primarily will depend on its classification as a finance or operating lease. The update is effective for reporting periods beginning after December 15, 2018. Early adoption is permitted. The company is in the process of evaluating the impact of this update on the consolidated financial statements.</w:t>
      </w:r>
    </w:p>
    <w:p>
      <w:pPr>
        <w:spacing w:after="0" w:line="1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June 2016, the FASB issued guidance that changes how credit losses are measured for most financial assets measured at amortized cost and certain other instruments. The standard requires an entity to estimate its lifetime expected credit loss and record an allowance, that when deducted from the amortized cost basis of the financial asset, presents the net amount expected to be collected on the financial asset. This forward-looking expected loss model generally will result in the earlier recognition of allowances for losses. The standard also amends the impairment model for available for sale debt securities and requires entities to determine whether all or a portion of the unrealized loss on an available for sale debt security is a credit loss. Severity and duration of the unrealized loss are no longer permissible factors in concluding whether a credit loss exists. Entities will recognize improvements to estimated credit losses on available for sale debt securities immediately in earnings rather than as interest income over time. The standard is effective for reporting periods beginning after December 15, 2019. The standard’s provisions must be applied as a cumulative-effect adjustment to retained earnings as of the beginning of the first reporting period in which the guidance is effective. Early adoption is permitted for reporting periods beginning in 2019. The company is in the process of evaluating the impact of this standard on the consolidated financial statements.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November 2016, the FASB issued a standards update aimed at promoting consistency in the classification and presentation of changes in restricted cash on the statement of cash flows. Previously, there was diversity in practice as to whether the change in restricted cash was included in the reconciliation of beginning-of-period and end-of-period total cash amounts shown on the statement of cash flows. The amendments require that a statement of cash flows explain the change during the period in the total of cash, cash equivalents, as well as amounts described as restricted cash on the balance sheet. This guidance is effective for fiscal years beginning after December 15, 2017 and interim periods within those fiscal years. Early adoption is permitted. The amendments must be applied using a retrospective transition method to each period presented. The company is in the process of evaluating the impact of this update on our consolidated financial statements.</w:t>
      </w:r>
    </w:p>
    <w:p>
      <w:pPr>
        <w:spacing w:after="0" w:line="13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March 2017, the FASB issued a standards update that will change certain presentation and disclosure requirements for employers that sponsor defined benefit pension as well as other postretirement benefit plans. Under current accounting rules, defined benefit pension cost and postretirement benefit cost (net benefit cost) comprise several components that reflect different aspects of an employer’s financial arrangements as well as the cost of benefits provided to the employees. Those components are aggregated for reporting in the financial statements within compensation and benefits on the income statement. The amendments in the update require that the service cost component is reported in the same line as other compensation costs, whereas the other components of net benefit cost are required to be presented in the income statement separately from the service cost component. The amendments are effective for reporting periods beginning after December 15, 2017. Early adoption is permitted as of the beginning of an annual period for which financial statements have not been issued. The company is in the process of evaluating the impact of this update on the consolidated financial statements.</w:t>
      </w:r>
    </w:p>
    <w:p>
      <w:pPr>
        <w:spacing w:after="0" w:line="3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August 2017, the FASB issued a standards update that amends the existing hedge accounting model to enable entities to better reflect their risk management activities in the financial statements. The amendments expand an entity’s ability to hedge nonfinancial and financial risk components and reduce complexity in fair value hedges of interest rate risk. The guidance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and modifies the accounting for components excluded from the assessment of hedge effectiveness. The guidance is effective for fiscal years beginning after December 15, 2018. Early adoption is permitted. We do not believe that the adoption of this standard will have a material impact on our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Performance Bonds and Guaranty Fund Contributions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Performance Bonds and Guaranty Fund Contributions. </w:t>
      </w:r>
      <w:r>
        <w:rPr>
          <w:rFonts w:ascii="Arial" w:cs="Arial" w:eastAsia="Arial" w:hAnsi="Arial"/>
          <w:sz w:val="18"/>
          <w:szCs w:val="18"/>
          <w:color w:val="auto"/>
        </w:rPr>
        <w:t>CME has been designated as a systemically important financial market utility by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Stability Oversight Council and is authorized to establish and maintain a cash account at the Federal Reserve Bank of Chicago. At September 30, 2017, CME maintained $38.1 billion within the cash account at the Federal Reserve Bank of Chicago.</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Clearing House Contract Settlement. </w:t>
      </w:r>
      <w:r>
        <w:rPr>
          <w:rFonts w:ascii="Arial" w:cs="Arial" w:eastAsia="Arial" w:hAnsi="Arial"/>
          <w:sz w:val="18"/>
          <w:szCs w:val="18"/>
          <w:color w:val="auto"/>
        </w:rPr>
        <w:t>CME Clearing and CMECE mark-to-market open positions for all futures and options contracts twice a day (once a day</w:t>
      </w:r>
      <w:r>
        <w:rPr>
          <w:rFonts w:ascii="Arial" w:cs="Arial" w:eastAsia="Arial" w:hAnsi="Arial"/>
          <w:sz w:val="18"/>
          <w:szCs w:val="18"/>
          <w:i w:val="1"/>
          <w:iCs w:val="1"/>
          <w:color w:val="auto"/>
        </w:rPr>
        <w:t xml:space="preserve"> </w:t>
      </w:r>
      <w:r>
        <w:rPr>
          <w:rFonts w:ascii="Arial" w:cs="Arial" w:eastAsia="Arial" w:hAnsi="Arial"/>
          <w:sz w:val="18"/>
          <w:szCs w:val="18"/>
          <w:color w:val="auto"/>
        </w:rPr>
        <w:t>for CME's cleared-only credit default swap and interest rate swap contracts). Based on values derived from the mark-to-market process, CME Clearing and CMECE require payments from clearing firms whose positions have lost value and make payments to clearing firms whose positions have gained value. Under the extremely unlikely scenario</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of simultaneous default by every clearing firm who has open positions with unrealized losses, the maximum exposure related to positions other than cleared-only credit default and interest rate swap contracts would be one half day of changes in fair value of all open positions, before considering the clearing houses' ability to access defaulting clearing firms' collateral deposits.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CME's cleared-only credit default swap (CDS) and interest rate swap contracts, the maximum exposure related to CME Clearing's guarantee would be one full day of changes in fair value of all open positions, before considering CME Clearing's ability to access defaulting clearing firms' collateral. It is noted that CME is committed to exiting the company's CDS clearing business by mid-2018. During the transition, CME will continue to provide full clearing services so that participants can continue to manage their risk.</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CMECE and CME Europe wind down announced in April 2017, all CMECE client guaranty fund contributions have been returned to the clearing firms as of September 30, 2017. The guarantee fund balance as recorded in other current assets represents $50.0 million of company capital retained in the guaranty fund for transition purposes as of September 30, 2017.</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the first nine months of 2017, CME Clearing and CMECE transferred an average of approximately $2.4 billion a day through their clearing systems for settlement from clearing firms whose positions had lost value to clearing firms whose positions had gained value. CME Clearing and CMECE reduce their guarantee exposure through initial and maintenance performance bond requirements and mandatory guaranty fund contributions. The company believes that its guarantee liability is immaterial and therefore has not recorded any liability at September 30,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September 30, 2017 and December 31, 2016:</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2,838.8</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(920.1)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1,918.7</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2,838.8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(849.2)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1,989.6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2,870.6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1,920.0</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1,991.8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 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2,441.8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Trading products </w:t>
            </w:r>
            <w:r>
              <w:rPr>
                <w:rFonts w:ascii="Arial" w:cs="Arial" w:eastAsia="Arial" w:hAnsi="Arial"/>
                <w:sz w:val="25"/>
                <w:szCs w:val="25"/>
                <w:color w:val="auto"/>
                <w:vertAlign w:val="superscript"/>
              </w:rPr>
              <w:t>(1)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14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Total amortization expense for intangible assets was $23.8 million for the quarter ended September 30, 2017 and $24.0 million for the quarter ended September 30, 2016. Total amortization expense for intangible assets was $71.8 million for the nine months ended September 30, 2017 and $72.0 million for the nine months ended September 30, 2016. As of September 30, 2017, the future estimated amortization expense related to amortizable intangible assets is expected to be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Amortization Expense</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2017</w:t>
            </w:r>
          </w:p>
        </w:tc>
        <w:tc>
          <w:tcPr>
            <w:tcW w:w="4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2018</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2020</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2022</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14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1,422.8</w:t>
            </w:r>
          </w:p>
        </w:tc>
      </w:tr>
      <w:tr>
        <w:trPr>
          <w:trHeight w:val="27"/>
        </w:trPr>
        <w:tc>
          <w:tcPr>
            <w:tcW w:w="530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various long-term investments as included in other assets in the consolidated balance sheets.</w:t>
      </w:r>
    </w:p>
    <w:p>
      <w:pPr>
        <w:spacing w:after="0" w:line="225"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In January 2017, the company sold its remaining 43.4 million shares of BM&amp;FBOVESPA S.A. (BM&amp;FBOVESPA) and recognized a net gain of $86.5 million, net of transaction costs, within investment income on the consolidated statements of income. In conjunction with the final sale of shares, the company reclassified income tax expense of $87.8 million from accumulated other comprehensive income to the income tax provision.</w:t>
      </w:r>
    </w:p>
    <w:p>
      <w:pPr>
        <w:spacing w:after="0" w:line="3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the third quarter of 2017, the company sold 9.9 million shares of Bolsa Mexicana de Valores, S.A.B de C.V. (Bolsa Mexicana) and recognized a net gain of $2.0 million, net of transaction costs, within investment income on the consolidated statements of income. As of September 30, 2017, the company owned an approximate 0.3% interest in Bolsa Mexicana. At September 30, 2017, the fair value and cost basis of the remaining investment in Bolsa Mexicana was $3.1 million and $2.7 million respectively.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September 30, 2017 and December 31, 2016: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2016</w:t>
            </w: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2022, stated rate of 3.00%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745.8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745.2</w:t>
            </w:r>
          </w:p>
        </w:tc>
      </w:tr>
      <w:tr>
        <w:trPr>
          <w:trHeight w:val="270"/>
        </w:trPr>
        <w:tc>
          <w:tcPr>
            <w:tcW w:w="8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March 2025, stated rate of 3.00%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744.7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744.2</w:t>
            </w: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2043, stated rate of 5.30% </w:t>
            </w:r>
            <w:r>
              <w:rPr>
                <w:rFonts w:ascii="Arial" w:cs="Arial" w:eastAsia="Arial" w:hAnsi="Arial"/>
                <w:sz w:val="25"/>
                <w:szCs w:val="25"/>
                <w:color w:val="auto"/>
                <w:vertAlign w:val="superscript"/>
              </w:rPr>
              <w:t>(3)</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742.1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741.8</w:t>
            </w:r>
          </w:p>
        </w:tc>
      </w:tr>
      <w:tr>
        <w:trPr>
          <w:trHeight w:val="237"/>
        </w:trPr>
        <w:tc>
          <w:tcPr>
            <w:tcW w:w="80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2,232.6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2,231.2</w:t>
            </w:r>
          </w:p>
        </w:tc>
      </w:tr>
      <w:tr>
        <w:trPr>
          <w:trHeight w:val="27"/>
        </w:trPr>
        <w:tc>
          <w:tcPr>
            <w:tcW w:w="8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3.32%.</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2014, the company entered into a forward-starting interest rate swap agreement that modified the interest obligation associated with these notes so that the interest payable on the notes effectively became fixed at a rate of 3.11%.</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4.73%.</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at September 30,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9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2019</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2021</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1,500.0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Contingencies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Legal and Regulatory Matters. </w:t>
      </w:r>
      <w:r>
        <w:rPr>
          <w:rFonts w:ascii="Arial" w:cs="Arial" w:eastAsia="Arial" w:hAnsi="Arial"/>
          <w:sz w:val="18"/>
          <w:szCs w:val="18"/>
          <w:color w:val="auto"/>
        </w:rPr>
        <w:t>In 2013, the CFTC filed suit against NYMEX and two former employees alleging disclosure of confidential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 violation of the Commodity Exchange Act. NYMEX’s motion to dismiss was denied in 2014. Based on its investigation to date and advice from legal counsel, the company believes that it has strong factual and legal defenses to the claim.</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2003, the U.S. Futures Exchange, L.L.C. (Eurex U.S.) and U.S. Exchange Holdings, Inc. filed suit in federal court alleging that CBOT and CME violated the antitrust laws and tortuously interfered with the business relationship and contract between Eurex U.S. and The Clearing Corporation. While the complaint requests treble damages, the plaintiffs have not specified the amount of damages sought. After years of relative inactivity, the case was recently reassigned to a new judge and a trial date was set for April 9, 2018. Based on its investigation to date and advice from legal counsel, the company believes that it has strong factual and legal defenses to the claim. Given the uncertainty of factors which may potentially impact the resolution of the matter, at this time the company is unable to estimate the reasonably possible loss or range of reasonably possible losses in the unlikely event it were found to be liable at trial in the matter.</w:t>
      </w:r>
    </w:p>
    <w:p>
      <w:pPr>
        <w:spacing w:after="0" w:line="18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 accrual was required for legal and regulatory matters that were probable and estimable as of September 30, 2017 and December 31, 2016.</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Certain agreements with customers and other third parties related to accessing the CME Group platforms, utilizing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Guarantees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Mutual Offset Agreement. </w:t>
      </w:r>
      <w:r>
        <w:rPr>
          <w:rFonts w:ascii="Arial" w:cs="Arial" w:eastAsia="Arial" w:hAnsi="Arial"/>
          <w:sz w:val="16"/>
          <w:szCs w:val="16"/>
          <w:color w:val="auto"/>
        </w:rPr>
        <w:t>CME and Singapore Exchange Limited (SGX) have a mutual offset agreement with a current term through October 2018.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enables market participants to open a futures position on one exchange and liquidate it on the other. The term of the agreement will automatically renew for a one-year period unless either party provides advance notice of their intent to terminate. CME must maintain U.S. Treasury securities or irrevocable, standby letters of credit as collateral for this agreement. At September 30, 2017, CME was contingently liable to SGX on letters of credit totaling $285.0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The company believes that its guarantee liability is immaterial and therefore has not recorded any liability at September 30, 2017.</w:t>
      </w:r>
    </w:p>
    <w:p>
      <w:pPr>
        <w:spacing w:after="0" w:line="16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Family Farmer and Rancher Protection Fund. </w:t>
      </w:r>
      <w:r>
        <w:rPr>
          <w:rFonts w:ascii="Arial" w:cs="Arial" w:eastAsia="Arial" w:hAnsi="Arial"/>
          <w:sz w:val="18"/>
          <w:szCs w:val="18"/>
          <w:color w:val="auto"/>
        </w:rPr>
        <w:t>In 2012, the company established the Family Farmer and Rancher Protection Fund (the Fund). The Fund is</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provide payments, up to certain maximum levels, to family farmers, ranchers and other agricultural industry participants who use the company's agricultural commodity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members and customers must register with the company in advance and provide certain documentation in order to substantiate their eligibility. The company believes that its guarantee liability is immaterial and therefore has not recorded any liability at September 30,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 (Loss)</w:t>
      </w:r>
    </w:p>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(loss), including current period other comprehensive income (loss) and reclassifications out of accumulated other comprehensive income (loss):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reclassifications and income tax benefit (expense)</w:t>
            </w:r>
          </w:p>
        </w:tc>
        <w:tc>
          <w:tcPr>
            <w:tcW w:w="5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current period other comprehensive income (loss)</w:t>
            </w: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September 30, 2017</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tcPr>
          <w:p>
            <w:pPr>
              <w:spacing w:after="0"/>
              <w:rPr>
                <w:sz w:val="24"/>
                <w:szCs w:val="2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reclassifications and income tax benefit (expense)</w:t>
            </w:r>
          </w:p>
        </w:tc>
        <w:tc>
          <w:tcPr>
            <w:tcW w:w="5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current period other comprehensive income (loss)</w:t>
            </w: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September 30, 2016</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225" w:lineRule="exact"/>
        <w:rPr>
          <w:sz w:val="20"/>
          <w:szCs w:val="20"/>
          <w:color w:val="auto"/>
        </w:rPr>
      </w:pPr>
    </w:p>
    <w:p>
      <w:pPr>
        <w:ind w:left="660" w:right="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inputs consist of observable market data, such as quoted prices for similar assets and liabilities in active markets, or inputs other than quoted prices that are directly observable.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21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Level 1 assets generally include investments in publicly traded mutual funds, equity securities and corporate debt securities with quoted market prices. In general, the company uses quoted prices in active markets for identical assets to determine the fair value of marketable securities and equity investments. If quoted prices are not available to determine fair value, the company uses other inputs that are directly observable.</w:t>
      </w:r>
    </w:p>
    <w:p>
      <w:pPr>
        <w:spacing w:after="0" w:line="1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Assets included in level 2 generally consist of asset-backed securities. Asset-backed securities were measured at fair value based on matrix pricing using prices of similar securities with similar inputs such as maturity dates, interest rates and credit ratings.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Financial assets recorded in the consolidated balance sheet as of September 30, 2017 were classified in their entirety based on the lowest level of input that was significant to each asset's fair value measurement. There were no liabilities that were measured at fair value as of September 30, 2017. The following tables present financial instruments measured at fair value on a recurring basis: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September 30, 2017</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66.8</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Equity investments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There were no transfers of assets or liabilities between level 1, level 2 and level 3 during the first nine months of 2017. There were no level 3 assets or liabilities valued at fair value on a recurring or non-recurring basis during the first nine months of 2017.</w:t>
      </w:r>
    </w:p>
    <w:p>
      <w:pPr>
        <w:spacing w:after="0" w:line="2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following presents the estimated fair values of long-term debt notes, which are carried at amortized cost on the consolidated balance sheets. The fair values, which are classified as level 2 under the fair value hierarchy, were estimated using quoted market prices. At September 30, 2017, the fair values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September 2022, stated rate of 3.00%</w:t>
            </w:r>
          </w:p>
        </w:tc>
        <w:tc>
          <w:tcPr>
            <w:tcW w:w="2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771.2</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$750.0 million fixed rate notes due March 2025, stated rate of 3.00%</w:t>
            </w:r>
          </w:p>
        </w:tc>
        <w:tc>
          <w:tcPr>
            <w:tcW w:w="25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763.4</w:t>
            </w:r>
          </w:p>
        </w:tc>
      </w:tr>
      <w:tr>
        <w:trPr>
          <w:trHeight w:val="27"/>
        </w:trPr>
        <w:tc>
          <w:tcPr>
            <w:tcW w:w="7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$750.0 million fixed rates notes due September 2043, stated rate of 5.30%</w:t>
            </w:r>
          </w:p>
        </w:tc>
        <w:tc>
          <w:tcPr>
            <w:tcW w:w="25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954.0</w:t>
            </w:r>
          </w:p>
        </w:tc>
      </w:tr>
      <w:tr>
        <w:trPr>
          <w:trHeight w:val="27"/>
        </w:trPr>
        <w:tc>
          <w:tcPr>
            <w:tcW w:w="77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29"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Basic earnings per share is computed by dividing net income attributable to the company by the weighted average number of shares of all classes of CME Group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options, restricted stock and performance share awards were as follows for the periods presented: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ind w:left="659"/>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52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ind w:right="33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4"/>
                <w:szCs w:val="24"/>
                <w:color w:val="auto"/>
              </w:rPr>
            </w:pPr>
          </w:p>
        </w:tc>
        <w:tc>
          <w:tcPr>
            <w:tcW w:w="1140" w:type="dxa"/>
            <w:vAlign w:val="bottom"/>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ind w:right="33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14"/>
        </w:trPr>
        <w:tc>
          <w:tcPr>
            <w:tcW w:w="6520" w:type="dxa"/>
            <w:vAlign w:val="bottom"/>
            <w:tcBorders>
              <w:bottom w:val="single" w:sz="8" w:color="auto"/>
            </w:tcBorders>
            <w:vMerge w:val="continue"/>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7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Restricted stock and performance shares</w:t>
            </w:r>
          </w:p>
        </w:tc>
        <w:tc>
          <w:tcPr>
            <w:tcW w:w="720" w:type="dxa"/>
            <w:vAlign w:val="bottom"/>
          </w:tcPr>
          <w:p>
            <w:pPr>
              <w:spacing w:after="0"/>
              <w:rPr>
                <w:sz w:val="21"/>
                <w:szCs w:val="21"/>
                <w:color w:val="auto"/>
              </w:rPr>
            </w:pPr>
          </w:p>
        </w:tc>
        <w:tc>
          <w:tcPr>
            <w:tcW w:w="440" w:type="dxa"/>
            <w:vAlign w:val="bottom"/>
          </w:tcPr>
          <w:p>
            <w:pPr>
              <w:jc w:val="right"/>
              <w:ind w:right="37"/>
              <w:spacing w:after="0"/>
              <w:rPr>
                <w:sz w:val="20"/>
                <w:szCs w:val="20"/>
                <w:color w:val="auto"/>
              </w:rPr>
            </w:pPr>
            <w:r>
              <w:rPr>
                <w:rFonts w:ascii="Arial" w:cs="Arial" w:eastAsia="Arial" w:hAnsi="Arial"/>
                <w:sz w:val="18"/>
                <w:szCs w:val="18"/>
                <w:color w:val="auto"/>
                <w:w w:val="99"/>
              </w:rPr>
              <w:t>438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w w:val="99"/>
              </w:rPr>
              <w:t>438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7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73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earnings per share calculation for the periods presented: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 millions)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1,124.2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1,160.7</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(in thousands):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338,771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337,592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338,557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337,299</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Effect of stock options, restricted stock and performance shares</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340,329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339,143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340,114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338,834</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The company has determined that there were no subsequent events that require disclosure except the following:</w:t>
      </w:r>
    </w:p>
    <w:p>
      <w:pPr>
        <w:spacing w:after="0" w:line="17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Following a request for de-authorization submitted by the company in September 2017, CME Europe has received confirmation from the Financial Conduct Authority (FCA) that its status as a recognized investment exchange (RIE) has been revoked effective October 12, 2017. CMECE has received confirmation from the Bank of England that revocation of its status as a European Market Infrastructure Regulation (EMIR) authorized central counterparty clearing house (CCP) and UK recognized CCP was effective October 12,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following discussion is provided as a supplement to, and should be read in conjunction with, the accompanying unaudited consolidated financial statements and notes in this Quarterly Report on Form 10-Q and our Annual Report on Form 10-K for the year ended December 31, 2016.</w:t>
      </w:r>
    </w:p>
    <w:p>
      <w:pPr>
        <w:spacing w:after="0" w:line="124"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References in this discussion and analysis to “we,” “us” and “our” are to CME Group Inc. (CME Group) and its consolidated subsidiaries, collectively. References to “exchange” are to Chicago Mercantile Exchange Inc. (CME), Board of Trade of the City of Chicago, Inc. (CBOT), New York Mercantile Exchange, Inc. (NYMEX), Commodity Exchange, Inc. (COMEX), CME Clearing Europe Limited (CMECE) and CME Europe Limited (CME Europe), collectively, unless otherwise noted. The clearing houses include CME Clearing, which is the U.S. clearing house and a division of CME, and CMECE.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Quarter Ended</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1320" w:type="dxa"/>
            <w:vAlign w:val="bottom"/>
          </w:tcPr>
          <w:p>
            <w:pPr>
              <w:spacing w:after="0"/>
              <w:rPr>
                <w:sz w:val="14"/>
                <w:szCs w:val="14"/>
                <w:color w:val="auto"/>
              </w:rPr>
            </w:pPr>
          </w:p>
        </w:tc>
      </w:tr>
      <w:tr>
        <w:trPr>
          <w:trHeight w:val="192"/>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Change</w:t>
            </w: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2016</w:t>
            </w:r>
          </w:p>
        </w:tc>
        <w:tc>
          <w:tcPr>
            <w:tcW w:w="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890.8</w:t>
            </w:r>
          </w:p>
        </w:tc>
        <w:tc>
          <w:tcPr>
            <w:tcW w:w="44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841.7</w:t>
            </w:r>
          </w:p>
        </w:tc>
        <w:tc>
          <w:tcPr>
            <w:tcW w:w="14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6 %</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2,744.7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3"/>
              </w:rPr>
              <w:t>2,682.3</w:t>
            </w: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96"/>
              <w:spacing w:after="0"/>
              <w:rPr>
                <w:sz w:val="20"/>
                <w:szCs w:val="20"/>
                <w:color w:val="auto"/>
              </w:rPr>
            </w:pPr>
            <w:r>
              <w:rPr>
                <w:rFonts w:ascii="Arial" w:cs="Arial" w:eastAsia="Arial" w:hAnsi="Arial"/>
                <w:sz w:val="18"/>
                <w:szCs w:val="18"/>
                <w:color w:val="auto"/>
              </w:rPr>
              <w:t>322.9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316.4</w:t>
            </w:r>
          </w:p>
        </w:tc>
        <w:tc>
          <w:tcPr>
            <w:tcW w:w="1420" w:type="dxa"/>
            <w:vAlign w:val="bottom"/>
            <w:gridSpan w:val="2"/>
          </w:tcPr>
          <w:p>
            <w:pPr>
              <w:jc w:val="right"/>
              <w:ind w:right="268"/>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970.0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93"/>
              </w:rPr>
              <w:t>1,019.8</w:t>
            </w:r>
          </w:p>
        </w:tc>
        <w:tc>
          <w:tcPr>
            <w:tcW w:w="4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(5)</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w:t>
            </w: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00" w:type="dxa"/>
            <w:vAlign w:val="bottom"/>
          </w:tcPr>
          <w:p>
            <w:pPr>
              <w:jc w:val="right"/>
              <w:ind w:right="196"/>
              <w:spacing w:after="0"/>
              <w:rPr>
                <w:sz w:val="20"/>
                <w:szCs w:val="20"/>
                <w:color w:val="auto"/>
              </w:rPr>
            </w:pPr>
            <w:r>
              <w:rPr>
                <w:rFonts w:ascii="Arial" w:cs="Arial" w:eastAsia="Arial" w:hAnsi="Arial"/>
                <w:sz w:val="18"/>
                <w:szCs w:val="18"/>
                <w:color w:val="auto"/>
              </w:rPr>
              <w:t>39.4</w:t>
            </w:r>
          </w:p>
        </w:tc>
        <w:tc>
          <w:tcPr>
            <w:tcW w:w="4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23.5</w:t>
            </w:r>
          </w:p>
        </w:tc>
        <w:tc>
          <w:tcPr>
            <w:tcW w:w="1420" w:type="dxa"/>
            <w:vAlign w:val="bottom"/>
            <w:gridSpan w:val="2"/>
          </w:tcPr>
          <w:p>
            <w:pPr>
              <w:jc w:val="right"/>
              <w:ind w:right="268"/>
              <w:spacing w:after="0"/>
              <w:rPr>
                <w:sz w:val="20"/>
                <w:szCs w:val="20"/>
                <w:color w:val="auto"/>
              </w:rPr>
            </w:pPr>
            <w:r>
              <w:rPr>
                <w:rFonts w:ascii="Arial" w:cs="Arial" w:eastAsia="Arial" w:hAnsi="Arial"/>
                <w:sz w:val="18"/>
                <w:szCs w:val="18"/>
                <w:color w:val="auto"/>
              </w:rPr>
              <w:t>68</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30.9</w:t>
            </w:r>
          </w:p>
        </w:tc>
        <w:tc>
          <w:tcPr>
            <w:tcW w:w="40" w:type="dxa"/>
            <w:vAlign w:val="bottom"/>
          </w:tcPr>
          <w:p>
            <w:pPr>
              <w:spacing w:after="0"/>
              <w:rPr>
                <w:sz w:val="21"/>
                <w:szCs w:val="21"/>
                <w:color w:val="auto"/>
              </w:rPr>
            </w:pP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n.m.</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00" w:type="dxa"/>
            <w:vAlign w:val="bottom"/>
          </w:tcPr>
          <w:p>
            <w:pPr>
              <w:jc w:val="right"/>
              <w:ind w:right="196"/>
              <w:spacing w:after="0"/>
              <w:rPr>
                <w:sz w:val="20"/>
                <w:szCs w:val="20"/>
                <w:color w:val="auto"/>
              </w:rPr>
            </w:pPr>
            <w:r>
              <w:rPr>
                <w:rFonts w:ascii="Arial" w:cs="Arial" w:eastAsia="Arial" w:hAnsi="Arial"/>
                <w:sz w:val="18"/>
                <w:szCs w:val="18"/>
                <w:color w:val="auto"/>
              </w:rPr>
              <w:t>308.6</w:t>
            </w:r>
          </w:p>
        </w:tc>
        <w:tc>
          <w:tcPr>
            <w:tcW w:w="4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472.8</w:t>
            </w:r>
          </w:p>
        </w:tc>
        <w:tc>
          <w:tcPr>
            <w:tcW w:w="1420" w:type="dxa"/>
            <w:vAlign w:val="bottom"/>
            <w:gridSpan w:val="2"/>
          </w:tcPr>
          <w:p>
            <w:pPr>
              <w:jc w:val="right"/>
              <w:ind w:right="208"/>
              <w:spacing w:after="0"/>
              <w:rPr>
                <w:sz w:val="20"/>
                <w:szCs w:val="20"/>
                <w:color w:val="auto"/>
              </w:rPr>
            </w:pPr>
            <w:r>
              <w:rPr>
                <w:rFonts w:ascii="Arial" w:cs="Arial" w:eastAsia="Arial" w:hAnsi="Arial"/>
                <w:sz w:val="18"/>
                <w:szCs w:val="18"/>
                <w:color w:val="auto"/>
              </w:rPr>
              <w:t>(35)</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1,124.2</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93"/>
              </w:rPr>
              <w:t>1,160.7</w:t>
            </w:r>
          </w:p>
        </w:tc>
        <w:tc>
          <w:tcPr>
            <w:tcW w:w="4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(3)</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0.91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1.39</w:t>
            </w:r>
          </w:p>
        </w:tc>
        <w:tc>
          <w:tcPr>
            <w:tcW w:w="142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3.43</w:t>
            </w: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1,330.2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93"/>
              </w:rPr>
              <w:t>1,232.4</w:t>
            </w:r>
          </w:p>
        </w:tc>
        <w:tc>
          <w:tcPr>
            <w:tcW w:w="40" w:type="dxa"/>
            <w:vAlign w:val="bottom"/>
          </w:tcPr>
          <w:p>
            <w:pPr>
              <w:spacing w:after="0"/>
              <w:rPr>
                <w:sz w:val="21"/>
                <w:szCs w:val="21"/>
                <w:color w:val="auto"/>
              </w:rPr>
            </w:pP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8</w:t>
            </w:r>
          </w:p>
        </w:tc>
      </w:tr>
      <w:tr>
        <w:trPr>
          <w:trHeight w:val="351"/>
        </w:trPr>
        <w:tc>
          <w:tcPr>
            <w:tcW w:w="3740" w:type="dxa"/>
            <w:vAlign w:val="bottom"/>
          </w:tcPr>
          <w:p>
            <w:pPr>
              <w:spacing w:after="0"/>
              <w:rPr>
                <w:sz w:val="20"/>
                <w:szCs w:val="20"/>
                <w:color w:val="auto"/>
              </w:rPr>
            </w:pPr>
            <w:r>
              <w:rPr>
                <w:rFonts w:ascii="Arial" w:cs="Arial" w:eastAsia="Arial" w:hAnsi="Arial"/>
                <w:sz w:val="18"/>
                <w:szCs w:val="18"/>
                <w:color w:val="auto"/>
              </w:rPr>
              <w:t>n.m. not meaningful</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88"/>
        </w:trPr>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Quarter Ended</w:t>
            </w: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c>
          <w:tcPr>
            <w:tcW w:w="1320" w:type="dxa"/>
            <w:vAlign w:val="bottom"/>
          </w:tcPr>
          <w:p>
            <w:pPr>
              <w:spacing w:after="0"/>
              <w:rPr>
                <w:sz w:val="24"/>
                <w:szCs w:val="24"/>
                <w:color w:val="auto"/>
              </w:rPr>
            </w:pPr>
          </w:p>
        </w:tc>
      </w:tr>
      <w:tr>
        <w:trPr>
          <w:trHeight w:val="192"/>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Change</w:t>
            </w: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756.2</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14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7 %</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2,340.2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2,267.9</w:t>
            </w: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101.1</w:t>
            </w:r>
          </w:p>
        </w:tc>
        <w:tc>
          <w:tcPr>
            <w:tcW w:w="1420" w:type="dxa"/>
            <w:vAlign w:val="bottom"/>
            <w:gridSpan w:val="2"/>
          </w:tcPr>
          <w:p>
            <w:pPr>
              <w:jc w:val="right"/>
              <w:ind w:right="128"/>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289.8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306.4</w:t>
            </w:r>
          </w:p>
        </w:tc>
        <w:tc>
          <w:tcPr>
            <w:tcW w:w="4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(5)</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42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w:t>
            </w: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11</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w:t>
            </w:r>
          </w:p>
        </w:tc>
        <w:tc>
          <w:tcPr>
            <w:tcW w:w="1420" w:type="dxa"/>
            <w:vAlign w:val="bottom"/>
            <w:gridSpan w:val="2"/>
          </w:tcPr>
          <w:p>
            <w:pPr>
              <w:jc w:val="right"/>
              <w:ind w:right="128"/>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40.3</w:t>
            </w:r>
          </w:p>
        </w:tc>
        <w:tc>
          <w:tcPr>
            <w:tcW w:w="4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(1)</w:t>
            </w:r>
          </w:p>
        </w:tc>
      </w:tr>
      <w:tr>
        <w:trPr>
          <w:trHeight w:val="27"/>
        </w:trPr>
        <w:tc>
          <w:tcPr>
            <w:tcW w:w="3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890.8</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w:t>
            </w:r>
          </w:p>
        </w:tc>
        <w:tc>
          <w:tcPr>
            <w:tcW w:w="14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2,744.7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2,682.3</w:t>
            </w:r>
          </w:p>
        </w:tc>
        <w:tc>
          <w:tcPr>
            <w:tcW w:w="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Clearing and Transaction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Futures and Options Contracts</w:t>
      </w:r>
    </w:p>
    <w:p>
      <w:pPr>
        <w:spacing w:after="0" w:line="19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table summarizes our total contract volume, revenue and average rate per contract for futures and options. Total contract volume includes contracts that are traded on our exchange and cleared through our clearing houses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interest rate swaps and credit default swaps.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2016</w:t>
            </w:r>
          </w:p>
        </w:tc>
        <w:tc>
          <w:tcPr>
            <w:tcW w:w="14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2016</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989.3</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916.4</w:t>
            </w:r>
          </w:p>
        </w:tc>
        <w:tc>
          <w:tcPr>
            <w:tcW w:w="14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3,085.9</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6"/>
              </w:rPr>
              <w:t>2,915.2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Clearing and transaction fees (in millions)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741.2</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687.2</w:t>
            </w:r>
          </w:p>
        </w:tc>
        <w:tc>
          <w:tcPr>
            <w:tcW w:w="1420" w:type="dxa"/>
            <w:vAlign w:val="bottom"/>
          </w:tcPr>
          <w:p>
            <w:pPr>
              <w:jc w:val="right"/>
              <w:ind w:right="214"/>
              <w:spacing w:after="0"/>
              <w:rPr>
                <w:sz w:val="20"/>
                <w:szCs w:val="20"/>
                <w:color w:val="auto"/>
              </w:rPr>
            </w:pPr>
            <w:r>
              <w:rPr>
                <w:rFonts w:ascii="Arial" w:cs="Arial" w:eastAsia="Arial" w:hAnsi="Arial"/>
                <w:sz w:val="18"/>
                <w:szCs w:val="18"/>
                <w:color w:val="auto"/>
              </w:rPr>
              <w:t>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2,292.0</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w w:val="96"/>
              </w:rPr>
              <w:t>2,222.9</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3</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0.749</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0.750</w:t>
            </w:r>
          </w:p>
        </w:tc>
        <w:tc>
          <w:tcPr>
            <w:tcW w:w="14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0.743</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0.763</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w:t>
            </w:r>
          </w:p>
        </w:tc>
      </w:tr>
      <w:tr>
        <w:trPr>
          <w:trHeight w:val="27"/>
        </w:trPr>
        <w:tc>
          <w:tcPr>
            <w:tcW w:w="3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estimate the following increases in clearing and transaction fees based on changes in total contract volumes and changes in average rate per contract for futures and options during the third quarter and first nine months of 2017 when compared with the same periods in 2016.</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4"/>
                <w:szCs w:val="14"/>
                <w:b w:val="1"/>
                <w:bCs w:val="1"/>
                <w:color w:val="auto"/>
                <w:w w:val="97"/>
              </w:rPr>
              <w:t>Nine Months</w:t>
            </w:r>
          </w:p>
        </w:tc>
        <w:tc>
          <w:tcPr>
            <w:tcW w:w="0" w:type="dxa"/>
            <w:vAlign w:val="bottom"/>
          </w:tcPr>
          <w:p>
            <w:pPr>
              <w:spacing w:after="0"/>
              <w:rPr>
                <w:sz w:val="1"/>
                <w:szCs w:val="1"/>
                <w:color w:val="auto"/>
              </w:rPr>
            </w:pPr>
          </w:p>
        </w:tc>
      </w:tr>
      <w:tr>
        <w:trPr>
          <w:trHeight w:val="192"/>
        </w:trPr>
        <w:tc>
          <w:tcPr>
            <w:tcW w:w="9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due to changes in total contract volume</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Decreases due to changes in average rate per contract</w:t>
            </w: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increases in clearing and transaction fees</w:t>
            </w:r>
          </w:p>
        </w:tc>
        <w:tc>
          <w:tcPr>
            <w:tcW w:w="4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7"/>
        </w:trPr>
        <w:tc>
          <w:tcPr>
            <w:tcW w:w="9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Volume</w:t>
      </w:r>
    </w:p>
    <w:p>
      <w:pPr>
        <w:spacing w:after="0" w:line="19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00" w:type="dxa"/>
            <w:vAlign w:val="bottom"/>
            <w:gridSpan w:val="3"/>
          </w:tcPr>
          <w:p>
            <w:pPr>
              <w:jc w:val="right"/>
              <w:ind w:right="451"/>
              <w:spacing w:after="0"/>
              <w:rPr>
                <w:sz w:val="20"/>
                <w:szCs w:val="20"/>
                <w:color w:val="auto"/>
              </w:rPr>
            </w:pPr>
            <w:r>
              <w:rPr>
                <w:rFonts w:ascii="Arial" w:cs="Arial" w:eastAsia="Arial" w:hAnsi="Arial"/>
                <w:sz w:val="14"/>
                <w:szCs w:val="14"/>
                <w:b w:val="1"/>
                <w:bCs w:val="1"/>
                <w:color w:val="auto"/>
              </w:rPr>
              <w:t>Quarter Ended</w:t>
            </w:r>
          </w:p>
        </w:tc>
        <w:tc>
          <w:tcPr>
            <w:tcW w:w="1080" w:type="dxa"/>
            <w:vAlign w:val="bottom"/>
          </w:tcPr>
          <w:p>
            <w:pPr>
              <w:spacing w:after="0"/>
              <w:rPr>
                <w:sz w:val="14"/>
                <w:szCs w:val="14"/>
                <w:color w:val="auto"/>
              </w:rPr>
            </w:pPr>
          </w:p>
        </w:tc>
        <w:tc>
          <w:tcPr>
            <w:tcW w:w="2000" w:type="dxa"/>
            <w:vAlign w:val="bottom"/>
            <w:gridSpan w:val="3"/>
          </w:tcPr>
          <w:p>
            <w:pPr>
              <w:jc w:val="right"/>
              <w:ind w:right="291"/>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14"/>
                <w:szCs w:val="14"/>
                <w:color w:val="auto"/>
              </w:rPr>
            </w:pPr>
          </w:p>
        </w:tc>
      </w:tr>
      <w:tr>
        <w:trPr>
          <w:trHeight w:val="192"/>
        </w:trPr>
        <w:tc>
          <w:tcPr>
            <w:tcW w:w="5120" w:type="dxa"/>
            <w:vAlign w:val="bottom"/>
          </w:tcPr>
          <w:p>
            <w:pPr>
              <w:spacing w:after="0"/>
              <w:rPr>
                <w:sz w:val="16"/>
                <w:szCs w:val="16"/>
                <w:color w:val="auto"/>
              </w:rPr>
            </w:pPr>
          </w:p>
        </w:tc>
        <w:tc>
          <w:tcPr>
            <w:tcW w:w="200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Pr>
          <w:p>
            <w:pPr>
              <w:spacing w:after="0"/>
              <w:rPr>
                <w:sz w:val="16"/>
                <w:szCs w:val="16"/>
                <w:color w:val="auto"/>
              </w:rPr>
            </w:pPr>
          </w:p>
        </w:tc>
        <w:tc>
          <w:tcPr>
            <w:tcW w:w="200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spacing w:after="0"/>
              <w:rPr>
                <w:sz w:val="16"/>
                <w:szCs w:val="16"/>
                <w:color w:val="auto"/>
              </w:rPr>
            </w:pPr>
          </w:p>
        </w:tc>
      </w:tr>
      <w:tr>
        <w:trPr>
          <w:trHeight w:val="264"/>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10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Change</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Product Line:</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7,424</w:t>
            </w:r>
          </w:p>
        </w:tc>
        <w:tc>
          <w:tcPr>
            <w:tcW w:w="10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6,791</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9 %</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8,263</w:t>
            </w:r>
          </w:p>
        </w:tc>
        <w:tc>
          <w:tcPr>
            <w:tcW w:w="10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7,255</w:t>
            </w:r>
          </w:p>
        </w:tc>
        <w:tc>
          <w:tcPr>
            <w:tcW w:w="100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5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2,624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2,876</w:t>
            </w:r>
          </w:p>
        </w:tc>
        <w:tc>
          <w:tcPr>
            <w:tcW w:w="1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(9)</w:t>
            </w: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2,698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3,123</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771</w:t>
            </w: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26</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850</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8</w:t>
            </w:r>
          </w:p>
        </w:tc>
      </w:tr>
      <w:tr>
        <w:trPr>
          <w:trHeight w:val="27"/>
        </w:trPr>
        <w:tc>
          <w:tcPr>
            <w:tcW w:w="5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commodity</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1,156</w:t>
            </w:r>
          </w:p>
        </w:tc>
        <w:tc>
          <w:tcPr>
            <w:tcW w:w="10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19</w:t>
            </w: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1,364</w:t>
            </w:r>
          </w:p>
        </w:tc>
        <w:tc>
          <w:tcPr>
            <w:tcW w:w="1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Energy</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2,294</w:t>
            </w: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17</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2,381</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10</w:t>
            </w:r>
          </w:p>
        </w:tc>
      </w:tr>
      <w:tr>
        <w:trPr>
          <w:trHeight w:val="27"/>
        </w:trPr>
        <w:tc>
          <w:tcPr>
            <w:tcW w:w="5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431</w:t>
            </w:r>
          </w:p>
        </w:tc>
        <w:tc>
          <w:tcPr>
            <w:tcW w:w="10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42</w:t>
            </w: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451</w:t>
            </w:r>
          </w:p>
        </w:tc>
        <w:tc>
          <w:tcPr>
            <w:tcW w:w="1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w:t>
            </w: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94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15,704</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14,319</w:t>
            </w: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10</w:t>
            </w:r>
          </w:p>
        </w:tc>
        <w:tc>
          <w:tcPr>
            <w:tcW w:w="96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16,414</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15,424</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6</w:t>
            </w:r>
          </w:p>
        </w:tc>
      </w:tr>
      <w:tr>
        <w:trPr>
          <w:trHeight w:val="27"/>
        </w:trPr>
        <w:tc>
          <w:tcPr>
            <w:tcW w:w="5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Electronic</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14,264</w:t>
            </w:r>
          </w:p>
        </w:tc>
        <w:tc>
          <w:tcPr>
            <w:tcW w:w="10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12,672</w:t>
            </w: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13</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14,596</w:t>
            </w:r>
          </w:p>
        </w:tc>
        <w:tc>
          <w:tcPr>
            <w:tcW w:w="10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13,562</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8</w:t>
            </w:r>
          </w:p>
        </w:tc>
      </w:tr>
      <w:tr>
        <w:trPr>
          <w:trHeight w:val="27"/>
        </w:trPr>
        <w:tc>
          <w:tcPr>
            <w:tcW w:w="5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outcry</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982</w:t>
            </w:r>
          </w:p>
        </w:tc>
        <w:tc>
          <w:tcPr>
            <w:tcW w:w="1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(9)</w:t>
            </w: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1,156</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Privately negotiated</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665</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(17)</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706</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w:t>
            </w:r>
          </w:p>
        </w:tc>
      </w:tr>
      <w:tr>
        <w:trPr>
          <w:trHeight w:val="27"/>
        </w:trPr>
        <w:tc>
          <w:tcPr>
            <w:tcW w:w="5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average daily volume</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15,704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14,319</w:t>
            </w:r>
          </w:p>
        </w:tc>
        <w:tc>
          <w:tcPr>
            <w:tcW w:w="10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10</w:t>
            </w: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16,414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15,424</w:t>
            </w:r>
          </w:p>
        </w:tc>
        <w:tc>
          <w:tcPr>
            <w:tcW w:w="1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Electronic Volume as a Percentage of Total Volume</w:t>
            </w: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10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1000" w:type="dxa"/>
            <w:vAlign w:val="bottom"/>
          </w:tcPr>
          <w:p>
            <w:pPr>
              <w:spacing w:after="0"/>
              <w:rPr>
                <w:sz w:val="21"/>
                <w:szCs w:val="21"/>
                <w:color w:val="auto"/>
              </w:rPr>
            </w:pPr>
          </w:p>
        </w:tc>
      </w:tr>
    </w:tbl>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Overall contract volumes increased in the third quarter and first nine months of 2017 when compared with the same periods in 2016. Interest rate volatility remained high in the first nine months of 2017 as the markets continued to experience uncertainty surrounding the Federal Reserve's interest rate policy. In June 2017, the Federal Open Markets Committee raised the federal funds rate, which contributed to additional interest rate volatility through the third quarter. These factors resulted in strong volume for our interest rate contracts in the first nine months of 2017. There was a shift in crude oil supplies caused by an increase in United States crude oil production following the Organization of Petroleum Exporting Countries' decision to cut oil supplies in the fourth quarter of 2016, which contributed to stronger energy volumes in the first nine months of 2017. The equity markets experienced lower volatility in the first nine months of 2017 due to fewer market-moving geopolitical events, which resulted in lower equity contract volume.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futures include contracts expiring in two years or less. Eurodollar Back 32 futures include contracts with expirations after two years through ten years.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60" w:type="dxa"/>
            <w:vAlign w:val="bottom"/>
            <w:gridSpan w:val="2"/>
          </w:tcPr>
          <w:p>
            <w:pPr>
              <w:jc w:val="right"/>
              <w:ind w:right="492"/>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3"/>
              </w:rPr>
              <w:t>2016</w:t>
            </w:r>
          </w:p>
        </w:tc>
        <w:tc>
          <w:tcPr>
            <w:tcW w:w="14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2016</w:t>
            </w:r>
          </w:p>
        </w:tc>
        <w:tc>
          <w:tcPr>
            <w:tcW w:w="13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Front 8 futures</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1,495</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1,665</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1,795</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1,773</w:t>
            </w: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Back 32 futures</w:t>
            </w:r>
          </w:p>
        </w:tc>
        <w:tc>
          <w:tcPr>
            <w:tcW w:w="16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702</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w:t>
            </w:r>
          </w:p>
        </w:tc>
        <w:tc>
          <w:tcPr>
            <w:tcW w:w="1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13</w:t>
            </w:r>
          </w:p>
        </w:tc>
        <w:tc>
          <w:tcPr>
            <w:tcW w:w="16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792</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647</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Options</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1,066</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1,052</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1</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1,379</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1,200</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15</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10-Year</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1,902</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1,539</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24</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1,921</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1,664</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15</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5-Year</w:t>
            </w:r>
          </w:p>
        </w:tc>
        <w:tc>
          <w:tcPr>
            <w:tcW w:w="16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925</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808</w:t>
            </w:r>
          </w:p>
        </w:tc>
        <w:tc>
          <w:tcPr>
            <w:tcW w:w="1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15</w:t>
            </w:r>
          </w:p>
        </w:tc>
        <w:tc>
          <w:tcPr>
            <w:tcW w:w="16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1,004</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862</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2-Year</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370</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316</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17</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378</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324</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17</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Treasury bond</w:t>
            </w:r>
          </w:p>
        </w:tc>
        <w:tc>
          <w:tcPr>
            <w:tcW w:w="16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386</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w:t>
            </w:r>
          </w:p>
        </w:tc>
        <w:tc>
          <w:tcPr>
            <w:tcW w:w="1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18</w:t>
            </w:r>
          </w:p>
        </w:tc>
        <w:tc>
          <w:tcPr>
            <w:tcW w:w="16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379</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342</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Federal Funds futures and options</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159</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142</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12</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209</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54</w:t>
            </w: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third quarter and first nine months of 2017 when compared with the same periods in 2016, overall interest rate contract volumes increased largely due to volatility caused by continued uncertainty surrounding the Federal Reserve's interest rate policy, including volatility caused by the federal funds rate increase by the Federal Open Markets Committee in June 2017. In addition, we believe the increase in short-term interest rate contract volume in the first nine months of 2017 when compared</w:t>
      </w:r>
    </w:p>
    <w:p>
      <w:pPr>
        <w:sectPr>
          <w:pgSz w:w="11900" w:h="16838" w:orient="portrait"/>
          <w:cols w:equalWidth="0" w:num="1">
            <w:col w:w="11420"/>
          </w:cols>
          <w:pgMar w:left="240" w:top="125"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with the same period in 2016 was also due to the uncertainty surrounding other global events, including 2017 elections throughout Europe. We believe the increases in long-term interest rate contract volumes were also due to the volatility resulting from the uncertainty surrounding the policies of the political administration in the United States, uncertainty regarding future rates of inflation, and potential for additional government spending.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products.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476"/>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9"/>
              </w:rPr>
              <w:t>2016</w:t>
            </w:r>
          </w:p>
        </w:tc>
        <w:tc>
          <w:tcPr>
            <w:tcW w:w="14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jc w:val="right"/>
              <w:ind w:right="841"/>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9"/>
              </w:rPr>
              <w:t>2016</w:t>
            </w:r>
          </w:p>
        </w:tc>
        <w:tc>
          <w:tcPr>
            <w:tcW w:w="13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E-mini S&amp;P 500 futures and options</w:t>
            </w:r>
          </w:p>
        </w:tc>
        <w:tc>
          <w:tcPr>
            <w:tcW w:w="1640" w:type="dxa"/>
            <w:vAlign w:val="bottom"/>
          </w:tcPr>
          <w:p>
            <w:pPr>
              <w:jc w:val="right"/>
              <w:ind w:right="541"/>
              <w:spacing w:after="0"/>
              <w:rPr>
                <w:sz w:val="20"/>
                <w:szCs w:val="20"/>
                <w:color w:val="auto"/>
              </w:rPr>
            </w:pPr>
            <w:r>
              <w:rPr>
                <w:rFonts w:ascii="Arial" w:cs="Arial" w:eastAsia="Arial" w:hAnsi="Arial"/>
                <w:sz w:val="18"/>
                <w:szCs w:val="18"/>
                <w:color w:val="auto"/>
              </w:rPr>
              <w:t>1,968</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2,347</w:t>
            </w:r>
          </w:p>
        </w:tc>
        <w:tc>
          <w:tcPr>
            <w:tcW w:w="1460" w:type="dxa"/>
            <w:vAlign w:val="bottom"/>
          </w:tcPr>
          <w:p>
            <w:pPr>
              <w:jc w:val="right"/>
              <w:ind w:right="56"/>
              <w:spacing w:after="0"/>
              <w:rPr>
                <w:sz w:val="20"/>
                <w:szCs w:val="20"/>
                <w:color w:val="auto"/>
              </w:rPr>
            </w:pPr>
            <w:r>
              <w:rPr>
                <w:rFonts w:ascii="Arial" w:cs="Arial" w:eastAsia="Arial" w:hAnsi="Arial"/>
                <w:sz w:val="18"/>
                <w:szCs w:val="18"/>
                <w:color w:val="auto"/>
              </w:rPr>
              <w:t>(16)%</w:t>
            </w:r>
          </w:p>
        </w:tc>
        <w:tc>
          <w:tcPr>
            <w:tcW w:w="1640" w:type="dxa"/>
            <w:vAlign w:val="bottom"/>
          </w:tcPr>
          <w:p>
            <w:pPr>
              <w:jc w:val="right"/>
              <w:ind w:right="541"/>
              <w:spacing w:after="0"/>
              <w:rPr>
                <w:sz w:val="20"/>
                <w:szCs w:val="20"/>
                <w:color w:val="auto"/>
              </w:rPr>
            </w:pPr>
            <w:r>
              <w:rPr>
                <w:rFonts w:ascii="Arial" w:cs="Arial" w:eastAsia="Arial" w:hAnsi="Arial"/>
                <w:sz w:val="18"/>
                <w:szCs w:val="18"/>
                <w:color w:val="auto"/>
              </w:rPr>
              <w:t>2,111</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2,492</w:t>
            </w: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E-mini NASDAQ 100 futures and options</w:t>
            </w:r>
          </w:p>
        </w:tc>
        <w:tc>
          <w:tcPr>
            <w:tcW w:w="1640" w:type="dxa"/>
            <w:vAlign w:val="bottom"/>
            <w:shd w:val="clear" w:color="auto" w:fill="CCEEFF"/>
          </w:tcPr>
          <w:p>
            <w:pPr>
              <w:jc w:val="right"/>
              <w:ind w:right="541"/>
              <w:spacing w:after="0"/>
              <w:rPr>
                <w:sz w:val="20"/>
                <w:szCs w:val="20"/>
                <w:color w:val="auto"/>
              </w:rPr>
            </w:pPr>
            <w:r>
              <w:rPr>
                <w:rFonts w:ascii="Arial" w:cs="Arial" w:eastAsia="Arial" w:hAnsi="Arial"/>
                <w:sz w:val="18"/>
                <w:szCs w:val="18"/>
                <w:color w:val="auto"/>
              </w:rPr>
              <w:t>328</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236</w:t>
            </w:r>
          </w:p>
        </w:tc>
        <w:tc>
          <w:tcPr>
            <w:tcW w:w="14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39</w:t>
            </w:r>
          </w:p>
        </w:tc>
        <w:tc>
          <w:tcPr>
            <w:tcW w:w="1640" w:type="dxa"/>
            <w:vAlign w:val="bottom"/>
            <w:shd w:val="clear" w:color="auto" w:fill="CCEEFF"/>
          </w:tcPr>
          <w:p>
            <w:pPr>
              <w:jc w:val="right"/>
              <w:ind w:right="541"/>
              <w:spacing w:after="0"/>
              <w:rPr>
                <w:sz w:val="20"/>
                <w:szCs w:val="20"/>
                <w:color w:val="auto"/>
              </w:rPr>
            </w:pPr>
            <w:r>
              <w:rPr>
                <w:rFonts w:ascii="Arial" w:cs="Arial" w:eastAsia="Arial" w:hAnsi="Arial"/>
                <w:sz w:val="18"/>
                <w:szCs w:val="18"/>
                <w:color w:val="auto"/>
              </w:rPr>
              <w:t>282</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281</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Overall equity contract volume decreased in the third quarter of 2017 when compared with the same period in 2016 due to overall lower market volatility, as measured by the CBOE Volatility Index and CBOE Nasdaq-100 Volatility Index. The comparatively low volatility is believed to be caused by fewer market-moving geopolitical and macro-level events that impacted these indexes in the first nine months of 2017. In the first nine months of 2016, there were periods of higher volatility within the equity markets resulting from uncertainty regarding whether the Federal Open Markets Committee would begin to raise the federal funds rate in 2016, the deceleration of the Chinese economy and declining global crude oil prices.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60" w:type="dxa"/>
            <w:vAlign w:val="bottom"/>
            <w:gridSpan w:val="2"/>
          </w:tcPr>
          <w:p>
            <w:pPr>
              <w:jc w:val="right"/>
              <w:ind w:right="493"/>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3"/>
              </w:rPr>
              <w:t>2016</w:t>
            </w:r>
          </w:p>
        </w:tc>
        <w:tc>
          <w:tcPr>
            <w:tcW w:w="14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2016</w:t>
            </w: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64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8"/>
                <w:szCs w:val="18"/>
                <w:color w:val="auto"/>
              </w:rPr>
              <w:t>239</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w:t>
            </w:r>
          </w:p>
        </w:tc>
        <w:tc>
          <w:tcPr>
            <w:tcW w:w="164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8"/>
                <w:szCs w:val="18"/>
                <w:color w:val="auto"/>
              </w:rPr>
              <w:t>229</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1640" w:type="dxa"/>
            <w:vAlign w:val="bottom"/>
          </w:tcPr>
          <w:p>
            <w:pPr>
              <w:jc w:val="right"/>
              <w:ind w:right="557"/>
              <w:spacing w:after="0"/>
              <w:rPr>
                <w:sz w:val="20"/>
                <w:szCs w:val="20"/>
                <w:color w:val="auto"/>
              </w:rPr>
            </w:pPr>
            <w:r>
              <w:rPr>
                <w:rFonts w:ascii="Arial" w:cs="Arial" w:eastAsia="Arial" w:hAnsi="Arial"/>
                <w:sz w:val="18"/>
                <w:szCs w:val="18"/>
                <w:color w:val="auto"/>
              </w:rPr>
              <w:t>173</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140</w:t>
            </w:r>
          </w:p>
        </w:tc>
        <w:tc>
          <w:tcPr>
            <w:tcW w:w="1440" w:type="dxa"/>
            <w:vAlign w:val="bottom"/>
          </w:tcPr>
          <w:p>
            <w:pPr>
              <w:jc w:val="right"/>
              <w:ind w:right="213"/>
              <w:spacing w:after="0"/>
              <w:rPr>
                <w:sz w:val="20"/>
                <w:szCs w:val="20"/>
                <w:color w:val="auto"/>
              </w:rPr>
            </w:pPr>
            <w:r>
              <w:rPr>
                <w:rFonts w:ascii="Arial" w:cs="Arial" w:eastAsia="Arial" w:hAnsi="Arial"/>
                <w:sz w:val="18"/>
                <w:szCs w:val="18"/>
                <w:color w:val="auto"/>
              </w:rPr>
              <w:t>24</w:t>
            </w:r>
          </w:p>
        </w:tc>
        <w:tc>
          <w:tcPr>
            <w:tcW w:w="1640" w:type="dxa"/>
            <w:vAlign w:val="bottom"/>
          </w:tcPr>
          <w:p>
            <w:pPr>
              <w:jc w:val="right"/>
              <w:ind w:right="557"/>
              <w:spacing w:after="0"/>
              <w:rPr>
                <w:sz w:val="20"/>
                <w:szCs w:val="20"/>
                <w:color w:val="auto"/>
              </w:rPr>
            </w:pPr>
            <w:r>
              <w:rPr>
                <w:rFonts w:ascii="Arial" w:cs="Arial" w:eastAsia="Arial" w:hAnsi="Arial"/>
                <w:sz w:val="18"/>
                <w:szCs w:val="18"/>
                <w:color w:val="auto"/>
              </w:rPr>
              <w:t>172</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159</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8</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164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8"/>
                <w:szCs w:val="18"/>
                <w:color w:val="auto"/>
              </w:rPr>
              <w:t>119</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c>
          <w:tcPr>
            <w:tcW w:w="14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5</w:t>
            </w:r>
          </w:p>
        </w:tc>
        <w:tc>
          <w:tcPr>
            <w:tcW w:w="164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8"/>
                <w:szCs w:val="18"/>
                <w:color w:val="auto"/>
              </w:rPr>
              <w:t>123</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w:t>
            </w: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1640" w:type="dxa"/>
            <w:vAlign w:val="bottom"/>
          </w:tcPr>
          <w:p>
            <w:pPr>
              <w:jc w:val="right"/>
              <w:ind w:right="557"/>
              <w:spacing w:after="0"/>
              <w:rPr>
                <w:sz w:val="20"/>
                <w:szCs w:val="20"/>
                <w:color w:val="auto"/>
              </w:rPr>
            </w:pPr>
            <w:r>
              <w:rPr>
                <w:rFonts w:ascii="Arial" w:cs="Arial" w:eastAsia="Arial" w:hAnsi="Arial"/>
                <w:sz w:val="18"/>
                <w:szCs w:val="18"/>
                <w:color w:val="auto"/>
              </w:rPr>
              <w:t>105</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1440" w:type="dxa"/>
            <w:vAlign w:val="bottom"/>
          </w:tcPr>
          <w:p>
            <w:pPr>
              <w:jc w:val="right"/>
              <w:ind w:right="213"/>
              <w:spacing w:after="0"/>
              <w:rPr>
                <w:sz w:val="20"/>
                <w:szCs w:val="20"/>
                <w:color w:val="auto"/>
              </w:rPr>
            </w:pPr>
            <w:r>
              <w:rPr>
                <w:rFonts w:ascii="Arial" w:cs="Arial" w:eastAsia="Arial" w:hAnsi="Arial"/>
                <w:sz w:val="18"/>
                <w:szCs w:val="18"/>
                <w:color w:val="auto"/>
              </w:rPr>
              <w:t>2</w:t>
            </w:r>
          </w:p>
        </w:tc>
        <w:tc>
          <w:tcPr>
            <w:tcW w:w="1640" w:type="dxa"/>
            <w:vAlign w:val="bottom"/>
          </w:tcPr>
          <w:p>
            <w:pPr>
              <w:jc w:val="right"/>
              <w:ind w:right="557"/>
              <w:spacing w:after="0"/>
              <w:rPr>
                <w:sz w:val="20"/>
                <w:szCs w:val="20"/>
                <w:color w:val="auto"/>
              </w:rPr>
            </w:pPr>
            <w:r>
              <w:rPr>
                <w:rFonts w:ascii="Arial" w:cs="Arial" w:eastAsia="Arial" w:hAnsi="Arial"/>
                <w:sz w:val="18"/>
                <w:szCs w:val="18"/>
                <w:color w:val="auto"/>
              </w:rPr>
              <w:t>97</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109</w:t>
            </w: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(12)</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64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91</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w:t>
            </w:r>
          </w:p>
        </w:tc>
        <w:tc>
          <w:tcPr>
            <w:tcW w:w="14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21</w:t>
            </w:r>
          </w:p>
        </w:tc>
        <w:tc>
          <w:tcPr>
            <w:tcW w:w="164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82</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3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w:t>
            </w:r>
          </w:p>
        </w:tc>
      </w:tr>
      <w:tr>
        <w:trPr>
          <w:trHeight w:val="27"/>
        </w:trPr>
        <w:tc>
          <w:tcPr>
            <w:tcW w:w="39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third quarter and first nine months of 2017 when compared with the same periods in 2016, overall foreign exchange contract volumes increased. In the third quarter of 2017, Euro contract volume was higher due to volatility caused by the uncertainty surrounding the European Central Bank policy. The Japanese yen contract volumes increased as market participants turned to the yen as a safe-haven currency as currency rates steadied. In the first nine months of 2017 when compared with the same period in 2016, we believe the decrease in Australian dollar contract volume was driven by lower interest rate volatility in Australia.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agricultural commodity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40" w:type="dxa"/>
            <w:vAlign w:val="bottom"/>
          </w:tcPr>
          <w:p>
            <w:pPr>
              <w:ind w:left="700"/>
              <w:spacing w:after="0"/>
              <w:rPr>
                <w:sz w:val="20"/>
                <w:szCs w:val="20"/>
                <w:color w:val="auto"/>
              </w:rPr>
            </w:pPr>
            <w:r>
              <w:rPr>
                <w:rFonts w:ascii="Arial" w:cs="Arial" w:eastAsia="Arial" w:hAnsi="Arial"/>
                <w:sz w:val="14"/>
                <w:szCs w:val="14"/>
                <w:b w:val="1"/>
                <w:bCs w:val="1"/>
                <w:color w:val="auto"/>
                <w:w w:val="94"/>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60" w:type="dxa"/>
            <w:vAlign w:val="bottom"/>
            <w:gridSpan w:val="2"/>
          </w:tcPr>
          <w:p>
            <w:pPr>
              <w:ind w:left="560"/>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4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64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2016</w:t>
            </w: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2016</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467</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w:t>
            </w:r>
          </w:p>
        </w:tc>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25%</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470</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Soybean</w:t>
            </w:r>
          </w:p>
        </w:tc>
        <w:tc>
          <w:tcPr>
            <w:tcW w:w="1640" w:type="dxa"/>
            <w:vAlign w:val="bottom"/>
          </w:tcPr>
          <w:p>
            <w:pPr>
              <w:ind w:left="740"/>
              <w:spacing w:after="0"/>
              <w:rPr>
                <w:sz w:val="20"/>
                <w:szCs w:val="20"/>
                <w:color w:val="auto"/>
              </w:rPr>
            </w:pPr>
            <w:r>
              <w:rPr>
                <w:rFonts w:ascii="Arial" w:cs="Arial" w:eastAsia="Arial" w:hAnsi="Arial"/>
                <w:sz w:val="18"/>
                <w:szCs w:val="18"/>
                <w:color w:val="auto"/>
              </w:rPr>
              <w:t>289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253</w:t>
            </w:r>
          </w:p>
        </w:tc>
        <w:tc>
          <w:tcPr>
            <w:tcW w:w="1440" w:type="dxa"/>
            <w:vAlign w:val="bottom"/>
          </w:tcPr>
          <w:p>
            <w:pPr>
              <w:ind w:left="960"/>
              <w:spacing w:after="0"/>
              <w:rPr>
                <w:sz w:val="20"/>
                <w:szCs w:val="20"/>
                <w:color w:val="auto"/>
              </w:rPr>
            </w:pPr>
            <w:r>
              <w:rPr>
                <w:rFonts w:ascii="Arial" w:cs="Arial" w:eastAsia="Arial" w:hAnsi="Arial"/>
                <w:sz w:val="18"/>
                <w:szCs w:val="18"/>
                <w:color w:val="auto"/>
              </w:rPr>
              <w:t>14</w:t>
            </w:r>
          </w:p>
        </w:tc>
        <w:tc>
          <w:tcPr>
            <w:tcW w:w="1640" w:type="dxa"/>
            <w:vAlign w:val="bottom"/>
          </w:tcPr>
          <w:p>
            <w:pPr>
              <w:ind w:left="740"/>
              <w:spacing w:after="0"/>
              <w:rPr>
                <w:sz w:val="20"/>
                <w:szCs w:val="20"/>
                <w:color w:val="auto"/>
              </w:rPr>
            </w:pPr>
            <w:r>
              <w:rPr>
                <w:rFonts w:ascii="Arial" w:cs="Arial" w:eastAsia="Arial" w:hAnsi="Arial"/>
                <w:sz w:val="18"/>
                <w:szCs w:val="18"/>
                <w:color w:val="auto"/>
              </w:rPr>
              <w:t>279</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333</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(16)</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16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216</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173</w:t>
            </w:r>
          </w:p>
        </w:tc>
        <w:tc>
          <w:tcPr>
            <w:tcW w:w="1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25</w:t>
            </w:r>
          </w:p>
        </w:tc>
        <w:tc>
          <w:tcPr>
            <w:tcW w:w="16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226</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196</w:t>
            </w: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15</w:t>
            </w:r>
          </w:p>
        </w:tc>
      </w:tr>
      <w:tr>
        <w:trPr>
          <w:trHeight w:val="27"/>
        </w:trPr>
        <w:tc>
          <w:tcPr>
            <w:tcW w:w="39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Overall agricultural commodity contract volumes increased in the third quarter of 2017 and remained relatively flat in the first nine months of 2017, when compared with the same periods in 2016. In the third quarter of 2017, agricultural commodity contract volume increased due to higher price volatility, which we believe was caused by greater uncertainty related to weather conditions and crop production, as the harvest development phase experienced cooling patterns. In the third quarter of 2016, there was lower price volatility due to improved weather conditions.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energy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80" w:type="dxa"/>
            <w:vAlign w:val="bottom"/>
            <w:gridSpan w:val="2"/>
          </w:tcPr>
          <w:p>
            <w:pPr>
              <w:jc w:val="right"/>
              <w:ind w:right="494"/>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78"/>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2016</w:t>
            </w:r>
          </w:p>
        </w:tc>
        <w:tc>
          <w:tcPr>
            <w:tcW w:w="14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1660" w:type="dxa"/>
            <w:vAlign w:val="bottom"/>
            <w:tcBorders>
              <w:bottom w:val="single" w:sz="8" w:color="auto"/>
            </w:tcBorders>
          </w:tcPr>
          <w:p>
            <w:pPr>
              <w:jc w:val="right"/>
              <w:ind w:right="858"/>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2016</w:t>
            </w:r>
          </w:p>
        </w:tc>
        <w:tc>
          <w:tcPr>
            <w:tcW w:w="13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WTI crude oil</w:t>
            </w:r>
          </w:p>
        </w:tc>
        <w:tc>
          <w:tcPr>
            <w:tcW w:w="1660" w:type="dxa"/>
            <w:vAlign w:val="bottom"/>
            <w:tcBorders>
              <w:bottom w:val="single" w:sz="8" w:color="CCEEFF"/>
            </w:tcBorders>
            <w:shd w:val="clear" w:color="auto" w:fill="CCEEFF"/>
          </w:tcPr>
          <w:p>
            <w:pPr>
              <w:jc w:val="right"/>
              <w:ind w:right="558"/>
              <w:spacing w:after="0"/>
              <w:rPr>
                <w:sz w:val="20"/>
                <w:szCs w:val="20"/>
                <w:color w:val="auto"/>
              </w:rPr>
            </w:pPr>
            <w:r>
              <w:rPr>
                <w:rFonts w:ascii="Arial" w:cs="Arial" w:eastAsia="Arial" w:hAnsi="Arial"/>
                <w:sz w:val="18"/>
                <w:szCs w:val="18"/>
                <w:color w:val="auto"/>
              </w:rPr>
              <w:t>1,616</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1,248</w:t>
            </w: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30%</w:t>
            </w:r>
          </w:p>
        </w:tc>
        <w:tc>
          <w:tcPr>
            <w:tcW w:w="1660" w:type="dxa"/>
            <w:vAlign w:val="bottom"/>
            <w:tcBorders>
              <w:bottom w:val="single" w:sz="8" w:color="CCEEFF"/>
            </w:tcBorders>
            <w:shd w:val="clear" w:color="auto" w:fill="CCEEFF"/>
          </w:tcPr>
          <w:p>
            <w:pPr>
              <w:jc w:val="right"/>
              <w:ind w:right="558"/>
              <w:spacing w:after="0"/>
              <w:rPr>
                <w:sz w:val="20"/>
                <w:szCs w:val="20"/>
                <w:color w:val="auto"/>
              </w:rPr>
            </w:pPr>
            <w:r>
              <w:rPr>
                <w:rFonts w:ascii="Arial" w:cs="Arial" w:eastAsia="Arial" w:hAnsi="Arial"/>
                <w:sz w:val="18"/>
                <w:szCs w:val="18"/>
                <w:color w:val="auto"/>
              </w:rPr>
              <w:t>1,476</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660" w:type="dxa"/>
            <w:vAlign w:val="bottom"/>
          </w:tcPr>
          <w:p>
            <w:pPr>
              <w:jc w:val="right"/>
              <w:ind w:right="558"/>
              <w:spacing w:after="0"/>
              <w:rPr>
                <w:sz w:val="20"/>
                <w:szCs w:val="20"/>
                <w:color w:val="auto"/>
              </w:rPr>
            </w:pPr>
            <w:r>
              <w:rPr>
                <w:rFonts w:ascii="Arial" w:cs="Arial" w:eastAsia="Arial" w:hAnsi="Arial"/>
                <w:sz w:val="18"/>
                <w:szCs w:val="18"/>
                <w:color w:val="auto"/>
              </w:rPr>
              <w:t>521</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509</w:t>
            </w:r>
          </w:p>
        </w:tc>
        <w:tc>
          <w:tcPr>
            <w:tcW w:w="1440" w:type="dxa"/>
            <w:vAlign w:val="bottom"/>
          </w:tcPr>
          <w:p>
            <w:pPr>
              <w:jc w:val="right"/>
              <w:ind w:right="214"/>
              <w:spacing w:after="0"/>
              <w:rPr>
                <w:sz w:val="20"/>
                <w:szCs w:val="20"/>
                <w:color w:val="auto"/>
              </w:rPr>
            </w:pPr>
            <w:r>
              <w:rPr>
                <w:rFonts w:ascii="Arial" w:cs="Arial" w:eastAsia="Arial" w:hAnsi="Arial"/>
                <w:sz w:val="18"/>
                <w:szCs w:val="18"/>
                <w:color w:val="auto"/>
              </w:rPr>
              <w:t>2</w:t>
            </w:r>
          </w:p>
        </w:tc>
        <w:tc>
          <w:tcPr>
            <w:tcW w:w="1660" w:type="dxa"/>
            <w:vAlign w:val="bottom"/>
          </w:tcPr>
          <w:p>
            <w:pPr>
              <w:jc w:val="right"/>
              <w:ind w:right="558"/>
              <w:spacing w:after="0"/>
              <w:rPr>
                <w:sz w:val="20"/>
                <w:szCs w:val="20"/>
                <w:color w:val="auto"/>
              </w:rPr>
            </w:pPr>
            <w:r>
              <w:rPr>
                <w:rFonts w:ascii="Arial" w:cs="Arial" w:eastAsia="Arial" w:hAnsi="Arial"/>
                <w:sz w:val="18"/>
                <w:szCs w:val="18"/>
                <w:color w:val="auto"/>
              </w:rPr>
              <w:t>567</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521</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9</w:t>
            </w:r>
          </w:p>
        </w:tc>
      </w:tr>
      <w:tr>
        <w:trPr>
          <w:trHeight w:val="27"/>
        </w:trPr>
        <w:tc>
          <w:tcPr>
            <w:tcW w:w="3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1660" w:type="dxa"/>
            <w:vAlign w:val="bottom"/>
            <w:tcBorders>
              <w:bottom w:val="single" w:sz="8" w:color="CCEEFF"/>
            </w:tcBorders>
            <w:shd w:val="clear" w:color="auto" w:fill="CCEEFF"/>
          </w:tcPr>
          <w:p>
            <w:pPr>
              <w:jc w:val="right"/>
              <w:ind w:right="558"/>
              <w:spacing w:after="0"/>
              <w:rPr>
                <w:sz w:val="20"/>
                <w:szCs w:val="20"/>
                <w:color w:val="auto"/>
              </w:rPr>
            </w:pPr>
            <w:r>
              <w:rPr>
                <w:rFonts w:ascii="Arial" w:cs="Arial" w:eastAsia="Arial" w:hAnsi="Arial"/>
                <w:sz w:val="18"/>
                <w:szCs w:val="18"/>
                <w:color w:val="auto"/>
              </w:rPr>
              <w:t>431</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w:t>
            </w:r>
          </w:p>
        </w:tc>
        <w:tc>
          <w:tcPr>
            <w:tcW w:w="144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18</w:t>
            </w:r>
          </w:p>
        </w:tc>
        <w:tc>
          <w:tcPr>
            <w:tcW w:w="1660" w:type="dxa"/>
            <w:vAlign w:val="bottom"/>
            <w:tcBorders>
              <w:bottom w:val="single" w:sz="8" w:color="CCEEFF"/>
            </w:tcBorders>
            <w:shd w:val="clear" w:color="auto" w:fill="CCEEFF"/>
          </w:tcPr>
          <w:p>
            <w:pPr>
              <w:jc w:val="right"/>
              <w:ind w:right="558"/>
              <w:spacing w:after="0"/>
              <w:rPr>
                <w:sz w:val="20"/>
                <w:szCs w:val="20"/>
                <w:color w:val="auto"/>
              </w:rPr>
            </w:pPr>
            <w:r>
              <w:rPr>
                <w:rFonts w:ascii="Arial" w:cs="Arial" w:eastAsia="Arial" w:hAnsi="Arial"/>
                <w:sz w:val="18"/>
                <w:szCs w:val="18"/>
                <w:color w:val="auto"/>
              </w:rPr>
              <w:t>402</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369</w:t>
            </w: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Brent crude oil</w:t>
            </w:r>
          </w:p>
        </w:tc>
        <w:tc>
          <w:tcPr>
            <w:tcW w:w="1660" w:type="dxa"/>
            <w:vAlign w:val="bottom"/>
          </w:tcPr>
          <w:p>
            <w:pPr>
              <w:jc w:val="right"/>
              <w:ind w:right="558"/>
              <w:spacing w:after="0"/>
              <w:rPr>
                <w:sz w:val="20"/>
                <w:szCs w:val="20"/>
                <w:color w:val="auto"/>
              </w:rPr>
            </w:pPr>
            <w:r>
              <w:rPr>
                <w:rFonts w:ascii="Arial" w:cs="Arial" w:eastAsia="Arial" w:hAnsi="Arial"/>
                <w:sz w:val="18"/>
                <w:szCs w:val="18"/>
                <w:color w:val="auto"/>
              </w:rPr>
              <w:t>90</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81</w:t>
            </w:r>
          </w:p>
        </w:tc>
        <w:tc>
          <w:tcPr>
            <w:tcW w:w="1440" w:type="dxa"/>
            <w:vAlign w:val="bottom"/>
          </w:tcPr>
          <w:p>
            <w:pPr>
              <w:jc w:val="right"/>
              <w:ind w:right="214"/>
              <w:spacing w:after="0"/>
              <w:rPr>
                <w:sz w:val="20"/>
                <w:szCs w:val="20"/>
                <w:color w:val="auto"/>
              </w:rPr>
            </w:pPr>
            <w:r>
              <w:rPr>
                <w:rFonts w:ascii="Arial" w:cs="Arial" w:eastAsia="Arial" w:hAnsi="Arial"/>
                <w:sz w:val="18"/>
                <w:szCs w:val="18"/>
                <w:color w:val="auto"/>
              </w:rPr>
              <w:t>11</w:t>
            </w:r>
          </w:p>
        </w:tc>
        <w:tc>
          <w:tcPr>
            <w:tcW w:w="1660" w:type="dxa"/>
            <w:vAlign w:val="bottom"/>
          </w:tcPr>
          <w:p>
            <w:pPr>
              <w:jc w:val="right"/>
              <w:ind w:right="558"/>
              <w:spacing w:after="0"/>
              <w:rPr>
                <w:sz w:val="20"/>
                <w:szCs w:val="20"/>
                <w:color w:val="auto"/>
              </w:rPr>
            </w:pPr>
            <w:r>
              <w:rPr>
                <w:rFonts w:ascii="Arial" w:cs="Arial" w:eastAsia="Arial" w:hAnsi="Arial"/>
                <w:sz w:val="18"/>
                <w:szCs w:val="18"/>
                <w:color w:val="auto"/>
              </w:rPr>
              <w:t>99</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96</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3</w:t>
            </w:r>
          </w:p>
        </w:tc>
      </w:tr>
    </w:tbl>
    <w:p>
      <w:pPr>
        <w:spacing w:after="0" w:line="9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Overall energy contract volumes increased in the third quarter and first nine months of 2017 when compared with the same periods in 2016, largely due to increases in crude oil contract volumes caused by higher volatility in the third quarter of 2017. We believe the increased volatility in 2017 was caused by a shift in crude oil supplies as United States crude oil production rose following the Organization of Petroleum Exporting Countries' decision to cut oil supplies in the fourth quarter of 2016. Natural gas and refined products contract volumes also increased in the third quarter and the first nine months of 2017 due to higher price volatility caused by shifts in supply and demand in the underlying markets.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60" w:type="dxa"/>
            <w:vAlign w:val="bottom"/>
          </w:tcPr>
          <w:p>
            <w:pPr>
              <w:ind w:left="720"/>
              <w:spacing w:after="0"/>
              <w:rPr>
                <w:sz w:val="20"/>
                <w:szCs w:val="20"/>
                <w:color w:val="auto"/>
              </w:rPr>
            </w:pPr>
            <w:r>
              <w:rPr>
                <w:rFonts w:ascii="Arial" w:cs="Arial" w:eastAsia="Arial" w:hAnsi="Arial"/>
                <w:sz w:val="14"/>
                <w:szCs w:val="14"/>
                <w:b w:val="1"/>
                <w:bCs w:val="1"/>
                <w:color w:val="auto"/>
                <w:w w:val="94"/>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80" w:type="dxa"/>
            <w:vAlign w:val="bottom"/>
            <w:gridSpan w:val="2"/>
          </w:tcPr>
          <w:p>
            <w:pPr>
              <w:jc w:val="right"/>
              <w:ind w:right="494"/>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6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2016</w:t>
            </w: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c>
          <w:tcPr>
            <w:tcW w:w="166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2016</w:t>
            </w: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16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368</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w:t>
            </w:r>
          </w:p>
        </w:tc>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44%</w:t>
            </w:r>
          </w:p>
        </w:tc>
        <w:tc>
          <w:tcPr>
            <w:tcW w:w="16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rPr>
              <w:t>324</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w:t>
            </w:r>
          </w:p>
        </w:tc>
        <w:tc>
          <w:tcPr>
            <w:tcW w:w="13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4"/>
              </w:rPr>
              <w:t>20%</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Copper</w:t>
            </w:r>
          </w:p>
        </w:tc>
        <w:tc>
          <w:tcPr>
            <w:tcW w:w="1660" w:type="dxa"/>
            <w:vAlign w:val="bottom"/>
          </w:tcPr>
          <w:p>
            <w:pPr>
              <w:ind w:left="760"/>
              <w:spacing w:after="0"/>
              <w:rPr>
                <w:sz w:val="20"/>
                <w:szCs w:val="20"/>
                <w:color w:val="auto"/>
              </w:rPr>
            </w:pPr>
            <w:r>
              <w:rPr>
                <w:rFonts w:ascii="Arial" w:cs="Arial" w:eastAsia="Arial" w:hAnsi="Arial"/>
                <w:sz w:val="18"/>
                <w:szCs w:val="18"/>
                <w:color w:val="auto"/>
              </w:rPr>
              <w:t>112</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73</w:t>
            </w:r>
          </w:p>
        </w:tc>
        <w:tc>
          <w:tcPr>
            <w:tcW w:w="1440" w:type="dxa"/>
            <w:vAlign w:val="bottom"/>
          </w:tcPr>
          <w:p>
            <w:pPr>
              <w:ind w:left="960"/>
              <w:spacing w:after="0"/>
              <w:rPr>
                <w:sz w:val="20"/>
                <w:szCs w:val="20"/>
                <w:color w:val="auto"/>
              </w:rPr>
            </w:pPr>
            <w:r>
              <w:rPr>
                <w:rFonts w:ascii="Arial" w:cs="Arial" w:eastAsia="Arial" w:hAnsi="Arial"/>
                <w:sz w:val="18"/>
                <w:szCs w:val="18"/>
                <w:color w:val="auto"/>
              </w:rPr>
              <w:t>52</w:t>
            </w:r>
          </w:p>
        </w:tc>
        <w:tc>
          <w:tcPr>
            <w:tcW w:w="1660" w:type="dxa"/>
            <w:vAlign w:val="bottom"/>
          </w:tcPr>
          <w:p>
            <w:pPr>
              <w:jc w:val="right"/>
              <w:ind w:right="559"/>
              <w:spacing w:after="0"/>
              <w:rPr>
                <w:sz w:val="20"/>
                <w:szCs w:val="20"/>
                <w:color w:val="auto"/>
              </w:rPr>
            </w:pPr>
            <w:r>
              <w:rPr>
                <w:rFonts w:ascii="Arial" w:cs="Arial" w:eastAsia="Arial" w:hAnsi="Arial"/>
                <w:sz w:val="18"/>
                <w:szCs w:val="18"/>
                <w:color w:val="auto"/>
              </w:rPr>
              <w:t>103</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80</w:t>
            </w:r>
          </w:p>
        </w:tc>
        <w:tc>
          <w:tcPr>
            <w:tcW w:w="1320" w:type="dxa"/>
            <w:vAlign w:val="bottom"/>
          </w:tcPr>
          <w:p>
            <w:pPr>
              <w:ind w:left="960"/>
              <w:spacing w:after="0"/>
              <w:rPr>
                <w:sz w:val="20"/>
                <w:szCs w:val="20"/>
                <w:color w:val="auto"/>
              </w:rPr>
            </w:pPr>
            <w:r>
              <w:rPr>
                <w:rFonts w:ascii="Arial" w:cs="Arial" w:eastAsia="Arial" w:hAnsi="Arial"/>
                <w:sz w:val="18"/>
                <w:szCs w:val="18"/>
                <w:color w:val="auto"/>
              </w:rPr>
              <w:t>29</w:t>
            </w:r>
          </w:p>
        </w:tc>
      </w:tr>
      <w:tr>
        <w:trPr>
          <w:trHeight w:val="27"/>
        </w:trPr>
        <w:tc>
          <w:tcPr>
            <w:tcW w:w="3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Silver</w:t>
            </w:r>
          </w:p>
        </w:tc>
        <w:tc>
          <w:tcPr>
            <w:tcW w:w="16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105</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80</w:t>
            </w:r>
          </w:p>
        </w:tc>
        <w:tc>
          <w:tcPr>
            <w:tcW w:w="1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31</w:t>
            </w:r>
          </w:p>
        </w:tc>
        <w:tc>
          <w:tcPr>
            <w:tcW w:w="16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98</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78</w:t>
            </w:r>
          </w:p>
        </w:tc>
        <w:tc>
          <w:tcPr>
            <w:tcW w:w="13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26</w:t>
            </w:r>
          </w:p>
        </w:tc>
      </w:tr>
      <w:tr>
        <w:trPr>
          <w:trHeight w:val="27"/>
        </w:trPr>
        <w:tc>
          <w:tcPr>
            <w:tcW w:w="39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believe the increases in metal contract volumes in the third quarter and first nine months of 2017 when compared with the same periods in 2016 were due to investors using gold and other precious metals as safe-haven alternative investments to other markets.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Average Rate per Contract</w:t>
      </w:r>
    </w:p>
    <w:p>
      <w:pPr>
        <w:spacing w:after="0" w:line="17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The average rate per contract in the third quarter of 2017 when compared with the same period in 2016 remained relatively flat. In the first nine months of 2017 compared with the same period in 2016, the average rate per contract decreased as interest rate, energy, and metal contract volumes increased by 4 percentage points, while agricultural commodity and equity contract volumes collectively decreased by 4 percentage points. Agricultural commodity and equity contracts have a higher average rate per contract compared with interest rate contracts. The overall decreases in average rates per contract were partially offset by a rate increase that was effective in the first quarter of 2017.</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One firm represented 13% and another firm represented 12% of our clearing and transaction fees in the first nine months of 2017.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the third quarter and first nine months of 2017 when compared with the same periods in 2016, market data and information services revenues decreased. The decreases in revenues were attributable to declines in screen counts due to cost-cutting initiatives at member firms and some rationalization as customer firms transitioned into full-priced offerings.</w:t>
      </w:r>
    </w:p>
    <w:p>
      <w:pPr>
        <w:spacing w:after="0" w:line="18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two largest resellers of our market data represented approximately 40% of our market data and information services revenue in the first nine months of 2017.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2016</w:t>
            </w:r>
          </w:p>
        </w:tc>
        <w:tc>
          <w:tcPr>
            <w:tcW w:w="14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2016</w:t>
            </w:r>
          </w:p>
        </w:tc>
        <w:tc>
          <w:tcPr>
            <w:tcW w:w="13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130.6</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8 %</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(8)</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33.5</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104.2</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(20)</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72.0</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95.5</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(11)</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31.5</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103.3</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5</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113.0</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w:t>
            </w: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316.4</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970.0</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1,019.8</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(5)</w:t>
            </w: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Operating expenses increased by $6.5 million in the third quarter of 2017 and decreased by $49.8 million in the first nine months of 2017, respectively, when compared with the same periods in 2016. The following table shows the estimated impacts of key factors resulting in the changes in operating expenses: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4"/>
          </w:tcPr>
          <w:p>
            <w:pPr>
              <w:ind w:left="68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4"/>
                <w:szCs w:val="14"/>
                <w:color w:val="auto"/>
              </w:rPr>
            </w:pPr>
          </w:p>
        </w:tc>
        <w:tc>
          <w:tcPr>
            <w:tcW w:w="2540" w:type="dxa"/>
            <w:vAlign w:val="bottom"/>
            <w:gridSpan w:val="3"/>
          </w:tcPr>
          <w:p>
            <w:pPr>
              <w:jc w:val="right"/>
              <w:ind w:right="67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79"/>
        </w:trPr>
        <w:tc>
          <w:tcPr>
            <w:tcW w:w="5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Amount of</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Change as a</w:t>
            </w:r>
          </w:p>
        </w:tc>
        <w:tc>
          <w:tcPr>
            <w:tcW w:w="18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Amount of</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92"/>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14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Total Expenses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Expenses</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datacenter and related legal fees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Foreign currency exchange rate fluctuation</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Rent expense</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Bonus expense</w:t>
            </w:r>
          </w:p>
        </w:tc>
        <w:tc>
          <w:tcPr>
            <w:tcW w:w="2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benefits and employer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expenses, net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increase (decrease)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Decreases in operating expenses in the third quarter and first nine months of 2017 when compared with the same periods in 2016 were as follows:</w:t>
      </w:r>
    </w:p>
    <w:p>
      <w:pPr>
        <w:spacing w:after="0" w:line="210" w:lineRule="exact"/>
        <w:rPr>
          <w:sz w:val="20"/>
          <w:szCs w:val="20"/>
          <w:color w:val="auto"/>
        </w:rPr>
      </w:pPr>
    </w:p>
    <w:p>
      <w:pPr>
        <w:ind w:left="660" w:right="10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first quarter of 2016, we sold and leased back our datacenter in the Chicago area. The transaction was recognized under the financing method under generally accepted accounting principles. In the first quarter of 2016, we recognized total losses and expenses of $28.6 million, representing a net loss on write-down to fair value of the assets and certain other transaction fees of $27.1 million within other expenses and $1.5 million of legal and other fees.</w:t>
      </w:r>
    </w:p>
    <w:p>
      <w:pPr>
        <w:spacing w:after="0" w:line="186"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third quarter of 2017, we recognized a net gain of $2.9 million due to a favorable change in exchange rates on foreign cash balances, compared with a net loss of $1.0 million in the third quarter of 2016. In the first nine months of 2017, we recognized a net gain of $10.0 million due to a favorable change in exchange rates on foreign cash balances, compared with a net loss of $16.5 million in the first nine months of 2016. Gains and losses from exchange rate fluctuations result when subsidiaries with a U.S. dollar functional currency hold cash as well as certain other monetary assets and liabilities denominated in foreign currencies.</w:t>
      </w:r>
    </w:p>
    <w:p>
      <w:pPr>
        <w:spacing w:after="0" w:line="188" w:lineRule="exact"/>
        <w:rPr>
          <w:rFonts w:ascii="Arial" w:cs="Arial" w:eastAsia="Arial" w:hAnsi="Arial"/>
          <w:sz w:val="18"/>
          <w:szCs w:val="18"/>
          <w:color w:val="auto"/>
        </w:rPr>
      </w:pPr>
    </w:p>
    <w:p>
      <w:pPr>
        <w:ind w:left="660" w:right="52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2016, we recognized higher professional fees and outside services expenses largely due to legal efforts related to our business activities and product offerings as well as higher professional fees related to a greater reliance on consultants for security and systems enhancement work.</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first nine months of 2017, rent expense decreased largely due to a reduction in office and data center space throughout 2016.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Increases in operating expenses in the third quarter and first nine months of 2017 when compared with the same periods in 2016 were as follows:</w:t>
      </w:r>
    </w:p>
    <w:p>
      <w:pPr>
        <w:spacing w:after="0" w:line="237" w:lineRule="exact"/>
        <w:rPr>
          <w:sz w:val="20"/>
          <w:szCs w:val="20"/>
          <w:color w:val="auto"/>
        </w:rPr>
      </w:pPr>
    </w:p>
    <w:p>
      <w:pPr>
        <w:ind w:left="660" w:right="60" w:hanging="328"/>
        <w:spacing w:after="0" w:line="27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increase in licensing and other fee sharing agreements expense in the third quarter of 2017 resulted from higher expense related to incentive payments made to facilitate the acquisition of the Russell contract, as well as increased costs of revenue sharing agreements for certain licensed products. The increase in the third quarter of 2017 was partially offset by lower expense related to revenue sharing agreements for certain equity and energy contracts due to lower volume for these products in the first nine months of 2017.</w:t>
      </w:r>
    </w:p>
    <w:p>
      <w:pPr>
        <w:spacing w:after="0" w:line="171" w:lineRule="exact"/>
        <w:rPr>
          <w:rFonts w:ascii="Arial" w:cs="Arial" w:eastAsia="Arial" w:hAnsi="Arial"/>
          <w:sz w:val="17"/>
          <w:szCs w:val="17"/>
          <w:color w:val="auto"/>
        </w:rPr>
      </w:pPr>
    </w:p>
    <w:p>
      <w:pPr>
        <w:ind w:left="660" w:right="2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Bonus expense increased due to performance relative to our 2017 cash earnings target when compared with 2016 performance relative to our 2016 cash earnings target.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Compensation and benefits expenses also increased as a result of increases in average headcount primarily in our international locations.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Quarter Ended</w:t>
            </w: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Nine Months Ended</w:t>
            </w:r>
          </w:p>
        </w:tc>
        <w:tc>
          <w:tcPr>
            <w:tcW w:w="1120" w:type="dxa"/>
            <w:vAlign w:val="bottom"/>
          </w:tcPr>
          <w:p>
            <w:pPr>
              <w:spacing w:after="0"/>
              <w:rPr>
                <w:sz w:val="14"/>
                <w:szCs w:val="14"/>
                <w:color w:val="auto"/>
              </w:rPr>
            </w:pPr>
          </w:p>
        </w:tc>
      </w:t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Pr>
          <w:p>
            <w:pPr>
              <w:spacing w:after="0"/>
              <w:rPr>
                <w:sz w:val="16"/>
                <w:szCs w:val="16"/>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1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36.5</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n.m.</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(31.1)</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(91.9)</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Equity in net earnings (losses) of unconsolidated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82.4</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non-operating income (expense)</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(30.9)</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n.m.</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Non-Operating</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23.5</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68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176.9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30.9</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n.m.</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Investment income increased in the third quarter and first nine months of 2017, when compared with the same periods in 2016, largely due to higher average reinvestment balances and rates of interest earned from cash performance bond and guaranty fund contributions that are reinvested. In the first quarter of 2017, we sold our remaining ownership interest in BM&amp;FBOVESPA and recognized a net gain of $86.5 million, net of transaction costs. In the third quarter of 2017, the company sold 9.9 million shares of Bolsa Mexicana and recognized a net gain of $2.0 million, net of transaction costs.</w:t>
      </w:r>
    </w:p>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Higher income generated from our S&amp;P/Dow Jones Indices LLC business venture contributed to increases in equity in net earnings (losses) of unconsolidated subsidiaries in the third quarter and first nine months of 2017 when compared with the same periods in 2016.</w:t>
      </w:r>
    </w:p>
    <w:p>
      <w:pPr>
        <w:spacing w:after="0" w:line="1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In the third quarter and first nine months of 2017 when compared with the same periods in 2016, we recognized higher expenses related to the distribution of interest earned on performance bond collateral reinvestment to the clearing firms. These expenses are included in other non-operating income (expense).</w:t>
      </w: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rates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2016</w:t>
            </w: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September 30</w:t>
            </w:r>
          </w:p>
        </w:tc>
        <w:tc>
          <w:tcPr>
            <w:tcW w:w="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3"/>
              </w:rPr>
              <w:t>49.2%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Nine months ended September 30</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w w:val="93"/>
              </w:rPr>
              <w:t>42.4%</w:t>
            </w:r>
          </w:p>
        </w:tc>
        <w:tc>
          <w:tcPr>
            <w:tcW w:w="1220" w:type="dxa"/>
            <w:vAlign w:val="bottom"/>
          </w:tcPr>
          <w:p>
            <w:pPr>
              <w:jc w:val="right"/>
              <w:spacing w:after="0"/>
              <w:rPr>
                <w:sz w:val="20"/>
                <w:szCs w:val="20"/>
                <w:color w:val="auto"/>
              </w:rPr>
            </w:pPr>
            <w:r>
              <w:rPr>
                <w:rFonts w:ascii="Arial" w:cs="Arial" w:eastAsia="Arial" w:hAnsi="Arial"/>
                <w:sz w:val="18"/>
                <w:szCs w:val="18"/>
                <w:color w:val="auto"/>
              </w:rPr>
              <w:t>31.5%</w:t>
            </w:r>
          </w:p>
        </w:tc>
      </w:tr>
    </w:tbl>
    <w:p>
      <w:pPr>
        <w:spacing w:after="0" w:line="39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overall increase in the effective tax rate in the third quarter of 2017 was primarily due to expense recognized for the remeasurement of deferred tax positions resulting from a state and local income tax law change. Also, in the third quarter of 2016, a benefit was recorded relating to the sale of BM&amp;FBOVESPA shares.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overall increase in the effective tax rate in the first nine months of 2017 was due to expense from a state and local tax law change recorded in the third quarter as well as from reclassifying income tax expense from other comprehensive income for the sale of the remaining BM&amp;FBOVESPA shares in the first quarter. Also, the first nine months of 2016 contain a tax benefit related to the sale of BM&amp;FBOVESPA shares which was partially offset by expense from the remeasurement of deferred tax positions.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u w:val="single" w:color="auto"/>
          <w:color w:val="auto"/>
        </w:rPr>
        <w:t>Sources and Uses of Cash</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provided by operating activities increased in the first nine months of 2017 when compared with the same period in 2016.</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in net cash provided by operating activities was largely attributable to higher investment income related to our reinvestment of cash performance bonds and guaranty fund collateral, net of the distribution of interest earned to the clearing firms, as well as an increase in trading volumes and the reduction of restricted cash related to the CMECE guaranty fund. Net cash provided by investing activities increased in the first nine months of 2017 when compared with the same period of 2016 was due to proceeds received from our sale of BM&amp;FBOVESPA shares in the first quarter of 2017. Cash used in financing activities was higher in the first nine months of 2017 when compared with the same period in 2016. The increase was attributable to higher cash dividends paid in the first nine months of 2017 when compared with the same period in 2016. The increase was also attributable to proceeds from a finance lease obligation related to the sale-leaseback of the datacenter in the first quarter of 2016.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at September 30,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7"/>
              </w:rPr>
              <w:t>Par Value</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5"/>
                <w:szCs w:val="25"/>
                <w:color w:val="auto"/>
                <w:vertAlign w:val="superscript"/>
              </w:rPr>
              <w:t>(1)</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4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2025, stated rate of 3.00% </w:t>
            </w:r>
            <w:r>
              <w:rPr>
                <w:rFonts w:ascii="Arial" w:cs="Arial" w:eastAsia="Arial" w:hAnsi="Arial"/>
                <w:sz w:val="25"/>
                <w:szCs w:val="25"/>
                <w:color w:val="auto"/>
                <w:vertAlign w:val="superscript"/>
              </w:rPr>
              <w:t>(2)</w:t>
            </w:r>
          </w:p>
        </w:tc>
        <w:tc>
          <w:tcPr>
            <w:tcW w:w="314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5"/>
                <w:szCs w:val="25"/>
                <w:color w:val="auto"/>
                <w:vertAlign w:val="superscript"/>
              </w:rPr>
              <w:t>(3)</w:t>
            </w:r>
          </w:p>
        </w:tc>
        <w:tc>
          <w:tcPr>
            <w:tcW w:w="3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bl>
    <w:p>
      <w:pPr>
        <w:spacing w:after="0" w:line="202" w:lineRule="exact"/>
        <w:rPr>
          <w:sz w:val="20"/>
          <w:szCs w:val="20"/>
          <w:color w:val="auto"/>
        </w:rPr>
      </w:pPr>
    </w:p>
    <w:p>
      <w:pPr>
        <w:ind w:left="660" w:right="1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August 2012, we entered into a forward-starting interest rate swap agreement that modified the interest obligation associated with these notes so that the interest payable effectively became fixed at a rate of 3.32%.</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December 2014, we entered into a forward-starting interest rate swap agreement that modified the interest obligation associated with these notes so that the interest payable effectively became fixed at a rate of 3.11%.</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August 2012, we entered into a forward starting interest rate swap agreement that modified the interest obligation associated with these notes so that the interest payable effectively became fixed at a rate of 4.73%.</w:t>
      </w:r>
    </w:p>
    <w:p>
      <w:pPr>
        <w:spacing w:after="0" w:line="14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maintain a $2.3 billion multi-currency revolving senior credit facility with various financial institutions, which matures in March 2020. The proceeds from this facility can be used for general corporate purposes, which includes providing liquidity for our clearing houses in certain circumstances at CME Group's discretion and, if necessary, for maturities of commercial paper. As long as we are not in default under this facility, we have the option to increase it up to $3.0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December 31, 2014, giving effect to share repurchases made and special dividends paid during the term of the agreements (and in no event greater than $2.0 billion in aggregate), multiplied by 0.65. We currently do not have any borrowings outstanding under this facility.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We maintain a 364-day multi-currency revolving secured credit facility with a consortium of domestic and international banks to be used in certain situations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by CME Clearing. The facility provides for borrowings of up to $7.0 billion. We may use the proceeds to provide temporary liquidity in the unlikely event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clearing firm default, in the event of a liquidity constraint or default by a depositary (custodian for our collateral), or in the event of a temporary disruption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domestic payments system that would delay payment of settlement variation between us and our clearing firms. Under Exchange rules, guaranty fund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contributions deposited by clearing members and performance bond assets deposited by defaulting clearing members may be used to collateralize the facility.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2017, guaranty funds available to collateralize the facility totaled $8.4 billion. We have the option to request an increase in the line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 billion to $10.0 billion. Our 364-day facility contains a requirement that CME remain in compliance with a consolidated tangible net worth test, defined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CME consolidated shareholder's equity less intangible assets (as defined in the agreement), of not less than $800.0 million. We currently do not have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borrowings outstanding under this facility.</w:t>
      </w:r>
    </w:p>
    <w:p>
      <w:pPr>
        <w:spacing w:after="0" w:line="18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2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September 30, 2017, we have excess borrowing capacity for general corporate purposes of approximately $2.3 billion under our multi-currency revolving senior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2017, we were in compliance with the various covenant requirements of all our debt facilities.</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the funds which it uses to pay dividends to its shareholders.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To satisfy our performance bond obligation with Singapore Exchange Limited, we may pledge CME-owned U.S. Treasury securities in lieu of, or in combination with, irrevocable standby letters of credit. At September 30, 2017, the letters of credit totaled $285.0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at September 30, 2017:</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3580" w:type="dxa"/>
            <w:vAlign w:val="bottom"/>
          </w:tcPr>
          <w:p>
            <w:pPr>
              <w:ind w:left="2300"/>
              <w:spacing w:after="0"/>
              <w:rPr>
                <w:sz w:val="20"/>
                <w:szCs w:val="20"/>
                <w:color w:val="auto"/>
              </w:rPr>
            </w:pPr>
            <w:r>
              <w:rPr>
                <w:rFonts w:ascii="Arial" w:cs="Arial" w:eastAsia="Arial" w:hAnsi="Arial"/>
                <w:sz w:val="14"/>
                <w:szCs w:val="14"/>
                <w:b w:val="1"/>
                <w:bCs w:val="1"/>
                <w:color w:val="auto"/>
              </w:rPr>
              <w:t>Short-Term</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700" w:type="dxa"/>
            <w:vAlign w:val="bottom"/>
          </w:tcPr>
          <w:p>
            <w:pPr>
              <w:spacing w:after="0"/>
              <w:rPr>
                <w:sz w:val="16"/>
                <w:szCs w:val="16"/>
                <w:color w:val="auto"/>
              </w:rPr>
            </w:pPr>
          </w:p>
        </w:tc>
      </w:tr>
      <w:tr>
        <w:trPr>
          <w:trHeight w:val="209"/>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Rating Agency</w:t>
            </w:r>
          </w:p>
        </w:tc>
        <w:tc>
          <w:tcPr>
            <w:tcW w:w="358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Debt Rating</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Debt Rating</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3580" w:type="dxa"/>
            <w:vAlign w:val="bottom"/>
            <w:tcBorders>
              <w:bottom w:val="single" w:sz="8" w:color="CCEEFF"/>
            </w:tcBorders>
            <w:shd w:val="clear" w:color="auto" w:fill="CCEEFF"/>
          </w:tcPr>
          <w:p>
            <w:pPr>
              <w:jc w:val="center"/>
              <w:ind w:left="1659"/>
              <w:spacing w:after="0"/>
              <w:rPr>
                <w:sz w:val="20"/>
                <w:szCs w:val="20"/>
                <w:color w:val="auto"/>
              </w:rPr>
            </w:pPr>
            <w:r>
              <w:rPr>
                <w:rFonts w:ascii="Arial" w:cs="Arial" w:eastAsia="Arial" w:hAnsi="Arial"/>
                <w:sz w:val="18"/>
                <w:szCs w:val="18"/>
                <w:color w:val="auto"/>
                <w:w w:val="98"/>
              </w:rPr>
              <w:t>A1+</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3580" w:type="dxa"/>
            <w:vAlign w:val="bottom"/>
          </w:tcPr>
          <w:p>
            <w:pPr>
              <w:jc w:val="center"/>
              <w:ind w:left="1659"/>
              <w:spacing w:after="0"/>
              <w:rPr>
                <w:sz w:val="20"/>
                <w:szCs w:val="20"/>
                <w:color w:val="auto"/>
              </w:rPr>
            </w:pPr>
            <w:r>
              <w:rPr>
                <w:rFonts w:ascii="Arial" w:cs="Arial" w:eastAsia="Arial" w:hAnsi="Arial"/>
                <w:sz w:val="18"/>
                <w:szCs w:val="18"/>
                <w:color w:val="auto"/>
                <w:w w:val="90"/>
              </w:rPr>
              <w:t>P1</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5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u w:val="single" w:color="auto"/>
          <w:color w:val="auto"/>
        </w:rPr>
        <w:t>Liquidity and Cash Management</w:t>
      </w:r>
      <w:r>
        <w:rPr>
          <w:rFonts w:ascii="Arial" w:cs="Arial" w:eastAsia="Arial" w:hAnsi="Arial"/>
          <w:sz w:val="16"/>
          <w:szCs w:val="16"/>
          <w:color w:val="auto"/>
        </w:rPr>
        <w:t>. Cash and cash equivalents totaled $1.6 billion and $1.9 billion at September 30, 2017 and December 31, 2016,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The balance 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U.S. government agency securities and U.S. Treasury security reverse repurchase agreements.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u w:val="single" w:color="auto"/>
          <w:color w:val="auto"/>
        </w:rPr>
        <w:t>Regulatory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CME is regulated by the CFTC as U.S. Derivatives Clearing Organizations (DCO). DCOs are required to maintain capital,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Dodd-Frank. As a result, CME must comply with CFTC regulations applicable to a systemically important DCO for financial resources and liquidity resources. CME is in compliance with all DCO financial requirements. CMECE is no longer regulated by the CFTC effective August 8, 2017 in connection with the wind down of our clearing operations in the UK.</w:t>
      </w:r>
    </w:p>
    <w:p>
      <w:pPr>
        <w:spacing w:after="0" w:line="16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May 2014, the FASB issued a new standard on revenue recognition that replaces numerous, industry-specific requirements and converges U.S. accounting standards with International Financial Reporting Standards. The new standard introduces a framework for recognizing revenue that focuses on the transfer of control rather than risks and rewards. The new standard also requires significant additional disclosures about the nature, amount, timing and uncertainty of revenue and cash flows arising from customer contracts, including significant judgments, changes in judgments and assets recognized from costs incurred to obtain or fulfill a contract. The application of the new standard becomes effective in the first annual period beginning after December 15, 2017, with early adoption permitted. This guidance may be adopted using one of two transition methods: retrospectively to each prior reporting period presented (full retrospective method) or retrospectively with the cumulative effect of initially applying the guidance recognized at the date of initial adoption (the modified retrospective approach). Management is on course to comply with the guidance by the effective date as the project team has completed the contract review and implementation phases. Based on the assessment, management expects the impact to the financial statements and internal controls environment to be immaterial. Management also notes that adoption of the guidance will result in expanded disclosures within the footnotes.</w:t>
      </w:r>
    </w:p>
    <w:p>
      <w:pPr>
        <w:spacing w:after="0" w:line="11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January 2016, the FASB issued a standards update that will change how entities measure certain equity investments. It does not change the guidance for classifying and measuring investments in debt securities and loans. Under the new guidance, entities will have to measure many equity investments at fair value and recognize any changes in fair value in net income, unless the investments qualify for a practicability exception. Entities will no longer be able to recognize unrealized holding gains and losses on equity securities classified today as available for sale in other comprehensive income. The update is effective for reporting periods beginning after December 15, 2017. Early adoption is permitted. We are in the process of evaluating the impact of this update on our consolidated financial statements.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February 2016, the FASB issued a standards update that requires lessees to recognize on the balance sheet the assets and liabilities associated with the rights and obligations created by those leases. The guidance for lessors is largely unchanged from current U.S. GAAP. Under the new guidance, a lessee will be required to recognize assets and liabilities for leases with lease terms of more than 12 months. Consistent with current U.S. GAAP, the recognition, measurement, and presentation of expenses and cash flows arising from a lease by a lessee primarily will depend on its classification as a finance or operating lease. The update is effective for reporting periods beginning after December 15, 2018. Early adoption is permitted. We are in the process of evaluating the impact of this update on our consolidated financial statements.</w:t>
      </w:r>
    </w:p>
    <w:p>
      <w:pPr>
        <w:spacing w:after="0" w:line="1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June 2016, the FASB issued guidance that changes how credit losses are measured for most financial assets measured at amortized cost and certain other instruments. The standard requires an entity to estimate its lifetime expected credit loss and record an allowance, that when deducted from the amortized cost basis of the financial asset, presents the net amount expected to be collected on the financial asset. This forward-looking expected loss model generally will result in the earlier recognition of allowances for losses. The standard also amends the impairment model for available for sale debt securities and requires entities to determine whether all or a portion of the unrealized loss on an available for sale debt security is a credit loss. Severity and duration of the unrealized loss are no longer permissible factors in concluding whether a credit loss exists. Entities will recognize improvements to estimated credit losses on available for sale debt securities immediately in earnings rather than as interest income over time. The standard is effective for reporting periods beginning after December 15, 2019. The standard’s provisions must be applied as a cumulative-effect adjustment to retained earnings as of the beginning of the first reporting period in which the guidance is effective. Early adoption is permitted for reporting periods beginning in 2019. We are in the process of evaluating the impact of this standard on our consolidated financial statements.</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November 2016, the FASB issued a standards update aimed at promoting consistency in the classification and presentation of changes in restricted cash on the statement of cash flows. Previously, there was diversity in practice as to whether the change in restricted cash was included in the reconciliation of beginning-of-period and end-of-period total cash amounts shown on the statement of cash flows. The amendments require that a statement of cash flows explain the change during the period in the total of cash, cash equivalents, as well as amounts described as restricted cash on the balance sheet. This guidance is effective for fiscal years beginning after December 15, 2017 and interim periods within those fiscal years. Early adoption is permitted. The amendments must be applied using a retrospective transition method to each period presented. We are in the process of evaluating the impact of this update on our consolidated financial statements.</w:t>
      </w:r>
    </w:p>
    <w:p>
      <w:pPr>
        <w:spacing w:after="0" w:line="5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March 2017, the FASB issued a standards update that will change certain presentation and disclosure requirements for employers that sponsor defined benefit pension as well as other postretirement benefit plans. Under current accounting rules, defined benefit pension cost and postretirement benefit cost (net benefit cost) comprise several components that reflect different aspects of an employer’s financial arrangements as well as the cost of benefits provided to the employees. Those components are aggregated for reporting in the financial statements within compensation and benefits on the income statement. The amendments in the update require that the service cost component is reported in the same line as other compensation costs, whereas the other components of net benefit cost are required to be presented in the income statement separately from the service cost component. The amendments are effective for reporting periods beginning after December 15, 2017. Early adoption is permitted as of the beginning of an annual period for which financial statements have not been issued. We are in the process of evaluating the impact of this update on our consolidated financial statements.</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August 2017, the FASB issued a standards update that amends the existing hedge accounting model to enable entities to better portray their risk management activities in the financial statements. The amendments expand an entity’s ability to hedge nonfinancial and financial risk components and reduce complexity in fair value hedges of interest rate risk. The guidance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and modifies the accounting for components excluded from the assessment of hedge effectiveness. The guidance is effective for fiscal years beginning after December 15, 2018. Early adoption is permitted. We do not believe that the adoption of this standard will have a material impact on our consolidated financial statements.</w:t>
      </w:r>
    </w:p>
    <w:p>
      <w:pPr>
        <w:spacing w:after="0" w:line="29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2016. Refer to Item 7A. of CME Group’s Annual Report on Form 10-K for the year ended December 31, 2016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jc w:val="both"/>
        <w:ind w:right="20" w:firstLine="8"/>
        <w:spacing w:after="0" w:line="279" w:lineRule="auto"/>
        <w:tabs>
          <w:tab w:leader="none" w:pos="245"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71" w:lineRule="exact"/>
        <w:rPr>
          <w:rFonts w:ascii="Arial" w:cs="Arial" w:eastAsia="Arial" w:hAnsi="Arial"/>
          <w:sz w:val="17"/>
          <w:szCs w:val="17"/>
          <w:color w:val="auto"/>
        </w:rPr>
      </w:pPr>
    </w:p>
    <w:p>
      <w:pPr>
        <w:ind w:right="60" w:firstLine="8"/>
        <w:spacing w:after="0" w:line="253"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During the quarter ended September 30, 2017, we completed the implementation of our new enterprise resource planning (“ERP”) system. The company has evaluated the impact of the system on its internal control over financial reporting and where appropriate, made changes to these controls to address related system functionality and potential gaps. There were no other changes in the company’s internal control over financial reporting which occurred during the fiscal quarter ended September 30, 2017, that have materially affected, or are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See “Legal and Regulatory Matters” in Note 7. Contingencies to the Consolidated Financial Statements for updates to CME Group’s existing legal proceedings disclosure which is incorporated herein by reference. Note 7. Contingencies includes updates to the legal proceedings disclosed in the company’s Annual Report on Form 10-K, filed with the SEC on February 27, 2017.</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There have been no material updates to the Risk Factors disclosure included in the company’s Annual Report on Form 10-K, filed with the SEC on February 27, 2017.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3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 Total Number of Class A</w:t>
            </w:r>
          </w:p>
        </w:tc>
        <w:tc>
          <w:tcPr>
            <w:tcW w:w="2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 Total Number of</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Approximate Value) that</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w w:val="95"/>
              </w:rPr>
              <w:t>(b) Average Price</w:t>
            </w: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2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Class A</w:t>
            </w: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Part of Publicly Announced</w:t>
            </w: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 Purchased (1)</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Paid Per Share</w:t>
            </w:r>
          </w:p>
        </w:tc>
        <w:tc>
          <w:tcPr>
            <w:tcW w:w="2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Plans or Programs</w:t>
            </w:r>
          </w:p>
        </w:tc>
        <w:tc>
          <w:tcPr>
            <w:tcW w:w="2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to July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734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122.28</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   $</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August 1 to August 31</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21"/>
                <w:szCs w:val="21"/>
                <w:color w:val="auto"/>
              </w:rPr>
            </w:pP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124.85</w:t>
            </w:r>
          </w:p>
        </w:tc>
        <w:tc>
          <w:tcPr>
            <w:tcW w:w="238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280" w:type="dxa"/>
            <w:vAlign w:val="bottom"/>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 to September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142,460</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131.29</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143,306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131.24</w:t>
            </w:r>
          </w:p>
        </w:tc>
        <w:tc>
          <w:tcPr>
            <w:tcW w:w="2040" w:type="dxa"/>
            <w:vAlign w:val="bottom"/>
            <w:tcBorders>
              <w:top w:val="single" w:sz="8" w:color="auto"/>
              <w:bottom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purchased consist of an aggregate of 143,306 shares of Class A common stock surrendered in the third quarter of 2017 to satisfy employees’ tax obligations upon the vesting of restricted stock.</w:t>
      </w:r>
    </w:p>
    <w:p>
      <w:pPr>
        <w:spacing w:after="0" w:line="2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42"/>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40"/>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880" w:type="dxa"/>
            <w:vAlign w:val="bottom"/>
            <w:tcBorders>
              <w:bottom w:val="single" w:sz="8" w:color="0000FF"/>
            </w:tcBorders>
          </w:tcPr>
          <w:p>
            <w:pPr>
              <w:spacing w:after="0"/>
              <w:rPr>
                <w:rFonts w:ascii="Arial" w:cs="Arial" w:eastAsia="Arial" w:hAnsi="Arial"/>
                <w:sz w:val="18"/>
                <w:szCs w:val="18"/>
                <w:color w:val="0000FF"/>
                <w:w w:val="90"/>
              </w:rPr>
            </w:pPr>
            <w:hyperlink w:anchor="page32">
              <w:r>
                <w:rPr>
                  <w:rFonts w:ascii="Arial" w:cs="Arial" w:eastAsia="Arial" w:hAnsi="Arial"/>
                  <w:sz w:val="18"/>
                  <w:szCs w:val="18"/>
                  <w:color w:val="0000FF"/>
                  <w:w w:val="90"/>
                </w:rPr>
                <w:t>Section 302</w:t>
              </w:r>
            </w:hyperlink>
          </w:p>
        </w:tc>
        <w:tc>
          <w:tcPr>
            <w:tcW w:w="2440" w:type="dxa"/>
            <w:vAlign w:val="bottom"/>
            <w:tcBorders>
              <w:bottom w:val="single" w:sz="8" w:color="0000FF"/>
            </w:tcBorders>
            <w:gridSpan w:val="2"/>
          </w:tcPr>
          <w:p>
            <w:pPr>
              <w:ind w:left="20"/>
              <w:spacing w:after="0"/>
              <w:rPr>
                <w:rFonts w:ascii="Arial" w:cs="Arial" w:eastAsia="Arial" w:hAnsi="Arial"/>
                <w:sz w:val="18"/>
                <w:szCs w:val="18"/>
                <w:color w:val="0000FF"/>
                <w:w w:val="94"/>
              </w:rPr>
            </w:pPr>
            <w:hyperlink w:anchor="page32">
              <w:r>
                <w:rPr>
                  <w:rFonts w:ascii="Arial" w:cs="Arial" w:eastAsia="Arial" w:hAnsi="Arial"/>
                  <w:sz w:val="18"/>
                  <w:szCs w:val="18"/>
                  <w:color w:val="0000FF"/>
                  <w:w w:val="94"/>
                </w:rPr>
                <w:t>Certification—Terrence A. Duffy</w:t>
              </w:r>
            </w:hyperlink>
          </w:p>
        </w:tc>
        <w:tc>
          <w:tcPr>
            <w:tcW w:w="1180" w:type="dxa"/>
            <w:vAlign w:val="bottom"/>
            <w:gridSpan w:val="2"/>
          </w:tcPr>
          <w:p>
            <w:pPr>
              <w:spacing w:after="0"/>
              <w:rPr>
                <w:sz w:val="24"/>
                <w:szCs w:val="24"/>
                <w:color w:val="auto"/>
              </w:rPr>
            </w:pPr>
          </w:p>
        </w:tc>
      </w:tr>
      <w:tr>
        <w:trPr>
          <w:trHeight w:val="412"/>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Section 302</w:t>
              </w:r>
            </w:hyperlink>
          </w:p>
        </w:tc>
        <w:tc>
          <w:tcPr>
            <w:tcW w:w="3620" w:type="dxa"/>
            <w:vAlign w:val="bottom"/>
            <w:gridSpan w:val="4"/>
          </w:tcPr>
          <w:p>
            <w:pPr>
              <w:ind w:left="20"/>
              <w:spacing w:after="0"/>
              <w:rPr>
                <w:rFonts w:ascii="Arial" w:cs="Arial" w:eastAsia="Arial" w:hAnsi="Arial"/>
                <w:sz w:val="18"/>
                <w:szCs w:val="18"/>
                <w:color w:val="0000FF"/>
              </w:rPr>
            </w:pPr>
            <w:hyperlink w:anchor="page33">
              <w:r>
                <w:rPr>
                  <w:rFonts w:ascii="Arial" w:cs="Arial" w:eastAsia="Arial" w:hAnsi="Arial"/>
                  <w:sz w:val="18"/>
                  <w:szCs w:val="18"/>
                  <w:color w:val="0000FF"/>
                </w:rPr>
                <w:t>Certification—John W. Pietrowicz</w:t>
              </w:r>
            </w:hyperlink>
          </w:p>
        </w:tc>
      </w:tr>
      <w:tr>
        <w:trPr>
          <w:trHeight w:val="412"/>
        </w:trPr>
        <w:tc>
          <w:tcPr>
            <w:tcW w:w="1280" w:type="dxa"/>
            <w:vAlign w:val="bottom"/>
          </w:tcPr>
          <w:p>
            <w:pPr>
              <w:ind w:left="4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8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Section 906</w:t>
              </w:r>
            </w:hyperlink>
          </w:p>
        </w:tc>
        <w:tc>
          <w:tcPr>
            <w:tcW w:w="940" w:type="dxa"/>
            <w:vAlign w:val="bottom"/>
            <w:tcBorders>
              <w:top w:val="single" w:sz="8" w:color="0000FF"/>
              <w:bottom w:val="single" w:sz="8" w:color="0000FF"/>
            </w:tcBorders>
          </w:tcPr>
          <w:p>
            <w:pPr>
              <w:ind w:left="20"/>
              <w:spacing w:after="0"/>
              <w:rPr>
                <w:rFonts w:ascii="Arial" w:cs="Arial" w:eastAsia="Arial" w:hAnsi="Arial"/>
                <w:sz w:val="18"/>
                <w:szCs w:val="18"/>
                <w:color w:val="0000FF"/>
                <w:w w:val="94"/>
              </w:rPr>
            </w:pPr>
            <w:hyperlink w:anchor="page34">
              <w:r>
                <w:rPr>
                  <w:rFonts w:ascii="Arial" w:cs="Arial" w:eastAsia="Arial" w:hAnsi="Arial"/>
                  <w:sz w:val="18"/>
                  <w:szCs w:val="18"/>
                  <w:color w:val="0000FF"/>
                  <w:w w:val="94"/>
                </w:rPr>
                <w:t>Certification</w:t>
              </w:r>
            </w:hyperlink>
          </w:p>
        </w:tc>
        <w:tc>
          <w:tcPr>
            <w:tcW w:w="1560" w:type="dxa"/>
            <w:vAlign w:val="bottom"/>
            <w:tcBorders>
              <w:top w:val="single" w:sz="8" w:color="0000FF"/>
            </w:tcBorders>
            <w:gridSpan w:val="2"/>
          </w:tcPr>
          <w:p>
            <w:pPr>
              <w:spacing w:after="0"/>
              <w:rPr>
                <w:sz w:val="24"/>
                <w:szCs w:val="24"/>
                <w:color w:val="auto"/>
              </w:rPr>
            </w:pPr>
          </w:p>
        </w:tc>
        <w:tc>
          <w:tcPr>
            <w:tcW w:w="1120" w:type="dxa"/>
            <w:vAlign w:val="bottom"/>
          </w:tcPr>
          <w:p>
            <w:pPr>
              <w:spacing w:after="0"/>
              <w:rPr>
                <w:sz w:val="24"/>
                <w:szCs w:val="24"/>
                <w:color w:val="auto"/>
              </w:rPr>
            </w:pPr>
          </w:p>
        </w:tc>
      </w:tr>
      <w:tr>
        <w:trPr>
          <w:trHeight w:val="453"/>
        </w:trPr>
        <w:tc>
          <w:tcPr>
            <w:tcW w:w="1280" w:type="dxa"/>
            <w:vAlign w:val="bottom"/>
          </w:tcPr>
          <w:p>
            <w:pPr>
              <w:ind w:left="40"/>
              <w:spacing w:after="0"/>
              <w:rPr>
                <w:sz w:val="20"/>
                <w:szCs w:val="20"/>
                <w:color w:val="auto"/>
              </w:rPr>
            </w:pPr>
            <w:r>
              <w:rPr>
                <w:rFonts w:ascii="Arial" w:cs="Arial" w:eastAsia="Arial" w:hAnsi="Arial"/>
                <w:sz w:val="18"/>
                <w:szCs w:val="18"/>
                <w:color w:val="auto"/>
              </w:rPr>
              <w:t>101.INS</w:t>
            </w:r>
          </w:p>
        </w:tc>
        <w:tc>
          <w:tcPr>
            <w:tcW w:w="360" w:type="dxa"/>
            <w:vAlign w:val="bottom"/>
          </w:tcPr>
          <w:p>
            <w:pPr>
              <w:spacing w:after="0"/>
              <w:rPr>
                <w:sz w:val="24"/>
                <w:szCs w:val="24"/>
                <w:color w:val="auto"/>
              </w:rPr>
            </w:pPr>
          </w:p>
        </w:tc>
        <w:tc>
          <w:tcPr>
            <w:tcW w:w="450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24"/>
                <w:szCs w:val="24"/>
                <w:color w:val="auto"/>
              </w:rPr>
            </w:pPr>
          </w:p>
        </w:tc>
        <w:tc>
          <w:tcPr>
            <w:tcW w:w="450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24"/>
                <w:szCs w:val="24"/>
                <w:color w:val="auto"/>
              </w:rPr>
            </w:pPr>
          </w:p>
        </w:tc>
        <w:tc>
          <w:tcPr>
            <w:tcW w:w="4500" w:type="dxa"/>
            <w:vAlign w:val="bottom"/>
            <w:gridSpan w:val="5"/>
          </w:tcPr>
          <w:p>
            <w:pPr>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24"/>
                <w:szCs w:val="24"/>
                <w:color w:val="auto"/>
              </w:rPr>
            </w:pPr>
          </w:p>
        </w:tc>
        <w:tc>
          <w:tcPr>
            <w:tcW w:w="45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24"/>
                <w:szCs w:val="24"/>
                <w:color w:val="auto"/>
              </w:rPr>
            </w:pPr>
          </w:p>
        </w:tc>
        <w:tc>
          <w:tcPr>
            <w:tcW w:w="450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24"/>
                <w:szCs w:val="24"/>
                <w:color w:val="auto"/>
              </w:rPr>
            </w:pPr>
          </w:p>
        </w:tc>
        <w:tc>
          <w:tcPr>
            <w:tcW w:w="4500" w:type="dxa"/>
            <w:vAlign w:val="bottom"/>
            <w:gridSpan w:val="5"/>
          </w:tcPr>
          <w:p>
            <w:pPr>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219"/>
          </w:cols>
          <w:pgMar w:left="240" w:top="108" w:right="1440"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CME Group Inc.</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160" w:val="left"/>
          <w:tab w:leader="none" w:pos="7920" w:val="left"/>
        </w:tabs>
        <w:rPr>
          <w:sz w:val="20"/>
          <w:szCs w:val="20"/>
          <w:color w:val="auto"/>
        </w:rPr>
      </w:pPr>
      <w:r>
        <w:rPr>
          <w:rFonts w:ascii="Arial" w:cs="Arial" w:eastAsia="Arial" w:hAnsi="Arial"/>
          <w:sz w:val="18"/>
          <w:szCs w:val="18"/>
          <w:color w:val="auto"/>
        </w:rPr>
        <w:t>Dated: November 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&amp; Senior Managing</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Director Finance</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125" w:right="4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Terrence A. Duffy, certify that:</w:t>
      </w:r>
    </w:p>
    <w:p>
      <w:pPr>
        <w:spacing w:after="0" w:line="171" w:lineRule="exact"/>
        <w:rPr>
          <w:sz w:val="20"/>
          <w:szCs w:val="20"/>
          <w:color w:val="auto"/>
        </w:rPr>
      </w:pPr>
    </w:p>
    <w:p>
      <w:pPr>
        <w:ind w:left="840" w:hanging="184"/>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Dated: November 2, 2017</w:t>
      </w:r>
      <w:r>
        <w:rPr>
          <w:sz w:val="20"/>
          <w:szCs w:val="20"/>
          <w:color w:val="auto"/>
        </w:rPr>
        <w:tab/>
      </w:r>
      <w:r>
        <w:rPr>
          <w:rFonts w:ascii="Arial" w:cs="Arial" w:eastAsia="Arial" w:hAnsi="Arial"/>
          <w:sz w:val="16"/>
          <w:szCs w:val="16"/>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Terrence A. Duffy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66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W. Pietrowicz, certify that:</w:t>
      </w:r>
    </w:p>
    <w:p>
      <w:pPr>
        <w:spacing w:after="0" w:line="171" w:lineRule="exact"/>
        <w:rPr>
          <w:sz w:val="20"/>
          <w:szCs w:val="20"/>
          <w:color w:val="auto"/>
        </w:rPr>
      </w:pPr>
    </w:p>
    <w:p>
      <w:pPr>
        <w:ind w:left="840" w:hanging="184"/>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Dated: November 2, 2017</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John W. Pietrowicz</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66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September 30, 2017 as filed with the Securities and Exchange Commission on the date hereof (the “Report”), Terrence A. Duffy,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133" w:lineRule="exact"/>
        <w:rPr>
          <w:sz w:val="20"/>
          <w:szCs w:val="20"/>
          <w:color w:val="auto"/>
        </w:rPr>
      </w:pPr>
    </w:p>
    <w:p>
      <w:pPr>
        <w:ind w:left="1560" w:hanging="255"/>
        <w:spacing w:after="0"/>
        <w:tabs>
          <w:tab w:leader="none" w:pos="1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560" w:hanging="255"/>
        <w:spacing w:after="0"/>
        <w:tabs>
          <w:tab w:leader="none" w:pos="1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Terrence A. Duffy</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John W. Pietrowicz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 2017</w:t>
      </w:r>
    </w:p>
    <w:p>
      <w:pPr>
        <w:spacing w:after="0" w:line="17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decimal"/>
      <w:start w:val="5"/>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decimal"/>
      <w:start w:val="5"/>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2019-12-29T03:55:37Z</dcterms:created>
  <dcterms:modified xsi:type="dcterms:W3CDTF">2019-12-29T03:55:37Z</dcterms:modified>
</cp:coreProperties>
</file>