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5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2011</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3" w:lineRule="exact"/>
        <w:rPr>
          <w:sz w:val="24"/>
          <w:szCs w:val="24"/>
          <w:color w:val="auto"/>
        </w:rPr>
      </w:pPr>
    </w:p>
    <w:p>
      <w:pPr>
        <w:ind w:left="4580" w:right="3480" w:hanging="4545"/>
        <w:spacing w:after="0" w:line="397" w:lineRule="auto"/>
        <w:tabs>
          <w:tab w:leader="none" w:pos="62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Commission File Number 001-31553</w:t>
      </w: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47"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520" w:type="dxa"/>
            <w:vAlign w:val="bottom"/>
          </w:tcPr>
          <w:p>
            <w:pPr>
              <w:jc w:val="center"/>
              <w:ind w:right="1953"/>
              <w:spacing w:after="0"/>
              <w:rPr>
                <w:sz w:val="20"/>
                <w:szCs w:val="20"/>
                <w:color w:val="auto"/>
              </w:rPr>
            </w:pPr>
            <w:r>
              <w:rPr>
                <w:rFonts w:ascii="Arial" w:cs="Arial" w:eastAsia="Arial" w:hAnsi="Arial"/>
                <w:sz w:val="14"/>
                <w:szCs w:val="14"/>
                <w:b w:val="1"/>
                <w:bCs w:val="1"/>
                <w:color w:val="auto"/>
                <w:w w:val="94"/>
              </w:rPr>
              <w:t>Delaware</w:t>
            </w:r>
          </w:p>
        </w:tc>
        <w:tc>
          <w:tcPr>
            <w:tcW w:w="2980" w:type="dxa"/>
            <w:vAlign w:val="bottom"/>
          </w:tcPr>
          <w:p>
            <w:pPr>
              <w:jc w:val="right"/>
              <w:ind w:right="73"/>
              <w:spacing w:after="0"/>
              <w:rPr>
                <w:sz w:val="20"/>
                <w:szCs w:val="20"/>
                <w:color w:val="auto"/>
              </w:rPr>
            </w:pPr>
            <w:r>
              <w:rPr>
                <w:rFonts w:ascii="Arial" w:cs="Arial" w:eastAsia="Arial" w:hAnsi="Arial"/>
                <w:sz w:val="14"/>
                <w:szCs w:val="14"/>
                <w:b w:val="1"/>
                <w:bCs w:val="1"/>
                <w:color w:val="auto"/>
              </w:rPr>
              <w:t>36-4459170</w:t>
            </w:r>
          </w:p>
        </w:tc>
      </w:tr>
      <w:tr>
        <w:trPr>
          <w:trHeight w:val="156"/>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87"/>
              </w:rPr>
              <w:t>(State or Other Jurisdiction of</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90"/>
              </w:rPr>
              <w:t>Incorporation or Organization)</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89"/>
              </w:rPr>
              <w:t>Identification No.)</w:t>
            </w:r>
          </w:p>
        </w:tc>
      </w:tr>
      <w:tr>
        <w:trPr>
          <w:trHeight w:val="328"/>
        </w:trPr>
        <w:tc>
          <w:tcPr>
            <w:tcW w:w="4520" w:type="dxa"/>
            <w:vAlign w:val="bottom"/>
          </w:tcPr>
          <w:p>
            <w:pPr>
              <w:jc w:val="center"/>
              <w:ind w:right="1953"/>
              <w:spacing w:after="0"/>
              <w:rPr>
                <w:sz w:val="20"/>
                <w:szCs w:val="20"/>
                <w:color w:val="auto"/>
              </w:rPr>
            </w:pPr>
            <w:r>
              <w:rPr>
                <w:rFonts w:ascii="Arial" w:cs="Arial" w:eastAsia="Arial" w:hAnsi="Arial"/>
                <w:sz w:val="14"/>
                <w:szCs w:val="14"/>
                <w:b w:val="1"/>
                <w:bCs w:val="1"/>
                <w:color w:val="auto"/>
                <w:w w:val="93"/>
              </w:rPr>
              <w:t>20 South Wacker Drive, Chicago, Illinois</w:t>
            </w:r>
          </w:p>
        </w:tc>
        <w:tc>
          <w:tcPr>
            <w:tcW w:w="2980" w:type="dxa"/>
            <w:vAlign w:val="bottom"/>
          </w:tcPr>
          <w:p>
            <w:pPr>
              <w:jc w:val="right"/>
              <w:ind w:right="233"/>
              <w:spacing w:after="0"/>
              <w:rPr>
                <w:sz w:val="20"/>
                <w:szCs w:val="20"/>
                <w:color w:val="auto"/>
              </w:rPr>
            </w:pPr>
            <w:r>
              <w:rPr>
                <w:rFonts w:ascii="Arial" w:cs="Arial" w:eastAsia="Arial" w:hAnsi="Arial"/>
                <w:sz w:val="14"/>
                <w:szCs w:val="14"/>
                <w:b w:val="1"/>
                <w:bCs w:val="1"/>
                <w:color w:val="auto"/>
              </w:rPr>
              <w:t>60606</w:t>
            </w:r>
          </w:p>
        </w:tc>
      </w:tr>
      <w:tr>
        <w:trPr>
          <w:trHeight w:val="185"/>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90"/>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(312) 930-1000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Borders>
              <w:bottom w:val="single" w:sz="8" w:color="auto"/>
            </w:tcBorders>
          </w:tcPr>
          <w:p>
            <w:pPr>
              <w:jc w:val="center"/>
              <w:ind w:left="1657"/>
              <w:spacing w:after="0"/>
              <w:rPr>
                <w:sz w:val="20"/>
                <w:szCs w:val="20"/>
                <w:color w:val="auto"/>
              </w:rPr>
            </w:pPr>
            <w:r>
              <w:rPr>
                <w:rFonts w:ascii="Arial" w:cs="Arial" w:eastAsia="Arial" w:hAnsi="Arial"/>
                <w:sz w:val="13"/>
                <w:szCs w:val="13"/>
                <w:b w:val="1"/>
                <w:bCs w:val="1"/>
                <w:color w:val="auto"/>
                <w:w w:val="89"/>
              </w:rPr>
              <w:t>Title Of Each Class</w:t>
            </w: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73"/>
        </w:trPr>
        <w:tc>
          <w:tcPr>
            <w:tcW w:w="3900" w:type="dxa"/>
            <w:vAlign w:val="bottom"/>
          </w:tcPr>
          <w:p>
            <w:pPr>
              <w:jc w:val="center"/>
              <w:ind w:left="1657"/>
              <w:spacing w:after="0"/>
              <w:rPr>
                <w:sz w:val="20"/>
                <w:szCs w:val="20"/>
                <w:color w:val="auto"/>
              </w:rPr>
            </w:pPr>
            <w:r>
              <w:rPr>
                <w:rFonts w:ascii="Arial" w:cs="Arial" w:eastAsia="Arial" w:hAnsi="Arial"/>
                <w:sz w:val="13"/>
                <w:szCs w:val="13"/>
                <w:b w:val="1"/>
                <w:bCs w:val="1"/>
                <w:color w:val="auto"/>
                <w:w w:val="86"/>
              </w:rPr>
              <w:t>Class A Common Stock $0.01 par value</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3"/>
                <w:szCs w:val="13"/>
                <w:b w:val="1"/>
                <w:bCs w:val="1"/>
                <w:color w:val="auto"/>
                <w:w w:val="96"/>
              </w:rPr>
              <w:t>NASDAQ GLOBAL SELECT MARKET</w:t>
            </w:r>
          </w:p>
        </w:tc>
      </w:tr>
      <w:tr>
        <w:trPr>
          <w:trHeight w:val="351"/>
        </w:trPr>
        <w:tc>
          <w:tcPr>
            <w:tcW w:w="3900" w:type="dxa"/>
            <w:vAlign w:val="bottom"/>
          </w:tcPr>
          <w:p>
            <w:pPr>
              <w:spacing w:after="0"/>
              <w:rPr>
                <w:sz w:val="24"/>
                <w:szCs w:val="24"/>
                <w:color w:val="auto"/>
              </w:rPr>
            </w:pPr>
          </w:p>
        </w:tc>
        <w:tc>
          <w:tcPr>
            <w:tcW w:w="7520" w:type="dxa"/>
            <w:vAlign w:val="bottom"/>
            <w:gridSpan w:val="3"/>
          </w:tcPr>
          <w:p>
            <w:pPr>
              <w:jc w:val="right"/>
              <w:ind w:right="3857"/>
              <w:spacing w:after="0"/>
              <w:rPr>
                <w:sz w:val="20"/>
                <w:szCs w:val="20"/>
                <w:color w:val="auto"/>
              </w:rPr>
            </w:pPr>
            <w:r>
              <w:rPr>
                <w:rFonts w:ascii="Arial" w:cs="Arial" w:eastAsia="Arial" w:hAnsi="Arial"/>
                <w:sz w:val="13"/>
                <w:szCs w:val="13"/>
                <w:color w:val="auto"/>
                <w:w w:val="86"/>
              </w:rPr>
              <w:t>_________________________________________________________</w:t>
            </w:r>
          </w:p>
        </w:tc>
      </w:tr>
    </w:tbl>
    <w:p>
      <w:pPr>
        <w:spacing w:after="0" w:line="38" w:lineRule="exact"/>
        <w:rPr>
          <w:sz w:val="24"/>
          <w:szCs w:val="24"/>
          <w:color w:val="auto"/>
        </w:rPr>
      </w:pPr>
    </w:p>
    <w:p>
      <w:pPr>
        <w:ind w:right="60"/>
        <w:spacing w:after="0" w:line="261" w:lineRule="auto"/>
        <w:rPr>
          <w:sz w:val="20"/>
          <w:szCs w:val="20"/>
          <w:color w:val="auto"/>
        </w:rPr>
      </w:pPr>
      <w:r>
        <w:rPr>
          <w:rFonts w:ascii="Arial" w:cs="Arial" w:eastAsia="Arial" w:hAnsi="Arial"/>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ectPr>
          <w:pgSz w:w="11900" w:h="16838" w:orient="portrait"/>
          <w:cols w:equalWidth="0" w:num="1">
            <w:col w:w="11420"/>
          </w:cols>
          <w:pgMar w:left="240" w:top="229" w:right="239" w:bottom="1440" w:gutter="0" w:footer="0" w:header="0"/>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5">
            <w:col w:w="6760" w:space="140"/>
            <w:col w:w="220" w:space="60"/>
            <w:col w:w="140" w:space="140"/>
            <w:col w:w="180" w:space="80"/>
            <w:col w:w="3700"/>
          </w:cols>
          <w:pgMar w:left="240" w:top="229" w:right="2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4" w:lineRule="exact"/>
        <w:rPr>
          <w:sz w:val="24"/>
          <w:szCs w:val="24"/>
          <w:color w:val="auto"/>
        </w:rPr>
      </w:pPr>
    </w:p>
    <w:p>
      <w:pPr>
        <w:sectPr>
          <w:pgSz w:w="11900" w:h="16838" w:orient="portrait"/>
          <w:cols w:equalWidth="0" w:num="5">
            <w:col w:w="6900" w:space="140"/>
            <w:col w:w="200" w:space="80"/>
            <w:col w:w="120" w:space="160"/>
            <w:col w:w="160" w:space="80"/>
            <w:col w:w="3580"/>
          </w:cols>
          <w:pgMar w:left="240" w:top="229" w:right="239" w:bottom="1440" w:gutter="0" w:footer="0" w:header="0"/>
          <w:type w:val="continuous"/>
        </w:sect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64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3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205" w:lineRule="exact"/>
        <w:rPr>
          <w:sz w:val="24"/>
          <w:szCs w:val="24"/>
          <w:color w:val="auto"/>
        </w:rPr>
      </w:pPr>
    </w:p>
    <w:p>
      <w:pPr>
        <w:sectPr>
          <w:pgSz w:w="11900" w:h="16838" w:orient="portrait"/>
          <w:cols w:equalWidth="0" w:num="3">
            <w:col w:w="7640" w:space="720"/>
            <w:col w:w="980" w:space="180"/>
            <w:col w:w="1900"/>
          </w:cols>
          <w:pgMar w:left="240" w:top="229" w:right="239" w:bottom="1440" w:gutter="0" w:footer="0" w:header="0"/>
          <w:type w:val="continuous"/>
        </w:sectPr>
      </w:pPr>
    </w:p>
    <w:p>
      <w:pPr>
        <w:spacing w:after="0" w:line="4"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 o</w:t>
      </w:r>
    </w:p>
    <w:p>
      <w:pPr>
        <w:spacing w:after="0" w:line="53" w:lineRule="exact"/>
        <w:rPr>
          <w:sz w:val="24"/>
          <w:szCs w:val="24"/>
          <w:color w:val="auto"/>
        </w:rPr>
      </w:pPr>
    </w:p>
    <w:p>
      <w:pPr>
        <w:sectPr>
          <w:pgSz w:w="11900" w:h="16838" w:orient="portrait"/>
          <w:cols w:equalWidth="0" w:num="4">
            <w:col w:w="1260" w:space="140"/>
            <w:col w:w="1100" w:space="720"/>
            <w:col w:w="4420" w:space="720"/>
            <w:col w:w="306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ectPr>
          <w:pgSz w:w="11900" w:h="16838" w:orient="portrait"/>
          <w:cols w:equalWidth="0" w:num="5">
            <w:col w:w="6540" w:space="140"/>
            <w:col w:w="220" w:space="60"/>
            <w:col w:w="140" w:space="140"/>
            <w:col w:w="180" w:space="80"/>
            <w:col w:w="3920"/>
          </w:cols>
          <w:pgMar w:left="240" w:top="229" w:right="239" w:bottom="1440" w:gutter="0" w:footer="0" w:header="0"/>
          <w:type w:val="continuous"/>
        </w:sectPr>
      </w:pPr>
    </w:p>
    <w:p>
      <w:pPr>
        <w:ind w:right="80"/>
        <w:spacing w:after="0" w:line="277" w:lineRule="auto"/>
        <w:rPr>
          <w:sz w:val="20"/>
          <w:szCs w:val="20"/>
          <w:color w:val="auto"/>
        </w:rPr>
      </w:pPr>
      <w:r>
        <w:rPr>
          <w:rFonts w:ascii="Arial" w:cs="Arial" w:eastAsia="Arial" w:hAnsi="Arial"/>
          <w:sz w:val="13"/>
          <w:szCs w:val="13"/>
          <w:color w:val="auto"/>
        </w:rPr>
        <w:t>The aggregate market value of the voting stock held by non-affiliates of the registrant as of June 30, 2011, was approximately $19.3 billion (based on the closing price per share of CME Group Inc. Class A common stock on the NASDAQ Global Select Market (NASDAQ) on such date). The number of shares outstanding of each of the registrant’s classes of common stock as of February 15, 2012 was as follows: 66,439,943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Borders>
              <w:bottom w:val="single" w:sz="8" w:color="auto"/>
            </w:tcBorders>
          </w:tcPr>
          <w:p>
            <w:pPr>
              <w:ind w:left="2320"/>
              <w:spacing w:after="0"/>
              <w:rPr>
                <w:sz w:val="20"/>
                <w:szCs w:val="20"/>
                <w:color w:val="auto"/>
              </w:rPr>
            </w:pPr>
            <w:r>
              <w:rPr>
                <w:rFonts w:ascii="Arial" w:cs="Arial" w:eastAsia="Arial" w:hAnsi="Arial"/>
                <w:sz w:val="13"/>
                <w:szCs w:val="13"/>
                <w:b w:val="1"/>
                <w:bCs w:val="1"/>
                <w:color w:val="auto"/>
              </w:rPr>
              <w:t>Documents</w:t>
            </w:r>
          </w:p>
        </w:tc>
        <w:tc>
          <w:tcPr>
            <w:tcW w:w="100" w:type="dxa"/>
            <w:vAlign w:val="bottom"/>
          </w:tcPr>
          <w:p>
            <w:pPr>
              <w:spacing w:after="0"/>
              <w:rPr>
                <w:sz w:val="15"/>
                <w:szCs w:val="15"/>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Form 10-K Reference</w:t>
            </w:r>
          </w:p>
        </w:tc>
        <w:tc>
          <w:tcPr>
            <w:tcW w:w="760" w:type="dxa"/>
            <w:vAlign w:val="bottom"/>
          </w:tcPr>
          <w:p>
            <w:pPr>
              <w:spacing w:after="0"/>
              <w:rPr>
                <w:sz w:val="15"/>
                <w:szCs w:val="15"/>
                <w:color w:val="auto"/>
              </w:rPr>
            </w:pPr>
          </w:p>
        </w:tc>
      </w:tr>
      <w:tr>
        <w:trPr>
          <w:trHeight w:val="220"/>
        </w:trPr>
        <w:tc>
          <w:tcPr>
            <w:tcW w:w="5340" w:type="dxa"/>
            <w:vAlign w:val="bottom"/>
            <w:gridSpan w:val="2"/>
          </w:tcPr>
          <w:p>
            <w:pPr>
              <w:ind w:left="40"/>
              <w:spacing w:after="0"/>
              <w:rPr>
                <w:sz w:val="20"/>
                <w:szCs w:val="20"/>
                <w:color w:val="auto"/>
              </w:rPr>
            </w:pPr>
            <w:r>
              <w:rPr>
                <w:rFonts w:ascii="Arial" w:cs="Arial" w:eastAsia="Arial" w:hAnsi="Arial"/>
                <w:sz w:val="16"/>
                <w:szCs w:val="16"/>
                <w:color w:val="auto"/>
              </w:rPr>
              <w:t>Portions of the CME Group Inc.’s Proxy Statement for the 2012 Annual</w:t>
            </w:r>
          </w:p>
        </w:tc>
        <w:tc>
          <w:tcPr>
            <w:tcW w:w="5320" w:type="dxa"/>
            <w:vAlign w:val="bottom"/>
          </w:tcPr>
          <w:p>
            <w:pPr>
              <w:jc w:val="center"/>
              <w:spacing w:after="0"/>
              <w:rPr>
                <w:sz w:val="20"/>
                <w:szCs w:val="20"/>
                <w:color w:val="auto"/>
              </w:rPr>
            </w:pPr>
            <w:r>
              <w:rPr>
                <w:rFonts w:ascii="Arial" w:cs="Arial" w:eastAsia="Arial" w:hAnsi="Arial"/>
                <w:sz w:val="16"/>
                <w:szCs w:val="16"/>
                <w:color w:val="auto"/>
                <w:w w:val="97"/>
              </w:rPr>
              <w:t>Part III</w:t>
            </w:r>
          </w:p>
        </w:tc>
        <w:tc>
          <w:tcPr>
            <w:tcW w:w="760" w:type="dxa"/>
            <w:vAlign w:val="bottom"/>
          </w:tcPr>
          <w:p>
            <w:pPr>
              <w:spacing w:after="0"/>
              <w:rPr>
                <w:sz w:val="19"/>
                <w:szCs w:val="19"/>
                <w:color w:val="auto"/>
              </w:rPr>
            </w:pPr>
          </w:p>
        </w:tc>
      </w:tr>
      <w:tr>
        <w:trPr>
          <w:trHeight w:val="206"/>
        </w:trPr>
        <w:tc>
          <w:tcPr>
            <w:tcW w:w="5340" w:type="dxa"/>
            <w:vAlign w:val="bottom"/>
            <w:gridSpan w:val="2"/>
          </w:tcPr>
          <w:p>
            <w:pPr>
              <w:ind w:left="40"/>
              <w:spacing w:after="0"/>
              <w:rPr>
                <w:sz w:val="20"/>
                <w:szCs w:val="20"/>
                <w:color w:val="auto"/>
              </w:rPr>
            </w:pPr>
            <w:r>
              <w:rPr>
                <w:rFonts w:ascii="Arial" w:cs="Arial" w:eastAsia="Arial" w:hAnsi="Arial"/>
                <w:sz w:val="16"/>
                <w:szCs w:val="16"/>
                <w:color w:val="auto"/>
              </w:rPr>
              <w:t>Meeting of Shareholders</w:t>
            </w:r>
          </w:p>
        </w:tc>
        <w:tc>
          <w:tcPr>
            <w:tcW w:w="5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68"/>
        </w:trPr>
        <w:tc>
          <w:tcPr>
            <w:tcW w:w="5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15"/>
        </w:trPr>
        <w:tc>
          <w:tcPr>
            <w:tcW w:w="5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9"/>
          </w:tcPr>
          <w:p>
            <w:pPr>
              <w:jc w:val="center"/>
              <w:ind w:right="3420"/>
              <w:spacing w:after="0"/>
              <w:rPr>
                <w:sz w:val="20"/>
                <w:szCs w:val="20"/>
                <w:color w:val="auto"/>
              </w:rPr>
            </w:pPr>
            <w:r>
              <w:rPr>
                <w:rFonts w:ascii="Arial" w:cs="Arial" w:eastAsia="Arial" w:hAnsi="Arial"/>
                <w:sz w:val="18"/>
                <w:szCs w:val="18"/>
                <w:b w:val="1"/>
                <w:bCs w:val="1"/>
                <w:color w:val="auto"/>
              </w:rPr>
              <w:t>CME GROUP INC.</w:t>
            </w:r>
          </w:p>
        </w:tc>
        <w:tc>
          <w:tcPr>
            <w:tcW w:w="1480" w:type="dxa"/>
            <w:vAlign w:val="bottom"/>
          </w:tcPr>
          <w:p>
            <w:pPr>
              <w:spacing w:after="0"/>
              <w:rPr>
                <w:sz w:val="20"/>
                <w:szCs w:val="20"/>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gridSpan w:val="11"/>
          </w:tcPr>
          <w:p>
            <w:pPr>
              <w:jc w:val="center"/>
              <w:ind w:right="2200"/>
              <w:spacing w:after="0"/>
              <w:rPr>
                <w:sz w:val="20"/>
                <w:szCs w:val="20"/>
                <w:color w:val="auto"/>
              </w:rPr>
            </w:pPr>
            <w:r>
              <w:rPr>
                <w:rFonts w:ascii="Arial" w:cs="Arial" w:eastAsia="Arial" w:hAnsi="Arial"/>
                <w:sz w:val="18"/>
                <w:szCs w:val="18"/>
                <w:b w:val="1"/>
                <w:bCs w:val="1"/>
                <w:color w:val="auto"/>
                <w:w w:val="99"/>
              </w:rPr>
              <w:t>ANNUAL REPORT ON FORM 10-K</w:t>
            </w:r>
          </w:p>
        </w:tc>
        <w:tc>
          <w:tcPr>
            <w:tcW w:w="1480" w:type="dxa"/>
            <w:vAlign w:val="bottom"/>
          </w:tcPr>
          <w:p>
            <w:pPr>
              <w:spacing w:after="0"/>
              <w:rPr>
                <w:sz w:val="24"/>
                <w:szCs w:val="24"/>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rPr>
              <w:t>INDEX</w:t>
            </w:r>
          </w:p>
        </w:tc>
        <w:tc>
          <w:tcPr>
            <w:tcW w:w="1480" w:type="dxa"/>
            <w:vAlign w:val="bottom"/>
          </w:tcPr>
          <w:p>
            <w:pPr>
              <w:spacing w:after="0"/>
              <w:rPr>
                <w:sz w:val="24"/>
                <w:szCs w:val="24"/>
                <w:color w:val="auto"/>
              </w:rPr>
            </w:pPr>
          </w:p>
        </w:tc>
      </w:tr>
      <w:tr>
        <w:trPr>
          <w:trHeight w:val="520"/>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Page</w:t>
            </w:r>
          </w:p>
        </w:tc>
      </w:tr>
      <w:tr>
        <w:trPr>
          <w:trHeight w:val="527"/>
        </w:trPr>
        <w:tc>
          <w:tcPr>
            <w:tcW w:w="1480" w:type="dxa"/>
            <w:vAlign w:val="bottom"/>
            <w:gridSpan w:val="6"/>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r>
      <w:tr>
        <w:trPr>
          <w:trHeight w:val="372"/>
        </w:trPr>
        <w:tc>
          <w:tcPr>
            <w:tcW w:w="62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Item 1.</w:t>
            </w:r>
          </w:p>
        </w:tc>
        <w:tc>
          <w:tcPr>
            <w:tcW w:w="860" w:type="dxa"/>
            <w:vAlign w:val="bottom"/>
            <w:gridSpan w:val="5"/>
          </w:tcPr>
          <w:p>
            <w:pPr>
              <w:spacing w:after="0"/>
              <w:rPr>
                <w:sz w:val="24"/>
                <w:szCs w:val="24"/>
                <w:color w:val="auto"/>
              </w:rPr>
            </w:pPr>
          </w:p>
        </w:tc>
        <w:tc>
          <w:tcPr>
            <w:tcW w:w="8420" w:type="dxa"/>
            <w:vAlign w:val="bottom"/>
            <w:gridSpan w:val="22"/>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Business</w:t>
              </w:r>
            </w:hyperlink>
          </w:p>
        </w:tc>
        <w:tc>
          <w:tcPr>
            <w:tcW w:w="14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FF"/>
            </w:tcBorders>
            <w:gridSpan w:val="4"/>
          </w:tcPr>
          <w:p>
            <w:pPr>
              <w:spacing w:after="0"/>
              <w:rPr>
                <w:rFonts w:ascii="Arial" w:cs="Arial" w:eastAsia="Arial" w:hAnsi="Arial"/>
                <w:sz w:val="18"/>
                <w:szCs w:val="18"/>
                <w:b w:val="1"/>
                <w:bCs w:val="1"/>
                <w:color w:val="0000FF"/>
                <w:w w:val="88"/>
              </w:rPr>
            </w:pPr>
            <w:hyperlink w:anchor="page15">
              <w:r>
                <w:rPr>
                  <w:rFonts w:ascii="Arial" w:cs="Arial" w:eastAsia="Arial" w:hAnsi="Arial"/>
                  <w:sz w:val="18"/>
                  <w:szCs w:val="18"/>
                  <w:b w:val="1"/>
                  <w:bCs w:val="1"/>
                  <w:color w:val="0000FF"/>
                  <w:w w:val="88"/>
                </w:rPr>
                <w:t>Risk Factors</w:t>
              </w:r>
            </w:hyperlink>
          </w:p>
        </w:tc>
        <w:tc>
          <w:tcPr>
            <w:tcW w:w="7440" w:type="dxa"/>
            <w:vAlign w:val="bottom"/>
            <w:gridSpan w:val="18"/>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15</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1B.</w:t>
            </w:r>
          </w:p>
        </w:tc>
        <w:tc>
          <w:tcPr>
            <w:tcW w:w="2160" w:type="dxa"/>
            <w:vAlign w:val="bottom"/>
            <w:tcBorders>
              <w:bottom w:val="single" w:sz="8" w:color="0000FF"/>
            </w:tcBorders>
            <w:gridSpan w:val="11"/>
          </w:tcPr>
          <w:p>
            <w:pPr>
              <w:spacing w:after="0"/>
              <w:rPr>
                <w:rFonts w:ascii="Arial" w:cs="Arial" w:eastAsia="Arial" w:hAnsi="Arial"/>
                <w:sz w:val="18"/>
                <w:szCs w:val="18"/>
                <w:b w:val="1"/>
                <w:bCs w:val="1"/>
                <w:color w:val="0000FF"/>
                <w:w w:val="88"/>
              </w:rPr>
            </w:pPr>
            <w:hyperlink w:anchor="page26">
              <w:r>
                <w:rPr>
                  <w:rFonts w:ascii="Arial" w:cs="Arial" w:eastAsia="Arial" w:hAnsi="Arial"/>
                  <w:sz w:val="18"/>
                  <w:szCs w:val="18"/>
                  <w:b w:val="1"/>
                  <w:bCs w:val="1"/>
                  <w:color w:val="0000FF"/>
                  <w:w w:val="88"/>
                </w:rPr>
                <w:t>Unresolved Staff Comments</w:t>
              </w:r>
            </w:hyperlink>
          </w:p>
        </w:tc>
        <w:tc>
          <w:tcPr>
            <w:tcW w:w="6260" w:type="dxa"/>
            <w:vAlign w:val="bottom"/>
            <w:gridSpan w:val="11"/>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2.</w:t>
            </w:r>
          </w:p>
        </w:tc>
        <w:tc>
          <w:tcPr>
            <w:tcW w:w="800" w:type="dxa"/>
            <w:vAlign w:val="bottom"/>
            <w:tcBorders>
              <w:bottom w:val="single" w:sz="8" w:color="0000FF"/>
            </w:tcBorders>
            <w:gridSpan w:val="3"/>
          </w:tcPr>
          <w:p>
            <w:pPr>
              <w:spacing w:after="0"/>
              <w:rPr>
                <w:rFonts w:ascii="Arial" w:cs="Arial" w:eastAsia="Arial" w:hAnsi="Arial"/>
                <w:sz w:val="18"/>
                <w:szCs w:val="18"/>
                <w:b w:val="1"/>
                <w:bCs w:val="1"/>
                <w:color w:val="0000FF"/>
                <w:w w:val="87"/>
              </w:rPr>
            </w:pPr>
            <w:hyperlink w:anchor="page27">
              <w:r>
                <w:rPr>
                  <w:rFonts w:ascii="Arial" w:cs="Arial" w:eastAsia="Arial" w:hAnsi="Arial"/>
                  <w:sz w:val="18"/>
                  <w:szCs w:val="18"/>
                  <w:b w:val="1"/>
                  <w:bCs w:val="1"/>
                  <w:color w:val="0000FF"/>
                  <w:w w:val="87"/>
                </w:rPr>
                <w:t>Properties</w:t>
              </w:r>
            </w:hyperlink>
          </w:p>
        </w:tc>
        <w:tc>
          <w:tcPr>
            <w:tcW w:w="7620" w:type="dxa"/>
            <w:vAlign w:val="bottom"/>
            <w:gridSpan w:val="19"/>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3.</w:t>
            </w:r>
          </w:p>
        </w:tc>
        <w:tc>
          <w:tcPr>
            <w:tcW w:w="8420" w:type="dxa"/>
            <w:vAlign w:val="bottom"/>
            <w:gridSpan w:val="22"/>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Legal Proceedings</w:t>
              </w:r>
            </w:hyperlink>
          </w:p>
        </w:tc>
        <w:tc>
          <w:tcPr>
            <w:tcW w:w="14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4.</w:t>
            </w:r>
          </w:p>
        </w:tc>
        <w:tc>
          <w:tcPr>
            <w:tcW w:w="8420" w:type="dxa"/>
            <w:vAlign w:val="bottom"/>
            <w:gridSpan w:val="22"/>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Mine Safety Disclosures</w:t>
              </w:r>
            </w:hyperlink>
          </w:p>
        </w:tc>
        <w:tc>
          <w:tcPr>
            <w:tcW w:w="14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547"/>
        </w:trPr>
        <w:tc>
          <w:tcPr>
            <w:tcW w:w="700" w:type="dxa"/>
            <w:vAlign w:val="bottom"/>
            <w:tcBorders>
              <w:bottom w:val="single" w:sz="8" w:color="0000FF"/>
            </w:tcBorders>
            <w:gridSpan w:val="2"/>
          </w:tcPr>
          <w:p>
            <w:pPr>
              <w:spacing w:after="0"/>
              <w:rPr>
                <w:rFonts w:ascii="Arial" w:cs="Arial" w:eastAsia="Arial" w:hAnsi="Arial"/>
                <w:sz w:val="18"/>
                <w:szCs w:val="18"/>
                <w:b w:val="1"/>
                <w:bCs w:val="1"/>
                <w:color w:val="0000FF"/>
                <w:w w:val="98"/>
              </w:rPr>
            </w:pPr>
            <w:hyperlink w:anchor="page27">
              <w:r>
                <w:rPr>
                  <w:rFonts w:ascii="Arial" w:cs="Arial" w:eastAsia="Arial" w:hAnsi="Arial"/>
                  <w:sz w:val="18"/>
                  <w:szCs w:val="18"/>
                  <w:b w:val="1"/>
                  <w:bCs w:val="1"/>
                  <w:color w:val="0000FF"/>
                  <w:w w:val="98"/>
                </w:rPr>
                <w:t>PART II.</w:t>
              </w:r>
            </w:hyperlink>
          </w:p>
        </w:tc>
        <w:tc>
          <w:tcPr>
            <w:tcW w:w="780" w:type="dxa"/>
            <w:vAlign w:val="bottom"/>
            <w:gridSpan w:val="4"/>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5.</w:t>
            </w:r>
          </w:p>
        </w:tc>
        <w:tc>
          <w:tcPr>
            <w:tcW w:w="8420" w:type="dxa"/>
            <w:vAlign w:val="bottom"/>
            <w:gridSpan w:val="22"/>
          </w:tcPr>
          <w:p>
            <w:pPr>
              <w:spacing w:after="0"/>
              <w:rPr>
                <w:rFonts w:ascii="Arial" w:cs="Arial" w:eastAsia="Arial" w:hAnsi="Arial"/>
                <w:sz w:val="18"/>
                <w:szCs w:val="18"/>
                <w:b w:val="1"/>
                <w:bCs w:val="1"/>
                <w:color w:val="0000FF"/>
                <w:w w:val="97"/>
              </w:rPr>
            </w:pPr>
            <w:hyperlink w:anchor="page28">
              <w:r>
                <w:rPr>
                  <w:rFonts w:ascii="Arial" w:cs="Arial" w:eastAsia="Arial" w:hAnsi="Arial"/>
                  <w:sz w:val="18"/>
                  <w:szCs w:val="18"/>
                  <w:b w:val="1"/>
                  <w:bCs w:val="1"/>
                  <w:color w:val="0000FF"/>
                  <w:w w:val="97"/>
                </w:rPr>
                <w:t>Market for Registrant’s Common Equity, Related Stockholder Matters and Issuer Purchases of Equity</w:t>
              </w:r>
            </w:hyperlink>
          </w:p>
        </w:tc>
        <w:tc>
          <w:tcPr>
            <w:tcW w:w="148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b w:val="1"/>
                <w:bCs w:val="1"/>
                <w:color w:val="0000FF"/>
                <w:w w:val="85"/>
              </w:rPr>
            </w:pPr>
            <w:hyperlink w:anchor="page28">
              <w:r>
                <w:rPr>
                  <w:rFonts w:ascii="Arial" w:cs="Arial" w:eastAsia="Arial" w:hAnsi="Arial"/>
                  <w:sz w:val="18"/>
                  <w:szCs w:val="18"/>
                  <w:b w:val="1"/>
                  <w:bCs w:val="1"/>
                  <w:color w:val="0000FF"/>
                  <w:w w:val="85"/>
                </w:rPr>
                <w:t>Securities</w:t>
              </w:r>
            </w:hyperlink>
          </w:p>
        </w:tc>
        <w:tc>
          <w:tcPr>
            <w:tcW w:w="7120" w:type="dxa"/>
            <w:vAlign w:val="bottom"/>
            <w:tcBorders>
              <w:top w:val="single" w:sz="8" w:color="0000FF"/>
            </w:tcBorders>
            <w:gridSpan w:val="19"/>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Pr>
          <w:p>
            <w:pPr>
              <w:jc w:val="right"/>
              <w:spacing w:after="0" w:line="196" w:lineRule="exact"/>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1820" w:type="dxa"/>
            <w:vAlign w:val="bottom"/>
            <w:tcBorders>
              <w:bottom w:val="single" w:sz="8" w:color="0000FF"/>
            </w:tcBorders>
            <w:gridSpan w:val="7"/>
          </w:tcPr>
          <w:p>
            <w:pPr>
              <w:spacing w:after="0"/>
              <w:rPr>
                <w:rFonts w:ascii="Arial" w:cs="Arial" w:eastAsia="Arial" w:hAnsi="Arial"/>
                <w:sz w:val="18"/>
                <w:szCs w:val="18"/>
                <w:b w:val="1"/>
                <w:bCs w:val="1"/>
                <w:color w:val="0000FF"/>
                <w:w w:val="89"/>
              </w:rPr>
            </w:pPr>
            <w:hyperlink w:anchor="page31">
              <w:r>
                <w:rPr>
                  <w:rFonts w:ascii="Arial" w:cs="Arial" w:eastAsia="Arial" w:hAnsi="Arial"/>
                  <w:sz w:val="18"/>
                  <w:szCs w:val="18"/>
                  <w:b w:val="1"/>
                  <w:bCs w:val="1"/>
                  <w:color w:val="0000FF"/>
                  <w:w w:val="89"/>
                </w:rPr>
                <w:t>Selected Financial Data</w:t>
              </w:r>
            </w:hyperlink>
          </w:p>
        </w:tc>
        <w:tc>
          <w:tcPr>
            <w:tcW w:w="6600" w:type="dxa"/>
            <w:vAlign w:val="bottom"/>
            <w:gridSpan w:val="15"/>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7.</w:t>
            </w:r>
          </w:p>
        </w:tc>
        <w:tc>
          <w:tcPr>
            <w:tcW w:w="6840" w:type="dxa"/>
            <w:vAlign w:val="bottom"/>
            <w:tcBorders>
              <w:bottom w:val="single" w:sz="8" w:color="0000FF"/>
            </w:tcBorders>
            <w:gridSpan w:val="18"/>
          </w:tcPr>
          <w:p>
            <w:pPr>
              <w:spacing w:after="0"/>
              <w:rPr>
                <w:rFonts w:ascii="Arial" w:cs="Arial" w:eastAsia="Arial" w:hAnsi="Arial"/>
                <w:sz w:val="18"/>
                <w:szCs w:val="18"/>
                <w:b w:val="1"/>
                <w:bCs w:val="1"/>
                <w:color w:val="0000FF"/>
                <w:w w:val="89"/>
              </w:rPr>
            </w:pPr>
            <w:hyperlink w:anchor="page32">
              <w:r>
                <w:rPr>
                  <w:rFonts w:ascii="Arial" w:cs="Arial" w:eastAsia="Arial" w:hAnsi="Arial"/>
                  <w:sz w:val="18"/>
                  <w:szCs w:val="18"/>
                  <w:b w:val="1"/>
                  <w:bCs w:val="1"/>
                  <w:color w:val="0000FF"/>
                  <w:w w:val="89"/>
                </w:rPr>
                <w:t>Management’s Discussion and Analysis of Financial Condition and Results of Operations</w:t>
              </w:r>
            </w:hyperlink>
          </w:p>
        </w:tc>
        <w:tc>
          <w:tcPr>
            <w:tcW w:w="1580" w:type="dxa"/>
            <w:vAlign w:val="bottom"/>
            <w:gridSpan w:val="4"/>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33</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7A.</w:t>
            </w:r>
          </w:p>
        </w:tc>
        <w:tc>
          <w:tcPr>
            <w:tcW w:w="8420" w:type="dxa"/>
            <w:vAlign w:val="bottom"/>
            <w:gridSpan w:val="22"/>
          </w:tcPr>
          <w:p>
            <w:pPr>
              <w:spacing w:after="0"/>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Quantitative and Qualitative Disclosures about Market Risk</w:t>
              </w:r>
            </w:hyperlink>
          </w:p>
        </w:tc>
        <w:tc>
          <w:tcPr>
            <w:tcW w:w="148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3600" w:type="dxa"/>
            <w:vAlign w:val="bottom"/>
            <w:tcBorders>
              <w:top w:val="single" w:sz="8" w:color="0000FF"/>
              <w:bottom w:val="single" w:sz="8" w:color="0000FF"/>
            </w:tcBorders>
            <w:gridSpan w:val="14"/>
          </w:tcPr>
          <w:p>
            <w:pPr>
              <w:spacing w:after="0"/>
              <w:rPr>
                <w:rFonts w:ascii="Arial" w:cs="Arial" w:eastAsia="Arial" w:hAnsi="Arial"/>
                <w:sz w:val="18"/>
                <w:szCs w:val="18"/>
                <w:b w:val="1"/>
                <w:bCs w:val="1"/>
                <w:color w:val="0000FF"/>
                <w:w w:val="90"/>
              </w:rPr>
            </w:pPr>
            <w:hyperlink w:anchor="page56">
              <w:r>
                <w:rPr>
                  <w:rFonts w:ascii="Arial" w:cs="Arial" w:eastAsia="Arial" w:hAnsi="Arial"/>
                  <w:sz w:val="18"/>
                  <w:szCs w:val="18"/>
                  <w:b w:val="1"/>
                  <w:bCs w:val="1"/>
                  <w:color w:val="0000FF"/>
                  <w:w w:val="90"/>
                </w:rPr>
                <w:t>Financial Statements and Supplementary Data</w:t>
              </w:r>
            </w:hyperlink>
          </w:p>
        </w:tc>
        <w:tc>
          <w:tcPr>
            <w:tcW w:w="1020" w:type="dxa"/>
            <w:vAlign w:val="bottom"/>
            <w:tcBorders>
              <w:top w:val="single" w:sz="8" w:color="0000FF"/>
            </w:tcBorders>
            <w:gridSpan w:val="2"/>
          </w:tcPr>
          <w:p>
            <w:pPr>
              <w:spacing w:after="0"/>
              <w:rPr>
                <w:sz w:val="24"/>
                <w:szCs w:val="24"/>
                <w:color w:val="auto"/>
              </w:rPr>
            </w:pPr>
          </w:p>
        </w:tc>
        <w:tc>
          <w:tcPr>
            <w:tcW w:w="3800" w:type="dxa"/>
            <w:vAlign w:val="bottom"/>
            <w:gridSpan w:val="6"/>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57</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6860" w:type="dxa"/>
            <w:vAlign w:val="bottom"/>
            <w:tcBorders>
              <w:bottom w:val="single" w:sz="8" w:color="0000FF"/>
            </w:tcBorders>
            <w:gridSpan w:val="19"/>
          </w:tcPr>
          <w:p>
            <w:pPr>
              <w:spacing w:after="0"/>
              <w:rPr>
                <w:rFonts w:ascii="Arial" w:cs="Arial" w:eastAsia="Arial" w:hAnsi="Arial"/>
                <w:sz w:val="18"/>
                <w:szCs w:val="18"/>
                <w:b w:val="1"/>
                <w:bCs w:val="1"/>
                <w:color w:val="0000FF"/>
                <w:w w:val="88"/>
              </w:rPr>
            </w:pPr>
            <w:hyperlink w:anchor="page92">
              <w:r>
                <w:rPr>
                  <w:rFonts w:ascii="Arial" w:cs="Arial" w:eastAsia="Arial" w:hAnsi="Arial"/>
                  <w:sz w:val="18"/>
                  <w:szCs w:val="18"/>
                  <w:b w:val="1"/>
                  <w:bCs w:val="1"/>
                  <w:color w:val="0000FF"/>
                  <w:w w:val="88"/>
                </w:rPr>
                <w:t>Changes in and Disagreements with Accountants on Accounting and Financial Disclosure</w:t>
              </w:r>
            </w:hyperlink>
          </w:p>
        </w:tc>
        <w:tc>
          <w:tcPr>
            <w:tcW w:w="1560" w:type="dxa"/>
            <w:vAlign w:val="bottom"/>
            <w:gridSpan w:val="3"/>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92</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9A.</w:t>
            </w:r>
          </w:p>
        </w:tc>
        <w:tc>
          <w:tcPr>
            <w:tcW w:w="1920" w:type="dxa"/>
            <w:vAlign w:val="bottom"/>
            <w:tcBorders>
              <w:bottom w:val="single" w:sz="8" w:color="0000FF"/>
            </w:tcBorders>
            <w:gridSpan w:val="10"/>
          </w:tcPr>
          <w:p>
            <w:pPr>
              <w:spacing w:after="0"/>
              <w:rPr>
                <w:rFonts w:ascii="Arial" w:cs="Arial" w:eastAsia="Arial" w:hAnsi="Arial"/>
                <w:sz w:val="18"/>
                <w:szCs w:val="18"/>
                <w:b w:val="1"/>
                <w:bCs w:val="1"/>
                <w:color w:val="0000FF"/>
                <w:w w:val="88"/>
              </w:rPr>
            </w:pPr>
            <w:hyperlink w:anchor="page92">
              <w:r>
                <w:rPr>
                  <w:rFonts w:ascii="Arial" w:cs="Arial" w:eastAsia="Arial" w:hAnsi="Arial"/>
                  <w:sz w:val="18"/>
                  <w:szCs w:val="18"/>
                  <w:b w:val="1"/>
                  <w:bCs w:val="1"/>
                  <w:color w:val="0000FF"/>
                  <w:w w:val="88"/>
                </w:rPr>
                <w:t>Controls and Procedures</w:t>
              </w:r>
            </w:hyperlink>
          </w:p>
        </w:tc>
        <w:tc>
          <w:tcPr>
            <w:tcW w:w="6500" w:type="dxa"/>
            <w:vAlign w:val="bottom"/>
            <w:gridSpan w:val="12"/>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92</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9B.</w:t>
            </w:r>
          </w:p>
        </w:tc>
        <w:tc>
          <w:tcPr>
            <w:tcW w:w="8420" w:type="dxa"/>
            <w:vAlign w:val="bottom"/>
            <w:gridSpan w:val="22"/>
          </w:tcPr>
          <w:p>
            <w:pPr>
              <w:spacing w:after="0"/>
              <w:rPr>
                <w:rFonts w:ascii="Arial" w:cs="Arial" w:eastAsia="Arial" w:hAnsi="Arial"/>
                <w:sz w:val="18"/>
                <w:szCs w:val="18"/>
                <w:b w:val="1"/>
                <w:bCs w:val="1"/>
                <w:color w:val="0000FF"/>
              </w:rPr>
            </w:pPr>
            <w:hyperlink w:anchor="page95">
              <w:r>
                <w:rPr>
                  <w:rFonts w:ascii="Arial" w:cs="Arial" w:eastAsia="Arial" w:hAnsi="Arial"/>
                  <w:sz w:val="18"/>
                  <w:szCs w:val="18"/>
                  <w:b w:val="1"/>
                  <w:bCs w:val="1"/>
                  <w:color w:val="0000FF"/>
                </w:rPr>
                <w:t>Other Information</w:t>
              </w:r>
            </w:hyperlink>
          </w:p>
        </w:tc>
        <w:tc>
          <w:tcPr>
            <w:tcW w:w="148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r>
        <w:trPr>
          <w:trHeight w:val="547"/>
        </w:trPr>
        <w:tc>
          <w:tcPr>
            <w:tcW w:w="1480" w:type="dxa"/>
            <w:vAlign w:val="bottom"/>
            <w:gridSpan w:val="6"/>
          </w:tcPr>
          <w:p>
            <w:pPr>
              <w:spacing w:after="0"/>
              <w:rPr>
                <w:rFonts w:ascii="Arial" w:cs="Arial" w:eastAsia="Arial" w:hAnsi="Arial"/>
                <w:sz w:val="18"/>
                <w:szCs w:val="18"/>
                <w:b w:val="1"/>
                <w:bCs w:val="1"/>
                <w:color w:val="0000FF"/>
              </w:rPr>
            </w:pPr>
            <w:hyperlink w:anchor="page95">
              <w:r>
                <w:rPr>
                  <w:rFonts w:ascii="Arial" w:cs="Arial" w:eastAsia="Arial" w:hAnsi="Arial"/>
                  <w:sz w:val="18"/>
                  <w:szCs w:val="18"/>
                  <w:b w:val="1"/>
                  <w:bCs w:val="1"/>
                  <w:color w:val="0000FF"/>
                </w:rPr>
                <w:t>PART III.</w:t>
              </w:r>
            </w:hyperlink>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r>
        <w:trPr>
          <w:trHeight w:val="372"/>
        </w:trPr>
        <w:tc>
          <w:tcPr>
            <w:tcW w:w="760" w:type="dxa"/>
            <w:vAlign w:val="bottom"/>
            <w:tcBorders>
              <w:top w:val="single" w:sz="8" w:color="0000FF"/>
            </w:tcBorders>
            <w:gridSpan w:val="4"/>
          </w:tcPr>
          <w:p>
            <w:pPr>
              <w:spacing w:after="0"/>
              <w:rPr>
                <w:sz w:val="20"/>
                <w:szCs w:val="20"/>
                <w:color w:val="auto"/>
              </w:rPr>
            </w:pPr>
            <w:r>
              <w:rPr>
                <w:rFonts w:ascii="Arial" w:cs="Arial" w:eastAsia="Arial" w:hAnsi="Arial"/>
                <w:sz w:val="18"/>
                <w:szCs w:val="18"/>
                <w:b w:val="1"/>
                <w:bCs w:val="1"/>
                <w:color w:val="auto"/>
              </w:rPr>
              <w:t>Item 10.</w:t>
            </w:r>
          </w:p>
        </w:tc>
        <w:tc>
          <w:tcPr>
            <w:tcW w:w="720" w:type="dxa"/>
            <w:vAlign w:val="bottom"/>
            <w:gridSpan w:val="2"/>
          </w:tcPr>
          <w:p>
            <w:pPr>
              <w:spacing w:after="0"/>
              <w:rPr>
                <w:sz w:val="24"/>
                <w:szCs w:val="24"/>
                <w:color w:val="auto"/>
              </w:rPr>
            </w:pPr>
          </w:p>
        </w:tc>
        <w:tc>
          <w:tcPr>
            <w:tcW w:w="4380" w:type="dxa"/>
            <w:vAlign w:val="bottom"/>
            <w:tcBorders>
              <w:bottom w:val="single" w:sz="8" w:color="0000FF"/>
            </w:tcBorders>
            <w:gridSpan w:val="15"/>
          </w:tcPr>
          <w:p>
            <w:pPr>
              <w:spacing w:after="0"/>
              <w:rPr>
                <w:rFonts w:ascii="Arial" w:cs="Arial" w:eastAsia="Arial" w:hAnsi="Arial"/>
                <w:sz w:val="18"/>
                <w:szCs w:val="18"/>
                <w:b w:val="1"/>
                <w:bCs w:val="1"/>
                <w:color w:val="0000FF"/>
                <w:w w:val="90"/>
              </w:rPr>
            </w:pPr>
            <w:hyperlink w:anchor="page95">
              <w:r>
                <w:rPr>
                  <w:rFonts w:ascii="Arial" w:cs="Arial" w:eastAsia="Arial" w:hAnsi="Arial"/>
                  <w:sz w:val="18"/>
                  <w:szCs w:val="18"/>
                  <w:b w:val="1"/>
                  <w:bCs w:val="1"/>
                  <w:color w:val="0000FF"/>
                  <w:w w:val="90"/>
                </w:rPr>
                <w:t>Directors, Executive Officers and Corporate Governance</w:t>
              </w:r>
            </w:hyperlink>
          </w:p>
        </w:tc>
        <w:tc>
          <w:tcPr>
            <w:tcW w:w="4040" w:type="dxa"/>
            <w:vAlign w:val="bottom"/>
            <w:gridSpan w:val="7"/>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11.</w:t>
            </w:r>
          </w:p>
        </w:tc>
        <w:tc>
          <w:tcPr>
            <w:tcW w:w="8420" w:type="dxa"/>
            <w:vAlign w:val="bottom"/>
            <w:gridSpan w:val="22"/>
          </w:tcPr>
          <w:p>
            <w:pPr>
              <w:spacing w:after="0"/>
              <w:rPr>
                <w:rFonts w:ascii="Arial" w:cs="Arial" w:eastAsia="Arial" w:hAnsi="Arial"/>
                <w:sz w:val="18"/>
                <w:szCs w:val="18"/>
                <w:b w:val="1"/>
                <w:bCs w:val="1"/>
                <w:color w:val="0000FF"/>
              </w:rPr>
            </w:pPr>
            <w:hyperlink w:anchor="page95">
              <w:r>
                <w:rPr>
                  <w:rFonts w:ascii="Arial" w:cs="Arial" w:eastAsia="Arial" w:hAnsi="Arial"/>
                  <w:sz w:val="18"/>
                  <w:szCs w:val="18"/>
                  <w:b w:val="1"/>
                  <w:bCs w:val="1"/>
                  <w:color w:val="0000FF"/>
                </w:rPr>
                <w:t>Executive Compensation</w:t>
              </w:r>
            </w:hyperlink>
          </w:p>
        </w:tc>
        <w:tc>
          <w:tcPr>
            <w:tcW w:w="148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r>
        <w:trPr>
          <w:trHeight w:val="20"/>
        </w:trPr>
        <w:tc>
          <w:tcPr>
            <w:tcW w:w="7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gridSpan w:val="9"/>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12.</w:t>
            </w:r>
          </w:p>
        </w:tc>
        <w:tc>
          <w:tcPr>
            <w:tcW w:w="8420" w:type="dxa"/>
            <w:vAlign w:val="bottom"/>
            <w:gridSpan w:val="22"/>
          </w:tcPr>
          <w:p>
            <w:pPr>
              <w:spacing w:after="0"/>
              <w:rPr>
                <w:rFonts w:ascii="Arial" w:cs="Arial" w:eastAsia="Arial" w:hAnsi="Arial"/>
                <w:sz w:val="18"/>
                <w:szCs w:val="18"/>
                <w:b w:val="1"/>
                <w:bCs w:val="1"/>
                <w:color w:val="0000FF"/>
                <w:w w:val="97"/>
              </w:rPr>
            </w:pPr>
            <w:hyperlink w:anchor="page95">
              <w:r>
                <w:rPr>
                  <w:rFonts w:ascii="Arial" w:cs="Arial" w:eastAsia="Arial" w:hAnsi="Arial"/>
                  <w:sz w:val="18"/>
                  <w:szCs w:val="18"/>
                  <w:b w:val="1"/>
                  <w:bCs w:val="1"/>
                  <w:color w:val="0000FF"/>
                  <w:w w:val="97"/>
                </w:rPr>
                <w:t>Security Ownership of Certain Beneficial Owners and Management and Related Shareholder Matters</w:t>
              </w:r>
            </w:hyperlink>
          </w:p>
        </w:tc>
        <w:tc>
          <w:tcPr>
            <w:tcW w:w="148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13.</w:t>
            </w:r>
          </w:p>
        </w:tc>
        <w:tc>
          <w:tcPr>
            <w:tcW w:w="7820" w:type="dxa"/>
            <w:vAlign w:val="bottom"/>
            <w:tcBorders>
              <w:top w:val="single" w:sz="8" w:color="0000FF"/>
            </w:tcBorders>
            <w:gridSpan w:val="20"/>
          </w:tcPr>
          <w:p>
            <w:pPr>
              <w:spacing w:after="0"/>
              <w:rPr>
                <w:rFonts w:ascii="Arial" w:cs="Arial" w:eastAsia="Arial" w:hAnsi="Arial"/>
                <w:sz w:val="18"/>
                <w:szCs w:val="18"/>
                <w:b w:val="1"/>
                <w:bCs w:val="1"/>
                <w:color w:val="0000FF"/>
              </w:rPr>
            </w:pPr>
            <w:hyperlink w:anchor="page95">
              <w:r>
                <w:rPr>
                  <w:rFonts w:ascii="Arial" w:cs="Arial" w:eastAsia="Arial" w:hAnsi="Arial"/>
                  <w:sz w:val="18"/>
                  <w:szCs w:val="18"/>
                  <w:b w:val="1"/>
                  <w:bCs w:val="1"/>
                  <w:color w:val="0000FF"/>
                </w:rPr>
                <w:t>Certain Relationships, Related Transactions and Director Independence</w:t>
              </w:r>
            </w:hyperlink>
          </w:p>
        </w:tc>
        <w:tc>
          <w:tcPr>
            <w:tcW w:w="600" w:type="dxa"/>
            <w:vAlign w:val="bottom"/>
            <w:gridSpan w:val="2"/>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14.</w:t>
            </w:r>
          </w:p>
        </w:tc>
        <w:tc>
          <w:tcPr>
            <w:tcW w:w="5520" w:type="dxa"/>
            <w:vAlign w:val="bottom"/>
            <w:tcBorders>
              <w:top w:val="single" w:sz="8" w:color="0000FF"/>
            </w:tcBorders>
            <w:gridSpan w:val="17"/>
          </w:tcPr>
          <w:p>
            <w:pPr>
              <w:spacing w:after="0"/>
              <w:rPr>
                <w:rFonts w:ascii="Arial" w:cs="Arial" w:eastAsia="Arial" w:hAnsi="Arial"/>
                <w:sz w:val="18"/>
                <w:szCs w:val="18"/>
                <w:b w:val="1"/>
                <w:bCs w:val="1"/>
                <w:color w:val="0000FF"/>
              </w:rPr>
            </w:pPr>
            <w:hyperlink w:anchor="page95">
              <w:r>
                <w:rPr>
                  <w:rFonts w:ascii="Arial" w:cs="Arial" w:eastAsia="Arial" w:hAnsi="Arial"/>
                  <w:sz w:val="18"/>
                  <w:szCs w:val="18"/>
                  <w:b w:val="1"/>
                  <w:bCs w:val="1"/>
                  <w:color w:val="0000FF"/>
                </w:rPr>
                <w:t>Principal Accountant Fees and Services</w:t>
              </w:r>
            </w:hyperlink>
          </w:p>
        </w:tc>
        <w:tc>
          <w:tcPr>
            <w:tcW w:w="2900" w:type="dxa"/>
            <w:vAlign w:val="bottom"/>
            <w:gridSpan w:val="5"/>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r>
        <w:trPr>
          <w:trHeight w:val="547"/>
        </w:trPr>
        <w:tc>
          <w:tcPr>
            <w:tcW w:w="1480" w:type="dxa"/>
            <w:vAlign w:val="bottom"/>
            <w:gridSpan w:val="6"/>
          </w:tcPr>
          <w:p>
            <w:pPr>
              <w:spacing w:after="0"/>
              <w:rPr>
                <w:rFonts w:ascii="Arial" w:cs="Arial" w:eastAsia="Arial" w:hAnsi="Arial"/>
                <w:sz w:val="18"/>
                <w:szCs w:val="18"/>
                <w:b w:val="1"/>
                <w:bCs w:val="1"/>
                <w:color w:val="0000FF"/>
              </w:rPr>
            </w:pPr>
            <w:hyperlink w:anchor="page95">
              <w:r>
                <w:rPr>
                  <w:rFonts w:ascii="Arial" w:cs="Arial" w:eastAsia="Arial" w:hAnsi="Arial"/>
                  <w:sz w:val="18"/>
                  <w:szCs w:val="18"/>
                  <w:b w:val="1"/>
                  <w:bCs w:val="1"/>
                  <w:color w:val="0000FF"/>
                </w:rPr>
                <w:t>PART IV.</w:t>
              </w:r>
            </w:hyperlink>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r>
        <w:trPr>
          <w:trHeight w:val="372"/>
        </w:trPr>
        <w:tc>
          <w:tcPr>
            <w:tcW w:w="72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Item 15.</w:t>
            </w:r>
          </w:p>
        </w:tc>
        <w:tc>
          <w:tcPr>
            <w:tcW w:w="760" w:type="dxa"/>
            <w:vAlign w:val="bottom"/>
            <w:gridSpan w:val="3"/>
          </w:tcPr>
          <w:p>
            <w:pPr>
              <w:spacing w:after="0"/>
              <w:rPr>
                <w:sz w:val="24"/>
                <w:szCs w:val="24"/>
                <w:color w:val="auto"/>
              </w:rPr>
            </w:pPr>
          </w:p>
        </w:tc>
        <w:tc>
          <w:tcPr>
            <w:tcW w:w="8420" w:type="dxa"/>
            <w:vAlign w:val="bottom"/>
            <w:gridSpan w:val="22"/>
          </w:tcPr>
          <w:p>
            <w:pPr>
              <w:spacing w:after="0"/>
              <w:rPr>
                <w:rFonts w:ascii="Arial" w:cs="Arial" w:eastAsia="Arial" w:hAnsi="Arial"/>
                <w:sz w:val="18"/>
                <w:szCs w:val="18"/>
                <w:b w:val="1"/>
                <w:bCs w:val="1"/>
                <w:color w:val="0000FF"/>
              </w:rPr>
            </w:pPr>
            <w:hyperlink w:anchor="page96">
              <w:r>
                <w:rPr>
                  <w:rFonts w:ascii="Arial" w:cs="Arial" w:eastAsia="Arial" w:hAnsi="Arial"/>
                  <w:sz w:val="18"/>
                  <w:szCs w:val="18"/>
                  <w:b w:val="1"/>
                  <w:bCs w:val="1"/>
                  <w:color w:val="0000FF"/>
                </w:rPr>
                <w:t>Exhibits and Financial Statement Schedules</w:t>
              </w:r>
            </w:hyperlink>
          </w:p>
        </w:tc>
        <w:tc>
          <w:tcPr>
            <w:tcW w:w="148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96</w:t>
              </w:r>
            </w:hyperlink>
          </w:p>
        </w:tc>
      </w:tr>
      <w:tr>
        <w:trPr>
          <w:trHeight w:val="372"/>
        </w:trPr>
        <w:tc>
          <w:tcPr>
            <w:tcW w:w="1480" w:type="dxa"/>
            <w:vAlign w:val="bottom"/>
            <w:gridSpan w:val="6"/>
          </w:tcPr>
          <w:p>
            <w:pPr>
              <w:spacing w:after="0"/>
              <w:rPr>
                <w:rFonts w:ascii="Arial" w:cs="Arial" w:eastAsia="Arial" w:hAnsi="Arial"/>
                <w:sz w:val="18"/>
                <w:szCs w:val="18"/>
                <w:b w:val="1"/>
                <w:bCs w:val="1"/>
                <w:color w:val="0000FF"/>
              </w:rPr>
            </w:pPr>
            <w:hyperlink w:anchor="page101">
              <w:r>
                <w:rPr>
                  <w:rFonts w:ascii="Arial" w:cs="Arial" w:eastAsia="Arial" w:hAnsi="Arial"/>
                  <w:sz w:val="18"/>
                  <w:szCs w:val="18"/>
                  <w:b w:val="1"/>
                  <w:bCs w:val="1"/>
                  <w:color w:val="0000FF"/>
                </w:rPr>
                <w:t>Signatures</w:t>
              </w:r>
            </w:hyperlink>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102</w:t>
              </w:r>
            </w:hyperlink>
          </w:p>
        </w:tc>
      </w:tr>
      <w:tr>
        <w:trPr>
          <w:trHeight w:val="723"/>
        </w:trPr>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4380" w:type="dxa"/>
            <w:vAlign w:val="bottom"/>
            <w:gridSpan w:val="15"/>
          </w:tcPr>
          <w:p>
            <w:pPr>
              <w:jc w:val="center"/>
              <w:ind w:left="3910"/>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Unless otherwise indicated, references to CME Group Inc. (CME Group) products include references to exchange-traded products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 site does not constitute a part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Trading Volume and Average Rate per Contract</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All amounts regarding trading volume and average rate per contract exclude our TRAKRS, HuRLO, Swapstream, credit default swaps, interest rate swaps and CME Clearing Europe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Dow Jones and Dow Jones Indexes are service marks of Dow Jones Trademark Holdings, LLC, and have been licensed to CME Index Services LLC. All other trademarks are the property of their respective owners.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66" w:lineRule="exact"/>
        <w:rPr>
          <w:sz w:val="20"/>
          <w:szCs w:val="20"/>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w:t>
      </w:r>
    </w:p>
    <w:p>
      <w:pPr>
        <w:spacing w:after="0" w:line="170"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over-the-counter market;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 including end customers, intermediaries and clearing members;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in non-U.S. jurisdictions;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non-U.S. regulations;</w:t>
      </w:r>
    </w:p>
    <w:p>
      <w:pPr>
        <w:spacing w:after="0" w:line="225"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government policy, including policies relating to common or directed clearing, changes as a result of legislation and regulation stemming from the implementation of the Dodd-Frank Act or changes stemming from the bankruptcy of MF Global on our ability to use customer collateral;</w:t>
      </w:r>
    </w:p>
    <w:p>
      <w:pPr>
        <w:spacing w:after="0" w:line="123"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w:t>
      </w:r>
    </w:p>
    <w:p>
      <w:pPr>
        <w:sectPr>
          <w:pgSz w:w="11900" w:h="16838" w:orient="portrait"/>
          <w:cols w:equalWidth="0" w:num="1">
            <w:col w:w="11380"/>
          </w:cols>
          <w:pgMar w:left="240" w:top="121" w:right="27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121" w:right="27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trading, the state of the overall economy or declines in subscriptions;</w:t>
      </w:r>
    </w:p>
    <w:p>
      <w:pPr>
        <w:spacing w:after="0" w:line="239" w:lineRule="exact"/>
        <w:rPr>
          <w:sz w:val="20"/>
          <w:szCs w:val="20"/>
          <w:color w:val="auto"/>
        </w:rPr>
      </w:pPr>
    </w:p>
    <w:p>
      <w:pPr>
        <w:ind w:left="660" w:right="2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25" w:lineRule="exact"/>
        <w:rPr>
          <w:rFonts w:ascii="Arial" w:cs="Arial" w:eastAsia="Arial" w:hAnsi="Arial"/>
          <w:sz w:val="18"/>
          <w:szCs w:val="18"/>
          <w:color w:val="auto"/>
        </w:rPr>
      </w:pPr>
    </w:p>
    <w:p>
      <w:pPr>
        <w:ind w:left="660" w:right="10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248" w:lineRule="exact"/>
        <w:rPr>
          <w:rFonts w:ascii="Arial" w:cs="Arial" w:eastAsia="Arial" w:hAnsi="Arial"/>
          <w:sz w:val="16"/>
          <w:szCs w:val="16"/>
          <w:color w:val="auto"/>
        </w:rPr>
      </w:pPr>
    </w:p>
    <w:p>
      <w:pPr>
        <w:ind w:left="660" w:right="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 stemming from the financial crisis that began in 2008, the Eurozone debt crisis and any other future crises;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trading and clearing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 beginning on page 15.</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22" w:right="29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Building on the heritage of its futures exchanges (CME, CBOT, NYMEX and COMEX), CME Group serves the risk management and investment needs of customers around the globe.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CME was founded in 1898 as a not-for-profit corporation. In 2000, CME demutualized and became a shareholder-owned corporation. As a consequence, we adopted a for-profit approach to our business, including strategic initiatives aimed at optimizing trading volume, efficiency and liquidity. In 2002, Chicago Mercantile Exchange Holdings Inc. (CME Holdings) completed its initial public offering of its Class A common stock, which is listed on the NASDAQ Global Select Market under the symbol “CME”.</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2007, CME Holdings merged with CBOT Holdings, Inc. and was renamed CME Group. In connection with the merger, we acquired the CBOT exchange. CBOT is a leading marketplace for trading agricultural and U.S. Treasury futures as well as options on futures. In 2008, we acquired Credit Market Analysis Limited and its three subsidiaries (collectively, CMA). CMA is a provider of credit derivatives market data. Also in 2008, we merged with NYMEX Holdings and acquired NYMEX and COMEX, its wholly-owned subsidiaries. On NYMEX, customers primarily trade energy futures and options contracts, including contracts for crude oil, natural gas, heating oil and gasoline, as well as over-the-counter energy transactions cleared through CME ClearPort. On COMEX, customers trade metal futures and options contracts, including contracts for gold, silver and copper. In 2010, CME Group entered into a joint venture with Dow Jones to create CME Group Index Services, in which we own a 90% stake and Dow Jones owns a 10% stake. CME Group Index Services is the owner of the Dow Jones Indexes, which includes The Dow Jones Industrial Average and approximately 130,000 index properties. In November 2011, we announced our agreement with McGraw-Hill to establish a new joint venture in which McGraw-Hill will contribute its S&amp;P Indices business and we will contribute a portion of the CME Group Index Services business to create S&amp;P/Dow Jones Indices, a global leader in index services. As part of the proposed transaction, McGraw-Hill will acquire our CMA business. We launched CME Clearing Europe in 2011 to expand our European presence and further extend the geographical reach of our clearing services. In the beginning of 2012, we launched our co-location business which is comprised of hosting, connectivity and customer support services providing further diversification of our revenue stream.</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futures and clearing business has historically been subject to the extensive regulation of the Commodity Futures Trading Commission (CFTC). As a result of our global operations, we are also subject to the rules and regulations of the local jurisdictions in which we conduct business, including the Financial Services Authority (FSA) based on our offering of various CME Group products and services to European customers and the operation of CME Clearing Europe, and the Securities and Exchange Commission (SEC) in connection with our offering of clearing services for security-based swaps.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20 South Wacker Drive, Chicago, Illinois 60606, and our telephone number is 312-930-1000.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INDUSTRY SEGMENTS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reports the results of its operations as one reporting segment primarily comprised of the CME, CBOT, NYMEX and COMEX exchanges. The remaining operations do not meet the thresholds for reporting separate segment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offer the widest range of global benchmark products across all major asset classes based on interest rates, equity indexes, foreign exchange, energy, agricultural commodities, metals, weather and real estate. Our products include both exchange traded and over-the-counter derivatives. We bring buyers and sellers together through our CME Globex electronic trading platform across the globe and our open outcry trading facilities in Chicago and New York City and provide hosting, connectivity and customer support for electronic trading through our co-location services. We also provide clearing and settlement services for exchange-traded contracts, as well as for cleared over-the-counter derivatives transactions. Finally, we offer a wide range of market data services-including live quotes, delayed quotes, market reports and a comprehensive historical data service and have expanded into the index services business through CME Group Index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CME Group offers a number of key differentiating elements that set it apart from its competitors, including:</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Highly Liquid Markets</w:t>
      </w:r>
      <w:r>
        <w:rPr>
          <w:rFonts w:ascii="Arial" w:cs="Arial" w:eastAsia="Arial" w:hAnsi="Arial"/>
          <w:sz w:val="18"/>
          <w:szCs w:val="18"/>
          <w:color w:val="auto"/>
        </w:rPr>
        <w:t>-Our listed futures markets provide an effective forum for our customers to manage their risk and meet their investment needs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our markets. We believe that our customers choose to trade on our centralized market due to its liquidity and price transparency. Market liquidity, or the ability of a market to absorb the execution of large purchases or sales quickly and efficiently whereby the market recovers quickly following the execution of large orders, is key to attracting customers and contributing to a market's success.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2" w:right="27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i w:val="1"/>
          <w:iCs w:val="1"/>
          <w:color w:val="auto"/>
        </w:rPr>
        <w:t>Most Diverse Product Line</w:t>
      </w:r>
      <w:r>
        <w:rPr>
          <w:rFonts w:ascii="Arial" w:cs="Arial" w:eastAsia="Arial" w:hAnsi="Arial"/>
          <w:sz w:val="16"/>
          <w:szCs w:val="16"/>
          <w:color w:val="auto"/>
        </w:rPr>
        <w:t>-Our products provide a means for hedging, speculation and asset allocation relating to the risks associated with,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interest rate sensitive instruments, equity ownership, changes in the value of foreign currency, credit risk and changes in the prices of agricultural, energy and metal commodities. The estimated percentage of clearing and transaction fees revenue contributed by each product line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 Line</w:t>
            </w:r>
          </w:p>
        </w:tc>
        <w:tc>
          <w:tcPr>
            <w:tcW w:w="3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2011</w:t>
            </w:r>
          </w:p>
        </w:tc>
        <w:tc>
          <w:tcPr>
            <w:tcW w:w="1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2010</w:t>
            </w: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2009</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w:t>
            </w:r>
          </w:p>
        </w:tc>
        <w:tc>
          <w:tcPr>
            <w:tcW w:w="3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13"/>
              <w:spacing w:after="0"/>
              <w:rPr>
                <w:sz w:val="20"/>
                <w:szCs w:val="20"/>
                <w:color w:val="auto"/>
              </w:rPr>
            </w:pPr>
            <w:r>
              <w:rPr>
                <w:rFonts w:ascii="Arial" w:cs="Arial" w:eastAsia="Arial" w:hAnsi="Arial"/>
                <w:sz w:val="18"/>
                <w:szCs w:val="18"/>
                <w:color w:val="auto"/>
              </w:rPr>
              <w:t>27%</w:t>
            </w:r>
          </w:p>
        </w:tc>
        <w:tc>
          <w:tcPr>
            <w:tcW w:w="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Equity</w:t>
            </w:r>
          </w:p>
        </w:tc>
        <w:tc>
          <w:tcPr>
            <w:tcW w:w="3120" w:type="dxa"/>
            <w:vAlign w:val="bottom"/>
          </w:tcPr>
          <w:p>
            <w:pPr>
              <w:spacing w:after="0"/>
              <w:rPr>
                <w:sz w:val="21"/>
                <w:szCs w:val="21"/>
                <w:color w:val="auto"/>
              </w:rPr>
            </w:pPr>
          </w:p>
        </w:tc>
        <w:tc>
          <w:tcPr>
            <w:tcW w:w="1660" w:type="dxa"/>
            <w:vAlign w:val="bottom"/>
          </w:tcPr>
          <w:p>
            <w:pPr>
              <w:jc w:val="right"/>
              <w:ind w:right="1253"/>
              <w:spacing w:after="0"/>
              <w:rPr>
                <w:sz w:val="20"/>
                <w:szCs w:val="20"/>
                <w:color w:val="auto"/>
              </w:rPr>
            </w:pPr>
            <w:r>
              <w:rPr>
                <w:rFonts w:ascii="Arial" w:cs="Arial" w:eastAsia="Arial" w:hAnsi="Arial"/>
                <w:sz w:val="18"/>
                <w:szCs w:val="18"/>
                <w:color w:val="auto"/>
              </w:rPr>
              <w:t>21</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21</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24</w:t>
            </w:r>
          </w:p>
        </w:tc>
      </w:tr>
      <w:tr>
        <w:trPr>
          <w:trHeight w:val="27"/>
        </w:trPr>
        <w:tc>
          <w:tcPr>
            <w:tcW w:w="45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rPr>
              <w:t>7</w:t>
            </w:r>
          </w:p>
        </w:tc>
        <w:tc>
          <w:tcPr>
            <w:tcW w:w="8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Agricultural commodity</w:t>
            </w:r>
          </w:p>
        </w:tc>
        <w:tc>
          <w:tcPr>
            <w:tcW w:w="3120" w:type="dxa"/>
            <w:vAlign w:val="bottom"/>
          </w:tcPr>
          <w:p>
            <w:pPr>
              <w:spacing w:after="0"/>
              <w:rPr>
                <w:sz w:val="21"/>
                <w:szCs w:val="21"/>
                <w:color w:val="auto"/>
              </w:rPr>
            </w:pPr>
          </w:p>
        </w:tc>
        <w:tc>
          <w:tcPr>
            <w:tcW w:w="1660" w:type="dxa"/>
            <w:vAlign w:val="bottom"/>
          </w:tcPr>
          <w:p>
            <w:pPr>
              <w:jc w:val="right"/>
              <w:ind w:right="1253"/>
              <w:spacing w:after="0"/>
              <w:rPr>
                <w:sz w:val="20"/>
                <w:szCs w:val="20"/>
                <w:color w:val="auto"/>
              </w:rPr>
            </w:pPr>
            <w:r>
              <w:rPr>
                <w:rFonts w:ascii="Arial" w:cs="Arial" w:eastAsia="Arial" w:hAnsi="Arial"/>
                <w:sz w:val="18"/>
                <w:szCs w:val="18"/>
                <w:color w:val="auto"/>
              </w:rPr>
              <w:t>13</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12</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10</w:t>
            </w:r>
          </w:p>
        </w:tc>
      </w:tr>
      <w:tr>
        <w:trPr>
          <w:trHeight w:val="27"/>
        </w:trPr>
        <w:tc>
          <w:tcPr>
            <w:tcW w:w="45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rPr>
              <w:t>26</w:t>
            </w:r>
          </w:p>
        </w:tc>
        <w:tc>
          <w:tcPr>
            <w:tcW w:w="8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27</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Metal</w:t>
            </w:r>
          </w:p>
        </w:tc>
        <w:tc>
          <w:tcPr>
            <w:tcW w:w="3120" w:type="dxa"/>
            <w:vAlign w:val="bottom"/>
          </w:tcPr>
          <w:p>
            <w:pPr>
              <w:spacing w:after="0"/>
              <w:rPr>
                <w:sz w:val="21"/>
                <w:szCs w:val="21"/>
                <w:color w:val="auto"/>
              </w:rPr>
            </w:pPr>
          </w:p>
        </w:tc>
        <w:tc>
          <w:tcPr>
            <w:tcW w:w="1660" w:type="dxa"/>
            <w:vAlign w:val="bottom"/>
          </w:tcPr>
          <w:p>
            <w:pPr>
              <w:jc w:val="right"/>
              <w:ind w:right="1253"/>
              <w:spacing w:after="0"/>
              <w:rPr>
                <w:sz w:val="20"/>
                <w:szCs w:val="20"/>
                <w:color w:val="auto"/>
              </w:rPr>
            </w:pPr>
            <w:r>
              <w:rPr>
                <w:rFonts w:ascii="Arial" w:cs="Arial" w:eastAsia="Arial" w:hAnsi="Arial"/>
                <w:sz w:val="18"/>
                <w:szCs w:val="18"/>
                <w:color w:val="auto"/>
              </w:rPr>
              <w:t>6</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6</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breadth and diversity of each of our product lines and the variety of their underlying contracts is beneficial to our overall performance when an individual product line or individual product is impacted by macroeconomic factors. For example, the impact to our interest rate product line due to the credit crisis and the Federal Reserve Bank's zero interest rate policy was partially offset by trading volume in our other product lines. Additionally, our product lines contain various products designed to address differing risk management needs. For example, our interest product suite includes both short-term and long-term products.</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products are traded through the CME Globex electronic trading platform, our open outcry auction markets in Chicago and New York City and through privately negotiated transactions that we clear. The estimated percentage of clearing and transaction fees revenue contributed by each trading venue is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Trading Venue</w:t>
            </w:r>
          </w:p>
        </w:tc>
        <w:tc>
          <w:tcPr>
            <w:tcW w:w="40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2011</w:t>
            </w:r>
          </w:p>
        </w:tc>
        <w:tc>
          <w:tcPr>
            <w:tcW w:w="16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2010</w:t>
            </w: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2009</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Electronic</w:t>
            </w:r>
          </w:p>
        </w:tc>
        <w:tc>
          <w:tcPr>
            <w:tcW w:w="404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75%</w:t>
            </w:r>
          </w:p>
        </w:tc>
        <w:tc>
          <w:tcPr>
            <w:tcW w:w="164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74%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Open outcry</w:t>
            </w:r>
          </w:p>
        </w:tc>
        <w:tc>
          <w:tcPr>
            <w:tcW w:w="4040" w:type="dxa"/>
            <w:vAlign w:val="bottom"/>
          </w:tcPr>
          <w:p>
            <w:pPr>
              <w:jc w:val="right"/>
              <w:ind w:right="454"/>
              <w:spacing w:after="0"/>
              <w:rPr>
                <w:sz w:val="20"/>
                <w:szCs w:val="20"/>
                <w:color w:val="auto"/>
              </w:rPr>
            </w:pPr>
            <w:r>
              <w:rPr>
                <w:rFonts w:ascii="Arial" w:cs="Arial" w:eastAsia="Arial" w:hAnsi="Arial"/>
                <w:sz w:val="18"/>
                <w:szCs w:val="18"/>
                <w:color w:val="auto"/>
              </w:rPr>
              <w:t>9</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10</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11</w:t>
            </w:r>
          </w:p>
        </w:tc>
      </w:tr>
      <w:tr>
        <w:trPr>
          <w:trHeight w:val="27"/>
        </w:trPr>
        <w:tc>
          <w:tcPr>
            <w:tcW w:w="4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Privately negotiated</w:t>
            </w:r>
          </w:p>
        </w:tc>
        <w:tc>
          <w:tcPr>
            <w:tcW w:w="40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8"/>
                <w:szCs w:val="18"/>
                <w:color w:val="auto"/>
              </w:rPr>
              <w:t>5</w:t>
            </w:r>
          </w:p>
        </w:tc>
        <w:tc>
          <w:tcPr>
            <w:tcW w:w="16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8"/>
                <w:szCs w:val="18"/>
                <w:color w:val="auto"/>
              </w:rPr>
              <w:t>5</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CME ClearPort (OTC)</w:t>
            </w:r>
          </w:p>
        </w:tc>
        <w:tc>
          <w:tcPr>
            <w:tcW w:w="4040" w:type="dxa"/>
            <w:vAlign w:val="bottom"/>
          </w:tcPr>
          <w:p>
            <w:pPr>
              <w:jc w:val="right"/>
              <w:ind w:right="454"/>
              <w:spacing w:after="0"/>
              <w:rPr>
                <w:sz w:val="20"/>
                <w:szCs w:val="20"/>
                <w:color w:val="auto"/>
              </w:rPr>
            </w:pPr>
            <w:r>
              <w:rPr>
                <w:rFonts w:ascii="Arial" w:cs="Arial" w:eastAsia="Arial" w:hAnsi="Arial"/>
                <w:sz w:val="18"/>
                <w:szCs w:val="18"/>
                <w:color w:val="auto"/>
              </w:rPr>
              <w:t>11</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11</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12</w:t>
            </w:r>
          </w:p>
        </w:tc>
      </w:tr>
    </w:tbl>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products generate valuable information regarding prices and trading activity. We distribute our market data over the CME market data platform directly to our electronic trading customers as part of their access to our markets and to quote vendors who consolidate our market data with that from other exchanges, other third-party data providers and news sources, and then resell their consolidated data. The estimated contributions of our market data and information services products, excluding our index market data offerings, based on percentage of total revenue over the last three years were 10% in 2011, 11% in 2010 and 13% in 2009.</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2010, we expanded our index market data offerings through our joint venture with Dow Jones, CME Group Index Services, which further diversified our revenue streams. We derived 3% of our revenues from the business acquired from Dow Jones in 2011 and 2% in 2010.</w:t>
      </w:r>
    </w:p>
    <w:p>
      <w:pPr>
        <w:spacing w:after="0" w:line="170"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i w:val="1"/>
          <w:iCs w:val="1"/>
          <w:color w:val="auto"/>
        </w:rPr>
        <w:t>Safety and Soundness of our Markets</w:t>
      </w:r>
      <w:r>
        <w:rPr>
          <w:rFonts w:ascii="Arial" w:cs="Arial" w:eastAsia="Arial" w:hAnsi="Arial"/>
          <w:sz w:val="16"/>
          <w:szCs w:val="16"/>
          <w:color w:val="auto"/>
        </w:rPr>
        <w:t>-We understand the importance of ensuring that our customers are able to manage and contain their trading risks.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and the economy have evolved, we have worked to adapt our clearing services to meet the needs of our customers. We apply robust risk management standards and enforce and facilitate applicable CFTC customer protection standards for exchange-traded products and cleared over-the-counter derivatives.</w:t>
      </w:r>
    </w:p>
    <w:p>
      <w:pPr>
        <w:ind w:right="80"/>
        <w:spacing w:after="0" w:line="254" w:lineRule="auto"/>
        <w:rPr>
          <w:sz w:val="20"/>
          <w:szCs w:val="20"/>
          <w:color w:val="auto"/>
        </w:rPr>
      </w:pPr>
      <w:r>
        <w:rPr>
          <w:rFonts w:ascii="Arial" w:cs="Arial" w:eastAsia="Arial" w:hAnsi="Arial"/>
          <w:sz w:val="18"/>
          <w:szCs w:val="18"/>
          <w:color w:val="auto"/>
        </w:rPr>
        <w:t>Clearing member firms are continually monitored and audited for their outstanding risk, capital adequacy and compliance with customer protection rules and regulations. We utilize a combination of risk management capabilities to assess clearing firm and their account exposure levels for all asset classes 24 hours a day throughout the trading week. Our U.S. clearing house is operated within our CME exchange and we also operate a UK clearing house in CME Clearing Europe.</w:t>
      </w:r>
    </w:p>
    <w:p>
      <w:pPr>
        <w:spacing w:after="0" w:line="1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integrated clearing function is designed to ensure the safety and soundness of our markets. Our clearing services are designed to protect the financial integrity of our markets by serving as the counterparty to every trade, becoming the buyer to each seller and the seller to each buyer, and limiting credit risk. The clearing house is responsible for settling trading accounts, clearing trades, collecting and maintaining performance bond funds, regulating delivery and reporting trading data. CME Clearing marks open positions to market at least twice a day, and requires payment from clearing firms whose positions have lost value and makes payments to clearing firms whose positions have gained value. For select cleared-only markets, positions are marked-to-market daily, with the capacity to mark-to-market more frequently as market conditions warrant. We also offer clearing services through CME ClearPort, a comprehensive set of flexible clearing services for the global over-the-counter market backed by CME Clearing. See “Item 7A. Quantitative and Qualitative Disclosures About Market Risk,” beginning 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page 53 and “Item 1A. Risk Factors,” beginning on page 15, for more information on our financial safeguards package and the associated credit risks related to our clearing services.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Superior Trading Technology and Distribution</w:t>
      </w:r>
      <w:r>
        <w:rPr>
          <w:rFonts w:ascii="Arial" w:cs="Arial" w:eastAsia="Arial" w:hAnsi="Arial"/>
          <w:sz w:val="18"/>
          <w:szCs w:val="18"/>
          <w:b w:val="1"/>
          <w:bCs w:val="1"/>
          <w:i w:val="1"/>
          <w:iCs w:val="1"/>
          <w:color w:val="auto"/>
        </w:rPr>
        <w:t>-</w:t>
      </w:r>
      <w:r>
        <w:rPr>
          <w:rFonts w:ascii="Arial" w:cs="Arial" w:eastAsia="Arial" w:hAnsi="Arial"/>
          <w:sz w:val="18"/>
          <w:szCs w:val="18"/>
          <w:color w:val="auto"/>
        </w:rPr>
        <w:t>We strive to provide the most flexible architecture in terms of bringing new technology, innovations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the market. Our CME Globex electronic trading platform is accessible on a global basis nearly 24 hours a day throughout the trading week. In 2011, 84% of our trading volume was conducted electronically.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platform offers: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certainty of execution;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vast capabilities to facilitate complex and demanding trading;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 market access;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fairness, price transparency and anonymity; and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distribution, including connection through high-speed international telecommunications hubs in key financial centers in Europe, Asia and Latin America.</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January 2012, we launched our service offerings for co-location at our data center facility, which houses our trading match engines for all products traded on the CME Globex platform. The service provides the lowest latency connection for our customers. The offering is made available to all customers on equal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strategic initiatives: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Leading Core Business Innovation</w:t>
      </w:r>
      <w:r>
        <w:rPr>
          <w:rFonts w:ascii="Arial" w:cs="Arial" w:eastAsia="Arial" w:hAnsi="Arial"/>
          <w:sz w:val="18"/>
          <w:szCs w:val="18"/>
          <w:color w:val="auto"/>
        </w:rPr>
        <w:t>-We are continuing to enhance our customer relations to allow us to further cross-sell our products, expand on the strength</w:t>
      </w:r>
      <w:r>
        <w:rPr>
          <w:rFonts w:ascii="Arial" w:cs="Arial" w:eastAsia="Arial" w:hAnsi="Arial"/>
          <w:sz w:val="18"/>
          <w:szCs w:val="18"/>
          <w:i w:val="1"/>
          <w:iCs w:val="1"/>
          <w:color w:val="auto"/>
        </w:rPr>
        <w:t xml:space="preserve"> </w:t>
      </w:r>
      <w:r>
        <w:rPr>
          <w:rFonts w:ascii="Arial" w:cs="Arial" w:eastAsia="Arial" w:hAnsi="Arial"/>
          <w:sz w:val="18"/>
          <w:szCs w:val="18"/>
          <w:color w:val="auto"/>
        </w:rPr>
        <w:t>of our existing benchmark products and launch new products. In 2010 and 2011, new product launches included the Ultra-long Bond Treasury futures and options and Weekly Treasury options.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Globalizing our Company and our Business</w:t>
      </w:r>
      <w:r>
        <w:rPr>
          <w:rFonts w:ascii="Arial" w:cs="Arial" w:eastAsia="Arial" w:hAnsi="Arial"/>
          <w:sz w:val="18"/>
          <w:szCs w:val="18"/>
          <w:color w:val="auto"/>
        </w:rPr>
        <w:t>-Our goal is to continue to expand and diversify our customer base worldwide and offer customers around the</w:t>
      </w:r>
      <w:r>
        <w:rPr>
          <w:rFonts w:ascii="Arial" w:cs="Arial" w:eastAsia="Arial" w:hAnsi="Arial"/>
          <w:sz w:val="18"/>
          <w:szCs w:val="18"/>
          <w:i w:val="1"/>
          <w:iCs w:val="1"/>
          <w:color w:val="auto"/>
        </w:rPr>
        <w:t xml:space="preserve"> </w:t>
      </w:r>
      <w:r>
        <w:rPr>
          <w:rFonts w:ascii="Arial" w:cs="Arial" w:eastAsia="Arial" w:hAnsi="Arial"/>
          <w:sz w:val="18"/>
          <w:szCs w:val="18"/>
          <w:color w:val="auto"/>
        </w:rPr>
        <w:t>world the most broadly diversified portfolio of benchmark products. We believe that we have significant opportunity to expand the participation of our non-U.S. customer base in our markets. We are focusing on core growth in global markets because we believe that Asia, Latin America, and other emerging markets will experience superior economic and financial markets growth over the next decade compared with the more mature North American and European markets. In particular, we plan to expand our presence in major financial centers in Asia, grow our commodities business with non-U.S. customers and products and penetrate historically closed and semi-open markets such as China. We now have an agreement with Mysteel, China's leading provider of ferrous price and indexing services, to develop risk management products for the ferrous metals industry based on Mysteel's market-leading price data services.</w:t>
      </w:r>
    </w:p>
    <w:p>
      <w:pPr>
        <w:spacing w:after="0" w:line="19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To further enhance our customers' trading opportunities, we have partnered with leading exchanges around the world to make their products available on or through our CME Globex platform and network. These arrangements allow our customers to access many of the world's most actively traded equity futures contracts-Brazilian iBovespa index futures, Korean Kospi 200 index futures, Indian Nifty 50 index futures, Japanese Nikkei 225 index futures and the Mexican IPC index. In 2011, we extended our partnership with BM&amp;FBOVESPA with the launch of the derivatives segment of a new multi-asset class electronic trading platform deployed by BM&amp;FBOVESPA. Our strategic relationships with Bursa Malaysia Derivatives, Dubai Mercantile Exchange, Johannesburg Stock Exchange and Singapore Exchange allow us to accelerate our market penetration, expand our customer reach, and develop product sales channels with local brokers. These relationships are also designed to allow the customers of our partner exchanges to access our products and markets.</w:t>
      </w:r>
    </w:p>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May 2011, we launched CME Clearing Europe and we have made steady progress building on our European presence to further extend the geographical reach of our clearing services. We now clear more than 170 different energy, commodity, metal and freight contracts through CME Clearing Europe and we continue to expand the range of eligible products. Next steps include the launch of additional metals contracts, the launch of interest rate swaps and cross-margining with our U.S. clearing house.</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Leading our Industry in Customer Service, Education and Training, and Sales Support</w:t>
      </w:r>
      <w:r>
        <w:rPr>
          <w:rFonts w:ascii="Arial" w:cs="Arial" w:eastAsia="Arial" w:hAnsi="Arial"/>
          <w:sz w:val="18"/>
          <w:szCs w:val="18"/>
          <w:color w:val="auto"/>
        </w:rPr>
        <w:t>-To ensure that we are providing our customers with effective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we restructured our global client development and sales organization to better target cross asset sales across client segments, drive international sales (specifically in Asia and Europe) and to generate new client participation across all regions. We continue to build upon our global team in key locations outside the United States to better serve our customers on a global basis. We now have key leaders in place in each business line, in our global sales function and in our Europe and Asia offices. To assist our customers in achieving their trading and risk management goals, we also continue to enhance our educational resources on our products and services.</w:t>
      </w:r>
    </w:p>
    <w:p>
      <w:pPr>
        <w:sectPr>
          <w:pgSz w:w="11900" w:h="16838" w:orient="portrait"/>
          <w:cols w:equalWidth="0" w:num="1">
            <w:col w:w="11380"/>
          </w:cols>
          <w:pgMar w:left="240" w:top="121" w:right="279" w:bottom="1440" w:gutter="0" w:footer="0" w:header="0"/>
        </w:sect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40" w:top="121" w:right="27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Extending our Capabilities and Business in the Over-the-Counter Markets</w:t>
      </w:r>
      <w:r>
        <w:rPr>
          <w:rFonts w:ascii="Arial" w:cs="Arial" w:eastAsia="Arial" w:hAnsi="Arial"/>
          <w:sz w:val="16"/>
          <w:szCs w:val="16"/>
          <w:color w:val="auto"/>
        </w:rPr>
        <w:t>-Our goal is to provide a comprehensive multi-asset class clearing solution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for maximum operational ease and the capital efficiency that comes with connecting to a single clearing house. Our over-the-counter offerings provide the extensive counterparty risk reduction and transparency of our clearing services while preserving the prevailing execution processes, technology platforms and economic structures currently in use in the marketplace. We offer clearing services for cleared over-the-counter derivatives, including credit default swaps, interest rate swaps and for agricultural products and foreign exchange. We have worked closely with buy side and sell side participants to build a multi-asset class, market leading OTC clearing solution. In the fourth quarter of 2011, we successfully launched interest rate swaps in Eurodollars, British pounds and Canadian dollars, and we are targeting the launch of interest rate swaps in Australian dollars, Swiss francs and Japanese Yen in the first half of 2012. In 2011, we cleared over-the-counter transactions with a notional value of over $206.4 billion and open interest as of December 31, 2011 was $161.0 million. Our CME ClearPort platform offers an array of clearing services that depend on the nature of the product traded. It has the capacity to clear and report transactions in multiple asset classes. In 2011, we added more than 240 products to our CME ClearPort system.</w:t>
      </w:r>
    </w:p>
    <w:p>
      <w:pPr>
        <w:spacing w:after="0" w:line="16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Establishing Ourselves as the Leading Exchange Company Provider of Information Products and Index Services</w:t>
      </w:r>
      <w:r>
        <w:rPr>
          <w:rFonts w:ascii="Arial" w:cs="Arial" w:eastAsia="Arial" w:hAnsi="Arial"/>
          <w:sz w:val="17"/>
          <w:szCs w:val="17"/>
          <w:color w:val="auto"/>
        </w:rPr>
        <w:t>-We offer a variety of market data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futures, equities and the over-the-counter markets. In 2010, we expanded our index services business through the formation of CME Group Index Services with Dow Jones. This venture allows us to bring the Dow Jones' brand and index creation and calculation capabilities to current and prospective clients and exchange partners; provides additional cross-listing opportunities and new global opportunities for index creation, calculation and licensing in cash, derivatives and over-the-counter markets globally; allows us to cross-sell and co-brand products; and expand market data dissemination services to our global network of clients and exchange partners. In November 2011, we announced our agreement with McGraw-Hill to establish a new joint venture in which McGraw-Hill will contribute its S&amp;P Indices business and we will contribute a portion of the CME Group Index Services business to create S&amp;P/Dow Jones Indices, a global leader in index service. The new venture, which remains subject to regulatory approval and customary closing conditions, will create a leading index provider well-positioned to serve global institutional and retail customers and will allow us to continue to be innovative with product development and co-branding across asset classes. As part of the agreement, we will acquire a long term, ownership-linked, exclusive license to list futures and options on futures based on the Standard &amp; Poor's (S&amp;P) Indices.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MF Global Matter</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October 2011, the Federal District Court for the Southern District of New York, upon petition by the Securities Investor Protection Corporation, placed the futures commission merchant/broker-dealer arm of MF Global, one of our largest clearing firms at the time, into Securities Investor Protection Act liquidation. As of February 10, 2012, the trustee for the liquidation of MF Global was estimating the shortfall in customer segregated funds as of that date to be at least $900 million, and that there was an additional shortfall as of that date of at least $700 million in customer "secured" funds (funds related to trading on foreign exchanges). Since the bankruptcy, with the trustee's permission, we transferred all of our open positions in MF Global customer accounts to other futures commission merchants, and facilitated the transfer to other futures commission merchants of cash representing roughly 72% of the segregated account balances of public customers. We continue to take steps to work with the bankruptcy trustee to facilitate the release of additional available customer funds, including providing a financial guarantee of $550.0 million as described in more detail on page 83.</w:t>
      </w:r>
    </w:p>
    <w:p>
      <w:pPr>
        <w:spacing w:after="0" w:line="17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There are ongoing investigations by the Department of Justice, the Federal Bureau of Investigations (FBI), the CFTC, and the SEC into the events surrounding the MF Global bankruptcy, including efforts to locate the missing segregated customer property and determining which individuals and entities may have civil or criminal liability for the shortfall. We were the designated self-regulatory organization for MF Global, meaning we were responsible for conducting periodic audits of the futures commission merchant pursuant to Joint Audit Committee standards. We believe that we carried out our duties and responsibilities in accordance with these standards and procedures. We have been named in a number of lawsuits filed in connection with the MF Global matter. See "Legal Matters" in Note 13. Contingencies to the Consolidated Financial Statements, beginning on page 82 for more information on these proceedings.</w:t>
      </w:r>
    </w:p>
    <w:p>
      <w:pPr>
        <w:spacing w:after="0" w:line="189"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color w:val="auto"/>
        </w:rPr>
        <w:t>As a result of the shortfall in customer segregated funds, the industry, its self-regulatory model and the segregation regime are under scrutiny. Several Congressional hearings have been held to evaluate the situation and various policy suggestions have been made to ensure the protection of customer segregated funds. The adoption of such regulations will likely increase our costs of providing clearing services.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own the rights to a large number of trademarks, service marks, domain names and trade names in the United States, Europe and in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also own the copyright to a variety of materials. Those copyrights, some of which are registered, include printed and online</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publications, web sites, advertisements, educational material, graphic presentations and other literature, both textual and electronic. We attempt to protect our intellectual property rights by relying on trademarks, patents, copyrights, database rights, trade secrets, restrictions on disclosure and other methods.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offer equity index futures and options on key benchmarks, including S&amp;P, NASDAQ, Dow Jones and Nikkei indexes. We also have an agreement with the Chicago Board Options Exchange (CBOE) to allow us to list futures and options on futures for volatility indexes on a variety of asset classes. With the exception of Dow Jones, these products are listed by us subject to license agreements with the applicable owners of the indexes. We have exclusive arrangements with S&amp;P and The NASDAQ OMX Group, Inc. (NASDAQ) and non-exclusive arrangements with the other third parties. Our rights to the Dow Jones indexes previously were evidenced by an exclusive agreement but are now part of our ownership of the joint venture. Our S&amp;P license is exclusive through 2016 and non-exclusive from that date until 2017 with some exceptions provided certain trading volume is achieved. As previously discussed, our proposed joint venture with McGraw-Hill will provide us with a long-term, ownership-linked exclusive license to the S&amp;P Indices. Our NASDAQ license is exclusive through 2019. Copies of our S&amp;P and NASDAQ license arrangements have been filed as material contracts. We pay the applicable third party per trade fees based on trading volume under the terms of these licensing agreements.</w:t>
      </w:r>
    </w:p>
    <w:p>
      <w:pPr>
        <w:spacing w:after="0" w:line="18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also have a licensing and membership agreement with BBA Enterprises Limited and the British Bankers' Association (collectively, BBA) for the use of its London Interbank Offered Rate (LIBOR) to settle several of our interest rate products, including our Eurodollar contract. For the license, we paid an upfront fee and pay an annual fee. Numerous regulators including the SEC, CFTC and the FSA are investigating whether there were attempts to manipulate LIBOR rates. LIBOR rates play a significant role in the financial system. To the extent the investigation finds that the LIBOR rate was distorted or manipulated, it could have a negative impact on our customers' confidence in settlement prices dependent on LIBOR, including our benchmark Eurodollar contract.</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cannot assure you that we will be able to maintain the exclusivity of our licensing agreements with S&amp;P and NASDAQ or be able to maintain our other existing licensing arrangements. In addition, we cannot assure you that others will not succeed in creating stock index futures based on information similar to that which we have obtained by license, or that market participants will not increasingly use other instruments, including securities and options based on the S&amp;P, NASDAQ or Dow Jones indexes, to manage or speculate on U.S. stock risks. Parties may also succeed in offering indexed products that are similar to our licensed products without being required to obtain a license, or in countries that are beyond our jurisdictional reach and/or our licensors. For example, we are a party to a pending legal matter seeking a declaratory judgment that the opposing party is required to obtain a valid license in order to list certain products based upon the Dow Jones and S&amp;P indexes. While we have prevailed on a motion for summary judgment, the matter is currently pending appeal. A negative decision in the matter would have a negative impact on our ability to generate revenues from our index services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Generally, we have historically experienced relatively higher trading volume during the first and second quarters and sequentially lower trading volume in the third and fourth quarters. However, such seasonality may also be impacted by general market conditions, such as the 2008 economic crisis and the impact of the MF Global bankruptcy. During 2011, 25% of our consolidated revenues were recognized in the first quarter, 26% in the second quarter, 27% in the third quarter and 22% in the fourth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generally meet our funding requirements with internally generated funds supplemented from time to time with public debt and commercial paper offerings. For more information on our working capital needs, see “Management's Discussion and Analysis of Operations and Financial Condition-Liquidity and Capital Resources,” beginning on page 33, which section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Base</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customer base includes professional traders, financial institutions, institutional and individual investors, major corporations, manufacturers, producers and governments. Our customers can access our CME Globex trading platform across the globe. Customers may be members of one or more of our exchanges. Rights to directly access our markets will depend upon the nature of the customer, such as whether the individual is a member of one of our exchanges or has executed an agreement with us for direct access.</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Rights and privileges of membership are exchange specific. Trading on our open outcry trading floors is conducted exclusively by our members. Membership on one of our futures exchanges also enables a customer to trade specific products at reduced rates and lower fees. Under the terms of the organizational documents of our exchanges, our members have certain rights that relate primarily to trading right protections, certain trading fee protections and certain membership benefit protections. In 2011, 80% of our trading volume was conducted by our members.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One firm represented 12% of our clearing and transaction fees revenue for 2011. In the event a clearing firm were to withdraw, we believe that the customer portion of the firm's trading activity would likely transfer to another clearing firm of the exchange. In 2011, MF Global, one of our largest clearing firms, was placed into bankruptcy and we transferred all of their more than 30,000 customer accounts to other futures commission merchants.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industry in which we operate is highly competitive and we expect competition to continue to intensify, especially in light of the enactment of the Dodd-Frank Act (Dodd-Frank) and other reforms of the financial services industry as discussed in the following section. For example, Dodd-Frank provides for central clearing of “clearable” over-the-counter swaps and requires that swaps that are cleared must be traded on exchanges or swap execution facilities, unless no exchange or swap execution facility makes the swap available for trading. While these new requirements create opportunities for us to expand our over-the-counter business, a number of market participants and other exchanges have developed, and likely will develop in the future, competing platforms and products.</w:t>
      </w:r>
    </w:p>
    <w:p>
      <w:pPr>
        <w:spacing w:after="0" w:line="19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encounter competition in all aspects of our business, including from entities having substantially greater capital and resources and offering a wider range of products and services, and some operating under a different and possibly less stringent regulatory regime. We face competition from other futures, securities and securities option exchanges; over-the-counter markets; clearing organizations; consortia formed by our members and large market participants; alternative trade execution facilities; technology firms, including market data distributors and electronic trading system developers; and others.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Derivatives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competition in the derivatives and securities business is based on a number of factors, including, among others: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depth and liquidity of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transaction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breadth of product offerings and rate and quality of new product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position and expand upon existing products to address changing market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transparency, reliability and anonymity in transaction processing;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connectivity, accessibility and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 capability and innovation;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 and secure settlement, clearing and support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environment;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reputation.</w:t>
      </w:r>
    </w:p>
    <w:p>
      <w:pPr>
        <w:spacing w:after="0" w:line="225"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We believe that we compete favorably with respect to these factors. Our deep, liquid markets; diverse product offerings; rate and quality of new product development; and efficient, secure settlement, clearing and support services distinguish us from our competitors. We believe that in order to maintain our competitive position, we must continue to expand globally; develop new and innovative products; enhance our technology infrastructure, including its reliability and functionality; maintain liquidity and low transaction costs and adopt such additional customer protections as the regulators and customers require as a result of the MF Global bankruptcy.</w:t>
      </w:r>
    </w:p>
    <w:p>
      <w:pPr>
        <w:spacing w:after="0" w:line="18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industry has continued to experience significant consolidation efforts. Many of these recent efforts have failed due to lack of shareholder support or regulatory issues, including the NYSE Euronext/Deutsche Bourse proposed merger; the London Stock Exchange's bid for the TMX Group and the Singapore Stock Exchange's proposed acquisition of the Australian Stock Exchange. At the end of 2011, there were approximately 60 futures exchanges located in approximately 30 countries. We expect industry participants to continue to look for ways to grow their business despite the challenging regulatory environment and other exchanges may become the target of future consolidation efforts.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Among our key competitors in our exchange-traded business are New York Portfolio Clearing (NYPC) and the Electronic Liquidity Exchange (ELX) in our interest rate product line and IntercontinentalExchange, Inc. (ICE) in our agricultural commodities, currency, equity index and energy contracts. In early 2012, NYSE Liffe U.S. announced it had secured an exclusive license to launch futures contracts based on the Depository Trust and Clearing Corporation's proprietary general collateral finance repo index which will compete with our interest rate products. Our over-the-counter business also competes with LCH.Clearnet for our interest rate swaps and ICE for our credit default swaps. Newer entrants into our industry may further increase competitive pressure on us.</w:t>
      </w:r>
    </w:p>
    <w:p>
      <w:pPr>
        <w:sectPr>
          <w:pgSz w:w="11900" w:h="16838" w:orient="portrait"/>
          <w:cols w:equalWidth="0" w:num="1">
            <w:col w:w="11420"/>
          </w:cols>
          <w:pgMar w:left="240" w:top="121"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Because equity futures contracts are alternatives to underlying stocks and a variety of equity option and other contracts provide an alternative means of obtaining exposure to the equity markets, we also compete with NYSE Euronext and other securities and options exchanges, dealer markets and alternative trading systems, as well as with ICE in connection with its futures and options on futures contracts based on the Russell indexes.</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face competition from the over-the-counter market with the trading of contracts similar to those traded or cleared on our exchanges, such as swaps, forward contracts and other exchange “look-alike” contracts, in which parties directly negotiate the terms of their contracts, as well as from spot markets, ETFs and other substitutes for our products. Development of swap execution facilities and the mandated clearing requirement for certain products may create platforms that promote competitive substitutes for our privately negotiated and exchange-traded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Transaction Processing Business</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addition to the competition we face in our derivatives business, we face a number of competitors in our transaction processing and other business services. In the past few years, there has been increased competition in the provision of clearing services and we expect competition to continue to increase in connection with the implementation of Dodd-Frank which requires the mandatory central clearing of standardized over-the-counter products.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ICE has its own clearing operations which are comprised of regulated clearing houses across the United States, Europe and Canada. OCC issues and clears U.S.-listed options and futures on a number of underlying financial assets including common stocks, currencies and stock indexes, including clearing services for ELX. In 2011, NYPC, a clearing house created by NYSE Euronext and The Depository Trust &amp; Clearing Corporation, began clearing interest rate products traded on NYSE Liffe U.S. and plans to expand to additional exchanges in the future. We believe that other exchanges may also undertake to provide clearing services.</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competition in the transaction processing and business services market is based on, among other things, the fees charged for the services provided; quality and reliability of the services; timely delivery of the services; reputation; offering breadth; confidentiality of positions and information security protective measures; and the value of providing customers with capital efficiencies.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Market Data Business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Technology companies, market data and information vendors and front-end software vendors also represent potential competitors because, as purveyors of market data or trading software systems, these firms typically have substantial distribution capabilities. As technology firms, they also have access to trading engines that can be connected to their data and information networks. Additionally, technology and software firms that develop trading systems, hardware and networks that are otherwise outside of the financial services industry may be attracted to enter our markets. This may lead to decreased demand for our market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 of futures exchanges is subject to extensive regulation by the CFTC under its principles-based approach which requires that our exchange subsidiaries satisfy the requirements of certain core principles relating to the operation and oversight of our markets and our clearing house. The CFTC carries out the regulation of the futures markets in accordance with the provisions of the Commodity Exchange Act and the Commodity Futures Modernization Act. The CFTC is subject to reauthorization every five years, which most recently occurred in 2008.</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light of the widespread financial and economic difficulties, particularly acute in the latter half of 2008 and early 2009, there were calls for a restructuring of the regulation of financial markets. Dodd-Frank, which was signed into law in 2010, is a comprehensive banking and financial services reform package that includes significant changes to the oversight of the derivatives markets, both over-the-counter and exchange-traded. Dodd-Frank reinforces the core tenets of our markets:</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transparency;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 markets to minimize transaction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integrity;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protection;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safety and soundness of central counterparty clearing services.</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Dodd-Frank also provides the Federal Reserve Board with authority over systematically important financial entities. We have been notified that our U.S. clearing house may be regulated as a systematically important financial entity. Since adoption, the CFTC, the SEC, the Department of Treasury and other regulators have engaged in extensive rulemaking to implement the legislation. CME Group and others in the industry continue to actively participate in the rulemaking process with the goal that the final regulations serve the public interest, foster competition and innovation and do not place the U.S. financial services</w:t>
      </w:r>
    </w:p>
    <w:p>
      <w:pPr>
        <w:sectPr>
          <w:pgSz w:w="11900" w:h="16838" w:orient="portrait"/>
          <w:cols w:equalWidth="0" w:num="1">
            <w:col w:w="11420"/>
          </w:cols>
          <w:pgMar w:left="240" w:top="122"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sector at a competitive disadvantage in our evolving global financial markets. During 2011, several regulations implementing Dodd-Frank were finalized, including rules relating to mandatory clearing and the operation of a clearing house, anti-manipulation, large trader reporting, position limits and the definition of agricultural commodity. A significant portion of the Act, however, remains subject to further rulemaking and such final regulations could include provisions that could negatively impact our business. Additionally, as a result of the MF Global bankruptcy and the shortfall in commodities customer segregated funds, the futures industry, its self-regulatory model and the segregation regime are under scrutiny by the CFTC and Congress. Several Congressional hearings have been held to evaluate the situation and various policy suggestions have been made to ensure the protection of customer segregated funds. We have and expect to continue to incur significant additional costs to make the necessary change to our business to comply with the provisions of Dodd-Frank and any new regulations stemming from the MF Global matter.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top areas of focus in the regulatory environment are:</w:t>
      </w:r>
    </w:p>
    <w:p>
      <w:pPr>
        <w:spacing w:after="0" w:line="225" w:lineRule="exact"/>
        <w:rPr>
          <w:sz w:val="20"/>
          <w:szCs w:val="20"/>
          <w:color w:val="auto"/>
        </w:rPr>
      </w:pPr>
    </w:p>
    <w:p>
      <w:pPr>
        <w:ind w:left="660" w:right="38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Changes to the core principles to designated contract markets, including any changes to Core Principle 9 - </w:t>
      </w:r>
      <w:r>
        <w:rPr>
          <w:rFonts w:ascii="Arial" w:cs="Arial" w:eastAsia="Arial" w:hAnsi="Arial"/>
          <w:sz w:val="18"/>
          <w:szCs w:val="18"/>
          <w:i w:val="1"/>
          <w:iCs w:val="1"/>
          <w:color w:val="auto"/>
        </w:rPr>
        <w:t>the board of trade shall provide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competitive, open, and efficient market and mechanism for executing transactions that protects the price discovery process of trading in the centralized market of the board of trade </w:t>
      </w:r>
      <w:r>
        <w:rPr>
          <w:rFonts w:ascii="Arial" w:cs="Arial" w:eastAsia="Arial" w:hAnsi="Arial"/>
          <w:sz w:val="18"/>
          <w:szCs w:val="18"/>
          <w:color w:val="auto"/>
        </w:rPr>
        <w:t>(Core Principle 9)</w:t>
      </w:r>
      <w:r>
        <w:rPr>
          <w:rFonts w:ascii="Arial" w:cs="Arial" w:eastAsia="Arial" w:hAnsi="Arial"/>
          <w:sz w:val="18"/>
          <w:szCs w:val="18"/>
          <w:i w:val="1"/>
          <w:iCs w:val="1"/>
          <w:color w:val="auto"/>
        </w:rPr>
        <w:t xml:space="preserve">. </w:t>
      </w:r>
      <w:r>
        <w:rPr>
          <w:rFonts w:ascii="Arial" w:cs="Arial" w:eastAsia="Arial" w:hAnsi="Arial"/>
          <w:sz w:val="18"/>
          <w:szCs w:val="18"/>
          <w:color w:val="auto"/>
        </w:rPr>
        <w:t>Rules promulgated under this provision may require us to make modifications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manner in which certain of our contracts trade and/or require that such products be de-listed as futures and re-listed as swaps after a specified compliance period.</w:t>
      </w:r>
    </w:p>
    <w:p>
      <w:pPr>
        <w:spacing w:after="0" w:line="188"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to the self-regulatory model, which, if modified, could alter the manner in which we currently oversee our marketplace. We believe that we are best positioned to continue to conduct financial and market surveillance of our clearing firms.</w:t>
      </w:r>
    </w:p>
    <w:p>
      <w:pPr>
        <w:spacing w:after="0" w:line="170"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implementation of the position limit rules which could have a significant impact on our commodities business relative to such markets abroad given that it does not appear that foreign jurisdictions will impose position limits rules as stringent as those adopted by the CFTC.</w:t>
      </w:r>
    </w:p>
    <w:p>
      <w:pPr>
        <w:spacing w:after="0" w:line="146"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proposed rules of the Internal Revenue Service regarding the tax treatment of certain derivatives contracts which could result in a significant number of our contracts losing their 60/40 tax treatment.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a global company with operations and locations around the world, we are also subject to the laws and regulations in the locations in which we do business.</w:t>
      </w: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financial services industry outside of the United States is also undergoing similar significant reform, particularly in Europe. For example, in the United Kingdom the government has proposed to reorganize its regulatory framework which would include the dissolution of the FSA with oversight to be transitioned to the Bank of England, the Financial Conduct Authority, and the Prudential Regulation Authority depending upon the status of the regulated entity. As a result, in the United Kingdom our operations could be subject to multiple regulators. The European Union is also undergoing similar reform with multiple supervisory authorities, such as the European Securities and Markets Authority (ESMA) established in 2011. In addition to the national regulators, ESMA is likely to have a supervisory and oversight role over European clearing houses, non-European clearing houses and non-European exchanges providing services in Europe. Multiple legislations such as the European Market Infrastructure Regulation, the Markets in Financial Instruments Directive, the Capital Requirements Directive IV and the Market Abuse Directive have been proposed with provisions similar to those contained in Dodd-Frank.</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To the extent the regulatory environment following these and other financial reform regulations is less beneficial for us or our customers, our business, financial condition and operating results could be negatively affected.</w:t>
      </w:r>
    </w:p>
    <w:p>
      <w:pPr>
        <w:spacing w:after="0" w:line="17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 result of the 2010 “flash crash,” regulators have been focused on the role of high frequency traders and their impact on the markets. Although not clearly defined, high frequency trading typically refers to professional traders acting in a proprietary capacity that engage in strategies that generate a large number of trades on a daily basis. The CFTC has formed a subcommittee to define high frequency trading which will begin the process of assessing the impact of such trading on the marketplace and the development of any new regulations. We believe that such trading plays an important role in the marketplace by making it more efficient and competitive for all market participants and such firms contribute significantly to our liquidity. At this time, however, it is unclear whether these inquires will result in restrictions on the use of high frequency trading.</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the United States and Europe, there are several proposals to tax financial transactions or to assess user fees for market participants. For example, in the United States, there is a discussion of assessing a user fee to fund the CFTC and in Europe, legislative bodies are considering a tax on all financial transactions. In the past, efforts to implement a transaction tax or user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fee have not been successful. The implementation of additional costs to use our markets may discourage institutions and individuals from using our products to manage their risks which could adversely impact our trading volumes, revenues and profits and may also adversely impact our ability to compete on an international level. A transaction tax or user fee in the U.S. may also cause market participants to transition and/or increase their derivatives trading in jurisdictions outside the U.S. which do not necessarily impose a comparable cost at this time.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the U.S. Congress may propose to eliminate the favorable 60/40 tax treatment for futures. The current tax treatment for futures trading allows certain traders to pay a blend of taxes on their gains and losses from trading futures and options with 60% at capital gains rates and 40% at ordinary tax rates. Any repeal of 60-40 tax treatment would impose a substantial increase in tax rates applicable to certain individuals who are most responsible for creating liquid and efficient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2011, we had approximately 2,740 employees. We consider relations with our employees to be good. The following are our executive officers, including a description of their business experience over the last five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Ages are as of February 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Terrence A. Duffy, 53</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Mr. Duffy has served as our Executive Chairman since 2006, as our Chairman from 2002 until 2006 and has been a member of our board of directors since 1995. He also has served as President of TDA Trading, Inc. from 1981 to 2002 and has been a member of our CME exchange since 1981.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Craig S. Donohue, 50</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Donohue has served as Chief Executive Officer and a member of our board of directors since 2004. Mr. Donohue joined us in 1989 and since then has held various positions of increasing responsibility within the organization including Managing Director and Chief Administrative Officer; Managing Director, Business Development and Corporate/Legal Affairs of CME; and Senior Vice President and General Counsel. Mr. Donohue also serves as our representative on the board of directors of BM&amp;FBOVESPA.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Kathleen M. Cronin, 48</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Ms. Cronin has served as our Managing Director, General Counsel and Corporate Secretary since 2003. Previously she served as Corporate Secretary and Acting General Counsel from 2002 through 2003. Prior to joining us, Ms. Cronin was a corporate attorney at Skadden, Arps, Slate, Meagher &amp; Flom from 1989 through 1995 and from 1997 through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Bryan T. Durkin, 51</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Mr. Durkin assumed the position of Managing Director, Products and Services in addition to his role as our Chief Operating Officer in 2010. Mr. Durkin has served as our Managing Director and Chief Operating Officer since 2007. Mr. Durkin joined us in connection with the CBOT merger and he previously held a variety of leadership roles with CBOT from 1982 to 2007, most recently as Executive Vice President and Chief Operating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Phupinder S. Gill, 51</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Mr. Gill has served as our President since 2007. Previously he served as President and Chief Operating Officer since 2004. Mr. Gill joined us in 1988 and has held various positions of increasing responsibility within the organization, including Managing Director and President of CME Clearing and GFX Corporation. Mr. Gill also serves as our representative on the boards of Bursa Malaysia Derivatives and Bolsa Mexicana de Valores.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Julie Holzrichter, 43</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Ms. Holzrichter has served as Managing Director, Global Operations since 2007. Ms. Holzrichter rejoined us in 2006 as our Managing Director, CME Globex Services and Technology Integration. Ms. Holzrichter previously held positions of increasing responsibility in our organization from 1986 to 2003 in trading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Kevin Kometer, 47</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Mr. Kometer has served as Managing Director and Chief Information Officer since 2008. He previously served as Managing Director and Deputy Chief Information Officer from 2007 to 2008. Since joining the company most recently in 1998, he has held senior leadership positions in the Technology Division, including Managing Director, Trading Execution Systems and Director, Advanced Technology. Mr. Kometer was also with the company from 1994 to 1996.</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22" w:right="25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E. Parisi, 47</w:t>
      </w:r>
    </w:p>
    <w:p>
      <w:pPr>
        <w:spacing w:after="0" w:line="225"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Mr. Parisi has served as our Chief Financial Officer and Managing Director, Finance and Corporate Development since 2010. He has held the role of Managing Director and Chief Financial Officer since 2004. Mr. Parisi joined us in 1988 and has held positions of increasing responsibility within the organization, including Managing Director &amp; Treasurer and Director, Planning &amp; Finance.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Laurent Paulhac, 42</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Mr. Paulhac has served as Managing Director, OTC Products and Services since 2009. Prior to joining the company, Mr. Paulhac most recently served as Chief Executive Officer of CMA from 2005 to 2009. CMA was acquired by us in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V. Pieper, 45</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Mr. Pieper has served as our Managing Director and Chief Accounting Officer since 2010. Previously, Mr. Pieper served as Director and Controller since 2006 and as Associate Director and Assistant Controller from 2004 to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Hilda Harris Piell, 44</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Ms. Piell has served as Managing Director and Chief Human Resources Officer since 2007. Previously she served as Managing Director and Senior Associate General Counsel, as Director and Associate General Counsel and as Associate Director and Assistant General Counsel since joining us in 2000.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W. Pietrowicz, 47</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Mr. Pietrowicz has served as our Managing Director, Business Development and Corporate Finance since 2010. Mr. Pietrowicz joined us in 2003 and since then has held various positions of increasing responsibility, including his most recent position of Managing Director and Deputy Chief Financial Officer from 2009 to 2010 and Managing Director, Corporate Finance and Treasury from 2006 to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Derek Sammann, 43</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Mr. Sammann has served as Managing Director, Foreign Exchange and Interest Rate Products since 2010. He previously served as Managing Director, Financial Products and Services since 2009 and Managing Director, Global Head of Foreign Exchange Products since joining us in 2006. Prior to joining us, Mr. Sammann served as Managing Director, Global Head of FX Options and Structured Products at Calyon Corporate and Investment Bank in London from 1997 to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Kimberly S. Taylor, 50</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Ms. Taylor has served as President, CME Clearing since 2004 and as Managing Director, Risk Management in the Clearing House Division, from 1998 to 2003. Ms. Taylor has held a variety of positions in the Clearing House, including Vice President and Senior Director. She joined us in 1989.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Kendal Vroman, 40</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Vroman has served as our Managing Director, Commodity Products, OTC Services &amp; Information Products since 2010. Mr. Vroman previously served as Managing Director and Chief Corporate Development Officer from 2008 to 2010. Mr. Vroman joined us in 2001 and since then has held positions of increasing responsibility, including most recently as Managing Director, Corporate Development and Managing Director, Information and Technology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Scot E. Warren, 48</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Mr. Warren has served as our Managing Director, Equity Index Products and Index Services since 2010. Mr. Warren previously served as our Managing Director, Equity Products since joining us in 2007. Prior to that, Mr. Warren worked for Goldman Sachs as its Vice President, Manager Trading and Business Analysis Team. Prior to Goldman Sachs, Mr. Warren managed equity and option execution and clearing businesses for ABN Amro in Chicago and was a Senior Consultant for Arthur Andersen &amp; Co. for financial services firms.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Due to the nature of its business, CME Group has not historically tracked revenues based upon geographic location. We do, however, track trading volume generated outside of traditional U.S. trading hours and through our international telecommunication hubs. Our customers can directly access our exchanges throughout the world.</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shows the percentage of our total trading volume on our Globex electronic trading platform generated during non-U.S. hours and through our international hubs.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b w:val="1"/>
                <w:bCs w:val="1"/>
                <w:color w:val="auto"/>
              </w:rPr>
              <w:t>2010</w:t>
            </w: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2009</w:t>
            </w: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 during non-U.S. hours</w:t>
            </w:r>
          </w:p>
        </w:tc>
        <w:tc>
          <w:tcPr>
            <w:tcW w:w="8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164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13%</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Trading through telecommunication hubs</w:t>
            </w: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640" w:type="dxa"/>
            <w:vAlign w:val="bottom"/>
          </w:tcPr>
          <w:p>
            <w:pPr>
              <w:jc w:val="right"/>
              <w:ind w:right="296"/>
              <w:spacing w:after="0"/>
              <w:rPr>
                <w:sz w:val="20"/>
                <w:szCs w:val="20"/>
                <w:color w:val="auto"/>
              </w:rPr>
            </w:pPr>
            <w:r>
              <w:rPr>
                <w:rFonts w:ascii="Arial" w:cs="Arial" w:eastAsia="Arial" w:hAnsi="Arial"/>
                <w:sz w:val="18"/>
                <w:szCs w:val="18"/>
                <w:color w:val="auto"/>
              </w:rPr>
              <w:t>8%</w:t>
            </w: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Our Web site is </w:t>
      </w:r>
      <w:r>
        <w:rPr>
          <w:rFonts w:ascii="Arial" w:cs="Arial" w:eastAsia="Arial" w:hAnsi="Arial"/>
          <w:sz w:val="18"/>
          <w:szCs w:val="18"/>
          <w:i w:val="1"/>
          <w:iCs w:val="1"/>
          <w:color w:val="auto"/>
        </w:rPr>
        <w:t>www.cmegroup.com</w:t>
      </w:r>
      <w:r>
        <w:rPr>
          <w:rFonts w:ascii="Arial" w:cs="Arial" w:eastAsia="Arial" w:hAnsi="Arial"/>
          <w:sz w:val="18"/>
          <w:szCs w:val="18"/>
          <w:color w:val="auto"/>
        </w:rPr>
        <w:t>. Information made available on our Web site does not constitute part of this document. We make available on our Web site our Annual Reports on Form 10-K, Quarterly Reports on Form 10-Q, Current Reports on Form 8-K and amendments to those reports as soon as reasonably practicable after we electronically file or furnish such materials to the SEC. Our corporate governance materials, including our Corporate Governance Principles, Director Conflict of Interest Policy, Board of Directors Code of Ethics, Categorical Independence Standards, Employee Code of Conduct and the charters for all the standing committees of our board, may also be found on our Web site. Copies of these materials are also available to shareholders free of charge upon written request to Shareholder Relations, Attention Ms. Beth Hausoul, CME Group Inc., 20 South Wacker Drive, Chicago, Illinois 60606.</w:t>
      </w:r>
    </w:p>
    <w:p>
      <w:pPr>
        <w:spacing w:after="0" w:line="2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you should carefully consider the factors discussed below,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business is subject to the impact of domestic and international market and economic conditions which are beyond our control and which could significantly reduce our trading volumes and make our financial results more volatile.</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revenue is substantially dependent on the trading volume in our markets. Our trading volume is directly affected by U.S. domestic and international factors that are beyond our control, including:</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and other catastrophes;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broad trends in industry and finance;</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price levels, trading volumes and volatility in the derivatives markets and in underlying equity, foreign exchange, interest rate and commodity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global or regional demand or supply shifts in commodities underlying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legislative and regulatory changes, including any direct or indirect restrictions on or increased costs associated with trading in our markets;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monetary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capital to our market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levels of assets under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in our customer base and within our industry;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inflation.</w:t>
      </w:r>
    </w:p>
    <w:p>
      <w:pPr>
        <w:sectPr>
          <w:pgSz w:w="11900" w:h="16838" w:orient="portrait"/>
          <w:cols w:equalWidth="0" w:num="1">
            <w:col w:w="11420"/>
          </w:cols>
          <w:pgMar w:left="240" w:top="122"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Any one or more of these factors may contribute to reduced activity in our markets. Historically, our trading volume has tended to increase during periods of heightened uncertainty due to increased hedging activity and the increased need to manage the risks associated with, or speculate on, volatility in the U.S. equity markets, fluctuations in interest rates and price changes in the foreign exchange, commodity and other markets. However, as evidenced by our performance during the economic volatility that began in 2008, in times of extreme uncertainty we may experience decreased volume due to factors such as decreased risk exposure, lower interest rates and lack of available capital. During 2011, the U.S. economy remained constrained due to the inability of the housing market to gain any traction, the fiscal drag from budget reduction programs at all levels of government, and the continued uncertainty about future tax and regulatory policies impacting spending and investments of consumers and corporations. Europe also continues to face uncertainty with some euro-zone countries in recession. As a result, period-to-period comparisons of our financial results are not necessarily meaningful. This trend as well as future economic uncertainty may result in continued decreased trading volume and a more difficult business environment for us. Material decreases in trading volume would have a material adverse effect on our financial condition and operating results.</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 and such environment is currently undergoing significant reform.</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business has been extensively regulated by the CFTC. In response to the economic crisis, the Dodd-Frank Act was signed into law in 2010. This legislation is a comprehensive banking and financial services reform package that includes significant changes to the oversight of the derivatives markets, both over-the-counter and exchange traded. In accordance with Dodd-Frank, the CFTC's authority has been significantly expanded to include over-the-counter derivatives.</w:t>
      </w:r>
    </w:p>
    <w:p>
      <w:pPr>
        <w:spacing w:after="0" w:line="79"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Since adoption, the CFTC, the SEC, the Department of Treasury and other regulators have engaged in extensive rulemaking to implement the legislation. CME Group and others in the industry continue to actively participate in the rulemaking process with the goal that the final regulations serve the public interest, foster competition and innovation and do not place the U.S. financial services sector at a competitive disadvantage in our evolving global financial markets. During 2011, several regulations implementing Dodd-Frank were finalized, including rules relating to mandatory clearing and the operation of a clearing house, anti-manipulation, large trader reporting, position limits and the definition of agricultural commodity. A significant portion of the Act, however, remains subject to further rulemaking and such final regulations could include provisions that could negatively impact our business, including changes to Core Principle 9 and the implementation of the position limit rules. Additionally, as a result of the MF Global bankruptcy and the shortfall in segregated customer funds, the futures industry, its self-regulatory model and the segregation regime are under scrutiny by the CFTC and Congress. Several Congressional hearings have been held to evaluate the situation and various policy suggestions have been made to ensure the protection of customer segregated funds. The adoption of such legislation likely will increase our costs of providing clearing services.</w:t>
      </w:r>
    </w:p>
    <w:p>
      <w:pPr>
        <w:spacing w:after="0" w:line="2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 global company with operations around the world, we are also subject to the laws and regulations in the locations in which we do business. We cannot assure you that we and/or our directors, officers, employees and affiliates will be able to fully comply with these rules and regulations. We also cannot assure you that we will not be subject to claims or actions by any of these regulatory agencies. Our subsidiaries, CME Clearing Europe and CME Marketing Europe, are also subject to the supervision and oversight of the FSA. The regulatory environment in the United Kingdom and the European Union is undergoing significant reforms in connection with the oversight of the financial services industry. In response to the economic crisis, a number of financial service legislations covering issues similar to those included in Dodd-Frank have also been proposed in Europe.</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 the extent the regulatory environment following the implementation of Dodd-Frank and other financial reform regulations is less beneficial for us or our customers, our business, financial condition and operating results could be negatively affected.</w:t>
      </w:r>
    </w:p>
    <w:p>
      <w:pPr>
        <w:spacing w:after="0" w:line="17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United States and Europe, there are several proposals to tax financial transactions or to assess user fees for market participants. For example, in the United States, there is a discussion of assessing a user fee to fund the CFTC and in Europe, legislative bodies are considering a tax on all financial transactions. In the past, efforts to implement a transaction tax or user fee have not been successful. The implementation of additional costs to use our markets may discourage institutions and individuals from using our products to manage their risks which could adversely impact our trading volumes, revenues and profits and may also adversely impact our ability to compete on an international level. A transaction tax or user fee in the U.S. may also cause market participants to transition and/or increase their derivatives trading in jurisdictions outside the U.S. which do not necessarily impose a comparable cost at this time.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U.S. Congress may propose to eliminate the favorable 60/40 tax treatment for futures. The current tax treatment for futures trading allows certain traders to pay a blend of taxes on their gains and losses from trading futures and options with 60% at capital gains rates and 40% at ordinary tax rates. Any repeal of 60-40 tax treatment would impose a substantial increase in tax rates applicable to certain individuals who are most responsible for creating liquid and efficient markets.</w:t>
      </w:r>
    </w:p>
    <w:p>
      <w:pPr>
        <w:spacing w:after="0" w:line="187" w:lineRule="exact"/>
        <w:rPr>
          <w:sz w:val="20"/>
          <w:szCs w:val="20"/>
          <w:color w:val="auto"/>
        </w:rPr>
      </w:pPr>
    </w:p>
    <w:p>
      <w:pPr>
        <w:jc w:val="both"/>
        <w:ind w:right="440"/>
        <w:spacing w:after="0" w:line="327" w:lineRule="auto"/>
        <w:rPr>
          <w:sz w:val="20"/>
          <w:szCs w:val="20"/>
          <w:color w:val="auto"/>
        </w:rPr>
      </w:pPr>
      <w:r>
        <w:rPr>
          <w:rFonts w:ascii="Arial" w:cs="Arial" w:eastAsia="Arial" w:hAnsi="Arial"/>
          <w:sz w:val="15"/>
          <w:szCs w:val="15"/>
          <w:b w:val="1"/>
          <w:bCs w:val="1"/>
          <w:i w:val="1"/>
          <w:iCs w:val="1"/>
          <w:color w:val="auto"/>
        </w:rPr>
        <w:t>Some of our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14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Some of our largest clearing firms, which are significant customers and intermediaries in our products, have stressed the importance to them of centralizing clearing of futures contracts and options on futures contracts in order to maximize the efficient use of their capital, exercise greater control over their value at risk and extract greater operating leverage from clearing activities. Many clearing firms have expressed the view that clearing firms should control the governance of clearing houses or that clearing houses should be operated as utilities rather than as part of for-profit enterprises. Some of these firms, along with the Futures Industry Association and the Department of Treasury, have sought, and may seek in the future, legislative or regulatory changes to be adopted that would facilitate mechanisms or policies that allow market participants to transfer positions from an exchange-owned clearing house to a clearing house owned and controlled by clearing firms. We expect pressure from these contingencies to increase in light of the shortfall in customer segregated funds held by MF Global. Our strategic business plan is to operate a vertically integrated transaction execution, clearing and settlement business for our futures and options on futures business. If these legislative or regulatory changes are adopted, our strategy and business plan may lead clearing firms to establish, or seek to use, alternative clearing houses for clearing positions established on our exchanges. Even if they are not successful in their efforts, the factors described above may cause clearing firms to limit or stop the use of our products and markets. If any of these events occur, our revenues and profits could be adversely affected.</w:t>
      </w:r>
    </w:p>
    <w:p>
      <w:pPr>
        <w:spacing w:after="0" w:line="1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other companies, including some of our members. If we are not able to successfully compete, our business will not survive.</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industry in which we operate is highly competitive and we expect competition to continue to intensify, especially in light of the implementation of Dodd-Frank and other reforms of the financial services industry. For example, Dodd-Frank provides for central clearing of “clearable” over-the-counter swaps and requires that swaps that are cleared must be traded on exchanges or swap execution facilities, unless no exchange or swap execution facility makes the swap available for clearing. While these new requirements create opportunities for us to expand our over-the-counter business, a number of market participants and other exchanges have developed, and likely will develop in the future, competing platforms and products.</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encounter competition in all aspects of our business, including from entities having substantially greater capital and resources and offering a wider range of products and services and some operating under a different and possibly less stringent regulatory regime. We face competition from other futures, securities and securities option exchanges; over-the-counter markets; clearing organizations; consortia formed by our members and large market participants; alternative trade execution facilities; technology firms, including market data distributors and electronic trading system developers; and others.</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industry has continued to experience significant consolidation efforts. Many of these recent efforts have failed due to lack of shareholder support or regulatory issues, including the NYSE Euronext/Deutsche Bourse proposed merger; the London Stock Exchange's bid for the TMX Group and the Singapore Stock Exchange's proposed acquisition of the Australian Stock Exchange. At the end of 2011, there were approximately 60 futures exchanges located in approximately 30 countries. We expect industry participants to continue to look for ways to grow their business despite the challenging regulatory environment and other exchanges may become the target of future consolidation efforts.</w:t>
      </w:r>
    </w:p>
    <w:p>
      <w:pPr>
        <w:spacing w:after="0" w:line="173"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Among our key competitors in our exchange-traded business are NYPC and ELX in our interest rate product line and ICE in our agricultural commodities, currency, equity index and energy products. In early 2012, NYSE Liffe U.S. announced it had secured an exclusive license to launch futures contracts based on the Depository Trust and Clearing Corporation's proprietary general collateral finance repo index which will compete with our interest rate products. Our over-the-counter business also competes with LCH.Clearnet for our interest rate swaps and ICE for our credit default swaps. Newer entrants into our industry may further increase competitive pressure on us.</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believe we may also face competition from large computer software companies and media and technology companies. The number of businesses providing internet-related financial services is rapidly growing. Other companies have entered into or are forming joint ventures or consortia to provide services similar to those provided by us. Others may become competitive with us through acquisitions. Federal law allows institutions that have been major participants on our exchange to trade the same or similar products among themselves without utilizing any exchange or trading system. Many of our competitors and potential competitors have greater financial, marketing, technological and personnel resources than we do. These factors may enable them to develop similar products, to provide lower transaction costs and better execution to their customers and to carry out</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their business strategies more quickly and efficiently than we can. In addition, our competitors may:</w:t>
      </w:r>
    </w:p>
    <w:p>
      <w:pPr>
        <w:spacing w:after="0" w:line="225" w:lineRule="exact"/>
        <w:rPr>
          <w:sz w:val="20"/>
          <w:szCs w:val="20"/>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respond more quickly to competitive pressures, including responses based upon their corporate governance structures, which may be more flexible and efficient than our corporate governance structure;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products that are preferred by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risk transfer products that compete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their products and services more competitively;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and expand their network infrastructure and service offerings more efficiently;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utilize better, more user-friendly and more reliable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take greater advantage of acquisitions, alliances and other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more effectively market, promote and sell their products and services;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and</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our products, markets and services are not competitive, our business, financial condition and operating results will be materially harmed.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decline in our fees or any loss of customers could lower our revenues, which would adversely affect our profitability.</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Changes in regulations as a result of the implementation of the Dodd-Frank Act and other restructuring of the regulation of the global financial markets, regulations stemming from the MF Global bankruptcy or otherwise, may adversely impact our ability to compete, especially on a global basis.</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trading volume, and consequently our revenues and profits, would be adversely affected if we are unable to retain our current customers or attract new customers.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success of our business depends, in part, on our ability to maintain and increase our trading volume. To do so, we must maintain and expand our product offerings, our customer base and our trade execution facilities. Our success also depends on our ability to offer competitive prices and services in an increasingly price sensitive business. We cannot assure you that we will be able to continue to expand our product lines, or that we will be able to retain our current customers or attract new customers. We bill a substantial portion of our clearing and transaction fees to our clearing firms. The majority of clearing and transaction fees received from clearing firms represent charges for trades executed and cleared on behalf of their customers. One firm represented 12% of our clearing and transaction fees revenue for 2011. Should a clearing firm withdraw, we believe that the customer portion of the firm's trading activity would likely transfer to another clearing firm of the exchange. For example, in connection with the bankruptcy of MF Global, we successfully transferred all of the more than 30,000 MF Global customer accounts to other futures commission merchants. Additionally, from time to time, certain customers may represent a significant portion of the open interest in our individual product lines or contracts. If we fail to maintain our trading volume; expand our product offerings or execution facilities; or we lose a substantial number of our current customers, or a subset of customers representing a significant percentage of trading volume in a particular product line; or are unable to attract new customers, our business and revenues will be adversely affected. The shortfall in customer segregated funds at MF Global may have an impact on the overall confidence in the futures markets which could have a negative impact on trading volume. Furthermore, declines in trading volume due to loss of customers may negatively impact market liquidity, which could lead to further loss of trading volume.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potential securities law liability.</w:t>
      </w:r>
    </w:p>
    <w:p>
      <w:pPr>
        <w:spacing w:after="0" w:line="22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Many aspects of our business involve substantial litigation risks. While we generally are protected by our rules limiting liability for system failures and certain forms of negligence and by statutory limits on private causes of actions in cases where we have not behaved in bad faith, we could be exposed to substantial liability under federal and state laws and court decisions, as well as rules and regulations promulgated by the SEC and the CFTC. These risks include, among others, potential liability from disputes over terms of a trade, the claim that a system failure or delay caused monetary losses to a customer, that we entered into an unauthorized transaction or that we provided materially false or misleading statements in connection with a transaction. Dissatisfied customers frequently make claims regarding quality of trade execution, improperly settled trades, mismanagement or even fraud against their service providers. We may become subject to these claims as a result of failures or malfunctions of our systems and services we provide. For example, we served as the designated self regulatory organization for MF Global. There are ongoing investigations by the Department of Justice, the FBI, the CFTC, and the SEC into the events surrounding the</w:t>
      </w:r>
    </w:p>
    <w:p>
      <w:pPr>
        <w:sectPr>
          <w:pgSz w:w="11900" w:h="16838" w:orient="portrait"/>
          <w:cols w:equalWidth="0" w:num="1">
            <w:col w:w="11420"/>
          </w:cols>
          <w:pgMar w:left="240" w:top="122" w:right="239"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MF Global bankruptcy, including efforts to locate the missing segregated customer property and determining which individuals and entities may have civil or criminal liability for the shortfall. We continue to believe that we acted appropriately and that our actions do not give rise to liability. We have been named as a party to a number of lawsuits in connection with the MF Global matter which we expect to be consolidated. There is no guarantee that we will not become the subject of additional litigation relating to the matter or that we will be successful in defending against these claims or any other action relating to MF Global or any matter brought in the future. We could incur significant legal expenses defending claims, even those without merit. In addition, an adverse resolution of any future lawsuit or claim against us could have a material adverse effect on our business and our reputation.</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Our role in the global marketplace may place us at greater risk than other companies for a cyber attack and other cyber security risks. Our networks and those of our third party service providers may be vulnerable to security risks, which could result in wrongful use of our information or cause interruptions in our operations that cause us to lose customers and trading volume and result in significant liabilities. We could also be required to incur significant expense to protect our systems.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expect the secure transmission of confidential information over public networks to continue to be a critical element of our operations. Our networks and those of our third party service providers and our customers may be vulnerable to unauthorized access, computer viruses and other security problems, including attacks from cyber criminals. Recently, groups have targeted the financial services industry as part of their protest against the perceived lack of regulation of the financial sector and economic inequality, including calls to their supporters to launch cyber attacks on numerous financial institutions which in some cases have resulted in brief outages to their external corporate web sites. Additionally, in 2010, a virus impacted email systems around the world, including our system. While we have no evidence at this time that we are a specific target of a cyber attack, our role in the global marketplace places us at greater risk than other companies.</w:t>
      </w:r>
    </w:p>
    <w:p>
      <w:pPr>
        <w:spacing w:after="0" w:line="18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Additionally, our role as a leading derivatives marketplace and the operation of our CME Globex electronic trading platform may place us at greater risk for misappropriation of our intellectual property. In September 2011, a former employee of CME Group was charged with two counts of theft of trade secrets in an indictment returned by a federal grand jury. We do not believe that any customer information, trade data or required regulatory information was compromised in this incident and we have no evidence that the trade secrets were distributed in connection with this matter. Other persons who circumvent security measures could wrongfully use our information or cause interruptions or malfunctions in our operations.</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While we continue to employ resources to monitor the environment and protect our infrastructure against security breaches and misappropriation of our intellectual property assets, these measures may prove insufficient depending upon the attack or threat posed, which could result in system failures and delays that could cause us to lose customers, experience lower trading volume, incur significant liabilities or have a negative impact on our competitive advantage.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than other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may be more likely than other companies to be a direct target of, or an indirect casualty of, attacks by terrorists or terrorist organizations.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It is impossible to predict the likelihood or impact of any terrorist attack on the derivatives industry generally or on our business. For example, the September 11, 2001 terrorist attack on the World Trade Center resulted in the closing of NYMEX's trading and clearing operations for four business days and rendered its backup data and recovery center inoperable. While we have undertaken significant measures to develop business continuity plans and to establish backup sites, in the event of an attack or a threat of an attack, these security measures and contingency plans may be inadequate to prevent significant disruptions in our business, technology or access to the infrastructure necessary to maintain our business. Damage to our facilities due to terrorist attacks may be significantly in excess of any amount of insurance received, or we may not be able to insure against such damage at a reasonable price or at all. The threat of terrorist attacks may also negatively affect our ability to attract and retain employees. Any of these events could have a material adverse effect on our business, financial condition and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success of our markets will depend on our ability to complete development of, successfully implement and maintain the electronic trading systems that have the functionality, performance, reliability and speed required by our customers.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future success of our business depends in large part on our ability to create interactive electronic marketplaces in a wide range of derivatives products that have the required functionality, performance, capacity, reliability and speed to attract and retain customers. A significant portion of our overall volume is generated through electronic trading on our CME Globex electronic platform.</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We must continue to enhance our electronic trading platform to remain competitive. As a result, we will continue to be subject to risks, expenses and uncertainties encountered in the rapidly evolving market for electronic transaction services. These risks include our failure or inability to:</w:t>
      </w:r>
    </w:p>
    <w:p>
      <w:pPr>
        <w:spacing w:after="0" w:line="12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reliable and cost-effective services to our customers;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in a timely manner, the required functionality to support electronic trading in our key products in a manner that is competitive with the functionality supported by other electronic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match fees of our competitors that offer only electronic trading facilities;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independent software vendors to write front-end software that will effectively access our electronic trading system and automated order routing system;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respond to technological developments or service offerings by competitors; and</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do not successfully enhance our electronic trading platform, or our current or potential customers do not accept it, our revenues and profits will be adversely affected. Additionally, we rely on our customers' ability to have the necessary back office functionality to support our new products and our trading and clearing functionality. To the extent our customers are not prepared and/or lack the resources or infrastructure, the success of our new initiatives may be compromised.</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if we are unable to develop our electronic trading systems to include other products and markets, or if our electronic trading systems do not have the required functionality, performance, capacity, reliability and speed, we may not be able to compete successfully in an environment that is increasingly dominated by electronic trading.</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are heavily dependent on the capacity, reliability and security of the computer and communications systems and software supporting our operations. We receive and/or process a large portion of our trade orders through electronic means, such as through public and private communications networks. Our systems, or those of our third party providers, may fail or operate slowly, causing one or more of the following to occur:</w:t>
      </w:r>
    </w:p>
    <w:p>
      <w:pPr>
        <w:spacing w:after="0" w:line="14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disruptions in service to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slower response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our customers' trade execution;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incomplete or inaccurate accounting, recording or processing of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or other customer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customers;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cannot assure you that we will not experience systems failures from power or telecommunications failure, acts of God, war or terrorism, human error, natural disasters, fire, sabotage, hardware or software malfunctions or defects, computer viruses, acts of vandalism or similar occurrences. If any of our systems do not operate properly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From time to time, we have experienced system errors and failures that have resulted in some customers being unable to connect to our electronic trading platform, or that resulted in erroneous reporting, such as transactions that were not authorized by any customer or reporting of filled orders as cancelled. For example in 2010, an employee error resulted in errant trades inadvertently being placed into an active market environment which resulted in liability to us of approximately $4.7 million. We cannot assure you that if we experience system errors or failures in the future that they will not have a material impact on our business. Any such system failures that cause an interruption in service or decrease our responsiveness could impair our reputation, damage our brand name or have a material adverse effect on our business, financial condition and operating results.</w:t>
      </w:r>
    </w:p>
    <w:p>
      <w:pPr>
        <w:sectPr>
          <w:pgSz w:w="11900" w:h="16838" w:orient="portrait"/>
          <w:cols w:equalWidth="0" w:num="1">
            <w:col w:w="11360"/>
          </w:cols>
          <w:pgMar w:left="240" w:top="121" w:right="299" w:bottom="1055" w:gutter="0" w:footer="0" w:header="0"/>
        </w:sect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60"/>
          </w:cols>
          <w:pgMar w:left="240" w:top="121" w:right="299" w:bottom="1055"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status as a CFTC registrant generally requires that our trade execution and communications systems be able to handle anticipated present and future peak trading volume. Heavy use of our computer systems during peak trading times or at times of unusual market volatility could cause our systems to operate slowly or even to fail for periods of time. We constantly monitor system loads and performance, and regularly implement system upgrades to handle estimated increases in trading volume. However, we cannot assure you that our estimates of future trading volume and order messaging traffic will be accurate or that our systems will always be able to accommodate actual trading volume and order messaging traffic without failure or degradation of performance. Increased CME Globex trading volume and order messaging traffic may result in connectivity problems or erroneous reports that may affect users of the platform. System failure or degradation could lead our customers to file formal complaints with industry regulatory organizations, to file lawsuits against us or to cease doing business with us, or could lead the CFTC or other regulators to initiate inquiries or proceedings for failure to comply with applicable laws and regulations.</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will need to continue to upgrade, expand and increase the capacity of our systems as our business grows and we execute our business strategy. Generally, our goal is to design our systems to handle at least two times our peak historical transactions in our highest volume products. As volumes of transactions grow, the ability of our systems to meet this goal on an ongoing basis depends on our ability to increase our system capacity on a timely basis while maintaining system reliability. 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would be adversely affected.</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as well as many of our customers, depend on third 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depend on a number of suppliers, such as banking, clearing and settlement organizations, telephone companies, online service providers, data processors, and software and hardware vendors for elements of our trading, clearing and other systems, as well as communications and networking equipment, computer hardware and software and related support and maintenance.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Many of our customers rely on third parties, such as independent software vendors, to provide them with front-end systems to access our CME Globex platform and other back office systems for their trade processing and risk management needs. While these service providers have undertaken to keep current with our enhancements and changes to our interfaces and functionality, we cannot guarantee that they will continue to make the necessary monetary and time investments to keep up with our changes.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 the extent any of our service providers or the organizations that provide services to our customers in connection with their trading activities cease to provide these services in an efficient, cost-effective manner or fail to adequately expand their services to meet our needs and the needs of our customers, we could experience decreased trading volume, lower revenues and higher costs.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clearing house operations expose us to substantial credit risk of third parties and the level of soundness of our clearing firms could adversely affect us.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clearing house operations expose us to many different industries and counterparties, and we routinely guarantee transactions with counterparties in the financial industry, including brokers and dealers, commercial banks, investment banks, mutual and hedge funds, and other institutional customers. As a result of the financial crisis that began in 2008, many financial institutions required additional capital infusions, merged with larger and stronger institutions, became bank holding companies that are regulated by the Federal Reserve Bank and, in some cases, failed. For example, during 2008, The Bear Stearns Companies, Inc., Lehman Brothers Holdings Inc. and American International Group, Inc., all of which were parent companies of clearing firms of our exchange, experienced significant financial writedowns and in some cases failed. In October 2011, MF Global, one of our largest clearing firms, was placed into liquidation. There are ongoing investigations by the Department of Justice, the FBI, the CFTC, and the SEC into the events surrounding the MF Global bankruptcy, including efforts to locate the missing segregated customer property and determining which individuals and entities may have civil or criminal liability for the shortfall.</w:t>
      </w:r>
    </w:p>
    <w:p>
      <w:pPr>
        <w:spacing w:after="0" w:line="18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part of our overall growth initiatives, we have expanded our clearing services to the over-the-counter market in addition to standard futures and options on futures products, including through CME ClearPort and our credit default and interest rate swap clearing initiatives. The process for deriving margins and financial safeguards for over-the-counter products is different and, in part, seeks to assess and capture different risks than our historical practices applied to our futures and options on futures products. Although we believe that we have carefully analyzed the process for setting margins and our financial safeguards for over-the-counter products, there is no guarantee that our procedures will adequately protect market participants from the unique risks of these products.</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1" w:right="29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2011, CME Clearing Europe was launched. While we have hired experienced management to oversee the operations of CME Clearing Europe, as an organization we have limited experience operating a clearing house outside of the United States.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substantial part of our working capital may be at risk if a clearing firm defaults on its obligations to the clearing house and its margin and security deposits are insufficient to meet its obligations. Although we have policies and procedures to help ensure that our clearing firms can satisfy their obligations, these policies and procedures may not succeed in detecting problems or preventing defaults. We also have in place various measures intended to enable us to cure any default and maintain liquidity. However, we cannot assure you that these measures will be sufficient to protect market participants from a default or that we will not be adversely affected in the event of a significant default. Following the MF Global bankruptcy, we established a $100 million fund designed to provide further protection of customer segregated funds for eligible participating U.S. family farmers and ranchers who hedge their business using our products for losses resulting from the future insolvency of a clearing member or other market participant.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required capital and posted collateral of our clearing firms may lose value given the volatility of the market.</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become a clearing member, a firm must meet certain minimum capital requirements and must deposit a certain amount of funds to meet performance bond and guaranty fund requirements with our clearing house as collateral for their trading activity. We accept a variety of collateral to satisfy these requirements, including cash, regulated money market mutual funds, U.S. Treasury securities, U.S. Government Agency securities, letters of credit, gold, equities and foreign sovereign debt. Given the level of market volatility, there is no guarantee that these investments will continue to maintain their value. To the extent a clearing firm was not in compliance with these requirements, it would be required to acquire additional funds, decrease its proprietary trading activity and/or transfer customer accounts to another clearing firm. These actions could result in a decrease in trading activity in our products.</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market data revenues may be reduced or eliminated by decreased demand, overall economic conditions or the growth of electronic trading and electronic order entry systems. If we are unable to offset that reduction through terminal usage fees or transaction fees, we will experience a reduction in revenues.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sell our market data to individuals and organizations that use our markets or monitor general economic conditions. Revenues from our market data and information services totaled $427.7 million and $395.1 million, representing 13% of our total revenues, during the years ended December 31, 2011 and 2010, respectively. A decrease in overall trading volume may also lead to a decreased demand for our market data from the market data vendors. For example, in both 2011 and 2010 we experienced a decrease in the average number of market data devices due to the continued economic uncertainty, continued high unemployment levels in the financial services sector and aggressive cost cutting initiatives at customer firms. Additionally, electronic trading systems do not usually impose separate exchange fees for supplying market data to trading terminals. If we do not separately charge for market data supplied to trading terminals, and trading terminals with access to our markets become widely available, we could lose market data fees from those who have access to trading terminals. We will experience a reduction in our revenues if we are unable to recover that lost market data revenue through terminal usage fees or transaction fees.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continue to focus on strategic initiatives to grow our business, including our efforts to serve the over-the-counter market as discussed in the following risk factor and to distribute our products and services on a global basis.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investments or other strategic alliances. Unless our growth results in an increase in our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our over-the-counter initiatives will be successful.</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goal is to provide a comprehensive multi-asset class clearing solution to the market for maximum operational ease and the capital efficiency that comes with connecting to a single clearing house. We offer clearing services for cleared over-the-counter derivatives, including credit default swaps and interest rate swaps. Our strategy also includes extending our over-the-counter services into other assets classes, as well as enhancing our CME ClearPort functionality to support additional products. While we believe the implementation of Dodd-Frank creates new opportunities for us to expand our over-the-counter offerings, the current regulatory environment for trading and clearing these products remains uncertain. We cannot be certain that we will be able to operate profitably under the new legislation. For example, provisions within Dodd-Frank include changes to the CFTC's</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1" w:right="29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core principles, specifically Core Principal 9, which could require us to make modifications to the manner in which certain of our contracts trade and/or require that such products be de-listed as futures and re-listed as swaps. In addition, a number of market participants and exchanges have developed competing platforms and products, including ICE's offering for credit default swaps. We cannot be certain that we will be able to compete effectively or that our initiatives will be successful.</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intend to continue to explore acquisitions, investments and other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intend to continue to explore and pursue acquisitions and other strategic opportunities to strengthen our business and grow our company. We may make acquisitions or investments or enter into strategic partnerships, joint ventures and other alliances. The market for such transactions is highly competitive, especially in light of the increasing consolidation in our industry. As a result, we may be unable to identify strategic opportunities or we may be unable to negotiate or finance future transactions on terms favorable to us. To the extent the trend of consolidation in our industry continues, we may encounter increased difficulties in identifying growth opportunities. We may finance future transactions by issuing additional equity and/or debt. The issuance of additional equity in connection with any future transaction could be substantially dilutive to our existing shareholders. The issuance of additional debt could increase our leverage substantially. The process of integration may also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strategic growth initiatives we have made or will make in the future which may have an adverse impact on our financial condition and operating results. We may also be required to take an impairment charge in our financial statements relating to our acquisitions and/or investments which could negatively impact our stock price.</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Expansion of our operations internationally involves special challenges that we may not be able to meet, which could adversely affect our financial results.</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plan to continue to expand our operations internationally, including through CME Clearing Europe, directly placing order entry terminals with customers outside the United States and by relying on distribution systems established by our current and future strategic alliance partners. We face certain risks inherent in doing business in international markets, particularly in the regulated derivatives exchange business. These risks include:</w:t>
      </w:r>
    </w:p>
    <w:p>
      <w:pPr>
        <w:spacing w:after="0" w:line="16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use of trading terminals or the contracts that may be traded;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becoming subject to extensive regulations and oversight, tariffs and other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from which our markets are accessed, which may have an adverse effect on our volume from those countries;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addition, as a result of our expanding global operations, we are subject to the laws and regulations of foreign governmental and regulatory authorities, including the FSA in connection with CME Clearing Europe and our marketing efforts in Europe. These may include laws, rules and regulations relating to any aspect of the derivatives business. To date, we have had limited experience in marketing and operating our products and services internationally. We cannot assure you that we will be able to succeed in marketing our products and services in international markets. We may also experience difficulty in managing our international operations because of, among other things, competitive conditions overseas, management of foreign exchange risk, established domestic markets, language and cultural differences and economic or political instability. Any of these factors could have a material adverse effect on the success of our international operations and, consequently, on our business, financial condition and operating results.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compliance and risk management methods might not be effective and may result in outcomes that could adversely affect our reputation, financial condition and operating results.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normal course of our business, we discuss matters with our regulators raised during regulatory examinations or we may otherwise become subject to their inquiry and oversight. The CFTC has broad enforcement powers to censure, fine, issue cease-and-desist orders, prohibit us from engaging in some of our businesses or suspend or revoke our designation as a contract market or the registration of any of our officers or employees who violate applicable laws or regulations. Our ability to comply with applicable laws and rules is largely dependent on our establishment and maintenance of compliance, audit and reporting systems, as well as our ability to attract and retain qualified compliance and other risk management personnel. We face the risk of significant intervention by regulatory authorities, including extensive examination and surveillance activity. In the case of</w:t>
      </w:r>
    </w:p>
    <w:p>
      <w:pPr>
        <w:sectPr>
          <w:pgSz w:w="11900" w:h="16838" w:orient="portrait"/>
          <w:cols w:equalWidth="0" w:num="1">
            <w:col w:w="11420"/>
          </w:cols>
          <w:pgMar w:left="240" w:top="121"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non-compliance or alleged non-compliance with applicable laws or regulations, we could be subject to investigations and judicial or administrative proceedings that may result in substantial penalties or civil lawsuits, including by customers, for damages, which can be significant. Any of these outcomes would adversely affect our reputation, financial condition and operating results. In extreme cases, these outcomes could adversely affect our ability to conduct our business.</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policies and procedures to identify, monitor and manage our risks may not be fully effective. Some of our risk management methods depend upon evaluation of information regarding markets, customers or other matters that are publicly available or otherwise accessible by us. That information may not in all cases be accurate, complete, up-to-date or properly evaluated. Management of operational, financial, legal, regulatory and strategic risk requires, among other things, policies and procedures to record properly and verify a large number of transactions and events. We cannot assure you that our policies and procedures will always be effective or that we will always be successful in monitoring or evaluating the risks to which we are or may be exposed.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or errors that are difficult to detect and deter.</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There have been a number of highly publicized cases involving fraud or other misconduct by employees of financial services firms in recent years. Misconduct by our employees and agents, including employees of GFX, our wholly-owned subsidiary that engages primarily in proprietary trading in foreign exchange futures to generate liquidity, could include hiding unauthorized activities from us, improper or unauthorized activities on behalf of customers or improper use or unauthorized disclosure of confidential information. Misconduct could subject us to financial losses or regulatory sanctions and seriously harm our reputation. It is not always possible to deter misconduct, and the precautions we take to prevent and detect this activity may not be effective in all cases. Our employees and agents also may commit errors that could subject us to financial claims for negligence, as well as regulatory actions. For example, in 2010, an employee error resulted in errant trades inadvertently being placed into an active market environment which resulted in liability to us of approximately $4.7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which may materially harm our business.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attempt to protect our intellectual property rights by relying on trademarks, copyright, database rights, trade secrets, restrictions on disclosure and other methods. Notwithstanding the precautions we take to protect our intellectual property rights, it is possible that third parties may copy or otherwise obtain and use our proprietary technology without authorization or otherwise infringe on our rights. For example, in September 2011, a former employee of CME Group was charged with two counts of theft of trade secrets in an indictment returned by a federal grand jury.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infringement by us on patent rights of others could result in litigation and adversely affect our ability to continue to provide, or increase the cost of providing, our products and electronic execution services.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Patents of third parties may have an important bearing on our ability to offer certain of our products and services. Our competitors as well as other companies and individuals may obtain, and may be expected to obtain in the future, patents related to the types of products and services we offer or plan to offer. We cannot assure you that we are or will be aware of all patents containing claims that may pose a risk of infringement by our products and services. In addition, some patent applications in the United States are confidential until a patent is issued and, therefore, we cannot evaluate the extent to which our products and services may be covered or asserted to be covered by claims contained in pending patent applications. These claims of infringement are not uncommon in our industry.</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general, if one or more of our products or services were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 claims.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to avoid infringement, which could materially adversely affect our business, financial condition and operating results.</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CLASS A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operations and prevent us from fulfilling our debt service obligations. We may still be able to incur more debt, intensifying these risks.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2011, we had approximately $2.1 billion of total indebtedness and we had excess borrowing capacity for general corporate purposes under our existing facilities of approximately $1.0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For example, our indebtedness may:</w:t>
      </w:r>
    </w:p>
    <w:p>
      <w:pPr>
        <w:spacing w:after="0" w:line="225" w:lineRule="exact"/>
        <w:rPr>
          <w:sz w:val="20"/>
          <w:szCs w:val="20"/>
          <w:color w:val="auto"/>
        </w:rPr>
      </w:pPr>
    </w:p>
    <w:p>
      <w:pPr>
        <w:ind w:left="660" w:right="1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dedicate a significant portion of our cash flow from operations to payments on our debt, thereby reducing the availability of cash flow to fund capital expenditures, to pursue acquisitions or investments, to pay dividends and for general corporate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or challenges relating to our business and industry;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place us at a competitive disadvantage against any less leveraged competitors.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could increase the risks described above to the extent that we incur additional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February 2012, S&amp;P lowered our rating to AA- from AA with a negative outlook. The rating actions stemmed from our limited financial support of trading customers through our guarantee provided to the MF Global bankruptcy trustee and our new protection fund for certain farmers and ranchers using our products to hedge. The negative outlook was based upon its view of the potential legal and reputational fall-out from the MF Global bankruptcy. In light of the difficulties in the financial services industry and the financial markets over the last few years and the fall-out from MF Global, there can be no assurance that we will maintain our current ratings. Our failure to maintain those ratings could adversely affect the cost and other terms upon which we are able to obtain funding and increase our cost of capital.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BM&amp;FBOVESPA subjects us to investment and currency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own an interest in BM&amp;FBOVESPA representing approximately 5% of its outstanding shares which had a fair value of $527.7 million as of</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December 31, 2011. As an exchange, its ability to maintain or expand its trading volume and operate its business is subject to the same types of risks to which we are subject. Additionally, its stock is valued in Brazilian real, which subjects us to currency risk. There is no guarantee that our investment in BM&amp;FBOVESPA will be profitable.</w:t>
      </w:r>
    </w:p>
    <w:p>
      <w:pPr>
        <w:spacing w:after="0" w:line="1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Any impairment of our goodwill and other intangible assets or investments may result in material, non-cash writedowns and could have a material adverse impact on our results of operations and shareholders' equity.</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connection with our acquisitions and investments, including our mergers with CBOT Holdings and NYMEX Holdings, we have recorded goodwill and identifiable intangible assets. We assess goodwill and intangible assets for impairment by applying a fair value test looking at historical performance, capital requirements and projected cash flows on an annual basis or more frequently if indicators of impairment arise. In the past we have recorded impairment charges in connection with some of our investments including our investment in BM&amp;FBOVESPA. We may continue to experience future events that result in impairments. The risk of impairment losses may increase to the extent our market capitalization and earnings decline. An impairment of the value of our existing goodwill and intangible assets could have a significant negative impact on our future operating results and could have an adverse impact on our ability to satisfy the financial ratios or other covenants under our existing or future debt agreements.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fluctuate due to seasonality. As a result, you will not be able to rely on our operating results in any particular quarter as an indication of our future performance.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Generally, we have historically experienced relatively higher trading volume during the first and second quarters and sequentially lower trading volume in the third and fourth quarters. As a result of this seasonality, you will not be able to rely on our operating results in any particular period as an indication of our future performance. If we fail to meet securities analysts' expectations regarding our operating results, the price of our Class A common stock could decline substantially.</w:t>
      </w:r>
    </w:p>
    <w:p>
      <w:pPr>
        <w:sectPr>
          <w:pgSz w:w="11900" w:h="16838" w:orient="portrait"/>
          <w:cols w:equalWidth="0" w:num="1">
            <w:col w:w="11400"/>
          </w:cols>
          <w:pgMar w:left="240" w:top="121" w:right="25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1" w:right="25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average rate per contract is subject to fluctuation due to a number of factors. As a result, you will not be able to rely on our average rate per contract in any particular period as an indication of our future average rate per contract.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average rate per contract,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For example, we earn a higher rate per contract for trades executed electronically than for trades executed on the trading floor.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you may not be able to rely on our average rate per contract in any particular period as an indication of our future average rate per contract. If we fail to meet securities analysts' expectations regarding our operating results, the price of our Class A common stock could decline substantially.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cost structure is largely fixed. If our revenues decline and we are unable to reduce our costs, our profitability will be adversely affected.</w:t>
      </w:r>
    </w:p>
    <w:p>
      <w:pPr>
        <w:spacing w:after="0" w:line="2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cost structure is largely fixed. We base our cost structure on historical and expected levels of demand for our products and services. If demand for our products and services and our resulting revenues decline, we may not be able to adjust our cost structure on a timely basis. In that event, our profitability will be adversely affected.</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Twenty of our board members own trading rights or are officers or directors of firms who own trading rights on our exchanges. As members, these individuals may have interests that differ from or conflict with those of shareholders who are not also members. Our dependence on the trading and clearing activities of our members, combined with their rights to elect directors, may enable them to exert substantial influence over the operation of our business.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Twenty of our directors own or are officers or directors of firms who own trading rights on our exchange. We are dependent on the revenues from the trading and clearing activities of our members. In 2011, 80% of our trading volume was derived from our members. This dependence may give them substantial influence over how we operate our business.</w:t>
      </w:r>
    </w:p>
    <w:p>
      <w:pPr>
        <w:spacing w:after="0" w:line="18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Many of our members and clearing firms derive a substantial portion of their income from their trading or clearing activities on or through our exchanges. In addition, trading rights on our exchanges have substantial independent value. The amount of income that members derive from their trading, brokering and clearing activities and the value of their trading rights are, in part, dependent on the fees they are charged to trade, broker, clear and access our markets and the rules and structure of our markets. As a result, holders of our Class A common stock may not have the same economic interests as our members. In addition, our members may have differing interests among themselves depending on the roles they serve in our markets, their method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rights of our members, including the board representation rights of the members of our CME exchange to elect six directors and the rights described in the immediately following risk factor, could be used to influence how our business is changed or developed, including how we address competition and how we seek to grow our volume and revenue and enhance shareholder value.</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Our members have been granted special rights, which protect their trading privileges, require that we maintain open outcry trading until volumes are not significant and, in the case of our Class B shareholders and CBOT members, provide them with special board representation.</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terms of the organizational documents of our exchanges, our members have certain rights that relate primarily to trading right protections, certain trading fee protections and certain membership benefit protections. Additionally, our Class B shareholders, who are members of our CME exchange, are also entitled to elect six directors to our board; even if their Class A share ownership interest is very small or non-existent. We are also required to include at least 10 CBOT directors (as defined in our bylaws) on our board until our 2012 annual meeting of shareholders and to submit changes to the rules and regulations of the CBOT exchange to the CBOT directors in advance for their review. In the event the CBOT directors determine in their sole discretion that a proposed rule change will materially impair the business of CBOT or the business opportunities of the holders of the CBOT memberships, such change must be submitted to a committee comprised of three CBOT directors and two CME directors (as defined in our bylaws). In connection with these rights, our ability to take certain actions that we may deem to be in the best interests of the company and its shareholders, including actions relating to the operation of our open outcry trading facilities and certain pricing decisions, may be limited by the rights of our members.</w:t>
      </w:r>
    </w:p>
    <w:p>
      <w:pPr>
        <w:spacing w:after="0" w:line="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Our global headquarters are located in Chicago, Illinois at 20 South Wacker Drive. The following is a description of our key locations and facilities.</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360" w:type="dxa"/>
            <w:vAlign w:val="bottom"/>
            <w:tcBorders>
              <w:top w:val="single" w:sz="8" w:color="auto"/>
              <w:left w:val="single" w:sz="8" w:color="auto"/>
              <w:right w:val="single" w:sz="8" w:color="auto"/>
            </w:tcBorders>
          </w:tcPr>
          <w:p>
            <w:pPr>
              <w:spacing w:after="0"/>
              <w:rPr>
                <w:sz w:val="20"/>
                <w:szCs w:val="20"/>
                <w:color w:val="auto"/>
              </w:rPr>
            </w:pPr>
          </w:p>
        </w:tc>
        <w:tc>
          <w:tcPr>
            <w:tcW w:w="2620" w:type="dxa"/>
            <w:vAlign w:val="bottom"/>
            <w:tcBorders>
              <w:top w:val="single" w:sz="8" w:color="auto"/>
              <w:right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spacing w:after="0"/>
              <w:rPr>
                <w:sz w:val="20"/>
                <w:szCs w:val="20"/>
                <w:color w:val="auto"/>
              </w:rPr>
            </w:pPr>
          </w:p>
        </w:tc>
        <w:tc>
          <w:tcPr>
            <w:tcW w:w="2060" w:type="dxa"/>
            <w:vAlign w:val="bottom"/>
            <w:tcBorders>
              <w:top w:val="single" w:sz="8" w:color="auto"/>
              <w:right w:val="single" w:sz="8" w:color="auto"/>
            </w:tcBorders>
          </w:tcPr>
          <w:p>
            <w:pPr>
              <w:spacing w:after="0"/>
              <w:rPr>
                <w:sz w:val="20"/>
                <w:szCs w:val="20"/>
                <w:color w:val="auto"/>
              </w:rPr>
            </w:pPr>
          </w:p>
        </w:tc>
        <w:tc>
          <w:tcPr>
            <w:tcW w:w="18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Approximate Size</w:t>
            </w:r>
          </w:p>
        </w:tc>
        <w:tc>
          <w:tcPr>
            <w:tcW w:w="340" w:type="dxa"/>
            <w:vAlign w:val="bottom"/>
            <w:tcBorders>
              <w:top w:val="single" w:sz="8" w:color="auto"/>
              <w:right w:val="single" w:sz="8" w:color="auto"/>
            </w:tcBorders>
          </w:tcPr>
          <w:p>
            <w:pPr>
              <w:spacing w:after="0"/>
              <w:rPr>
                <w:sz w:val="20"/>
                <w:szCs w:val="20"/>
                <w:color w:val="auto"/>
              </w:rPr>
            </w:pPr>
          </w:p>
        </w:tc>
      </w:tr>
      <w:tr>
        <w:trPr>
          <w:trHeight w:val="261"/>
        </w:trPr>
        <w:tc>
          <w:tcPr>
            <w:tcW w:w="3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Location</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Primary Use</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4"/>
              </w:rPr>
              <w:t>Owned/Leased</w:t>
            </w: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Lease Expiration</w:t>
            </w:r>
          </w:p>
        </w:tc>
        <w:tc>
          <w:tcPr>
            <w:tcW w:w="1800" w:type="dxa"/>
            <w:vAlign w:val="bottom"/>
            <w:tcBorders>
              <w:bottom w:val="single" w:sz="8" w:color="auto"/>
              <w:right w:val="single" w:sz="8" w:color="auto"/>
            </w:tcBorders>
          </w:tcPr>
          <w:p>
            <w:pPr>
              <w:jc w:val="right"/>
              <w:ind w:right="30"/>
              <w:spacing w:after="0" w:line="262" w:lineRule="exact"/>
              <w:rPr>
                <w:sz w:val="20"/>
                <w:szCs w:val="20"/>
                <w:color w:val="auto"/>
              </w:rPr>
            </w:pPr>
            <w:r>
              <w:rPr>
                <w:rFonts w:ascii="Arial" w:cs="Arial" w:eastAsia="Arial" w:hAnsi="Arial"/>
                <w:sz w:val="18"/>
                <w:szCs w:val="18"/>
                <w:b w:val="1"/>
                <w:bCs w:val="1"/>
                <w:color w:val="auto"/>
              </w:rPr>
              <w:t>(in square feet)</w:t>
            </w:r>
            <w:r>
              <w:rPr>
                <w:rFonts w:ascii="Arial" w:cs="Arial" w:eastAsia="Arial" w:hAnsi="Arial"/>
                <w:sz w:val="25"/>
                <w:szCs w:val="25"/>
                <w:b w:val="1"/>
                <w:bCs w:val="1"/>
                <w:color w:val="auto"/>
                <w:vertAlign w:val="superscript"/>
              </w:rPr>
              <w:t>(1)</w:t>
            </w:r>
          </w:p>
        </w:tc>
        <w:tc>
          <w:tcPr>
            <w:tcW w:w="340" w:type="dxa"/>
            <w:vAlign w:val="bottom"/>
            <w:tcBorders>
              <w:bottom w:val="single" w:sz="8" w:color="auto"/>
              <w:right w:val="single" w:sz="8" w:color="auto"/>
            </w:tcBorders>
          </w:tcPr>
          <w:p>
            <w:pPr>
              <w:spacing w:after="0"/>
              <w:rPr>
                <w:sz w:val="22"/>
                <w:szCs w:val="22"/>
                <w:color w:val="auto"/>
              </w:rPr>
            </w:pPr>
          </w:p>
        </w:tc>
      </w:tr>
      <w:tr>
        <w:trPr>
          <w:trHeight w:val="222"/>
        </w:trPr>
        <w:tc>
          <w:tcPr>
            <w:tcW w:w="3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 South Wacker Drive, Chicago,</w:t>
            </w:r>
          </w:p>
        </w:tc>
        <w:tc>
          <w:tcPr>
            <w:tcW w:w="26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Global headquarters and office</w:t>
            </w:r>
          </w:p>
        </w:tc>
        <w:tc>
          <w:tcPr>
            <w:tcW w:w="1260" w:type="dxa"/>
            <w:vAlign w:val="bottom"/>
            <w:tcBorders>
              <w:right w:val="single" w:sz="8" w:color="auto"/>
            </w:tcBorders>
            <w:shd w:val="clear" w:color="auto" w:fill="CCEEFF"/>
          </w:tcPr>
          <w:p>
            <w:pPr>
              <w:spacing w:after="0"/>
              <w:rPr>
                <w:sz w:val="19"/>
                <w:szCs w:val="19"/>
                <w:color w:val="auto"/>
              </w:rPr>
            </w:pPr>
          </w:p>
        </w:tc>
        <w:tc>
          <w:tcPr>
            <w:tcW w:w="2060" w:type="dxa"/>
            <w:vAlign w:val="bottom"/>
            <w:tcBorders>
              <w:right w:val="single" w:sz="8" w:color="auto"/>
            </w:tcBorders>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r>
      <w:tr>
        <w:trPr>
          <w:trHeight w:val="257"/>
        </w:trPr>
        <w:tc>
          <w:tcPr>
            <w:tcW w:w="33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2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space</w:t>
            </w:r>
          </w:p>
        </w:tc>
        <w:tc>
          <w:tcPr>
            <w:tcW w:w="12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6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2022</w:t>
            </w:r>
            <w:r>
              <w:rPr>
                <w:rFonts w:ascii="Arial" w:cs="Arial" w:eastAsia="Arial" w:hAnsi="Arial"/>
                <w:sz w:val="25"/>
                <w:szCs w:val="25"/>
                <w:color w:val="auto"/>
                <w:vertAlign w:val="superscript"/>
              </w:rPr>
              <w:t>(2)</w:t>
            </w:r>
          </w:p>
        </w:tc>
        <w:tc>
          <w:tcPr>
            <w:tcW w:w="18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490,000</w:t>
            </w:r>
          </w:p>
        </w:tc>
        <w:tc>
          <w:tcPr>
            <w:tcW w:w="34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222"/>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141 West Jackson</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Chicago trading floor and office</w:t>
            </w:r>
          </w:p>
        </w:tc>
        <w:tc>
          <w:tcPr>
            <w:tcW w:w="126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r>
      <w:tr>
        <w:trPr>
          <w:trHeight w:val="257"/>
        </w:trPr>
        <w:tc>
          <w:tcPr>
            <w:tcW w:w="3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 Illinois</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space</w:t>
            </w:r>
          </w:p>
        </w:tc>
        <w:tc>
          <w:tcPr>
            <w:tcW w:w="1260" w:type="dxa"/>
            <w:vAlign w:val="bottom"/>
            <w:tcBorders>
              <w:bottom w:val="single" w:sz="8" w:color="auto"/>
              <w:right w:val="single" w:sz="8" w:color="auto"/>
            </w:tcBorders>
          </w:tcPr>
          <w:p>
            <w:pPr>
              <w:ind w:left="20"/>
              <w:spacing w:after="0" w:line="257" w:lineRule="exact"/>
              <w:rPr>
                <w:sz w:val="20"/>
                <w:szCs w:val="20"/>
                <w:color w:val="auto"/>
              </w:rPr>
            </w:pPr>
            <w:r>
              <w:rPr>
                <w:rFonts w:ascii="Arial" w:cs="Arial" w:eastAsia="Arial" w:hAnsi="Arial"/>
                <w:sz w:val="18"/>
                <w:szCs w:val="18"/>
                <w:color w:val="auto"/>
              </w:rPr>
              <w:t xml:space="preserve">Owned </w:t>
            </w:r>
            <w:r>
              <w:rPr>
                <w:rFonts w:ascii="Arial" w:cs="Arial" w:eastAsia="Arial" w:hAnsi="Arial"/>
                <w:sz w:val="25"/>
                <w:szCs w:val="25"/>
                <w:color w:val="auto"/>
                <w:vertAlign w:val="superscript"/>
              </w:rPr>
              <w:t>(3)</w:t>
            </w: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1,500,000</w:t>
            </w:r>
          </w:p>
        </w:tc>
        <w:tc>
          <w:tcPr>
            <w:tcW w:w="34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(4)</w:t>
            </w:r>
          </w:p>
        </w:tc>
      </w:tr>
      <w:tr>
        <w:trPr>
          <w:trHeight w:val="222"/>
        </w:trPr>
        <w:tc>
          <w:tcPr>
            <w:tcW w:w="3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550 West Washington</w:t>
            </w:r>
          </w:p>
        </w:tc>
        <w:tc>
          <w:tcPr>
            <w:tcW w:w="2620" w:type="dxa"/>
            <w:vAlign w:val="bottom"/>
            <w:tcBorders>
              <w:right w:val="single" w:sz="8" w:color="auto"/>
            </w:tcBorders>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2060" w:type="dxa"/>
            <w:vAlign w:val="bottom"/>
            <w:tcBorders>
              <w:right w:val="single" w:sz="8" w:color="auto"/>
            </w:tcBorders>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r>
      <w:tr>
        <w:trPr>
          <w:trHeight w:val="262"/>
        </w:trPr>
        <w:tc>
          <w:tcPr>
            <w:tcW w:w="3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 Illinois</w:t>
            </w:r>
          </w:p>
        </w:tc>
        <w:tc>
          <w:tcPr>
            <w:tcW w:w="26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Office space</w:t>
            </w:r>
          </w:p>
        </w:tc>
        <w:tc>
          <w:tcPr>
            <w:tcW w:w="12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225,000</w:t>
            </w:r>
          </w:p>
        </w:tc>
        <w:tc>
          <w:tcPr>
            <w:tcW w:w="34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22"/>
        </w:trPr>
        <w:tc>
          <w:tcPr>
            <w:tcW w:w="3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One North End</w:t>
            </w:r>
          </w:p>
        </w:tc>
        <w:tc>
          <w:tcPr>
            <w:tcW w:w="2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New York trading floor and office</w:t>
            </w:r>
          </w:p>
        </w:tc>
        <w:tc>
          <w:tcPr>
            <w:tcW w:w="1260" w:type="dxa"/>
            <w:vAlign w:val="bottom"/>
            <w:tcBorders>
              <w:top w:val="single" w:sz="8" w:color="auto"/>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right w:val="single" w:sz="8" w:color="auto"/>
            </w:tcBorders>
          </w:tcPr>
          <w:p>
            <w:pPr>
              <w:spacing w:after="0"/>
              <w:rPr>
                <w:sz w:val="19"/>
                <w:szCs w:val="19"/>
                <w:color w:val="auto"/>
              </w:rPr>
            </w:pPr>
          </w:p>
        </w:tc>
        <w:tc>
          <w:tcPr>
            <w:tcW w:w="340" w:type="dxa"/>
            <w:vAlign w:val="bottom"/>
            <w:tcBorders>
              <w:top w:val="single" w:sz="8" w:color="auto"/>
              <w:right w:val="single" w:sz="8" w:color="auto"/>
            </w:tcBorders>
          </w:tcPr>
          <w:p>
            <w:pPr>
              <w:spacing w:after="0"/>
              <w:rPr>
                <w:sz w:val="19"/>
                <w:szCs w:val="19"/>
                <w:color w:val="auto"/>
              </w:rPr>
            </w:pPr>
          </w:p>
        </w:tc>
      </w:tr>
      <w:tr>
        <w:trPr>
          <w:trHeight w:val="257"/>
        </w:trPr>
        <w:tc>
          <w:tcPr>
            <w:tcW w:w="3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 New York</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space</w:t>
            </w:r>
          </w:p>
        </w:tc>
        <w:tc>
          <w:tcPr>
            <w:tcW w:w="1260" w:type="dxa"/>
            <w:vAlign w:val="bottom"/>
            <w:tcBorders>
              <w:bottom w:val="single" w:sz="8" w:color="auto"/>
              <w:right w:val="single" w:sz="8" w:color="auto"/>
            </w:tcBorders>
          </w:tcPr>
          <w:p>
            <w:pPr>
              <w:ind w:left="20"/>
              <w:spacing w:after="0" w:line="257" w:lineRule="exact"/>
              <w:rPr>
                <w:sz w:val="20"/>
                <w:szCs w:val="20"/>
                <w:color w:val="auto"/>
              </w:rPr>
            </w:pPr>
            <w:r>
              <w:rPr>
                <w:rFonts w:ascii="Arial" w:cs="Arial" w:eastAsia="Arial" w:hAnsi="Arial"/>
                <w:sz w:val="18"/>
                <w:szCs w:val="18"/>
                <w:color w:val="auto"/>
              </w:rPr>
              <w:t>Mixed</w:t>
            </w:r>
            <w:r>
              <w:rPr>
                <w:rFonts w:ascii="Arial" w:cs="Arial" w:eastAsia="Arial" w:hAnsi="Arial"/>
                <w:sz w:val="25"/>
                <w:szCs w:val="25"/>
                <w:color w:val="auto"/>
                <w:vertAlign w:val="superscript"/>
              </w:rPr>
              <w:t>(5)</w:t>
            </w: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2069</w:t>
            </w:r>
          </w:p>
        </w:tc>
        <w:tc>
          <w:tcPr>
            <w:tcW w:w="1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500,000</w:t>
            </w: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269"/>
        </w:trPr>
        <w:tc>
          <w:tcPr>
            <w:tcW w:w="3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One New Change, London</w:t>
            </w:r>
          </w:p>
        </w:tc>
        <w:tc>
          <w:tcPr>
            <w:tcW w:w="26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Office space</w:t>
            </w:r>
          </w:p>
        </w:tc>
        <w:tc>
          <w:tcPr>
            <w:tcW w:w="12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34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22"/>
        </w:trPr>
        <w:tc>
          <w:tcPr>
            <w:tcW w:w="3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Annex Data Center</w:t>
            </w:r>
          </w:p>
        </w:tc>
        <w:tc>
          <w:tcPr>
            <w:tcW w:w="262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right w:val="single" w:sz="8" w:color="auto"/>
            </w:tcBorders>
          </w:tcPr>
          <w:p>
            <w:pPr>
              <w:spacing w:after="0"/>
              <w:rPr>
                <w:sz w:val="19"/>
                <w:szCs w:val="19"/>
                <w:color w:val="auto"/>
              </w:rPr>
            </w:pPr>
          </w:p>
        </w:tc>
        <w:tc>
          <w:tcPr>
            <w:tcW w:w="340" w:type="dxa"/>
            <w:vAlign w:val="bottom"/>
            <w:tcBorders>
              <w:top w:val="single" w:sz="8" w:color="auto"/>
              <w:right w:val="single" w:sz="8" w:color="auto"/>
            </w:tcBorders>
          </w:tcPr>
          <w:p>
            <w:pPr>
              <w:spacing w:after="0"/>
              <w:rPr>
                <w:sz w:val="19"/>
                <w:szCs w:val="19"/>
                <w:color w:val="auto"/>
              </w:rPr>
            </w:pPr>
          </w:p>
        </w:tc>
      </w:tr>
      <w:tr>
        <w:trPr>
          <w:trHeight w:val="230"/>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Chicagoland area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 continuity</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2014</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100,000</w:t>
            </w:r>
          </w:p>
        </w:tc>
        <w:tc>
          <w:tcPr>
            <w:tcW w:w="340" w:type="dxa"/>
            <w:vAlign w:val="bottom"/>
            <w:tcBorders>
              <w:right w:val="single" w:sz="8" w:color="auto"/>
            </w:tcBorders>
          </w:tcPr>
          <w:p>
            <w:pPr>
              <w:spacing w:after="0"/>
              <w:rPr>
                <w:sz w:val="20"/>
                <w:szCs w:val="20"/>
                <w:color w:val="auto"/>
              </w:rPr>
            </w:pP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22"/>
        </w:trPr>
        <w:tc>
          <w:tcPr>
            <w:tcW w:w="3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Remote Data Center</w:t>
            </w:r>
          </w:p>
        </w:tc>
        <w:tc>
          <w:tcPr>
            <w:tcW w:w="2620" w:type="dxa"/>
            <w:vAlign w:val="bottom"/>
            <w:tcBorders>
              <w:right w:val="single" w:sz="8" w:color="auto"/>
            </w:tcBorders>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2060" w:type="dxa"/>
            <w:vAlign w:val="bottom"/>
            <w:tcBorders>
              <w:right w:val="single" w:sz="8" w:color="auto"/>
            </w:tcBorders>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r>
      <w:tr>
        <w:trPr>
          <w:trHeight w:val="262"/>
        </w:trPr>
        <w:tc>
          <w:tcPr>
            <w:tcW w:w="3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Chicagoland area</w:t>
            </w:r>
          </w:p>
        </w:tc>
        <w:tc>
          <w:tcPr>
            <w:tcW w:w="26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Business continuity</w:t>
            </w:r>
          </w:p>
        </w:tc>
        <w:tc>
          <w:tcPr>
            <w:tcW w:w="12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8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34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22"/>
        </w:trPr>
        <w:tc>
          <w:tcPr>
            <w:tcW w:w="3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Data Center 3</w:t>
            </w:r>
          </w:p>
        </w:tc>
        <w:tc>
          <w:tcPr>
            <w:tcW w:w="2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Business continuity and co-</w:t>
            </w:r>
          </w:p>
        </w:tc>
        <w:tc>
          <w:tcPr>
            <w:tcW w:w="1260" w:type="dxa"/>
            <w:vAlign w:val="bottom"/>
            <w:tcBorders>
              <w:top w:val="single" w:sz="8" w:color="auto"/>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right w:val="single" w:sz="8" w:color="auto"/>
            </w:tcBorders>
          </w:tcPr>
          <w:p>
            <w:pPr>
              <w:spacing w:after="0"/>
              <w:rPr>
                <w:sz w:val="19"/>
                <w:szCs w:val="19"/>
                <w:color w:val="auto"/>
              </w:rPr>
            </w:pPr>
          </w:p>
        </w:tc>
        <w:tc>
          <w:tcPr>
            <w:tcW w:w="340" w:type="dxa"/>
            <w:vAlign w:val="bottom"/>
            <w:tcBorders>
              <w:top w:val="single" w:sz="8" w:color="auto"/>
              <w:right w:val="single" w:sz="8" w:color="auto"/>
            </w:tcBorders>
          </w:tcPr>
          <w:p>
            <w:pPr>
              <w:spacing w:after="0"/>
              <w:rPr>
                <w:sz w:val="19"/>
                <w:szCs w:val="19"/>
                <w:color w:val="auto"/>
              </w:rPr>
            </w:pPr>
          </w:p>
        </w:tc>
      </w:tr>
      <w:tr>
        <w:trPr>
          <w:trHeight w:val="230"/>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Chicagoland area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location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Owned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430,000</w:t>
            </w:r>
          </w:p>
        </w:tc>
        <w:tc>
          <w:tcPr>
            <w:tcW w:w="340" w:type="dxa"/>
            <w:vAlign w:val="bottom"/>
            <w:tcBorders>
              <w:right w:val="single" w:sz="8" w:color="auto"/>
            </w:tcBorders>
          </w:tcPr>
          <w:p>
            <w:pPr>
              <w:spacing w:after="0"/>
              <w:rPr>
                <w:sz w:val="20"/>
                <w:szCs w:val="20"/>
                <w:color w:val="auto"/>
              </w:rPr>
            </w:pP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Size represents the amount of space leased by us unless otherwise noted.</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initial lease expires in 2022 with two consecutive options to extend the term for seven and ten years, respectively.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June 2011, we announced that we are pursuing a sale and partial leaseback of the north and south buildings of this location.</w:t>
      </w:r>
    </w:p>
    <w:p>
      <w:pPr>
        <w:spacing w:after="0" w:line="9" w:lineRule="exact"/>
        <w:rPr>
          <w:rFonts w:ascii="Arial" w:cs="Arial" w:eastAsia="Arial" w:hAnsi="Arial"/>
          <w:sz w:val="18"/>
          <w:szCs w:val="18"/>
          <w:color w:val="auto"/>
        </w:rPr>
      </w:pPr>
    </w:p>
    <w:p>
      <w:pPr>
        <w:ind w:left="660" w:right="12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occupy approximately 425,000 square feet of the 141 West Jackson complex, which includes space that is not subject to the proposed sale of the property.</w:t>
      </w:r>
    </w:p>
    <w:p>
      <w:pPr>
        <w:ind w:left="660" w:right="420" w:hanging="652"/>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One North End property is subject to a ground lease with the Battery Park City Authority for the site of our New York offices and trading facility. In accordance with the terms of the lease, we are deemed to lease the building and its improvements from the landlord. We do not make lease payments to the landlord related to the building and we receive the financial benefit of the rental income.</w:t>
      </w: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occupy approximately 350,000 square feet of the One North End Building.</w:t>
      </w:r>
    </w:p>
    <w:p>
      <w:pPr>
        <w:spacing w:after="0" w:line="15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also lease other office space around the world and have also partnered with major global telecommunications carriers in connection with our telecommunications hubs whereby we place data cabinets within the carriers’ existing secured data centers. We believe our facilities are adequate for our current operations and that additional space can be obtained if needed.</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“Legal Matters” in Note 13. Contingencies to the Consolidated Financial Statements beginning on page 82 for CME Group’s legal proceedings disclosure which is incorporated herein by reference.</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40"/>
          </w:cols>
          <w:pgMar w:left="240" w:top="121" w:right="2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14"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Class A common stock is currently listed on NASDAQ under the ticker symbol “CME.” As of February 15, 2012, there were approximately 3,342 holders of record of our Class A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high and low sales prices per share of our Class A common stock on a quarterly basis, as reported on NASDAQ.</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High</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2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2010</w:t>
            </w: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323.43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279.58</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First Quarter</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353.03</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265.75</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9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313.00</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261.10</w:t>
            </w:r>
          </w:p>
        </w:tc>
        <w:tc>
          <w:tcPr>
            <w:tcW w:w="206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1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347.50</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280.78</w:t>
            </w:r>
          </w:p>
        </w:tc>
      </w:tr>
      <w:tr>
        <w:trPr>
          <w:trHeight w:val="27"/>
        </w:trPr>
        <w:tc>
          <w:tcPr>
            <w:tcW w:w="1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298.14</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236.50</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Third Quarter</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289.72</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234.50</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9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280.76</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235.23</w:t>
            </w:r>
          </w:p>
        </w:tc>
        <w:tc>
          <w:tcPr>
            <w:tcW w:w="206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1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328.00</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255.62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Class B common stock is not listed on a national securities exchange or traded in an organized over-the-counter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200"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Class B shares and the associated trading rights are bought and sold or leased through our shareholder relations and membership services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determined by the value of our Class A common stock</w:t>
      </w:r>
      <w:r>
        <w:rPr>
          <w:rFonts w:ascii="Arial" w:cs="Arial" w:eastAsia="Arial" w:hAnsi="Arial"/>
          <w:sz w:val="19"/>
          <w:szCs w:val="19"/>
          <w:color w:val="auto"/>
        </w:rPr>
        <w:t>.</w:t>
      </w:r>
      <w:r>
        <w:rPr>
          <w:rFonts w:ascii="Arial" w:cs="Arial" w:eastAsia="Arial" w:hAnsi="Arial"/>
          <w:sz w:val="18"/>
          <w:szCs w:val="18"/>
          <w:color w:val="auto"/>
        </w:rPr>
        <w:t xml:space="preserve"> As of February 15, 2012, there were approximately 1,716 holders of record of our Class B common stock.</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dividends we paid on our Class A and Class B common stock in the last two years: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Record Date</w:t>
            </w:r>
          </w:p>
        </w:tc>
        <w:tc>
          <w:tcPr>
            <w:tcW w:w="1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Dividend per Share</w:t>
            </w:r>
          </w:p>
        </w:tc>
        <w:tc>
          <w:tcPr>
            <w:tcW w:w="2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Record Date</w:t>
            </w:r>
          </w:p>
        </w:tc>
        <w:tc>
          <w:tcPr>
            <w:tcW w:w="1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7"/>
              </w:rPr>
              <w:t>Dividend per Share</w:t>
            </w: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10, 2011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March 10, 2010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June 10, 2011</w:t>
            </w:r>
          </w:p>
        </w:tc>
        <w:tc>
          <w:tcPr>
            <w:tcW w:w="138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1.40</w:t>
            </w:r>
          </w:p>
        </w:tc>
        <w:tc>
          <w:tcPr>
            <w:tcW w:w="2840" w:type="dxa"/>
            <w:vAlign w:val="bottom"/>
          </w:tcPr>
          <w:p>
            <w:pPr>
              <w:ind w:left="120"/>
              <w:spacing w:after="0"/>
              <w:rPr>
                <w:sz w:val="20"/>
                <w:szCs w:val="20"/>
                <w:color w:val="auto"/>
              </w:rPr>
            </w:pPr>
            <w:r>
              <w:rPr>
                <w:rFonts w:ascii="Arial" w:cs="Arial" w:eastAsia="Arial" w:hAnsi="Arial"/>
                <w:sz w:val="18"/>
                <w:szCs w:val="18"/>
                <w:color w:val="auto"/>
              </w:rPr>
              <w:t>June 10, 2010</w:t>
            </w:r>
          </w:p>
        </w:tc>
        <w:tc>
          <w:tcPr>
            <w:tcW w:w="142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1.15</w:t>
            </w:r>
          </w:p>
        </w:tc>
      </w:tr>
      <w:tr>
        <w:trPr>
          <w:trHeight w:val="27"/>
        </w:trPr>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10, 2011</w:t>
            </w: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September 10, 2010</w:t>
            </w:r>
          </w:p>
        </w:tc>
        <w:tc>
          <w:tcPr>
            <w:tcW w:w="1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December 10, 2011</w:t>
            </w:r>
          </w:p>
        </w:tc>
        <w:tc>
          <w:tcPr>
            <w:tcW w:w="138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1.40</w:t>
            </w:r>
          </w:p>
        </w:tc>
        <w:tc>
          <w:tcPr>
            <w:tcW w:w="2840" w:type="dxa"/>
            <w:vAlign w:val="bottom"/>
          </w:tcPr>
          <w:p>
            <w:pPr>
              <w:ind w:left="120"/>
              <w:spacing w:after="0"/>
              <w:rPr>
                <w:sz w:val="20"/>
                <w:szCs w:val="20"/>
                <w:color w:val="auto"/>
              </w:rPr>
            </w:pPr>
            <w:r>
              <w:rPr>
                <w:rFonts w:ascii="Arial" w:cs="Arial" w:eastAsia="Arial" w:hAnsi="Arial"/>
                <w:sz w:val="18"/>
                <w:szCs w:val="18"/>
                <w:color w:val="auto"/>
              </w:rPr>
              <w:t>December 10, 2010</w:t>
            </w:r>
          </w:p>
        </w:tc>
        <w:tc>
          <w:tcPr>
            <w:tcW w:w="142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1.15</w:t>
            </w:r>
          </w:p>
        </w:tc>
      </w:tr>
    </w:tbl>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February 1, 2012, our board approved a change in our annual dividend policy to increase the target from approximately 35% of the prior year's cash earnings to approximately 50% of the prior year's cash earnings. In accordance with this policy, we intend to continue to pay a regular quarterly dividend to our shareholders. On February 1, 2012, the board of directors declared a regular quarterly dividend of $2.23 per share. The decision to declare a dividend, however, remains within the discretion of our board of directors and may be affected by various factors, including our future earnings, financial condition, capital requirements, levels of indebtedness and other considerations our board of directors deems relevant. The board of directors also declared an additional, annual variable dividend of $3.00 per share. The amount of the annual variable dividend will be determined after the end of each year, and the level will increase or decrease from year to year based on operating results, potential merger and acquisition activity, and other forms of capital return including regular dividends and share buybacks during the prior year. Both dividends will be payable on March 26, 2012, to shareholders of record on March 9, 2012. Assuming no changes in the number of shares outstanding, the total first quarter dividend payment for both dividends will be approximately $345.8 million.</w:t>
      </w:r>
    </w:p>
    <w:p>
      <w:pPr>
        <w:spacing w:after="0" w:line="11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indentures governing our floating and fixed rate notes, our 364-day clearing house credit facility for $3.0 billion and our new $1.0 billion multi-currency revolving senior credit facility entered into in 2011, do not contain specific covenants that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restrict the ability to pay dividends. These documents, however, do contain other customary financial and operating covenants that place restrictions on the operations of the company, which could indirectly affect the ability to pay dividends.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example, under our new senior credit facility, we are required to remain in compliance with a consolidated net worth test, defined as our consolidated shareholders’ equity as of September 30, 2010 after giving effect to actual share repurchases made and special dividends paid, but only up to the amount of such repurchases and dividends publicly announced and made or paid after September 30, 2010 (and in no event greater than $2.0 billion in the aggregate for such repurchases and dividends during the term of the agreement), multiplied by 0.65. In addition, our 364-day clearing house credit facility contains a requirement that CME remain in compliance with a consolidated tangible net worth test, defined as consolidated shareholder’s equity less intangible assets (as defined in the agreement), of not less than $375.0 million.</w:t>
      </w:r>
    </w:p>
    <w:p>
      <w:pPr>
        <w:spacing w:after="0" w:line="1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including CME, in order to provide a portion of the funds which it uses to pay dividends to its shareholders.</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CME Group and its subsidiaries are also required to comply with restrictions contained in the general corporation laws of their state of incorporation which could also limit its (or their) ability to declare and pay dividends.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May 9, 2011, the board of directors authorized a share buyback program of up to $750.0 million of Class A common stock over a 12-month period.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During 2011, we purchased a total of 0.8 million shares at an average price of $272 per share.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following graph and table compares the cumulative five-year total return provided shareholders on our Class A common stock relative to the cumulative total returns of the S&amp;P 500 index and our customized peer group. The peer group includes CBOE Holdings, Inc., IntercontinentalExchange, Inc., NYSE Euronext and The Nasdaq OMX Group Inc. An investment of $100 (with reinvestment of all dividends) is assumed to have been made in our Class A common stock, in the peer group and the S&amp;P 500 index on December 31, 2006 and its relative performance is tracked through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5840095" cy="4853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0095" cy="485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2007</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2008</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 Inc.</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135.37</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42.05</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69.09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67.20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51.96</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S&amp;P 500</w:t>
            </w:r>
          </w:p>
        </w:tc>
        <w:tc>
          <w:tcPr>
            <w:tcW w:w="15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105.49</w:t>
            </w:r>
          </w:p>
        </w:tc>
        <w:tc>
          <w:tcPr>
            <w:tcW w:w="4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66.46</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84.05</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96.71</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98.75</w:t>
            </w:r>
          </w:p>
        </w:tc>
      </w:tr>
      <w:tr>
        <w:trPr>
          <w:trHeight w:val="27"/>
        </w:trPr>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15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122.62</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46.44</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48.92</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56.31</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55.99</w:t>
            </w:r>
          </w:p>
        </w:tc>
      </w:tr>
      <w:tr>
        <w:trPr>
          <w:trHeight w:val="27"/>
        </w:trPr>
        <w:tc>
          <w:tcPr>
            <w:tcW w:w="24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connection with our strategic partnership with BM&amp;FBOVESPA, we issued shares to BM&amp;FBOVESPA in two separate transactions resulting in their aggregate ownership of approximately 5% of our Class A common shares. The first transaction occurred on February 26, 2008 and involved the issuance of</w:t>
      </w:r>
    </w:p>
    <w:p>
      <w:pPr>
        <w:ind w:right="20"/>
        <w:spacing w:after="0" w:line="323" w:lineRule="auto"/>
        <w:rPr>
          <w:sz w:val="20"/>
          <w:szCs w:val="20"/>
          <w:color w:val="auto"/>
        </w:rPr>
      </w:pPr>
      <w:r>
        <w:rPr>
          <w:rFonts w:ascii="Arial" w:cs="Arial" w:eastAsia="Arial" w:hAnsi="Arial"/>
          <w:sz w:val="16"/>
          <w:szCs w:val="16"/>
          <w:color w:val="auto"/>
        </w:rPr>
        <w:t>1.2 million Class A shares valued at $631.4 million in exchange for our receipt of an equity stake of approximately 10% in the Brazilian Mercantile &amp; Futures Exchange. Subsequent to this investment, the Brazilian Mercantile &amp; Futures Exchange merged with Bovespa Holdings S.A. to become BM&amp;FBOVESPA.</w:t>
      </w:r>
    </w:p>
    <w:p>
      <w:pPr>
        <w:sectPr>
          <w:pgSz w:w="11900" w:h="16838" w:orient="portrait"/>
          <w:cols w:equalWidth="0" w:num="1">
            <w:col w:w="11420"/>
          </w:cols>
          <w:pgMar w:left="240" w:top="121"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On July 16, 2010, in connection with a definitive Share Purchase and Investor Rights Agreement, dated June 22, 2010, we issued to BM&amp;FBOVESPA 2.2 million shares of our Class A common stock at a purchase price per share of $275.12 in cash, or approximately $607.0 million in the aggregate. The shares of our Class A common stock issued in these transactions were unregistered and were issued in reliance on Section 4(2) of the Securities Act. The shares are subject to transfer restrictions that expired in February 2012.</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27, 2009, as consideration for our acquisition of a 25% equity stake in Bursa Derivatives, we issued 76,427 shares of our Class A common stock to Bursa Malaysia Berhad, its parent company. The aggregate value of the transaction was $25.1 million. The shares of Class A common stock were issued in an unregistered transaction in reliance on Section 4(2) of the Securities Act and are subject to transfer restrictions for a period of four years with one fourth of the shares being released on an annual basis.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(c) Total Number of</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 Total Number</w:t>
            </w:r>
          </w:p>
        </w:tc>
        <w:tc>
          <w:tcPr>
            <w:tcW w:w="280" w:type="dxa"/>
            <w:vAlign w:val="bottom"/>
          </w:tcPr>
          <w:p>
            <w:pPr>
              <w:spacing w:after="0"/>
              <w:rPr>
                <w:sz w:val="12"/>
                <w:szCs w:val="12"/>
                <w:color w:val="auto"/>
              </w:rPr>
            </w:pPr>
          </w:p>
        </w:tc>
        <w:tc>
          <w:tcPr>
            <w:tcW w:w="144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2"/>
              </w:rPr>
              <w:t>(b) Average Price</w:t>
            </w: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of Shares (or Units) that May Yet</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280" w:type="dxa"/>
            <w:vAlign w:val="bottom"/>
          </w:tcPr>
          <w:p>
            <w:pPr>
              <w:spacing w:after="0"/>
              <w:rPr>
                <w:sz w:val="12"/>
                <w:szCs w:val="12"/>
                <w:color w:val="auto"/>
              </w:rPr>
            </w:pPr>
          </w:p>
        </w:tc>
        <w:tc>
          <w:tcPr>
            <w:tcW w:w="14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Paid Per Share (or</w:t>
            </w:r>
          </w:p>
        </w:tc>
        <w:tc>
          <w:tcPr>
            <w:tcW w:w="16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Announced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r>
              <w:rPr>
                <w:rFonts w:ascii="Arial" w:cs="Arial" w:eastAsia="Arial" w:hAnsi="Arial"/>
                <w:sz w:val="12"/>
                <w:szCs w:val="12"/>
                <w:b w:val="1"/>
                <w:bCs w:val="1"/>
                <w:color w:val="auto"/>
                <w:w w:val="92"/>
              </w:rPr>
              <w:t>(1)</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Unit)</w:t>
            </w:r>
          </w:p>
        </w:tc>
        <w:tc>
          <w:tcPr>
            <w:tcW w:w="16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Plans or Programs</w:t>
            </w: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4"/>
                <w:szCs w:val="14"/>
                <w:b w:val="1"/>
                <w:bCs w:val="1"/>
                <w:color w:val="auto"/>
                <w:w w:val="92"/>
              </w:rPr>
              <w:t>the Plans or Programs</w:t>
            </w:r>
            <w:r>
              <w:rPr>
                <w:rFonts w:ascii="Arial" w:cs="Arial" w:eastAsia="Arial" w:hAnsi="Arial"/>
                <w:sz w:val="12"/>
                <w:szCs w:val="12"/>
                <w:b w:val="1"/>
                <w:bCs w:val="1"/>
                <w:color w:val="auto"/>
                <w:w w:val="92"/>
              </w:rPr>
              <w:t>(2)</w:t>
            </w:r>
            <w:r>
              <w:rPr>
                <w:rFonts w:ascii="Arial" w:cs="Arial" w:eastAsia="Arial" w:hAnsi="Arial"/>
                <w:sz w:val="14"/>
                <w:szCs w:val="14"/>
                <w:b w:val="1"/>
                <w:bCs w:val="1"/>
                <w:color w:val="auto"/>
                <w:w w:val="92"/>
              </w:rPr>
              <w:t xml:space="preserve"> (in millions)</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to October 31</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264.79</w:t>
            </w:r>
          </w:p>
        </w:tc>
        <w:tc>
          <w:tcPr>
            <w:tcW w:w="1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November 1 to November 30</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40" w:type="dxa"/>
            <w:vAlign w:val="bottom"/>
          </w:tcPr>
          <w:p>
            <w:pPr>
              <w:jc w:val="right"/>
              <w:ind w:right="20"/>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to December 31</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1,108</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241.56</w:t>
            </w:r>
          </w:p>
        </w:tc>
        <w:tc>
          <w:tcPr>
            <w:tcW w:w="16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0" w:hanging="652"/>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purchased consist of an aggregate of 1,150 shares of Class A common stock surrendered to satisfy employee tax obligations upon the vesting of restricted stock.</w:t>
      </w:r>
    </w:p>
    <w:p>
      <w:pPr>
        <w:ind w:left="660" w:right="440" w:hanging="652"/>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May 9, 2011, the board of directors authorized a share buyback program of up to $750.0 million of Class A common stock over a 12-month period.</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July 12, 2007, CBOT Holdings, Inc. (CBOT Holdings) merged with and into Chicago Mercantile Exchange Holdings Inc. (CME Holdings). At the time of this merger, the combined company was renamed CME Group Inc. (CME Group). On March 23, 2008, CME Group acquired Credit Market Analysis Ltd., a private company incorporated in the United Kingdom, and its wholly-owned subsidiaries (collectively, CMA). On August 22, 2008, NYMEX Holdings, Inc. (NYMEX Holdings) merged with CME Group. On March 18, 2010, the Board of Trade of the City of Chicago, Inc. (CBOT) acquired a 90% ownership interest in CME Group Index Services LLC (Index Services), a joint venture with Dow Jones &amp; Company (Dow Jones).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following data includes the financial results of CBOT Holdings beginning July 13, 2007, the financial results of CMA beginning March 24, 2008, the financial results of NYMEX Holdings beginning August 23, 2008 and the financial results of Index Services beginning March 19, 2010.</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or At December 31</w:t>
            </w: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2008</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2007</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3,280.6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3,003.7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2,612.8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2,561.0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1,756.1</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2,021.1</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1,831.1</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1,589.1</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1,582.2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(84.6)</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(109.2)</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(151.6)</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(334.2)</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43.9</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1,936.5</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1,721.9</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1,437.5</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1,248.0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1,095.8</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1,812.3</w:t>
            </w:r>
          </w:p>
        </w:tc>
        <w:tc>
          <w:tcPr>
            <w:tcW w:w="44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951.4</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825.8</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715.5</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658.5</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27.23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14.35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12.44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12.18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15.05</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27.15</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14.31</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12.41</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12.13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Cash dividends per share</w:t>
            </w: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5.60</w:t>
            </w:r>
          </w:p>
        </w:tc>
        <w:tc>
          <w:tcPr>
            <w:tcW w:w="44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4.60</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4.60</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9.60</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3.44</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40,758.7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35,046.1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35,651.0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48,158.7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20,306.2</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420.5</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299.8</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249.9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2,106.8</w:t>
            </w:r>
          </w:p>
        </w:tc>
        <w:tc>
          <w:tcPr>
            <w:tcW w:w="44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2,104.8</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2,014.7</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2,966.1</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21,552.0</w:t>
            </w: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20,060.1</w:t>
            </w: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19,301.0</w:t>
            </w: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18,688.6</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12,305.6</w:t>
            </w:r>
          </w:p>
        </w:tc>
      </w:tr>
      <w:tr>
        <w:trPr>
          <w:trHeight w:val="27"/>
        </w:trPr>
        <w:tc>
          <w:tcPr>
            <w:tcW w:w="35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table presents key statistical information on the volume of contracts traded, expressed in round turn trades, and notional value of contracts traded. The 2008 volume data includes average daily volume for NYMEX products for the period August 23 through December 31, 2008. The 2007 volume data includes average daily volume for CBOT products for the period July 13 through December 31, 2007. All amounts exclude our TRAKRS, HuRLO, Swapstream, credit default swaps, interest rate swaps and CME Clearing Europe contracts.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rPr>
              <w:t>Year Ended or At December 31</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notional value)</w:t>
            </w:r>
          </w:p>
        </w:tc>
        <w:tc>
          <w:tcPr>
            <w:tcW w:w="15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Product Lines: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Equity</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3,238</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Agricultural commodity</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Energy</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Metal</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13,439</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Method of Trade:</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Electronic</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11,350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8,661</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Open outcry</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Privately negotiated</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CME ClearPort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13,439</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Data:</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Notional Value (in trillions)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Trading Volume (round turn trades)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3,386,716</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3,078,149</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2,584,891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2,978,459</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2,249,632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Open Interest at Year End (contracts)</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78,318</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84,873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78,102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63,049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53,981</w:t>
            </w:r>
          </w:p>
        </w:tc>
        <w:tc>
          <w:tcPr>
            <w:tcW w:w="0" w:type="dxa"/>
            <w:vAlign w:val="bottom"/>
          </w:tcPr>
          <w:p>
            <w:pPr>
              <w:spacing w:after="0"/>
              <w:rPr>
                <w:sz w:val="1"/>
                <w:szCs w:val="1"/>
                <w:color w:val="auto"/>
              </w:rPr>
            </w:pPr>
          </w:p>
        </w:tc>
      </w:tr>
      <w:tr>
        <w:trPr>
          <w:trHeight w:val="27"/>
        </w:trPr>
        <w:tc>
          <w:tcPr>
            <w:tcW w:w="35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right="80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is organized as follows:</w:t>
      </w:r>
    </w:p>
    <w:p>
      <w:pPr>
        <w:spacing w:after="0" w:line="86" w:lineRule="exact"/>
        <w:rPr>
          <w:sz w:val="20"/>
          <w:szCs w:val="20"/>
          <w:color w:val="auto"/>
        </w:rPr>
      </w:pPr>
    </w:p>
    <w:p>
      <w:pPr>
        <w:ind w:left="660" w:right="10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Overview</w:t>
      </w:r>
      <w:r>
        <w:rPr>
          <w:rFonts w:ascii="Arial" w:cs="Arial" w:eastAsia="Arial" w:hAnsi="Arial"/>
          <w:sz w:val="18"/>
          <w:szCs w:val="18"/>
          <w:color w:val="auto"/>
        </w:rPr>
        <w:t>: Includes a discussion of our business structure; current economic and industry-wide trends relevant to our business; our current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and our primary sources of operating and non-operating revenues and expenses.</w:t>
      </w:r>
    </w:p>
    <w:p>
      <w:pPr>
        <w:spacing w:after="0" w:line="26" w:lineRule="exact"/>
        <w:rPr>
          <w:rFonts w:ascii="Arial" w:cs="Arial" w:eastAsia="Arial" w:hAnsi="Arial"/>
          <w:sz w:val="18"/>
          <w:szCs w:val="18"/>
          <w:color w:val="auto"/>
        </w:rPr>
      </w:pPr>
    </w:p>
    <w:p>
      <w:pPr>
        <w:ind w:left="660" w:right="18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Critical Accounting Policies</w:t>
      </w:r>
      <w:r>
        <w:rPr>
          <w:rFonts w:ascii="Arial" w:cs="Arial" w:eastAsia="Arial" w:hAnsi="Arial"/>
          <w:sz w:val="18"/>
          <w:szCs w:val="18"/>
          <w:color w:val="auto"/>
        </w:rPr>
        <w:t>: Provides an explanation of accounting policies which may have a significant impact on our financial results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assumptions and risks associated with those policies.</w:t>
      </w:r>
    </w:p>
    <w:p>
      <w:pPr>
        <w:spacing w:after="0" w:line="2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Includes an evaluation of recent accounting pronouncements and the potential impact of their future adoption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our financial results.</w:t>
      </w:r>
    </w:p>
    <w:p>
      <w:pPr>
        <w:spacing w:after="0" w:line="26" w:lineRule="exact"/>
        <w:rPr>
          <w:rFonts w:ascii="Arial" w:cs="Arial" w:eastAsia="Arial" w:hAnsi="Arial"/>
          <w:sz w:val="18"/>
          <w:szCs w:val="18"/>
          <w:color w:val="auto"/>
        </w:rPr>
      </w:pPr>
    </w:p>
    <w:p>
      <w:pPr>
        <w:ind w:left="660" w:right="52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Includes a discussion of our 2011, 2010 and 2009 financial results and any known events or trends which are likely to</w:t>
      </w:r>
      <w:r>
        <w:rPr>
          <w:rFonts w:ascii="Arial" w:cs="Arial" w:eastAsia="Arial" w:hAnsi="Arial"/>
          <w:sz w:val="18"/>
          <w:szCs w:val="18"/>
          <w:b w:val="1"/>
          <w:bCs w:val="1"/>
          <w:color w:val="auto"/>
        </w:rPr>
        <w:t xml:space="preserve"> </w:t>
      </w:r>
      <w:r>
        <w:rPr>
          <w:rFonts w:ascii="Arial" w:cs="Arial" w:eastAsia="Arial" w:hAnsi="Arial"/>
          <w:sz w:val="18"/>
          <w:szCs w:val="18"/>
          <w:color w:val="auto"/>
        </w:rPr>
        <w:t>impact future results.</w:t>
      </w:r>
    </w:p>
    <w:p>
      <w:pPr>
        <w:spacing w:after="0" w:line="26" w:lineRule="exact"/>
        <w:rPr>
          <w:rFonts w:ascii="Arial" w:cs="Arial" w:eastAsia="Arial" w:hAnsi="Arial"/>
          <w:sz w:val="18"/>
          <w:szCs w:val="18"/>
          <w:color w:val="auto"/>
        </w:rPr>
      </w:pPr>
    </w:p>
    <w:p>
      <w:pPr>
        <w:ind w:left="660" w:right="30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Includes a discussion of our future cash requirements, capital resources, significant planned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w:t>
      </w:r>
    </w:p>
    <w:p>
      <w:pPr>
        <w:spacing w:after="0" w:line="5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On March 18, 2010, Board of Trade of the City of Chicago, Inc. (CBOT) acquired a 90% ownership interest in CME Group Index Services LLC (Index Services), a joint venture with Dow Jones &amp; Company (Dow Jones). The following Management's Discussion and Analysis of Financial Condition and Results of Operations includes the financial results of Index Services beginning March 19, 2010.</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References in this discussion and analysis to “we” and “our” are to CME Group Inc. (CME Group) and its consolidated subsidiaries, collectively. References to “exchange” are to Chicago Mercantile Exchange Inc. (CME), CBOT and New York Mercantile Exchange, Inc. (NYMEX), collectively.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Structure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CME Group, a Delaware stock corporation, is the holding company for CME, CBOT, NYMEX and their respective subsidiaries. The holding company structure is designed to provide strategic and operational flexibility. CME Group also includes two clearing houses - CME Clearing, a division of CME, and CME Clearing Europe Limited (CMECE). CME Group's Class A common stock is listed on the NASDAQ Global Select Market (NASDAQ) under the ticker symbol “CME.”</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exchange consists of designated contract markets for the trading of futures and options on futures contracts. We also clear futures, options on futures and over-the-counter contracts. Futures contracts and options on futures contracts provide investors with vehicles for protecting against, and potentially profiting from, price changes in financial instruments and physical commodities.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a global exchange with customer access available virtually all over the world. Our customers consist of professional traders, financial institutions, individual and institutional investors, major corporations, manufacturers, producers and governments. Customers include both members of the exchange and non-members.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offer our customers the opportunity to trade futures contracts and options on futures contracts on a range of products including those based on interest rates, equities, foreign exchange, agricultural commodities, energy, and metals. We also clear over-the-counter contracts on a range of product lines including interest rate swaps, credit default swaps, energy and agricultural commodities.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products provide a means for hedging, speculating and allocating assets. We identify new products by monitoring economic trends and their impact on the risk management and speculative needs of our existing and prospective customers.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major product lines are traded through our electronic trading platform and our open outcry trading floors. These execution facilities offer our customers immediate trade execution and price transparency. In addition, trades can be executed through privately negotiated transactions that are cleared and settled through our CME clearing house.</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clearing houses clear, settle and guarantee every futures and options contract traded through our exchanges, in addition to cleared over-the-counter products, including credit default swaps and interest rate swaps. Our clearing house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houses as the counterparty to every transaction allows our customers to establish a position with one party and then to offset the position with another party. This contract</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offsetting process provides our customers with flexibility in establishing and adjusting positions and provides for performance bond efficiencies.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 ensure performance of counterparties, we establish and monitor financial requirements of our clearing firms. We also establish minimum performance bond requirements for our exchange-traded products and over-the-counter products. For CME and CMECE clearing firms, we mark-to-market all open positions at least twice a day and require payment from clearing firms whose positions have lost value and make payments to clearing firms whose positions have gained value. For select cleared-only markets, positions are marked-to-market daily, with the capability to mark-to-market more frequently as market conditions warrant.</w:t>
      </w:r>
    </w:p>
    <w:p>
      <w:pPr>
        <w:spacing w:after="0" w:line="1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maintain three separate financial safeguard packages for CME clearing firms: one for futures and options, one for cleared over-the-counter credit default swap contracts, and one for cleared over-the-counter interest rate swap contracts. In the unlikely event of a payment default by a clearing firm, we would first apply any assets of the defaulting clearing firm deposited with CME to satisfy its payment obligation. These assets include the defaulting firm's guaranty fund contributions, performance bonds and any other available assets, such as assets required for membership and any associated trading rights. In addition, we would make a demand for payment pursuant to any applicable guarantee provided to the exchange by the parent company of the clearing firm. Thereafter, if the payment default remains unsatisfied, we would use our surplus funds for futures and options contracts, or our designated working capital for cleared over-the-counter credit default swap contracts and cleared over-the-counter interest rate swap contracts. We would then use guaranty fund contributions of other clearing firms within the respective financial safeguard package and funds collected through an assessment against solvent clearing firms within the respective financial safeguard package to satisfy the deficit. Surplus funds represent the amount of CME working capital reduced by an amount necessary to support normal operations and amounts designated by CME for our credit default swap and interest rate swap financial safeguard packages.</w:t>
      </w:r>
    </w:p>
    <w:p>
      <w:pPr>
        <w:spacing w:after="0" w:line="1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a separate financial safeguard package for CMECE clearing firms. In the unlikely event of a payment default by a CMECE clearing firm, we would first apply assets of the defaulting clearing firm to satisfy its payment obligation. These assets include the defaulting firm's performance bonds. Thereafter, if the payment default remains unsatisfied, we would use $60.0 million of CMECE funds. As of December 31, 2011, the guaranty fund contributions were contributed by CMECE. In 2012, the CMECE clearing firms may be asked to contribute to the CMECE guaranty fund and the size of the fund will be reviewed in light of the actual risk exposure. Once the CMECE clearing firms contribute to the guaranty fund, we would use at least $20.0 million of CMECE funds in the event of a default.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Economic Environment. </w:t>
      </w:r>
      <w:r>
        <w:rPr>
          <w:rFonts w:ascii="Arial" w:cs="Arial" w:eastAsia="Arial" w:hAnsi="Arial"/>
          <w:sz w:val="16"/>
          <w:szCs w:val="16"/>
          <w:color w:val="auto"/>
        </w:rPr>
        <w:t>Our customers continue to use our markets as an effective and transparent means to manage risk and meet their investment needs</w:t>
      </w:r>
      <w:r>
        <w:rPr>
          <w:rFonts w:ascii="Arial" w:cs="Arial" w:eastAsia="Arial" w:hAnsi="Arial"/>
          <w:sz w:val="16"/>
          <w:szCs w:val="16"/>
          <w:b w:val="1"/>
          <w:bCs w:val="1"/>
          <w:color w:val="auto"/>
        </w:rPr>
        <w:t xml:space="preserve"> </w:t>
      </w:r>
      <w:r>
        <w:rPr>
          <w:rFonts w:ascii="Arial" w:cs="Arial" w:eastAsia="Arial" w:hAnsi="Arial"/>
          <w:sz w:val="16"/>
          <w:szCs w:val="16"/>
          <w:color w:val="auto"/>
        </w:rPr>
        <w:t>despite recent economic uncertainty and volatility. In recent years, trading activity in our centralized markets has fluctuated due to the ongoing uncertainty in the financial markets caused by the United States and European credit crisis, fluctuations in the availability of credit, variations in the amount of assets under management as well as the Federal Reserve Bank’s continued zero interest rate policy. We continue to maintain high quality and diverse products as well as various clearing and market data services which support our customers in any economic environment.</w:t>
      </w:r>
    </w:p>
    <w:p>
      <w:pPr>
        <w:spacing w:after="0" w:line="10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Competitive Environment. </w:t>
      </w:r>
      <w:r>
        <w:rPr>
          <w:rFonts w:ascii="Arial" w:cs="Arial" w:eastAsia="Arial" w:hAnsi="Arial"/>
          <w:sz w:val="17"/>
          <w:szCs w:val="17"/>
          <w:color w:val="auto"/>
        </w:rPr>
        <w:t>Our industry is highly competitive and we continue to encounter competition in all aspects of our business. We expect</w:t>
      </w:r>
      <w:r>
        <w:rPr>
          <w:rFonts w:ascii="Arial" w:cs="Arial" w:eastAsia="Arial" w:hAnsi="Arial"/>
          <w:sz w:val="17"/>
          <w:szCs w:val="17"/>
          <w:b w:val="1"/>
          <w:bCs w:val="1"/>
          <w:color w:val="auto"/>
        </w:rPr>
        <w:t xml:space="preserve"> </w:t>
      </w:r>
      <w:r>
        <w:rPr>
          <w:rFonts w:ascii="Arial" w:cs="Arial" w:eastAsia="Arial" w:hAnsi="Arial"/>
          <w:sz w:val="17"/>
          <w:szCs w:val="17"/>
          <w:color w:val="auto"/>
        </w:rPr>
        <w:t>competition to continue to intensify, especially in light of recent regulatory reforms in the financial services industry. Competition is influenced by liquidity and transparency of the markets, variability in fee structures, breadth of product offerings including quality of new product development as well as efficient and innovative technology. We now face competition from other futures, securities and securities option exchanges; over-the-counter markets; clearing organizations; consortia formed by our members and large market participants; alternative trade execution facilities; technology firms, including market data distributors and electronic trading system developers, and others. As the market continues to evolve, we have worked to adapt our trading technology and clearing services to meet the needs of our customers.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Regulatory Environment. </w:t>
      </w:r>
      <w:r>
        <w:rPr>
          <w:rFonts w:ascii="Arial" w:cs="Arial" w:eastAsia="Arial" w:hAnsi="Arial"/>
          <w:sz w:val="16"/>
          <w:szCs w:val="16"/>
          <w:color w:val="auto"/>
        </w:rPr>
        <w:t>Our operations as a derivatives exchange have historically been subject to extensive regulation. As a result of the widespread</w:t>
      </w:r>
      <w:r>
        <w:rPr>
          <w:rFonts w:ascii="Arial" w:cs="Arial" w:eastAsia="Arial" w:hAnsi="Arial"/>
          <w:sz w:val="16"/>
          <w:szCs w:val="16"/>
          <w:b w:val="1"/>
          <w:bCs w:val="1"/>
          <w:color w:val="auto"/>
        </w:rPr>
        <w:t xml:space="preserve"> </w:t>
      </w:r>
      <w:r>
        <w:rPr>
          <w:rFonts w:ascii="Arial" w:cs="Arial" w:eastAsia="Arial" w:hAnsi="Arial"/>
          <w:sz w:val="16"/>
          <w:szCs w:val="16"/>
          <w:color w:val="auto"/>
        </w:rPr>
        <w:t>difficulties across the economy over recent years, the Dodd-Frank Act was signed into law in July 2010. The Dodd-Frank Act is a comprehensive banking and financial services reform package that includes significant changes to the oversight of the derivatives markets, both over-the-counter and exchange-traded. While we believe that the new regulations will provide opportunities for our business, the new regulations are subject to extensive rulemaking by various regulators. To the extent the regulatory environment following the implementation of the new legislation and other financial reform regulations is less beneficial for us or our customers, our business, financial condition and operating results could be negatively affected. We continue to actively participate in the rulemaking process with the goal that the final regulations serve the public interest, foster competition and innovation and do not place the U.S. financial services sector at a competitive disadvantage. The financial services industry in Europe is also undergoing similar regulatory reform, which could result in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additional regulation over our European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strategy focuses on leveraging our benchmark products, enhancing our customer relations, expanding our customer base, advancing our clearing and trading technologies, and deriving benefits from our integrated clearing houses as well as our scalable infrastructure. We specifically focus our strategy on capitalizing on opportunities created by increased market awareness and acceptance of derivatives, increased price volatility, technological advances and the increasing need for counterparty risk mitigation and clearing services. This strategy allows us to continue to develop into a more broadly diversified financial exchange that provides trading and clearing solutions across a wide range of products and asset classes. We believe that we can build on our competitive strengths by implementing the following strategies:</w:t>
      </w:r>
    </w:p>
    <w:p>
      <w:pPr>
        <w:spacing w:after="0" w:line="58" w:lineRule="exact"/>
        <w:rPr>
          <w:sz w:val="20"/>
          <w:szCs w:val="20"/>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 our core business by launching new products, expanding our existing benchmark product lines as well as improving our customer relations in order to cross-sell our products;</w:t>
      </w:r>
    </w:p>
    <w:p>
      <w:pPr>
        <w:spacing w:after="0" w:line="35"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Globalize our business by expanding and diversifying our worldwide customer base through strategic investments and relationships with other key exchanges around the world, including Asia, Latin America and other emerging markets, which allows us to accelerate our market penetration and improve product sales channels;</w:t>
      </w:r>
    </w:p>
    <w:p>
      <w:pPr>
        <w:spacing w:after="0" w:line="46"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superior customer service, education and sales support to our customers by restructuring our global client development and sales organization to better target cross asset sales across customer segments, drive international sales and generate new client participation across all regions throughout the world;</w:t>
      </w:r>
    </w:p>
    <w:p>
      <w:pPr>
        <w:spacing w:after="0" w:line="4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Offer a comprehensive multi-asset class clearing solution to the over-the-counter market that maximizes operational efficiency, as well as expand our over-the-counter product offerings; and</w:t>
      </w:r>
    </w:p>
    <w:p>
      <w:pPr>
        <w:spacing w:after="0" w:line="3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ourselves as the leading exchange company provider of information products and index services, which would allow us to create additional cross-listing opportunities and new opportunities for index creation. It will also allow us to create opportunities for licensing across the global market as well as expanding market data dissemination services to our global network of clients and exchange partners.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Sources of Revenue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Clearing and transaction fees. </w:t>
      </w:r>
      <w:r>
        <w:rPr>
          <w:rFonts w:ascii="Arial" w:cs="Arial" w:eastAsia="Arial" w:hAnsi="Arial"/>
          <w:sz w:val="17"/>
          <w:szCs w:val="17"/>
          <w:color w:val="auto"/>
        </w:rPr>
        <w:t>A majority of our revenue is derived from clearing and transaction fees, which include electronic trading fees, surcharges for</w:t>
      </w:r>
      <w:r>
        <w:rPr>
          <w:rFonts w:ascii="Arial" w:cs="Arial" w:eastAsia="Arial" w:hAnsi="Arial"/>
          <w:sz w:val="17"/>
          <w:szCs w:val="17"/>
          <w:b w:val="1"/>
          <w:bCs w:val="1"/>
          <w:color w:val="auto"/>
        </w:rPr>
        <w:t xml:space="preserve"> </w:t>
      </w:r>
      <w:r>
        <w:rPr>
          <w:rFonts w:ascii="Arial" w:cs="Arial" w:eastAsia="Arial" w:hAnsi="Arial"/>
          <w:sz w:val="17"/>
          <w:szCs w:val="17"/>
          <w:color w:val="auto"/>
        </w:rPr>
        <w:t>privately-negotiated transactions and other volume-related charges for contracts executed through our trading venues. Because clearing and transaction fees are assessed on a per-contract basis, revenues and profitability fluctuate with changes in trading volume. In addition to the industry trends noted earlier, our trading volume and consequently our revenues tend to increase during periods of economic and geopolitical uncertainty as our customers seek to manage their exposure to, or speculate on, the market volatility resulting from uncertainty.</w:t>
      </w:r>
    </w:p>
    <w:p>
      <w:pPr>
        <w:spacing w:after="0" w:line="17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While volume has the most significant impact on our clearing and transaction fees revenue, there are four other factors that also influence this source of revenues:</w:t>
      </w:r>
    </w:p>
    <w:p>
      <w:pPr>
        <w:spacing w:after="0" w:line="14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mix;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venue,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Rate structure. </w:t>
      </w:r>
      <w:r>
        <w:rPr>
          <w:rFonts w:ascii="Arial" w:cs="Arial" w:eastAsia="Arial" w:hAnsi="Arial"/>
          <w:sz w:val="18"/>
          <w:szCs w:val="18"/>
          <w:color w:val="auto"/>
        </w:rPr>
        <w:t>Customers benefit from volume discounts and limits on fees as part of our effort to increase liquidity in certain products. We offer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programs to promote trading in various products and geographic locations. We may periodically change fees, volume discounts, limits on fees and member discounts, perhaps significantly, based on our review of operations and the business environment.</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We offer trading of futures and options on futures contracts as well as cleared-only swap contracts on a wide-ranging set of products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rates, equities, foreign exchange, agricultural commodities, energy and metals. Rates are varied by product in order to optimize revenue on existing products and to encourage trading volume upon introduction of new products.</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Venue. </w:t>
      </w:r>
      <w:r>
        <w:rPr>
          <w:rFonts w:ascii="Arial" w:cs="Arial" w:eastAsia="Arial" w:hAnsi="Arial"/>
          <w:sz w:val="17"/>
          <w:szCs w:val="17"/>
          <w:color w:val="auto"/>
        </w:rPr>
        <w:t>Our exchange is an international marketplace that brings together buyers and sellers mainly through our electronic trading platform as well as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open outcry trading on our trading floors, privately negotiated transactions and CME ClearPort. Any customer who is guaranteed by a clearing firm and who agrees to be bound by our exchange rules is able to obtain direct access to our electronic platform and CME ClearPort. Open outcry trading is conducted exclusively by our members, who may execute trades on behalf of customers or for themselves.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Typically, customers executing trades through our electronic platform are charged fees for using the platform in addition to the fees assessed on all transactions executed on our exchange. Customers entering into privately negotiated transactions also incur additional charges beyond the fees assessed on all transactions. Privately negotiated transactions include block trades, which are large transactions that are executed between selected parties off the public auction market on CME Globex or the trading floor. ClearPort provides for the clearing of OTC futures and options trades executed off-exchange. In addition to clearing fees, there are other assessments on ClearPort transactions.</w:t>
      </w:r>
    </w:p>
    <w:p>
      <w:pPr>
        <w:spacing w:after="0" w:line="188"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i w:val="1"/>
          <w:iCs w:val="1"/>
          <w:color w:val="auto"/>
        </w:rPr>
        <w:t xml:space="preserve">Member/non-member mix. </w:t>
      </w:r>
      <w:r>
        <w:rPr>
          <w:rFonts w:ascii="Arial" w:cs="Arial" w:eastAsia="Arial" w:hAnsi="Arial"/>
          <w:sz w:val="17"/>
          <w:szCs w:val="17"/>
          <w:color w:val="auto"/>
        </w:rPr>
        <w:t>Generally, member customers are charged lower fees than our non-member customers. Holding all other factors constant,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decreases if the percentage of trades executed by members increases, and increases if the percentage of non-member trades increases.</w:t>
      </w:r>
    </w:p>
    <w:p>
      <w:pPr>
        <w:spacing w:after="0" w:line="14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Other sources. </w:t>
      </w:r>
      <w:r>
        <w:rPr>
          <w:rFonts w:ascii="Arial" w:cs="Arial" w:eastAsia="Arial" w:hAnsi="Arial"/>
          <w:sz w:val="18"/>
          <w:szCs w:val="18"/>
          <w:color w:val="auto"/>
        </w:rPr>
        <w:t>Revenue is also derived from other sources including market data and information services, access and communication fees and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related to our exchange and building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We receive market data and information services revenue from the dissemination of our market data to subscribers.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Subscribers can obtain access to our market data services either directly or through third-party distributors.</w:t>
      </w:r>
    </w:p>
    <w:p>
      <w:pPr>
        <w:spacing w:after="0" w:line="21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Our service offerings include access to real-time, delayed and end-of-day quotation,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Pricing for our market data services is based on the value of the service provided, our cost structure for the service and the price of comparable services offered by our competitors. Increases or decreases in our market data and information services revenue are influenced by changes in our price structure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March 18, 2010, CBOT and Dow Jones entered into an agreement to form Index Services. Index Services was formed through the contribution of CBOT's market data business and Dow Jones' index business. Index Services generates market data and information services revenue through licensing of its trademark indexes as well as through calculation and distribution of its market data.</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and communication fees are the connectivity charges to customers of the CME Globex platform to our market data</w:t>
      </w:r>
      <w:r>
        <w:rPr>
          <w:rFonts w:ascii="Arial" w:cs="Arial" w:eastAsia="Arial" w:hAnsi="Arial"/>
          <w:sz w:val="18"/>
          <w:szCs w:val="18"/>
          <w:i w:val="1"/>
          <w:iCs w:val="1"/>
          <w:color w:val="auto"/>
        </w:rPr>
        <w:t xml:space="preserve"> </w:t>
      </w:r>
      <w:r>
        <w:rPr>
          <w:rFonts w:ascii="Arial" w:cs="Arial" w:eastAsia="Arial" w:hAnsi="Arial"/>
          <w:sz w:val="18"/>
          <w:szCs w:val="18"/>
          <w:color w:val="auto"/>
        </w:rPr>
        <w:t>vendors and to direct market data customers as well as charges to members and clearing firms that utilize our various telecommunications networks and communications services, including our co-location initiative, which was launched in January 2012. Access fee revenue varies depending on the type of connection provided to customers. Revenue from communication fees is dependent on open outcry trading, as a significant portion relates to telecommunications on our trading floors.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Other revenues. </w:t>
      </w:r>
      <w:r>
        <w:rPr>
          <w:rFonts w:ascii="Arial" w:cs="Arial" w:eastAsia="Arial" w:hAnsi="Arial"/>
          <w:sz w:val="17"/>
          <w:szCs w:val="17"/>
          <w:color w:val="auto"/>
        </w:rPr>
        <w:t>Other revenues include rent charged to third party tenants as well as ancillary charges for utilities, parking and miscellaneous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to tenants. We maintain three commercial buildings in Chicago's central business district. We rent retail and office space to third party tenants, including exchange customers. We also maintain office space in New York City that is rented to third party tenants, including exchange customers. All tenants pay market rates for rent. Revenues related to our real estate operations are generally affected by market rental rates, lease renewals and business conditions in the financial services industry in which most of our tenants operate. In June 2011, we announced that we are pursuing a sale and partial leaseback of the north and south buildings of CBOT. If the sale is completed, other revenues from rent will decrease.</w:t>
      </w:r>
    </w:p>
    <w:p>
      <w:pPr>
        <w:spacing w:after="0" w:line="178"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To further diversify the range of services we offer, we have entered into processing and development agreements with other exchanges and service organizations. For example, in 2010, we entered into an agreement with BM&amp;FBOVESPA S.A (BM&amp;FBOVESPA) to develop a new multi-asset class electronic trading platform for their customers. We recognize revenue under this agreement as services are provided and when developed technology is delivered.</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Additionally, other revenues include fees for administrating our Interest Earning Facility (IEF) program, trade order routing, and various services to members and clearing firms. We offer clearing firms the opportunity to invest cash performance bonds in our various IEF offerings. These clearing firms receive interest income, and we receive a fee based on total funds on deposit. In addition, other revenues include trading gains and losses generated by GFX Corporation (GFX), our wholly-owned subsidiary that trades futures contracts to enhance liquidity in our electronic markets for these products. Other revenues also include gains on sales from various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Expenses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majority of our expenses do not vary directly with changes in our trading volume. Licensing and other fee agreements and the majority of our employee bonuses do vary directly with trading volume.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Compensation and benefits expense is our most significant expense and includes employee wages, bonuses,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and employer taxes. Changes in this expense are driven by fluctuations in the number of employees, increases in wages as a result of inflation or labor market conditions, changes in rates for employer taxes and other cost increases affecting benefit plans. In addition, this expense is affected by the composition of our work force. The expense associated with our bonus and stock-based compensation plans can also have a significant impact on this expense category and may vary from year to year.</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may adjust the target level of performance for material, unplanned operating results or capital expenditures to meet intermediate to long-term growth opportunities.</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Stock-based compensation is a non-cash expense related to stock options, restricted stock and performance share grants. Stock-based compensation varies depending on the quantity and fair value of awards granted. The fair value of options is derived using the Black-Scholes model with assumptions about our dividend yield, the expected volatility of our stock price based on an analysis of implied and historical volatility, the risk-free interest rate and the expected life of the options granted. The fair value of other awards is based on either the share price on the date of the grant or a model of expected future stock prices.</w:t>
      </w:r>
    </w:p>
    <w:p>
      <w:pPr>
        <w:spacing w:after="0" w:line="15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Amortization of purchased intangibles. </w:t>
      </w:r>
      <w:r>
        <w:rPr>
          <w:rFonts w:ascii="Arial" w:cs="Arial" w:eastAsia="Arial" w:hAnsi="Arial"/>
          <w:sz w:val="18"/>
          <w:szCs w:val="18"/>
          <w:color w:val="auto"/>
        </w:rPr>
        <w:t>This expense includes amortization of intangible assets obtained in our mergers with CBOT Holdings and NYMEX</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as well as other asset and business acquisitions. Intangible assets subject to amortization consist primarily of customer relationships, licensing agreements and lease-related intangible assets.</w:t>
      </w:r>
    </w:p>
    <w:p>
      <w:pPr>
        <w:spacing w:after="0" w:line="176"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Depreciation and amortization expense results from the depreciation of long-lived assets purchased,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of purchased and internally developed software.</w:t>
      </w:r>
    </w:p>
    <w:p>
      <w:pPr>
        <w:spacing w:after="0" w:line="162"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 xml:space="preserve">Professional fees and outside services. </w:t>
      </w:r>
      <w:r>
        <w:rPr>
          <w:rFonts w:ascii="Arial" w:cs="Arial" w:eastAsia="Arial" w:hAnsi="Arial"/>
          <w:sz w:val="17"/>
          <w:szCs w:val="17"/>
          <w:color w:val="auto"/>
        </w:rPr>
        <w:t>This expense includes costs of consulting services provided for strategic and technology initiatives as well as legal</w:t>
      </w:r>
      <w:r>
        <w:rPr>
          <w:rFonts w:ascii="Arial" w:cs="Arial" w:eastAsia="Arial" w:hAnsi="Arial"/>
          <w:sz w:val="17"/>
          <w:szCs w:val="17"/>
          <w:b w:val="1"/>
          <w:bCs w:val="1"/>
          <w:color w:val="auto"/>
        </w:rPr>
        <w:t xml:space="preserve"> </w:t>
      </w:r>
      <w:r>
        <w:rPr>
          <w:rFonts w:ascii="Arial" w:cs="Arial" w:eastAsia="Arial" w:hAnsi="Arial"/>
          <w:sz w:val="17"/>
          <w:szCs w:val="17"/>
          <w:color w:val="auto"/>
        </w:rPr>
        <w:t>and accounting fees. This expense may fluctuate as a result of changes in services required to complete initiatives and legal proceedings.</w:t>
      </w:r>
    </w:p>
    <w:p>
      <w:pPr>
        <w:spacing w:after="0" w:line="13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 incur additional ongoing expenses for communications, technology support services and various other activities necessary to support our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12" w:lineRule="exact"/>
        <w:rPr>
          <w:sz w:val="20"/>
          <w:szCs w:val="20"/>
          <w:color w:val="auto"/>
        </w:rPr>
      </w:pPr>
    </w:p>
    <w:p>
      <w:pPr>
        <w:ind w:left="660" w:right="1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Communications expense includes costs for network connections to our electronic trading platform and some market data customers; telecommunications costs of our exchange; and fees paid for access to external market data. This expense may be impacted by growth in electronic trading, our capacity requirements and changes in the number of telecommunications hubs and connections which allow customers outside the United States access to our electronic trading platform directly.</w:t>
      </w:r>
    </w:p>
    <w:p>
      <w:pPr>
        <w:spacing w:after="0" w:line="24" w:lineRule="exact"/>
        <w:rPr>
          <w:rFonts w:ascii="Arial" w:cs="Arial" w:eastAsia="Arial" w:hAnsi="Arial"/>
          <w:sz w:val="18"/>
          <w:szCs w:val="18"/>
          <w:color w:val="auto"/>
        </w:rPr>
      </w:pPr>
    </w:p>
    <w:p>
      <w:pPr>
        <w:ind w:left="660" w:right="820" w:hanging="328"/>
        <w:spacing w:after="0" w:line="29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Technology support services consist of costs related to maintenance of the hardware and software required to support our technology. Our technology support services costs are driven by system capacity, functionality and redundancy requirements.</w:t>
      </w:r>
    </w:p>
    <w:p>
      <w:pPr>
        <w:ind w:left="660" w:right="120" w:hanging="328"/>
        <w:spacing w:after="0" w:line="27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Occupancy and building operations expense consists of costs related to leased and owned property including rent, maintenance, real estate taxes, utilities and other related costs. We have significant operations located in Chicago and New York City with smaller offices located throughout Europe, North and South America, the Middle East and Asia. Additionally, we have trading facilities in Chicago and New York City as well as data centers in various U.S. locations. In June 2011, we announced that we are pursuing a sale and partial leaseback of the north and south buildings of CBOT. If the sale is completed, occupancy and building operations expense will decrease.</w:t>
      </w:r>
    </w:p>
    <w:p>
      <w:pPr>
        <w:spacing w:after="0" w:line="10" w:lineRule="exact"/>
        <w:rPr>
          <w:rFonts w:ascii="Arial" w:cs="Arial" w:eastAsia="Arial" w:hAnsi="Arial"/>
          <w:sz w:val="17"/>
          <w:szCs w:val="17"/>
          <w:color w:val="auto"/>
        </w:rPr>
      </w:pPr>
    </w:p>
    <w:p>
      <w:pPr>
        <w:jc w:val="both"/>
        <w:ind w:left="660" w:right="4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Licensing and other fee agreements expense includes license fees paid as a result of trading volume in equity index products, and royalty and broker rebates on energy and metals products. This expense fluctuates with changes in equity index product volume as well as CME ClearPort volumes and fee structure changes in the agreements.</w:t>
      </w:r>
    </w:p>
    <w:p>
      <w:pPr>
        <w:spacing w:after="0" w:line="19"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expenses include marketing and travel-related as well as general and administrative costs. Marketing, advertising and public relations expense includes media, print and other advertising costs, as well as costs associated with our product promotion. Other expenses also include litigation and customer settlements as well as impairment of operational assets and restructuring expense resulting from our mergers with CBOT Holdings and NYMEX Holdings.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Income and expenses incurred through activities outside of our core operations are considered non-operating. These activities include investments in debt and equity securities for operational and strategic purposes and financing activities.</w:t>
      </w:r>
    </w:p>
    <w:p>
      <w:pPr>
        <w:spacing w:after="0" w:line="170" w:lineRule="exact"/>
        <w:rPr>
          <w:sz w:val="20"/>
          <w:szCs w:val="20"/>
          <w:color w:val="auto"/>
        </w:rPr>
      </w:pPr>
    </w:p>
    <w:p>
      <w:pPr>
        <w:ind w:left="660" w:right="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 income represents income generated by short-term investment of excess cash, clearing firms' cash performance bonds and guaranty fund contributions; income and net realized gains and losses from our marketable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ind w:left="660" w:right="20"/>
        <w:spacing w:after="0" w:line="336" w:lineRule="auto"/>
        <w:rPr>
          <w:sz w:val="20"/>
          <w:szCs w:val="20"/>
          <w:color w:val="auto"/>
        </w:rPr>
      </w:pPr>
      <w:r>
        <w:rPr>
          <w:rFonts w:ascii="Arial" w:cs="Arial" w:eastAsia="Arial" w:hAnsi="Arial"/>
          <w:sz w:val="17"/>
          <w:szCs w:val="17"/>
          <w:color w:val="auto"/>
        </w:rPr>
        <w:t>securities; gains and losses on trading securities in our non-qualified deferred compensation plans and dividend income from our strategic investments. Investment income is influenced by the availability of funds generated by operations, market interest rates, changes in the levels of cash performance bonds deposited by clearing firms as well as the amount of dividends distributed from our strategic investments.</w:t>
      </w:r>
    </w:p>
    <w:p>
      <w:pPr>
        <w:spacing w:after="0" w:line="111" w:lineRule="exact"/>
        <w:rPr>
          <w:sz w:val="20"/>
          <w:szCs w:val="20"/>
          <w:color w:val="auto"/>
        </w:rPr>
      </w:pPr>
    </w:p>
    <w:p>
      <w:pPr>
        <w:ind w:left="660" w:right="2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used derivative financial instruments for the purpose of hedging exposures to fluctuations in interest rates and foreign currency exchange rates. Any ineffective or excluded portion of our hedges is recognized in earnings immediately.</w:t>
      </w:r>
    </w:p>
    <w:p>
      <w:pPr>
        <w:spacing w:after="0" w:line="35"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and other borrowing costs are associated with various short-term and long-term funding facilities. We maintain a commercial paper program with various financial institutions. In early 2009, we refinanced part of the debt that was previously issued for the NYMEX Holdings merger. In conjunction with its formation, Index Services issued long-term debt in March 2010. Our debt is fixed rate debt, but debt-related costs fluctuate with the funding needs of our business as our debt levels change.</w:t>
      </w:r>
    </w:p>
    <w:p>
      <w:pPr>
        <w:spacing w:after="0" w:line="51" w:lineRule="exact"/>
        <w:rPr>
          <w:rFonts w:ascii="Arial" w:cs="Arial" w:eastAsia="Arial" w:hAnsi="Arial"/>
          <w:sz w:val="18"/>
          <w:szCs w:val="18"/>
          <w:color w:val="auto"/>
        </w:rPr>
      </w:pPr>
    </w:p>
    <w:p>
      <w:pPr>
        <w:ind w:left="660" w:right="160" w:hanging="328"/>
        <w:spacing w:after="0" w:line="27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Income related to our guarantee of exercise right privileges (ERPs) was a result of our merger with CBOT Holdings. Under the terms of the merger agreement, eligible holders of Chicago Board Options Exchange (CBOE) ERPs could elect to sell us their ERP for $250,000 per privilege. Eligible holders that did not elect to sell their ERPs were entitled to a maximum guaranteed payment of $250,000 from us upon resolution of the lawsuit between CBOT and CBOE. This income represented the change in estimated fair value of our guarantee during the period, which was based in part on the expected outcome of the litigation. This litigation was resolved in December 2009.</w:t>
      </w:r>
    </w:p>
    <w:p>
      <w:pPr>
        <w:spacing w:after="0" w:line="37"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Equity in net losses of unconsolidated subsidiaries includes income and losses from our investments in Dubai Mercantile Exchange, Green Exchange Holdings, LLC, Bursa Malaysia Derivatives Berhad and OneChicago LLC (OneChicago).</w:t>
      </w:r>
    </w:p>
    <w:p>
      <w:pPr>
        <w:spacing w:after="0" w:line="35"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income (expense) includes income and expenses related to our securities lending program. CME's securities lending program has been suspended since 2008. NYMEX's securities lending program was terminated in June 2009.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notes to our consolidated financial statements include disclosure of our significant accounting policies. In establishing these policies within the framework of accounting principles generally accepted in the United States,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valuation of financial instruments, goodwill and intangible assets, derivative instruments, revenue recognition, income taxes, and internal use software costs.</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Valuation of financial instruments. </w:t>
      </w:r>
      <w:r>
        <w:rPr>
          <w:rFonts w:ascii="Arial" w:cs="Arial" w:eastAsia="Arial" w:hAnsi="Arial"/>
          <w:sz w:val="18"/>
          <w:szCs w:val="18"/>
          <w:color w:val="auto"/>
        </w:rPr>
        <w:t>Fair value is defined as the price that would be received to sell an asset or paid to transfer a liability in an orderly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between market participants at the measurement date, or an exit price. A hierarchy exists for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independent sources. Unobservable inputs are inputs that reflect our judgments about the assumptions that market participants would use in pricing the asset or liability developed based on the best information available in the circumstances.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categorized financial instruments measured at fair value into a three-level classification hierarchy. Classification is based on the reliability of inputs as follows:</w:t>
      </w:r>
    </w:p>
    <w:p>
      <w:pPr>
        <w:spacing w:after="0" w:line="143" w:lineRule="exact"/>
        <w:rPr>
          <w:sz w:val="20"/>
          <w:szCs w:val="20"/>
          <w:color w:val="auto"/>
        </w:rPr>
      </w:pPr>
    </w:p>
    <w:p>
      <w:pPr>
        <w:ind w:left="660" w:right="5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or liabilities at the measurement date. Assets and liabilities carried at level 1 fair value generally include U.S. Treasury and Government agency securities, equity securities listed in active markets, and investments in publicly traded mutual funds with quoted market prices.</w:t>
      </w:r>
    </w:p>
    <w:p>
      <w:pPr>
        <w:spacing w:after="0" w:line="46" w:lineRule="exact"/>
        <w:rPr>
          <w:rFonts w:ascii="Arial" w:cs="Arial" w:eastAsia="Arial" w:hAnsi="Arial"/>
          <w:sz w:val="18"/>
          <w:szCs w:val="18"/>
          <w:color w:val="auto"/>
        </w:rPr>
      </w:pPr>
    </w:p>
    <w:p>
      <w:pPr>
        <w:ind w:left="660" w:right="34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Level 2—Inputs are either directly or indirectly observable and corroborated by market data or are based on quoted prices in markets that are not active. Assets and liabilities carried at level 2 fair value generally include municipal bonds, corporate debt and certain derivatives.</w:t>
      </w:r>
    </w:p>
    <w:p>
      <w:pPr>
        <w:spacing w:after="0" w:line="11" w:lineRule="exact"/>
        <w:rPr>
          <w:rFonts w:ascii="Arial" w:cs="Arial" w:eastAsia="Arial" w:hAnsi="Arial"/>
          <w:sz w:val="17"/>
          <w:szCs w:val="17"/>
          <w:color w:val="auto"/>
        </w:rPr>
      </w:pPr>
    </w:p>
    <w:p>
      <w:pPr>
        <w:ind w:left="660" w:right="2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3—Inputs are unobservable and reflect management’s best estimate of what market participants would use in pricing the asset or liability. Generally assets and liabilities at fair value utilizing level 3 inputs include certain other assets and liabilities with inputs that require management’s judgment.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regarding the fair value of financial assets and liabilities, see note 20 in the notes to the consolidated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2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b w:val="1"/>
          <w:bCs w:val="1"/>
          <w:color w:val="auto"/>
        </w:rPr>
        <w:t xml:space="preserve">Goodwill and intangible assets. </w:t>
      </w:r>
      <w:r>
        <w:rPr>
          <w:rFonts w:ascii="Arial" w:cs="Arial" w:eastAsia="Arial" w:hAnsi="Arial"/>
          <w:sz w:val="16"/>
          <w:szCs w:val="16"/>
          <w:color w:val="auto"/>
        </w:rPr>
        <w:t>We review goodwill and intangible assets with indefinite lives for impairment on an annual basis and whenever events or</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indicate that the carrying value may not be recoverable. Goodwill is assessed for impairment using a two-step test. In the first step, the fair value of each reporting unit is compared to its carrying amount. If the fair value of the reporting unit exceeds the carrying amount, no impairment exists and we are not required to perform further testing. If the carrying amount exceeds its fair value, the second step must be performed to determine the implied fair value of the reporting unit's goodwill. If the carrying value of the reporting unit's goodwill exceeds its implied fair value, then an impairment loss is recorded in an amount equal to that excess. Determining the fair value of a reporting unit involves the use of significant estimates and assumptions. Valuation techniques we use to measure fair value include the market approach and the income approach. The market approach encompasses comparable data sets within our peer group, and the income approach includes discounted cash flow measurements using a market discount rate. Our valuation techniques could yield variable results based on changes in assumptions such as the discount rate and long-term growth rate and forecasted revenue and expense. In the third quarter of 2011, the company adopted newly-issued guidance on goodwill impairment testing. The guidance permits companies to perform a qualitative impairment assessment of goodwill that may allow them to omit the annual two-step quantitative test.</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Indefinite-lived intangible assets are assessed for impairment by comparing their fair values to their carrying values. If the carrying value of an indefinite-lived intangible asset exceeds its fair value, an impairment loss is recognized equal to the difference. The estimate of the fair value of all intangible assets is generally determined on the basis of discounted future cash flows. In estimating the fair value, management must make assumptions and projections regarding such items as the discount rate, long-term growth rate, forecasted revenue and expenses, and other factors. Such assumptions are subject to change as a result of changing economic and competitive conditions.</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Intangible assets subject to amortization are also evaluated for impairment when indicated by a change in economic or operational circumstances. The impairment testing requires management to first compare the book value of the amortizing asset to undiscounted cash flows. If the book value exceeds the undiscounted cash flows, management is then required to estimate the fair value of the assets and record an impairment loss for the excess of the carrying value over the fair value.</w:t>
      </w:r>
    </w:p>
    <w:p>
      <w:pPr>
        <w:spacing w:after="0" w:line="23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b w:val="1"/>
          <w:bCs w:val="1"/>
          <w:color w:val="auto"/>
        </w:rPr>
        <w:t xml:space="preserve">Derivative investments. </w:t>
      </w:r>
      <w:r>
        <w:rPr>
          <w:rFonts w:ascii="Arial" w:cs="Arial" w:eastAsia="Arial" w:hAnsi="Arial"/>
          <w:sz w:val="16"/>
          <w:szCs w:val="16"/>
          <w:color w:val="auto"/>
        </w:rPr>
        <w:t>We use derivative financial instruments for the purpose of hedging exposures to fluctuations in interest rates and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rates. Derivatives are recorded at fair value in the consolidated balance sheets. Changes in our derivatives' fair values are recognized in earnings unless the instruments are accounted for as cash flow hedges. For a derivative designated as a fair value hedge, any gain or loss on the derivative is recognized in earnings in the period of change, to the extent the hedge is effective, together with the offsetting gain or loss on the hedged item attributable to the risk being hedged. We record the effective portions of our derivative financial instruments that are designated as cash flow hedges in accumulated other comprehensive income (loss) in the accompanying consolidated balance sheets. In the period during which the hedged item affects earnings, the gain or loss included in accumulated other comprehensive income (loss) is transferred to the same line in the consolidated statements of income as the hedged item. Any ineffective or excluded portion of a hedge is recognized in earnings immediately. Any realized gains and losses from effective hedges are classified in the consolidated statements of income consistent with the accounting treatment of the items being hedged.</w:t>
      </w:r>
    </w:p>
    <w:p>
      <w:pPr>
        <w:spacing w:after="0" w:line="5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A significant portion of our revenue is derived from the clearing and transaction fees we assess on each contract executed through our</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venues and cleared through our clearing houses.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An accrual is established for estimated fee adjustments to reflect corrections to customer exchange trading privileges. The accrual is based on the historical pattern of adjustments processed as well as specific adjustment requests. Occasionally market data customers will pay for services in a lump sum payment. When these circumstances occur, revenue is recognized as services are provided.</w:t>
      </w:r>
    </w:p>
    <w:p>
      <w:pPr>
        <w:spacing w:after="0" w:line="1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Calculation of the income tax provision includes an estimate of the income taxes that will be paid for the current year as well as an estimate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We recognize potential liabilities for anticipated tax audit issues in the United States and other applicable foreign tax jurisdictions using a more-likely-than-not recognition threshold based on the technical merits of the tax position taken or expected to be taken. If payment of these amounts varies from our estimate, our income tax provision would be reduced or increased at the time that determination is made. This determination may not be known for several years. Past tax audits have not resulted in tax adjustments that would result in a material change to the income tax provision in the year the audit was completed. The effective tax rate, defined as the income tax provision as a</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percentage of income before income taxes, will vary from year to year based on changes in tax jurisdictions, tax rates and regulations. In addition, the effective tax rate will vary with changes to income that are not subject to income tax, such as municipal interest income, and changes in expenses or losses that are not deductible, such as the utilization of foreign net operating losses.</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Internal use software costs. </w:t>
      </w:r>
      <w:r>
        <w:rPr>
          <w:rFonts w:ascii="Arial" w:cs="Arial" w:eastAsia="Arial" w:hAnsi="Arial"/>
          <w:sz w:val="17"/>
          <w:szCs w:val="17"/>
          <w:color w:val="auto"/>
        </w:rPr>
        <w:t>Certain costs for employees and consultants that are incurred in connection with work on development or implementation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software for our internal use are capitalized. Costs are capitalized for software projects that will result in significant new functionality and are generally expected to cost in excess of $0.5 million. The amount capitalized is determined based on the time spent by the individuals completing the eligible software-related activity and the compensation and benefits or consulting fees incurred for these activities. Projects are monitored during the development cycle to assure that they continue to meet the capitalization criteria and that the project will be completed and placed in service as intended. Any previously capitalized costs are expensed at the time a decision is made to abandon a software project. Completed internal use software projects, as well as work-in-progress projects, are included as part of property in the consolidated balance sheets. Once complete, the accumulated costs for a particular software project are amortized over the anticipated life of the software, generally three years. Costs capitalized for internal use software will vary from year to year based on our technology-related business requirements.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May 2011, Financial Accounting Standards Board (FASB) issued an Accounting Standards Update (ASU) for Fair Value Measurement. The ASU provides clarity on existing fair value measurement and disclosure requirements, and is effective for interim and annual periods beginning after December 15, 2011, with no early adoption permitted. We will adopt the disclosure requirements once the guidance becomes effective.</w:t>
      </w:r>
    </w:p>
    <w:p>
      <w:pPr>
        <w:spacing w:after="0" w:line="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June 2011, FASB issued an ASU for Presentation of Comprehensive Income. The ASU requires entities to report components of comprehensive income in either a continuous statement of comprehensive income or two separate but consecutive statements, and to present reclassification adjustments out of accumulated other comprehensive income by component in the income statement and in the other comprehensive income statement. The ASU is effective for interim and annual periods beginning after December 15, 2011, with early adoption permitted. In December 2011, FASB issued an ASU that indefinitely deferred the reclassification adjustments presentation. We will adopt the disclosure requirements once the guidance becomes effective.</w:t>
      </w:r>
    </w:p>
    <w:p>
      <w:pPr>
        <w:spacing w:after="0" w:line="5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December 2011, FASB issued an ASU for Balance Sheet Offsetting Disclosure Requirements. The ASU requires entities to disclose both gross and net information about instruments and transactions eligible for offset in the financial statements, as well as instruments and transactions subject to an agreement similar to a master netting arrangement. The ASU is effective for annual reporting periods beginning on or after January 1, 2013, and interim periods therein, with retrospective application required. We will adopt the disclosure requirements once the guidance becomes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comparability of our operating results for the periods presented is impacted by the formation of Index Services in March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years presented.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180" w:type="dxa"/>
            <w:vAlign w:val="bottom"/>
            <w:tcBorders>
              <w:bottom w:val="single" w:sz="8" w:color="auto"/>
            </w:tcBorders>
            <w:gridSpan w:val="2"/>
          </w:tcPr>
          <w:p>
            <w:pPr>
              <w:jc w:val="right"/>
              <w:ind w:right="77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data)</w:t>
            </w:r>
          </w:p>
        </w:tc>
        <w:tc>
          <w:tcPr>
            <w:tcW w:w="6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2009</w:t>
            </w:r>
          </w:p>
        </w:tc>
        <w:tc>
          <w:tcPr>
            <w:tcW w:w="18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2011-2010</w:t>
            </w: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2010-2009</w:t>
            </w: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3,280.6</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3,003.7</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2,612.8</w:t>
            </w:r>
          </w:p>
        </w:tc>
        <w:tc>
          <w:tcPr>
            <w:tcW w:w="180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9 %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6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1,259.5</w:t>
            </w:r>
          </w:p>
        </w:tc>
        <w:tc>
          <w:tcPr>
            <w:tcW w:w="4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1,172.6</w:t>
            </w:r>
          </w:p>
        </w:tc>
        <w:tc>
          <w:tcPr>
            <w:tcW w:w="42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1,023.7</w:t>
            </w:r>
          </w:p>
        </w:tc>
        <w:tc>
          <w:tcPr>
            <w:tcW w:w="1800" w:type="dxa"/>
            <w:vAlign w:val="bottom"/>
          </w:tcPr>
          <w:p>
            <w:pPr>
              <w:jc w:val="right"/>
              <w:ind w:right="414"/>
              <w:spacing w:after="0"/>
              <w:rPr>
                <w:sz w:val="20"/>
                <w:szCs w:val="20"/>
                <w:color w:val="auto"/>
              </w:rPr>
            </w:pPr>
            <w:r>
              <w:rPr>
                <w:rFonts w:ascii="Arial" w:cs="Arial" w:eastAsia="Arial" w:hAnsi="Arial"/>
                <w:sz w:val="18"/>
                <w:szCs w:val="18"/>
                <w:color w:val="auto"/>
              </w:rPr>
              <w:t>7</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15</w:t>
            </w:r>
          </w:p>
        </w:tc>
      </w:tr>
      <w:tr>
        <w:trPr>
          <w:trHeight w:val="27"/>
        </w:trPr>
        <w:tc>
          <w:tcPr>
            <w:tcW w:w="3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w:t>
            </w:r>
          </w:p>
        </w:tc>
        <w:tc>
          <w:tcPr>
            <w:tcW w:w="1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(84.6)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(109.2)</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(151.6)</w:t>
            </w:r>
          </w:p>
        </w:tc>
        <w:tc>
          <w:tcPr>
            <w:tcW w:w="1800" w:type="dxa"/>
            <w:vAlign w:val="bottom"/>
          </w:tcPr>
          <w:p>
            <w:pPr>
              <w:jc w:val="right"/>
              <w:ind w:right="354"/>
              <w:spacing w:after="0"/>
              <w:rPr>
                <w:sz w:val="20"/>
                <w:szCs w:val="20"/>
                <w:color w:val="auto"/>
              </w:rPr>
            </w:pPr>
            <w:r>
              <w:rPr>
                <w:rFonts w:ascii="Arial" w:cs="Arial" w:eastAsia="Arial" w:hAnsi="Arial"/>
                <w:sz w:val="18"/>
                <w:szCs w:val="18"/>
                <w:color w:val="auto"/>
              </w:rPr>
              <w:t>(22)</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(28)</w:t>
            </w:r>
          </w:p>
        </w:tc>
      </w:tr>
      <w:tr>
        <w:trPr>
          <w:trHeight w:val="27"/>
        </w:trPr>
        <w:tc>
          <w:tcPr>
            <w:tcW w:w="3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w:t>
            </w:r>
          </w:p>
        </w:tc>
        <w:tc>
          <w:tcPr>
            <w:tcW w:w="1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1,812.3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951.4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825.8</w:t>
            </w:r>
          </w:p>
        </w:tc>
        <w:tc>
          <w:tcPr>
            <w:tcW w:w="1800" w:type="dxa"/>
            <w:vAlign w:val="bottom"/>
          </w:tcPr>
          <w:p>
            <w:pPr>
              <w:jc w:val="right"/>
              <w:ind w:right="414"/>
              <w:spacing w:after="0"/>
              <w:rPr>
                <w:sz w:val="20"/>
                <w:szCs w:val="20"/>
                <w:color w:val="auto"/>
              </w:rPr>
            </w:pPr>
            <w:r>
              <w:rPr>
                <w:rFonts w:ascii="Arial" w:cs="Arial" w:eastAsia="Arial" w:hAnsi="Arial"/>
                <w:sz w:val="18"/>
                <w:szCs w:val="18"/>
                <w:color w:val="auto"/>
              </w:rPr>
              <w:t>90</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15</w:t>
            </w:r>
          </w:p>
        </w:tc>
      </w:tr>
      <w:tr>
        <w:trPr>
          <w:trHeight w:val="27"/>
        </w:trPr>
        <w:tc>
          <w:tcPr>
            <w:tcW w:w="3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6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27.15</w:t>
            </w:r>
          </w:p>
        </w:tc>
        <w:tc>
          <w:tcPr>
            <w:tcW w:w="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14.31</w:t>
            </w:r>
          </w:p>
        </w:tc>
        <w:tc>
          <w:tcPr>
            <w:tcW w:w="4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12.41</w:t>
            </w:r>
          </w:p>
        </w:tc>
        <w:tc>
          <w:tcPr>
            <w:tcW w:w="180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rPr>
              <w:t>90</w:t>
            </w:r>
          </w:p>
        </w:tc>
        <w:tc>
          <w:tcPr>
            <w:tcW w:w="13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1,346.3</w:t>
            </w:r>
          </w:p>
        </w:tc>
        <w:tc>
          <w:tcPr>
            <w:tcW w:w="4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1,356.4</w:t>
            </w:r>
          </w:p>
        </w:tc>
        <w:tc>
          <w:tcPr>
            <w:tcW w:w="42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1,083.1</w:t>
            </w:r>
          </w:p>
        </w:tc>
        <w:tc>
          <w:tcPr>
            <w:tcW w:w="1800" w:type="dxa"/>
            <w:vAlign w:val="bottom"/>
          </w:tcPr>
          <w:p>
            <w:pPr>
              <w:jc w:val="right"/>
              <w:ind w:right="354"/>
              <w:spacing w:after="0"/>
              <w:rPr>
                <w:sz w:val="20"/>
                <w:szCs w:val="20"/>
                <w:color w:val="auto"/>
              </w:rPr>
            </w:pPr>
            <w:r>
              <w:rPr>
                <w:rFonts w:ascii="Arial" w:cs="Arial" w:eastAsia="Arial" w:hAnsi="Arial"/>
                <w:sz w:val="18"/>
                <w:szCs w:val="18"/>
                <w:color w:val="auto"/>
              </w:rPr>
              <w:t>(1)</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25</w:t>
            </w:r>
          </w:p>
        </w:tc>
      </w:tr>
    </w:tbl>
    <w:p>
      <w:pPr>
        <w:spacing w:after="0" w:line="229" w:lineRule="exact"/>
        <w:rPr>
          <w:sz w:val="20"/>
          <w:szCs w:val="20"/>
          <w:color w:val="auto"/>
        </w:rPr>
      </w:pPr>
    </w:p>
    <w:p>
      <w:pPr>
        <w:ind w:left="660" w:right="100" w:hanging="328"/>
        <w:spacing w:after="0" w:line="277"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8"/>
          <w:szCs w:val="18"/>
          <w:color w:val="auto"/>
        </w:rPr>
        <w:t>The increase in revenues from 2009 to 2011 was attributable to an increase in contract volume as well as an increase in market data and information services revenue.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660" w:right="3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From 2009 to 2011, higher compensation and benefits, amortization of purchased intangibles, as well as professional fees and outside services, contributed to an increase in expense. The increase in 2011 compared with 2010 was partially offset by 2010 impairment charges on the goodwill and trade name related to our CMA operations.</w:t>
      </w:r>
    </w:p>
    <w:p>
      <w:pPr>
        <w:spacing w:after="0" w:line="181"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Non-operating income (expense) decreased in 2011 compared with 2010 due to lower interest expenses resulting from the repayment of the $420.5 million term loan in January 2011 and the maturity of the $300.0 million floating rate notes in August 2010. The decrease in 2010 compared with 2009 was attributable to $46.0 million of impairment of long-term investments in 2009.</w:t>
      </w:r>
    </w:p>
    <w:p>
      <w:pPr>
        <w:spacing w:after="0" w:line="181" w:lineRule="exact"/>
        <w:rPr>
          <w:rFonts w:ascii="Arial" w:cs="Arial" w:eastAsia="Arial" w:hAnsi="Arial"/>
          <w:sz w:val="18"/>
          <w:szCs w:val="18"/>
          <w:color w:val="auto"/>
        </w:rPr>
      </w:pPr>
    </w:p>
    <w:p>
      <w:pPr>
        <w:ind w:left="660" w:right="140" w:hanging="328"/>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decrease in effective tax rate in 2011 compared with 2010 was the result of a reduction in state tax apportionment which resulted in a reduction in our income tax provision of $646.0 million largely due to a revaluation of our deferred tax liabilities. In addition, in the first quarter of 2011, we began marking to market our investment in BM&amp;FBOVESPA which resulted in a $48.8 million reduction in valuation allowances on other unrealized capital losses previously reserved. The effective tax rate increased in 2010 compared with 2009 due to a $51.2 million charge to record the impact of our new combined state and local tax rate on our existing deferred tax liabilities. Our state and local tax rate increased due to revised state apportionment estimates resulting from annual state tax filings.</w:t>
      </w:r>
    </w:p>
    <w:p>
      <w:pPr>
        <w:spacing w:after="0" w:line="19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Cash flows from operations are correlated with trading volume. In 2011 when compared with 2010, the increase in cash flows from operations due to trading volumes was partially offset by an increase in other current assets and other assets resulting from an increase in restricted cash.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2009</w:t>
            </w:r>
          </w:p>
        </w:tc>
        <w:tc>
          <w:tcPr>
            <w:tcW w:w="192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2011-2010</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2010-2009</w:t>
            </w: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2,161.9</w:t>
            </w:r>
          </w:p>
        </w:tc>
        <w:tc>
          <w:tcPr>
            <w:tcW w:w="19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9%</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331.1</w:t>
            </w:r>
          </w:p>
        </w:tc>
        <w:tc>
          <w:tcPr>
            <w:tcW w:w="1920" w:type="dxa"/>
            <w:vAlign w:val="bottom"/>
            <w:gridSpan w:val="2"/>
          </w:tcPr>
          <w:p>
            <w:pPr>
              <w:jc w:val="right"/>
              <w:ind w:right="388"/>
              <w:spacing w:after="0"/>
              <w:rPr>
                <w:sz w:val="20"/>
                <w:szCs w:val="20"/>
                <w:color w:val="auto"/>
              </w:rPr>
            </w:pPr>
            <w:r>
              <w:rPr>
                <w:rFonts w:ascii="Arial" w:cs="Arial" w:eastAsia="Arial" w:hAnsi="Arial"/>
                <w:sz w:val="18"/>
                <w:szCs w:val="18"/>
                <w:color w:val="auto"/>
              </w:rPr>
              <w:t>8</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19</w:t>
            </w:r>
          </w:p>
        </w:tc>
      </w:tr>
      <w:tr>
        <w:trPr>
          <w:trHeight w:val="27"/>
        </w:trPr>
        <w:tc>
          <w:tcPr>
            <w:tcW w:w="3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45.6</w:t>
            </w:r>
          </w:p>
        </w:tc>
        <w:tc>
          <w:tcPr>
            <w:tcW w:w="192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8</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74.2</w:t>
            </w:r>
          </w:p>
        </w:tc>
        <w:tc>
          <w:tcPr>
            <w:tcW w:w="1920" w:type="dxa"/>
            <w:vAlign w:val="bottom"/>
            <w:gridSpan w:val="2"/>
          </w:tcPr>
          <w:p>
            <w:pPr>
              <w:jc w:val="right"/>
              <w:ind w:right="388"/>
              <w:spacing w:after="0"/>
              <w:rPr>
                <w:sz w:val="20"/>
                <w:szCs w:val="20"/>
                <w:color w:val="auto"/>
              </w:rPr>
            </w:pPr>
            <w:r>
              <w:rPr>
                <w:rFonts w:ascii="Arial" w:cs="Arial" w:eastAsia="Arial" w:hAnsi="Arial"/>
                <w:sz w:val="18"/>
                <w:szCs w:val="18"/>
                <w:color w:val="auto"/>
              </w:rPr>
              <w:t>21</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27"/>
        </w:trPr>
        <w:tc>
          <w:tcPr>
            <w:tcW w:w="3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3,280.6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3,003.7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2,612.8</w:t>
            </w:r>
          </w:p>
        </w:tc>
        <w:tc>
          <w:tcPr>
            <w:tcW w:w="192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9</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w:t>
            </w:r>
          </w:p>
        </w:tc>
      </w:tr>
      <w:tr>
        <w:trPr>
          <w:trHeight w:val="20"/>
        </w:trPr>
        <w:tc>
          <w:tcPr>
            <w:tcW w:w="3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Total contract volume includes contracts that are traded on our exchange and cleared through our CME clearing house. Contract volume also includes cleared-only CME ClearPort contracts. Volume is measured in round turns, which is considered a completed transaction which involves a purchase and an offsetting sale of a contract. Average rate per contract is determined by dividing total clearing and transaction fee revenues by total contract volume. All amounts exclude our TRAKRS, credit default swap, interest rate swap and CMECE contracts.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2009</w:t>
            </w:r>
          </w:p>
        </w:tc>
        <w:tc>
          <w:tcPr>
            <w:tcW w:w="18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2011-2010</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2010-2009</w:t>
            </w: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volume (in millions)</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3,386.7</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3,078.1</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2,584.9</w:t>
            </w:r>
          </w:p>
        </w:tc>
        <w:tc>
          <w:tcPr>
            <w:tcW w:w="18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10 %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w w:val="97"/>
              </w:rPr>
              <w:t>Clearing and transaction fees (in millions)</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2,710.8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2,486.2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2,161.7</w:t>
            </w:r>
          </w:p>
        </w:tc>
        <w:tc>
          <w:tcPr>
            <w:tcW w:w="1840" w:type="dxa"/>
            <w:vAlign w:val="bottom"/>
          </w:tcPr>
          <w:p>
            <w:pPr>
              <w:jc w:val="right"/>
              <w:ind w:right="417"/>
              <w:spacing w:after="0"/>
              <w:rPr>
                <w:sz w:val="20"/>
                <w:szCs w:val="20"/>
                <w:color w:val="auto"/>
              </w:rPr>
            </w:pPr>
            <w:r>
              <w:rPr>
                <w:rFonts w:ascii="Arial" w:cs="Arial" w:eastAsia="Arial" w:hAnsi="Arial"/>
                <w:sz w:val="18"/>
                <w:szCs w:val="18"/>
                <w:color w:val="auto"/>
              </w:rPr>
              <w:t>9</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15</w:t>
            </w:r>
          </w:p>
        </w:tc>
      </w:tr>
      <w:tr>
        <w:trPr>
          <w:trHeight w:val="27"/>
        </w:trPr>
        <w:tc>
          <w:tcPr>
            <w:tcW w:w="3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0.800</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0.808</w:t>
            </w: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0.836</w:t>
            </w:r>
          </w:p>
        </w:tc>
        <w:tc>
          <w:tcPr>
            <w:tcW w:w="18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(1)</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w:t>
            </w:r>
          </w:p>
        </w:tc>
      </w:tr>
      <w:tr>
        <w:trPr>
          <w:trHeight w:val="27"/>
        </w:trPr>
        <w:tc>
          <w:tcPr>
            <w:tcW w:w="3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estimate the following increases (decreases) in clearing and transaction fees based on change in total contract volume and change in average rate per contract during 2011 compared with 2010, and 2010 compared with 2009.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2011-2010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2010-2009</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due to change in total volume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Decrease due to change in average rate per contract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clearing and transaction fees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224.6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324.5</w:t>
            </w:r>
          </w:p>
        </w:tc>
      </w:tr>
      <w:tr>
        <w:trPr>
          <w:trHeight w:val="27"/>
        </w:trPr>
        <w:tc>
          <w:tcPr>
            <w:tcW w:w="8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volume, the change in revenues attributable to changes in each is only an</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approximation.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170"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From December 31, 2011 through the date the financial statements were issued, overall volume declined compared with 2011. The decrease in volume is attributable to lower volatility within the equity market, as measured by the CBOE Volatility Index, as well as lower volatility in short-term interest rates.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2"/>
          </w:tcPr>
          <w:p>
            <w:pPr>
              <w:jc w:val="right"/>
              <w:ind w:right="751"/>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2009</w:t>
            </w:r>
          </w:p>
        </w:tc>
        <w:tc>
          <w:tcPr>
            <w:tcW w:w="186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4"/>
                <w:szCs w:val="14"/>
                <w:b w:val="1"/>
                <w:bCs w:val="1"/>
                <w:color w:val="auto"/>
              </w:rPr>
              <w:t>2011-2010</w:t>
            </w:r>
          </w:p>
        </w:tc>
        <w:tc>
          <w:tcPr>
            <w:tcW w:w="14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2010-2009</w:t>
            </w: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Average Daily Volume by Product Line:</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6,030</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5,449</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4,260</w:t>
            </w:r>
          </w:p>
        </w:tc>
        <w:tc>
          <w:tcPr>
            <w:tcW w:w="1860" w:type="dxa"/>
            <w:vAlign w:val="bottom"/>
            <w:gridSpan w:val="2"/>
          </w:tcPr>
          <w:p>
            <w:pPr>
              <w:jc w:val="right"/>
              <w:ind w:right="216"/>
              <w:spacing w:after="0"/>
              <w:rPr>
                <w:sz w:val="20"/>
                <w:szCs w:val="20"/>
                <w:color w:val="auto"/>
              </w:rPr>
            </w:pPr>
            <w:r>
              <w:rPr>
                <w:rFonts w:ascii="Arial" w:cs="Arial" w:eastAsia="Arial" w:hAnsi="Arial"/>
                <w:sz w:val="18"/>
                <w:szCs w:val="18"/>
                <w:color w:val="auto"/>
              </w:rPr>
              <w:t>11%</w:t>
            </w:r>
          </w:p>
        </w:tc>
        <w:tc>
          <w:tcPr>
            <w:tcW w:w="140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3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3,238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2,916</w:t>
            </w:r>
          </w:p>
        </w:tc>
        <w:tc>
          <w:tcPr>
            <w:tcW w:w="1860" w:type="dxa"/>
            <w:vAlign w:val="bottom"/>
            <w:tcBorders>
              <w:bottom w:val="single" w:sz="8" w:color="CCEEFF"/>
            </w:tcBorders>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11</w:t>
            </w:r>
          </w:p>
        </w:tc>
        <w:tc>
          <w:tcPr>
            <w:tcW w:w="14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176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47</w:t>
            </w:r>
          </w:p>
        </w:tc>
      </w:tr>
      <w:tr>
        <w:trPr>
          <w:trHeight w:val="27"/>
        </w:trPr>
        <w:tc>
          <w:tcPr>
            <w:tcW w:w="3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741</w:t>
            </w:r>
          </w:p>
        </w:tc>
        <w:tc>
          <w:tcPr>
            <w:tcW w:w="1860" w:type="dxa"/>
            <w:vAlign w:val="bottom"/>
            <w:tcBorders>
              <w:bottom w:val="single" w:sz="8" w:color="CCEEFF"/>
            </w:tcBorders>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19</w:t>
            </w:r>
          </w:p>
        </w:tc>
        <w:tc>
          <w:tcPr>
            <w:tcW w:w="14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Energy</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1,492</w:t>
            </w:r>
          </w:p>
        </w:tc>
        <w:tc>
          <w:tcPr>
            <w:tcW w:w="1860" w:type="dxa"/>
            <w:vAlign w:val="bottom"/>
            <w:gridSpan w:val="2"/>
          </w:tcPr>
          <w:p>
            <w:pPr>
              <w:jc w:val="right"/>
              <w:ind w:right="376"/>
              <w:spacing w:after="0"/>
              <w:rPr>
                <w:sz w:val="20"/>
                <w:szCs w:val="20"/>
                <w:color w:val="auto"/>
              </w:rPr>
            </w:pPr>
            <w:r>
              <w:rPr>
                <w:rFonts w:ascii="Arial" w:cs="Arial" w:eastAsia="Arial" w:hAnsi="Arial"/>
                <w:sz w:val="18"/>
                <w:szCs w:val="18"/>
                <w:color w:val="auto"/>
              </w:rPr>
              <w:t>7</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7"/>
        </w:trPr>
        <w:tc>
          <w:tcPr>
            <w:tcW w:w="3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225</w:t>
            </w:r>
          </w:p>
        </w:tc>
        <w:tc>
          <w:tcPr>
            <w:tcW w:w="1860" w:type="dxa"/>
            <w:vAlign w:val="bottom"/>
            <w:tcBorders>
              <w:bottom w:val="single" w:sz="8" w:color="CCEEFF"/>
            </w:tcBorders>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23</w:t>
            </w:r>
          </w:p>
        </w:tc>
        <w:tc>
          <w:tcPr>
            <w:tcW w:w="14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40</w:t>
            </w:r>
          </w:p>
        </w:tc>
      </w:tr>
      <w:tr>
        <w:trPr>
          <w:trHeight w:val="237"/>
        </w:trPr>
        <w:tc>
          <w:tcPr>
            <w:tcW w:w="340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5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13,439</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12,167</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10,258</w:t>
            </w:r>
          </w:p>
        </w:tc>
        <w:tc>
          <w:tcPr>
            <w:tcW w:w="1860" w:type="dxa"/>
            <w:vAlign w:val="bottom"/>
            <w:gridSpan w:val="2"/>
          </w:tcPr>
          <w:p>
            <w:pPr>
              <w:jc w:val="right"/>
              <w:ind w:right="376"/>
              <w:spacing w:after="0"/>
              <w:rPr>
                <w:sz w:val="20"/>
                <w:szCs w:val="20"/>
                <w:color w:val="auto"/>
              </w:rPr>
            </w:pPr>
            <w:r>
              <w:rPr>
                <w:rFonts w:ascii="Arial" w:cs="Arial" w:eastAsia="Arial" w:hAnsi="Arial"/>
                <w:sz w:val="18"/>
                <w:szCs w:val="18"/>
                <w:color w:val="auto"/>
              </w:rPr>
              <w:t>10</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19</w:t>
            </w:r>
          </w:p>
        </w:tc>
      </w:tr>
      <w:tr>
        <w:trPr>
          <w:trHeight w:val="351"/>
        </w:trPr>
        <w:tc>
          <w:tcPr>
            <w:tcW w:w="3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11,350</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10,120</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8,290</w:t>
            </w:r>
          </w:p>
        </w:tc>
        <w:tc>
          <w:tcPr>
            <w:tcW w:w="1860" w:type="dxa"/>
            <w:vAlign w:val="bottom"/>
            <w:gridSpan w:val="2"/>
          </w:tcPr>
          <w:p>
            <w:pPr>
              <w:jc w:val="right"/>
              <w:ind w:right="376"/>
              <w:spacing w:after="0"/>
              <w:rPr>
                <w:sz w:val="20"/>
                <w:szCs w:val="20"/>
                <w:color w:val="auto"/>
              </w:rPr>
            </w:pPr>
            <w:r>
              <w:rPr>
                <w:rFonts w:ascii="Arial" w:cs="Arial" w:eastAsia="Arial" w:hAnsi="Arial"/>
                <w:sz w:val="18"/>
                <w:szCs w:val="18"/>
                <w:color w:val="auto"/>
              </w:rPr>
              <w:t>12</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22</w:t>
            </w:r>
          </w:p>
        </w:tc>
      </w:tr>
      <w:tr>
        <w:trPr>
          <w:trHeight w:val="27"/>
        </w:trPr>
        <w:tc>
          <w:tcPr>
            <w:tcW w:w="3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164</w:t>
            </w:r>
          </w:p>
        </w:tc>
        <w:tc>
          <w:tcPr>
            <w:tcW w:w="1860" w:type="dxa"/>
            <w:vAlign w:val="bottom"/>
            <w:gridSpan w:val="2"/>
          </w:tcPr>
          <w:p>
            <w:pPr>
              <w:jc w:val="right"/>
              <w:ind w:right="376"/>
              <w:spacing w:after="0"/>
              <w:rPr>
                <w:sz w:val="20"/>
                <w:szCs w:val="20"/>
                <w:color w:val="auto"/>
              </w:rPr>
            </w:pPr>
            <w:r>
              <w:rPr>
                <w:rFonts w:ascii="Arial" w:cs="Arial" w:eastAsia="Arial" w:hAnsi="Arial"/>
                <w:sz w:val="18"/>
                <w:szCs w:val="18"/>
                <w:color w:val="auto"/>
              </w:rPr>
              <w:t>17</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21</w:t>
            </w:r>
          </w:p>
        </w:tc>
      </w:tr>
      <w:tr>
        <w:trPr>
          <w:trHeight w:val="27"/>
        </w:trPr>
        <w:tc>
          <w:tcPr>
            <w:tcW w:w="34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exchange-traded volume</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12,979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11,720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9,764</w:t>
            </w:r>
          </w:p>
        </w:tc>
        <w:tc>
          <w:tcPr>
            <w:tcW w:w="1860" w:type="dxa"/>
            <w:vAlign w:val="bottom"/>
            <w:tcBorders>
              <w:bottom w:val="single" w:sz="8" w:color="CCEEFF"/>
            </w:tcBorders>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11</w:t>
            </w:r>
          </w:p>
        </w:tc>
        <w:tc>
          <w:tcPr>
            <w:tcW w:w="14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Total CME ClearPort</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494</w:t>
            </w:r>
          </w:p>
        </w:tc>
        <w:tc>
          <w:tcPr>
            <w:tcW w:w="1860" w:type="dxa"/>
            <w:vAlign w:val="bottom"/>
            <w:gridSpan w:val="2"/>
          </w:tcPr>
          <w:p>
            <w:pPr>
              <w:jc w:val="right"/>
              <w:ind w:right="376"/>
              <w:spacing w:after="0"/>
              <w:rPr>
                <w:sz w:val="20"/>
                <w:szCs w:val="20"/>
                <w:color w:val="auto"/>
              </w:rPr>
            </w:pPr>
            <w:r>
              <w:rPr>
                <w:rFonts w:ascii="Arial" w:cs="Arial" w:eastAsia="Arial" w:hAnsi="Arial"/>
                <w:sz w:val="18"/>
                <w:szCs w:val="18"/>
                <w:color w:val="auto"/>
              </w:rPr>
              <w:t>3</w:t>
            </w: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(10)</w:t>
            </w:r>
          </w:p>
        </w:tc>
      </w:tr>
      <w:tr>
        <w:trPr>
          <w:trHeight w:val="27"/>
        </w:trPr>
        <w:tc>
          <w:tcPr>
            <w:tcW w:w="34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13,439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12,167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10,258</w:t>
            </w:r>
          </w:p>
        </w:tc>
        <w:tc>
          <w:tcPr>
            <w:tcW w:w="1860" w:type="dxa"/>
            <w:vAlign w:val="bottom"/>
            <w:tcBorders>
              <w:bottom w:val="single" w:sz="8" w:color="CCEEFF"/>
            </w:tcBorders>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10</w:t>
            </w:r>
          </w:p>
        </w:tc>
        <w:tc>
          <w:tcPr>
            <w:tcW w:w="14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r>
      <w:tr>
        <w:trPr>
          <w:trHeight w:val="229"/>
        </w:trPr>
        <w:tc>
          <w:tcPr>
            <w:tcW w:w="3400" w:type="dxa"/>
            <w:vAlign w:val="bottom"/>
          </w:tcPr>
          <w:p>
            <w:pPr>
              <w:ind w:left="40"/>
              <w:spacing w:after="0"/>
              <w:rPr>
                <w:sz w:val="20"/>
                <w:szCs w:val="20"/>
                <w:color w:val="auto"/>
              </w:rPr>
            </w:pPr>
            <w:r>
              <w:rPr>
                <w:rFonts w:ascii="Arial" w:cs="Arial" w:eastAsia="Arial" w:hAnsi="Arial"/>
                <w:sz w:val="18"/>
                <w:szCs w:val="18"/>
                <w:color w:val="auto"/>
              </w:rPr>
              <w:t>Electronic Volume as a Percentage of</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3400" w:type="dxa"/>
            <w:vAlign w:val="bottom"/>
          </w:tcPr>
          <w:p>
            <w:pPr>
              <w:ind w:left="40"/>
              <w:spacing w:after="0"/>
              <w:rPr>
                <w:sz w:val="20"/>
                <w:szCs w:val="20"/>
                <w:color w:val="auto"/>
              </w:rPr>
            </w:pPr>
            <w:r>
              <w:rPr>
                <w:rFonts w:ascii="Arial" w:cs="Arial" w:eastAsia="Arial" w:hAnsi="Arial"/>
                <w:sz w:val="18"/>
                <w:szCs w:val="18"/>
                <w:color w:val="auto"/>
              </w:rPr>
              <w:t>Average Daily Volume</w:t>
            </w:r>
          </w:p>
        </w:tc>
        <w:tc>
          <w:tcPr>
            <w:tcW w:w="15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summarizes average daily volume for our key interest rate products. Eurodollar front 8 contracts include contracts expiring within two years. Eurodollar back 32 contracts include contracts expiring within three to ten years.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98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2011</w:t>
            </w:r>
          </w:p>
        </w:tc>
        <w:tc>
          <w:tcPr>
            <w:tcW w:w="158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2010</w:t>
            </w: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2009</w:t>
            </w:r>
          </w:p>
        </w:tc>
        <w:tc>
          <w:tcPr>
            <w:tcW w:w="18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2011-2010</w:t>
            </w:r>
          </w:p>
        </w:tc>
        <w:tc>
          <w:tcPr>
            <w:tcW w:w="14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2010-2009</w:t>
            </w: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980" w:type="dxa"/>
            <w:vAlign w:val="bottom"/>
          </w:tcPr>
          <w:p>
            <w:pPr>
              <w:jc w:val="right"/>
              <w:ind w:right="272"/>
              <w:spacing w:after="0"/>
              <w:rPr>
                <w:sz w:val="20"/>
                <w:szCs w:val="20"/>
                <w:color w:val="auto"/>
              </w:rPr>
            </w:pPr>
            <w:r>
              <w:rPr>
                <w:rFonts w:ascii="Arial" w:cs="Arial" w:eastAsia="Arial" w:hAnsi="Arial"/>
                <w:sz w:val="18"/>
                <w:szCs w:val="18"/>
                <w:color w:val="auto"/>
              </w:rPr>
              <w:t>1,717</w:t>
            </w:r>
          </w:p>
        </w:tc>
        <w:tc>
          <w:tcPr>
            <w:tcW w:w="1580" w:type="dxa"/>
            <w:vAlign w:val="bottom"/>
          </w:tcPr>
          <w:p>
            <w:pPr>
              <w:jc w:val="right"/>
              <w:ind w:right="272"/>
              <w:spacing w:after="0"/>
              <w:rPr>
                <w:sz w:val="20"/>
                <w:szCs w:val="20"/>
                <w:color w:val="auto"/>
              </w:rPr>
            </w:pPr>
            <w:r>
              <w:rPr>
                <w:rFonts w:ascii="Arial" w:cs="Arial" w:eastAsia="Arial" w:hAnsi="Arial"/>
                <w:sz w:val="18"/>
                <w:szCs w:val="18"/>
                <w:color w:val="auto"/>
              </w:rPr>
              <w:t>1,646</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1,482</w:t>
            </w:r>
          </w:p>
        </w:tc>
        <w:tc>
          <w:tcPr>
            <w:tcW w:w="1820" w:type="dxa"/>
            <w:vAlign w:val="bottom"/>
          </w:tcPr>
          <w:p>
            <w:pPr>
              <w:jc w:val="right"/>
              <w:ind w:right="214"/>
              <w:spacing w:after="0"/>
              <w:rPr>
                <w:sz w:val="20"/>
                <w:szCs w:val="20"/>
                <w:color w:val="auto"/>
              </w:rPr>
            </w:pPr>
            <w:r>
              <w:rPr>
                <w:rFonts w:ascii="Arial" w:cs="Arial" w:eastAsia="Arial" w:hAnsi="Arial"/>
                <w:sz w:val="18"/>
                <w:szCs w:val="18"/>
                <w:color w:val="auto"/>
              </w:rPr>
              <w:t>4%</w:t>
            </w:r>
          </w:p>
        </w:tc>
        <w:tc>
          <w:tcPr>
            <w:tcW w:w="1400" w:type="dxa"/>
            <w:vAlign w:val="bottom"/>
          </w:tcPr>
          <w:p>
            <w:pPr>
              <w:ind w:left="1040"/>
              <w:spacing w:after="0"/>
              <w:rPr>
                <w:sz w:val="20"/>
                <w:szCs w:val="20"/>
                <w:color w:val="auto"/>
              </w:rPr>
            </w:pPr>
            <w:r>
              <w:rPr>
                <w:rFonts w:ascii="Arial" w:cs="Arial" w:eastAsia="Arial" w:hAnsi="Arial"/>
                <w:sz w:val="18"/>
                <w:szCs w:val="18"/>
                <w:color w:val="auto"/>
                <w:w w:val="94"/>
              </w:rPr>
              <w:t>11%</w:t>
            </w:r>
          </w:p>
        </w:tc>
      </w:tr>
      <w:tr>
        <w:trPr>
          <w:trHeight w:val="27"/>
        </w:trPr>
        <w:tc>
          <w:tcPr>
            <w:tcW w:w="3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9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510</w:t>
            </w:r>
          </w:p>
        </w:tc>
        <w:tc>
          <w:tcPr>
            <w:tcW w:w="15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357</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82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43</w:t>
            </w:r>
          </w:p>
        </w:tc>
        <w:tc>
          <w:tcPr>
            <w:tcW w:w="1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50</w:t>
            </w: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Options</w:t>
            </w:r>
          </w:p>
        </w:tc>
        <w:tc>
          <w:tcPr>
            <w:tcW w:w="1980" w:type="dxa"/>
            <w:vAlign w:val="bottom"/>
          </w:tcPr>
          <w:p>
            <w:pPr>
              <w:jc w:val="right"/>
              <w:ind w:right="272"/>
              <w:spacing w:after="0"/>
              <w:rPr>
                <w:sz w:val="20"/>
                <w:szCs w:val="20"/>
                <w:color w:val="auto"/>
              </w:rPr>
            </w:pPr>
            <w:r>
              <w:rPr>
                <w:rFonts w:ascii="Arial" w:cs="Arial" w:eastAsia="Arial" w:hAnsi="Arial"/>
                <w:sz w:val="18"/>
                <w:szCs w:val="18"/>
                <w:color w:val="auto"/>
              </w:rPr>
              <w:t>767</w:t>
            </w:r>
          </w:p>
        </w:tc>
        <w:tc>
          <w:tcPr>
            <w:tcW w:w="1580" w:type="dxa"/>
            <w:vAlign w:val="bottom"/>
          </w:tcPr>
          <w:p>
            <w:pPr>
              <w:jc w:val="right"/>
              <w:ind w:right="272"/>
              <w:spacing w:after="0"/>
              <w:rPr>
                <w:sz w:val="20"/>
                <w:szCs w:val="20"/>
                <w:color w:val="auto"/>
              </w:rPr>
            </w:pPr>
            <w:r>
              <w:rPr>
                <w:rFonts w:ascii="Arial" w:cs="Arial" w:eastAsia="Arial" w:hAnsi="Arial"/>
                <w:sz w:val="18"/>
                <w:szCs w:val="18"/>
                <w:color w:val="auto"/>
              </w:rPr>
              <w:t>726</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639</w:t>
            </w:r>
          </w:p>
        </w:tc>
        <w:tc>
          <w:tcPr>
            <w:tcW w:w="1820" w:type="dxa"/>
            <w:vAlign w:val="bottom"/>
          </w:tcPr>
          <w:p>
            <w:pPr>
              <w:jc w:val="right"/>
              <w:ind w:right="374"/>
              <w:spacing w:after="0"/>
              <w:rPr>
                <w:sz w:val="20"/>
                <w:szCs w:val="20"/>
                <w:color w:val="auto"/>
              </w:rPr>
            </w:pPr>
            <w:r>
              <w:rPr>
                <w:rFonts w:ascii="Arial" w:cs="Arial" w:eastAsia="Arial" w:hAnsi="Arial"/>
                <w:sz w:val="18"/>
                <w:szCs w:val="18"/>
                <w:color w:val="auto"/>
              </w:rPr>
              <w:t>6</w:t>
            </w:r>
          </w:p>
        </w:tc>
        <w:tc>
          <w:tcPr>
            <w:tcW w:w="1400" w:type="dxa"/>
            <w:vAlign w:val="bottom"/>
          </w:tcPr>
          <w:p>
            <w:pPr>
              <w:ind w:left="1040"/>
              <w:spacing w:after="0"/>
              <w:rPr>
                <w:sz w:val="20"/>
                <w:szCs w:val="20"/>
                <w:color w:val="auto"/>
              </w:rPr>
            </w:pPr>
            <w:r>
              <w:rPr>
                <w:rFonts w:ascii="Arial" w:cs="Arial" w:eastAsia="Arial" w:hAnsi="Arial"/>
                <w:sz w:val="18"/>
                <w:szCs w:val="18"/>
                <w:color w:val="auto"/>
              </w:rPr>
              <w:t>14</w:t>
            </w:r>
          </w:p>
        </w:tc>
      </w:tr>
      <w:tr>
        <w:trPr>
          <w:trHeight w:val="27"/>
        </w:trPr>
        <w:tc>
          <w:tcPr>
            <w:tcW w:w="3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10-Year</w:t>
            </w:r>
          </w:p>
        </w:tc>
        <w:tc>
          <w:tcPr>
            <w:tcW w:w="1980" w:type="dxa"/>
            <w:vAlign w:val="bottom"/>
          </w:tcPr>
          <w:p>
            <w:pPr>
              <w:jc w:val="right"/>
              <w:ind w:right="272"/>
              <w:spacing w:after="0"/>
              <w:rPr>
                <w:sz w:val="20"/>
                <w:szCs w:val="20"/>
                <w:color w:val="auto"/>
              </w:rPr>
            </w:pPr>
            <w:r>
              <w:rPr>
                <w:rFonts w:ascii="Arial" w:cs="Arial" w:eastAsia="Arial" w:hAnsi="Arial"/>
                <w:sz w:val="18"/>
                <w:szCs w:val="18"/>
                <w:color w:val="auto"/>
              </w:rPr>
              <w:t>1,454</w:t>
            </w:r>
          </w:p>
        </w:tc>
        <w:tc>
          <w:tcPr>
            <w:tcW w:w="1580" w:type="dxa"/>
            <w:vAlign w:val="bottom"/>
          </w:tcPr>
          <w:p>
            <w:pPr>
              <w:jc w:val="right"/>
              <w:ind w:right="272"/>
              <w:spacing w:after="0"/>
              <w:rPr>
                <w:sz w:val="20"/>
                <w:szCs w:val="20"/>
                <w:color w:val="auto"/>
              </w:rPr>
            </w:pPr>
            <w:r>
              <w:rPr>
                <w:rFonts w:ascii="Arial" w:cs="Arial" w:eastAsia="Arial" w:hAnsi="Arial"/>
                <w:sz w:val="18"/>
                <w:szCs w:val="18"/>
                <w:color w:val="auto"/>
              </w:rPr>
              <w:t>1,380</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913</w:t>
            </w:r>
          </w:p>
        </w:tc>
        <w:tc>
          <w:tcPr>
            <w:tcW w:w="1820" w:type="dxa"/>
            <w:vAlign w:val="bottom"/>
          </w:tcPr>
          <w:p>
            <w:pPr>
              <w:jc w:val="right"/>
              <w:ind w:right="374"/>
              <w:spacing w:after="0"/>
              <w:rPr>
                <w:sz w:val="20"/>
                <w:szCs w:val="20"/>
                <w:color w:val="auto"/>
              </w:rPr>
            </w:pPr>
            <w:r>
              <w:rPr>
                <w:rFonts w:ascii="Arial" w:cs="Arial" w:eastAsia="Arial" w:hAnsi="Arial"/>
                <w:sz w:val="18"/>
                <w:szCs w:val="18"/>
                <w:color w:val="auto"/>
              </w:rPr>
              <w:t>5</w:t>
            </w:r>
          </w:p>
        </w:tc>
        <w:tc>
          <w:tcPr>
            <w:tcW w:w="1400" w:type="dxa"/>
            <w:vAlign w:val="bottom"/>
          </w:tcPr>
          <w:p>
            <w:pPr>
              <w:ind w:left="1040"/>
              <w:spacing w:after="0"/>
              <w:rPr>
                <w:sz w:val="20"/>
                <w:szCs w:val="20"/>
                <w:color w:val="auto"/>
              </w:rPr>
            </w:pPr>
            <w:r>
              <w:rPr>
                <w:rFonts w:ascii="Arial" w:cs="Arial" w:eastAsia="Arial" w:hAnsi="Arial"/>
                <w:sz w:val="18"/>
                <w:szCs w:val="18"/>
                <w:color w:val="auto"/>
              </w:rPr>
              <w:t>51</w:t>
            </w:r>
          </w:p>
        </w:tc>
      </w:tr>
      <w:tr>
        <w:trPr>
          <w:trHeight w:val="27"/>
        </w:trPr>
        <w:tc>
          <w:tcPr>
            <w:tcW w:w="3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9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720</w:t>
            </w:r>
          </w:p>
        </w:tc>
        <w:tc>
          <w:tcPr>
            <w:tcW w:w="15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546</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w:t>
            </w:r>
          </w:p>
        </w:tc>
        <w:tc>
          <w:tcPr>
            <w:tcW w:w="182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32</w:t>
            </w:r>
          </w:p>
        </w:tc>
        <w:tc>
          <w:tcPr>
            <w:tcW w:w="1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33</w:t>
            </w: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980" w:type="dxa"/>
            <w:vAlign w:val="bottom"/>
          </w:tcPr>
          <w:p>
            <w:pPr>
              <w:jc w:val="right"/>
              <w:ind w:right="272"/>
              <w:spacing w:after="0"/>
              <w:rPr>
                <w:sz w:val="20"/>
                <w:szCs w:val="20"/>
                <w:color w:val="auto"/>
              </w:rPr>
            </w:pPr>
            <w:r>
              <w:rPr>
                <w:rFonts w:ascii="Arial" w:cs="Arial" w:eastAsia="Arial" w:hAnsi="Arial"/>
                <w:sz w:val="18"/>
                <w:szCs w:val="18"/>
                <w:color w:val="auto"/>
              </w:rPr>
              <w:t>415</w:t>
            </w:r>
          </w:p>
        </w:tc>
        <w:tc>
          <w:tcPr>
            <w:tcW w:w="1580" w:type="dxa"/>
            <w:vAlign w:val="bottom"/>
          </w:tcPr>
          <w:p>
            <w:pPr>
              <w:jc w:val="right"/>
              <w:ind w:right="272"/>
              <w:spacing w:after="0"/>
              <w:rPr>
                <w:sz w:val="20"/>
                <w:szCs w:val="20"/>
                <w:color w:val="auto"/>
              </w:rPr>
            </w:pPr>
            <w:r>
              <w:rPr>
                <w:rFonts w:ascii="Arial" w:cs="Arial" w:eastAsia="Arial" w:hAnsi="Arial"/>
                <w:sz w:val="18"/>
                <w:szCs w:val="18"/>
                <w:color w:val="auto"/>
              </w:rPr>
              <w:t>388</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292</w:t>
            </w:r>
          </w:p>
        </w:tc>
        <w:tc>
          <w:tcPr>
            <w:tcW w:w="1820" w:type="dxa"/>
            <w:vAlign w:val="bottom"/>
          </w:tcPr>
          <w:p>
            <w:pPr>
              <w:jc w:val="right"/>
              <w:ind w:right="374"/>
              <w:spacing w:after="0"/>
              <w:rPr>
                <w:sz w:val="20"/>
                <w:szCs w:val="20"/>
                <w:color w:val="auto"/>
              </w:rPr>
            </w:pPr>
            <w:r>
              <w:rPr>
                <w:rFonts w:ascii="Arial" w:cs="Arial" w:eastAsia="Arial" w:hAnsi="Arial"/>
                <w:sz w:val="18"/>
                <w:szCs w:val="18"/>
                <w:color w:val="auto"/>
              </w:rPr>
              <w:t>7</w:t>
            </w:r>
          </w:p>
        </w:tc>
        <w:tc>
          <w:tcPr>
            <w:tcW w:w="1400" w:type="dxa"/>
            <w:vAlign w:val="bottom"/>
          </w:tcPr>
          <w:p>
            <w:pPr>
              <w:ind w:left="1040"/>
              <w:spacing w:after="0"/>
              <w:rPr>
                <w:sz w:val="20"/>
                <w:szCs w:val="20"/>
                <w:color w:val="auto"/>
              </w:rPr>
            </w:pPr>
            <w:r>
              <w:rPr>
                <w:rFonts w:ascii="Arial" w:cs="Arial" w:eastAsia="Arial" w:hAnsi="Arial"/>
                <w:sz w:val="18"/>
                <w:szCs w:val="18"/>
                <w:color w:val="auto"/>
              </w:rPr>
              <w:t>33</w:t>
            </w:r>
          </w:p>
        </w:tc>
      </w:tr>
      <w:tr>
        <w:trPr>
          <w:trHeight w:val="27"/>
        </w:trPr>
        <w:tc>
          <w:tcPr>
            <w:tcW w:w="3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3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297</w:t>
            </w:r>
          </w:p>
        </w:tc>
        <w:tc>
          <w:tcPr>
            <w:tcW w:w="15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274</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8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8</w:t>
            </w:r>
          </w:p>
        </w:tc>
        <w:tc>
          <w:tcPr>
            <w:tcW w:w="14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37</w:t>
            </w:r>
          </w:p>
        </w:tc>
      </w:tr>
      <w:tr>
        <w:trPr>
          <w:trHeight w:val="27"/>
        </w:trPr>
        <w:tc>
          <w:tcPr>
            <w:tcW w:w="33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2011 when compared with 2010, the overall increase in interest rate contract volume was attributable to volatility caused by a change in market expectations regarding short-term and long-term interest rates tied to the Federal Reserve's announcement in 2011 that it intends to maintain its zero interest rate policy through 2013. In addition, volatility caused by the downgrade of the United States credit rating also contributed to an increase in overall volume. Mid-term interest rate contract volume, which includes Eurodollar back 32 futures and 5-year U.S. Treasury futures and options, grew at a faster rate than short-term contract volume because of a shift from contracts based on short-term interest rates to mid-term interest rates due to the continued zero interest rate policy through 2013.</w:t>
      </w:r>
    </w:p>
    <w:p>
      <w:pPr>
        <w:sectPr>
          <w:pgSz w:w="11900" w:h="16838" w:orient="portrait"/>
          <w:cols w:equalWidth="0" w:num="1">
            <w:col w:w="11420"/>
          </w:cols>
          <w:pgMar w:left="240" w:top="122"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2" w:right="2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also believe that overall U.S. Treasury futures and options contract volume increased in 2011 when compared with 2010 due to institutional portfolio adjustments caused by the downgrade of the United States credit rating. Many institutional portfolios are required to maintain an average minimum overall credit rating. When the U.S. Treasury credit rating was downgraded, the institutional portfolios had to sell investments with lower credit ratings and buy more U.S. Treasuries in order to increase their average minimum overall credit rating. In addition, the growth in overall U.S. Treasury futures and options contract volume was attributable to increased demand for U.S. Treasury securities as a safe haven investment during the European credit crisis.</w:t>
      </w:r>
    </w:p>
    <w:p>
      <w:pPr>
        <w:spacing w:after="0" w:line="15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overall growth in interest rate contract volume in 2011 when compared with 2010 was partially offset by a decrease in volume in the fourth quarter of 2011 compared with the fourth quarter of 2010. We believe the decline in volume in the fourth quarter of 2011 was attributable to low interest rate volatility as well as the MF Global bankruptcy as well as stronger seasonal factors in the fourth quarter of 2011 compared with the same period of 2010.</w:t>
      </w:r>
    </w:p>
    <w:p>
      <w:pPr>
        <w:spacing w:after="0" w:line="14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2010 when compared with 2009, overall interest rate product volume increased due to the overall improvement in the economic environment in 2010 following the credit crisis. Specifically, in the second half of 2010, a continuing zero interest rate policy in the United States and the Federal Reserve's announcement that it would buy additional U.S. Treasury securities to stimulate the economy led to changing expectations about interest rates as well as increased market participants' use of these products. The change in expectations contributed to an increase in volume for longer-term U.S. Treasury products which was only partially offset by slower growth in volume for short-term Eurodollar products.</w:t>
      </w:r>
    </w:p>
    <w:p>
      <w:pPr>
        <w:spacing w:after="0" w:line="1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believe that the increase in overall Eurodollar products volume in 2010, when compared with 2009, resulted from uncertainty surrounding the London Interbank Offered Rate (LIBOR) due to the European credit crisis throughout early 2010. In addition, changing expectations about the Federal Reserve's monetary policy led to increased volume for longer-dated Eurodollar products.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2010, when compared with 2009, we believe that the increase in U.S. Treasury note futures and options volume was attributable to the additional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note issuance by the U.S. government as well as rising intermediate and long-term interest rates during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equity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6"/>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70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2011</w:t>
            </w:r>
          </w:p>
        </w:tc>
        <w:tc>
          <w:tcPr>
            <w:tcW w:w="158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2010</w:t>
            </w:r>
          </w:p>
        </w:tc>
        <w:tc>
          <w:tcPr>
            <w:tcW w:w="13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2009</w:t>
            </w:r>
          </w:p>
        </w:tc>
        <w:tc>
          <w:tcPr>
            <w:tcW w:w="18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2011-2010</w:t>
            </w:r>
          </w:p>
        </w:tc>
        <w:tc>
          <w:tcPr>
            <w:tcW w:w="13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2010-2009</w:t>
            </w: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70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2,605</w:t>
            </w:r>
          </w:p>
        </w:tc>
        <w:tc>
          <w:tcPr>
            <w:tcW w:w="15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2,285</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2,280</w:t>
            </w:r>
          </w:p>
        </w:tc>
        <w:tc>
          <w:tcPr>
            <w:tcW w:w="18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14 %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700" w:type="dxa"/>
            <w:vAlign w:val="bottom"/>
          </w:tcPr>
          <w:p>
            <w:pPr>
              <w:jc w:val="right"/>
              <w:ind w:right="276"/>
              <w:spacing w:after="0"/>
              <w:rPr>
                <w:sz w:val="20"/>
                <w:szCs w:val="20"/>
                <w:color w:val="auto"/>
              </w:rPr>
            </w:pPr>
            <w:r>
              <w:rPr>
                <w:rFonts w:ascii="Arial" w:cs="Arial" w:eastAsia="Arial" w:hAnsi="Arial"/>
                <w:sz w:val="18"/>
                <w:szCs w:val="18"/>
                <w:color w:val="auto"/>
              </w:rPr>
              <w:t>301</w:t>
            </w:r>
          </w:p>
        </w:tc>
        <w:tc>
          <w:tcPr>
            <w:tcW w:w="1580" w:type="dxa"/>
            <w:vAlign w:val="bottom"/>
          </w:tcPr>
          <w:p>
            <w:pPr>
              <w:jc w:val="right"/>
              <w:ind w:right="276"/>
              <w:spacing w:after="0"/>
              <w:rPr>
                <w:sz w:val="20"/>
                <w:szCs w:val="20"/>
                <w:color w:val="auto"/>
              </w:rPr>
            </w:pPr>
            <w:r>
              <w:rPr>
                <w:rFonts w:ascii="Arial" w:cs="Arial" w:eastAsia="Arial" w:hAnsi="Arial"/>
                <w:sz w:val="18"/>
                <w:szCs w:val="18"/>
                <w:color w:val="auto"/>
              </w:rPr>
              <w:t>317</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311</w:t>
            </w:r>
          </w:p>
        </w:tc>
        <w:tc>
          <w:tcPr>
            <w:tcW w:w="1840" w:type="dxa"/>
            <w:vAlign w:val="bottom"/>
          </w:tcPr>
          <w:p>
            <w:pPr>
              <w:jc w:val="right"/>
              <w:ind w:right="359"/>
              <w:spacing w:after="0"/>
              <w:rPr>
                <w:sz w:val="20"/>
                <w:szCs w:val="20"/>
                <w:color w:val="auto"/>
              </w:rPr>
            </w:pPr>
            <w:r>
              <w:rPr>
                <w:rFonts w:ascii="Arial" w:cs="Arial" w:eastAsia="Arial" w:hAnsi="Arial"/>
                <w:sz w:val="18"/>
                <w:szCs w:val="18"/>
                <w:color w:val="auto"/>
              </w:rPr>
              <w:t>(5)</w:t>
            </w:r>
          </w:p>
        </w:tc>
        <w:tc>
          <w:tcPr>
            <w:tcW w:w="1380" w:type="dxa"/>
            <w:vAlign w:val="bottom"/>
          </w:tcPr>
          <w:p>
            <w:pPr>
              <w:jc w:val="right"/>
              <w:ind w:right="96"/>
              <w:spacing w:after="0"/>
              <w:rPr>
                <w:sz w:val="20"/>
                <w:szCs w:val="20"/>
                <w:color w:val="auto"/>
              </w:rPr>
            </w:pPr>
            <w:r>
              <w:rPr>
                <w:rFonts w:ascii="Arial" w:cs="Arial" w:eastAsia="Arial" w:hAnsi="Arial"/>
                <w:sz w:val="18"/>
                <w:szCs w:val="18"/>
                <w:color w:val="auto"/>
              </w:rPr>
              <w:t>2</w:t>
            </w:r>
          </w:p>
        </w:tc>
      </w:tr>
    </w:tbl>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2011 when compared with 2010, an overall increase in volatility, as measured by the CBOE Volatility Index, contributed to an increase in equity contract volume. We experienced periods of high volatility within the equity markets during the third quarter of 2011, which we believe was attributable to the downgrade of the United States credit rating and the continuation of the sovereign debt crisis in Europe. We also experienced short periods of high volatility in May 2010 due to the start of the sovereign debt crisis in Europe, which we believe contributed to additional volume in 2010. In general, equity products such as the E-mini NASDAQ contracts that hedge market risks different than those of the E-mini S&amp;P 500, our most liquid equity product, do not tend to benefit from macro-level events or increased volatility to the same extent.</w:t>
      </w:r>
    </w:p>
    <w:p>
      <w:pPr>
        <w:spacing w:after="0" w:line="19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Growth in equity products volume was relatively unchanged in 2010 when compared with 2009. We believe an improved economic outlook leading to increased investment in the equities market contributed to an increase in volume in 2010. This increase was offset by a decrease in volume attributable to a decline in average volatility for equity products, as measured by the CBOE Volatility Index, in 2010 when compared with 2009.</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foreign exchange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0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2011</w:t>
            </w:r>
          </w:p>
        </w:tc>
        <w:tc>
          <w:tcPr>
            <w:tcW w:w="156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2010</w:t>
            </w: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2009</w:t>
            </w:r>
          </w:p>
        </w:tc>
        <w:tc>
          <w:tcPr>
            <w:tcW w:w="18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2011-2010</w:t>
            </w: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2010-2009</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5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357</w:t>
            </w:r>
          </w:p>
        </w:tc>
        <w:tc>
          <w:tcPr>
            <w:tcW w:w="15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367</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225</w:t>
            </w:r>
          </w:p>
        </w:tc>
        <w:tc>
          <w:tcPr>
            <w:tcW w:w="18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(3)%</w:t>
            </w:r>
          </w:p>
        </w:tc>
        <w:tc>
          <w:tcPr>
            <w:tcW w:w="13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4"/>
              </w:rPr>
              <w:t>63%</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2500" w:type="dxa"/>
            <w:vAlign w:val="bottom"/>
          </w:tcPr>
          <w:p>
            <w:pPr>
              <w:jc w:val="right"/>
              <w:ind w:right="273"/>
              <w:spacing w:after="0"/>
              <w:rPr>
                <w:sz w:val="20"/>
                <w:szCs w:val="20"/>
                <w:color w:val="auto"/>
              </w:rPr>
            </w:pPr>
            <w:r>
              <w:rPr>
                <w:rFonts w:ascii="Arial" w:cs="Arial" w:eastAsia="Arial" w:hAnsi="Arial"/>
                <w:sz w:val="18"/>
                <w:szCs w:val="18"/>
                <w:color w:val="auto"/>
              </w:rPr>
              <w:t>126</w:t>
            </w:r>
          </w:p>
        </w:tc>
        <w:tc>
          <w:tcPr>
            <w:tcW w:w="1560" w:type="dxa"/>
            <w:vAlign w:val="bottom"/>
          </w:tcPr>
          <w:p>
            <w:pPr>
              <w:jc w:val="right"/>
              <w:ind w:right="273"/>
              <w:spacing w:after="0"/>
              <w:rPr>
                <w:sz w:val="20"/>
                <w:szCs w:val="20"/>
                <w:color w:val="auto"/>
              </w:rPr>
            </w:pPr>
            <w:r>
              <w:rPr>
                <w:rFonts w:ascii="Arial" w:cs="Arial" w:eastAsia="Arial" w:hAnsi="Arial"/>
                <w:sz w:val="18"/>
                <w:szCs w:val="18"/>
                <w:color w:val="auto"/>
              </w:rPr>
              <w:t>105</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1860" w:type="dxa"/>
            <w:vAlign w:val="bottom"/>
          </w:tcPr>
          <w:p>
            <w:pPr>
              <w:jc w:val="right"/>
              <w:ind w:right="435"/>
              <w:spacing w:after="0"/>
              <w:rPr>
                <w:sz w:val="20"/>
                <w:szCs w:val="20"/>
                <w:color w:val="auto"/>
              </w:rPr>
            </w:pPr>
            <w:r>
              <w:rPr>
                <w:rFonts w:ascii="Arial" w:cs="Arial" w:eastAsia="Arial" w:hAnsi="Arial"/>
                <w:sz w:val="18"/>
                <w:szCs w:val="18"/>
                <w:color w:val="auto"/>
              </w:rPr>
              <w:t>20</w:t>
            </w:r>
          </w:p>
        </w:tc>
        <w:tc>
          <w:tcPr>
            <w:tcW w:w="1380" w:type="dxa"/>
            <w:vAlign w:val="bottom"/>
          </w:tcPr>
          <w:p>
            <w:pPr>
              <w:ind w:left="1020"/>
              <w:spacing w:after="0"/>
              <w:rPr>
                <w:sz w:val="20"/>
                <w:szCs w:val="20"/>
                <w:color w:val="auto"/>
              </w:rPr>
            </w:pPr>
            <w:r>
              <w:rPr>
                <w:rFonts w:ascii="Arial" w:cs="Arial" w:eastAsia="Arial" w:hAnsi="Arial"/>
                <w:sz w:val="18"/>
                <w:szCs w:val="18"/>
                <w:color w:val="auto"/>
              </w:rPr>
              <w:t>55</w:t>
            </w:r>
          </w:p>
        </w:tc>
      </w:tr>
      <w:tr>
        <w:trPr>
          <w:trHeight w:val="27"/>
        </w:trPr>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Japanese yen</w:t>
            </w:r>
          </w:p>
        </w:tc>
        <w:tc>
          <w:tcPr>
            <w:tcW w:w="25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118</w:t>
            </w:r>
          </w:p>
        </w:tc>
        <w:tc>
          <w:tcPr>
            <w:tcW w:w="15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131</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93</w:t>
            </w:r>
          </w:p>
        </w:tc>
        <w:tc>
          <w:tcPr>
            <w:tcW w:w="186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8"/>
                <w:szCs w:val="18"/>
                <w:color w:val="auto"/>
              </w:rPr>
              <w:t>(10)</w:t>
            </w:r>
          </w:p>
        </w:tc>
        <w:tc>
          <w:tcPr>
            <w:tcW w:w="13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41</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British pound</w:t>
            </w:r>
          </w:p>
        </w:tc>
        <w:tc>
          <w:tcPr>
            <w:tcW w:w="2500" w:type="dxa"/>
            <w:vAlign w:val="bottom"/>
          </w:tcPr>
          <w:p>
            <w:pPr>
              <w:jc w:val="right"/>
              <w:ind w:right="273"/>
              <w:spacing w:after="0"/>
              <w:rPr>
                <w:sz w:val="20"/>
                <w:szCs w:val="20"/>
                <w:color w:val="auto"/>
              </w:rPr>
            </w:pPr>
            <w:r>
              <w:rPr>
                <w:rFonts w:ascii="Arial" w:cs="Arial" w:eastAsia="Arial" w:hAnsi="Arial"/>
                <w:sz w:val="18"/>
                <w:szCs w:val="18"/>
                <w:color w:val="auto"/>
              </w:rPr>
              <w:t>118</w:t>
            </w:r>
          </w:p>
        </w:tc>
        <w:tc>
          <w:tcPr>
            <w:tcW w:w="1560" w:type="dxa"/>
            <w:vAlign w:val="bottom"/>
          </w:tcPr>
          <w:p>
            <w:pPr>
              <w:jc w:val="right"/>
              <w:ind w:right="273"/>
              <w:spacing w:after="0"/>
              <w:rPr>
                <w:sz w:val="20"/>
                <w:szCs w:val="20"/>
                <w:color w:val="auto"/>
              </w:rPr>
            </w:pPr>
            <w:r>
              <w:rPr>
                <w:rFonts w:ascii="Arial" w:cs="Arial" w:eastAsia="Arial" w:hAnsi="Arial"/>
                <w:sz w:val="18"/>
                <w:szCs w:val="18"/>
                <w:color w:val="auto"/>
              </w:rPr>
              <w:t>124</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100</w:t>
            </w:r>
          </w:p>
        </w:tc>
        <w:tc>
          <w:tcPr>
            <w:tcW w:w="1860" w:type="dxa"/>
            <w:vAlign w:val="bottom"/>
          </w:tcPr>
          <w:p>
            <w:pPr>
              <w:jc w:val="right"/>
              <w:ind w:right="375"/>
              <w:spacing w:after="0"/>
              <w:rPr>
                <w:sz w:val="20"/>
                <w:szCs w:val="20"/>
                <w:color w:val="auto"/>
              </w:rPr>
            </w:pPr>
            <w:r>
              <w:rPr>
                <w:rFonts w:ascii="Arial" w:cs="Arial" w:eastAsia="Arial" w:hAnsi="Arial"/>
                <w:sz w:val="18"/>
                <w:szCs w:val="18"/>
                <w:color w:val="auto"/>
              </w:rPr>
              <w:t>(5)</w:t>
            </w:r>
          </w:p>
        </w:tc>
        <w:tc>
          <w:tcPr>
            <w:tcW w:w="1380" w:type="dxa"/>
            <w:vAlign w:val="bottom"/>
          </w:tcPr>
          <w:p>
            <w:pPr>
              <w:ind w:left="1020"/>
              <w:spacing w:after="0"/>
              <w:rPr>
                <w:sz w:val="20"/>
                <w:szCs w:val="20"/>
                <w:color w:val="auto"/>
              </w:rPr>
            </w:pPr>
            <w:r>
              <w:rPr>
                <w:rFonts w:ascii="Arial" w:cs="Arial" w:eastAsia="Arial" w:hAnsi="Arial"/>
                <w:sz w:val="18"/>
                <w:szCs w:val="18"/>
                <w:color w:val="auto"/>
              </w:rPr>
              <w:t>24</w:t>
            </w:r>
          </w:p>
        </w:tc>
      </w:tr>
      <w:tr>
        <w:trPr>
          <w:trHeight w:val="27"/>
        </w:trPr>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25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92</w:t>
            </w:r>
          </w:p>
        </w:tc>
        <w:tc>
          <w:tcPr>
            <w:tcW w:w="15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91</w:t>
            </w:r>
          </w:p>
        </w:tc>
        <w:tc>
          <w:tcPr>
            <w:tcW w:w="1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63</w:t>
            </w:r>
          </w:p>
        </w:tc>
        <w:tc>
          <w:tcPr>
            <w:tcW w:w="18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w:t>
            </w:r>
          </w:p>
        </w:tc>
        <w:tc>
          <w:tcPr>
            <w:tcW w:w="1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43</w:t>
            </w:r>
          </w:p>
        </w:tc>
      </w:tr>
      <w:tr>
        <w:trPr>
          <w:trHeight w:val="27"/>
        </w:trPr>
        <w:tc>
          <w:tcPr>
            <w:tcW w:w="27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2011 when compared with 2010, foreign exchange contract volume remained at a consistent level. We believe that intervention by the Japanese central bank to control the yen foreign exchange rate and uncertainty about the Euro as a result of the European credit crisis caused the market to move to safe haven currencies, such as the Australian dollar and the Canadian dollar. As a result, Euro and Japanese yen contract volume decreased while Australian dollar volume increased.</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that the increase in volume in 2010, when compared with 2009, was attributable to the weakening of the Euro and British pound compared with the U.S. dollar. Uncertainty surrounding the Euro following the European credit crisis contributed to increased volatility, which led to increased trading volume for the Euro products in 2010 when compared with 2009. We also believe that the strengthening of the yen compared with the U.S. dollar contributed to an increase in volume. In addition, our cross-selling efforts to market participants in other asset classes as well as increased global sales presence contributed to growth in volume.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2011</w:t>
            </w:r>
          </w:p>
        </w:tc>
        <w:tc>
          <w:tcPr>
            <w:tcW w:w="15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2010</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2009</w:t>
            </w:r>
          </w:p>
        </w:tc>
        <w:tc>
          <w:tcPr>
            <w:tcW w:w="18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2011-2010</w:t>
            </w:r>
          </w:p>
        </w:tc>
        <w:tc>
          <w:tcPr>
            <w:tcW w:w="14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2010-2009</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426</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358</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w:t>
            </w:r>
          </w:p>
        </w:tc>
        <w:tc>
          <w:tcPr>
            <w:tcW w:w="18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19%</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Soybean</w:t>
            </w:r>
          </w:p>
        </w:tc>
        <w:tc>
          <w:tcPr>
            <w:tcW w:w="2500" w:type="dxa"/>
            <w:vAlign w:val="bottom"/>
          </w:tcPr>
          <w:p>
            <w:pPr>
              <w:jc w:val="right"/>
              <w:ind w:right="274"/>
              <w:spacing w:after="0"/>
              <w:rPr>
                <w:sz w:val="20"/>
                <w:szCs w:val="20"/>
                <w:color w:val="auto"/>
              </w:rPr>
            </w:pPr>
            <w:r>
              <w:rPr>
                <w:rFonts w:ascii="Arial" w:cs="Arial" w:eastAsia="Arial" w:hAnsi="Arial"/>
                <w:sz w:val="18"/>
                <w:szCs w:val="18"/>
                <w:color w:val="auto"/>
              </w:rPr>
              <w:t>232</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186</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180</w:t>
            </w:r>
          </w:p>
        </w:tc>
        <w:tc>
          <w:tcPr>
            <w:tcW w:w="1820" w:type="dxa"/>
            <w:vAlign w:val="bottom"/>
          </w:tcPr>
          <w:p>
            <w:pPr>
              <w:jc w:val="right"/>
              <w:ind w:right="376"/>
              <w:spacing w:after="0"/>
              <w:rPr>
                <w:sz w:val="20"/>
                <w:szCs w:val="20"/>
                <w:color w:val="auto"/>
              </w:rPr>
            </w:pPr>
            <w:r>
              <w:rPr>
                <w:rFonts w:ascii="Arial" w:cs="Arial" w:eastAsia="Arial" w:hAnsi="Arial"/>
                <w:sz w:val="18"/>
                <w:szCs w:val="18"/>
                <w:color w:val="auto"/>
              </w:rPr>
              <w:t>25</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3</w:t>
            </w:r>
          </w:p>
        </w:tc>
      </w:tr>
      <w:tr>
        <w:trPr>
          <w:trHeight w:val="27"/>
        </w:trPr>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115</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109</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82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rPr>
              <w:t>5</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29</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2500" w:type="dxa"/>
            <w:vAlign w:val="bottom"/>
          </w:tcPr>
          <w:p>
            <w:pPr>
              <w:jc w:val="right"/>
              <w:ind w:right="274"/>
              <w:spacing w:after="0"/>
              <w:rPr>
                <w:sz w:val="20"/>
                <w:szCs w:val="20"/>
                <w:color w:val="auto"/>
              </w:rPr>
            </w:pPr>
            <w:r>
              <w:rPr>
                <w:rFonts w:ascii="Arial" w:cs="Arial" w:eastAsia="Arial" w:hAnsi="Arial"/>
                <w:sz w:val="18"/>
                <w:szCs w:val="18"/>
                <w:color w:val="auto"/>
              </w:rPr>
              <w:t>105</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89</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1820" w:type="dxa"/>
            <w:vAlign w:val="bottom"/>
          </w:tcPr>
          <w:p>
            <w:pPr>
              <w:jc w:val="right"/>
              <w:ind w:right="376"/>
              <w:spacing w:after="0"/>
              <w:rPr>
                <w:sz w:val="20"/>
                <w:szCs w:val="20"/>
                <w:color w:val="auto"/>
              </w:rPr>
            </w:pPr>
            <w:r>
              <w:rPr>
                <w:rFonts w:ascii="Arial" w:cs="Arial" w:eastAsia="Arial" w:hAnsi="Arial"/>
                <w:sz w:val="18"/>
                <w:szCs w:val="18"/>
                <w:color w:val="auto"/>
              </w:rPr>
              <w:t>18</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23</w:t>
            </w:r>
          </w:p>
        </w:tc>
      </w:tr>
    </w:tbl>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believe that the year-over-year increases in contract volume from 2009 to 2011 were attributable to a decline in supply due to various weather events including flooding, drought and excessive heat. The change in supply resulted in increased volatility and higher grain prices. We also believe that the increase in volume resulted from increased demand for feedgrains caused by increased demand for cattle and other proteins in emerging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2011</w:t>
            </w:r>
          </w:p>
        </w:tc>
        <w:tc>
          <w:tcPr>
            <w:tcW w:w="15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2010</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2009</w:t>
            </w:r>
          </w:p>
        </w:tc>
        <w:tc>
          <w:tcPr>
            <w:tcW w:w="18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2011-2010</w:t>
            </w:r>
          </w:p>
        </w:tc>
        <w:tc>
          <w:tcPr>
            <w:tcW w:w="14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2010-2009</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900</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853</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712</w:t>
            </w:r>
          </w:p>
        </w:tc>
        <w:tc>
          <w:tcPr>
            <w:tcW w:w="18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500" w:type="dxa"/>
            <w:vAlign w:val="bottom"/>
          </w:tcPr>
          <w:p>
            <w:pPr>
              <w:jc w:val="right"/>
              <w:ind w:right="274"/>
              <w:spacing w:after="0"/>
              <w:rPr>
                <w:sz w:val="20"/>
                <w:szCs w:val="20"/>
                <w:color w:val="auto"/>
              </w:rPr>
            </w:pPr>
            <w:r>
              <w:rPr>
                <w:rFonts w:ascii="Arial" w:cs="Arial" w:eastAsia="Arial" w:hAnsi="Arial"/>
                <w:sz w:val="18"/>
                <w:szCs w:val="18"/>
                <w:color w:val="auto"/>
              </w:rPr>
              <w:t>533</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489</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478</w:t>
            </w:r>
          </w:p>
        </w:tc>
        <w:tc>
          <w:tcPr>
            <w:tcW w:w="1820" w:type="dxa"/>
            <w:vAlign w:val="bottom"/>
          </w:tcPr>
          <w:p>
            <w:pPr>
              <w:jc w:val="right"/>
              <w:ind w:right="377"/>
              <w:spacing w:after="0"/>
              <w:rPr>
                <w:sz w:val="20"/>
                <w:szCs w:val="20"/>
                <w:color w:val="auto"/>
              </w:rPr>
            </w:pPr>
            <w:r>
              <w:rPr>
                <w:rFonts w:ascii="Arial" w:cs="Arial" w:eastAsia="Arial" w:hAnsi="Arial"/>
                <w:sz w:val="18"/>
                <w:szCs w:val="18"/>
                <w:color w:val="auto"/>
              </w:rPr>
              <w:t>9</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2</w:t>
            </w:r>
          </w:p>
        </w:tc>
      </w:tr>
      <w:tr>
        <w:trPr>
          <w:trHeight w:val="27"/>
        </w:trPr>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25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275</w:t>
            </w:r>
          </w:p>
        </w:tc>
        <w:tc>
          <w:tcPr>
            <w:tcW w:w="15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244</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194</w:t>
            </w:r>
          </w:p>
        </w:tc>
        <w:tc>
          <w:tcPr>
            <w:tcW w:w="182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13</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w:t>
            </w:r>
          </w:p>
        </w:tc>
      </w:tr>
      <w:tr>
        <w:trPr>
          <w:trHeight w:val="27"/>
        </w:trPr>
        <w:tc>
          <w:tcPr>
            <w:tcW w:w="27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2011 when compared with 2010, we believe the increase in energy contract volume was attributable to increased price volatility within the energy market during the first quarter of 2011. We believe that increased volatility caused by changes in global supply and demand resulting from political unrest in the Middle East in the first quarter of 2011 contributed to the increase in crude oil and refined products volume. We also believe that increased volatility caused by weather-related events led to an increase in natural gas contract volume in 2011.</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2010 when compared with 2009, we believe that the growth in energy contract volume was attributable to an improved economic outlook as well as increased liquidity within the energy futures market during the period. We believe crude oil and refined products contract volume increased at a higher rate than natural gas contract volume due to an increase in volume generated from customers outside the United States as well as increased volatility in the crude oil and refined products market.</w:t>
      </w:r>
    </w:p>
    <w:p>
      <w:pPr>
        <w:sectPr>
          <w:pgSz w:w="11900" w:h="16838" w:orient="portrait"/>
          <w:cols w:equalWidth="0" w:num="1">
            <w:col w:w="11420"/>
          </w:cols>
          <w:pgMar w:left="240" w:top="12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0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2011</w:t>
            </w:r>
          </w:p>
        </w:tc>
        <w:tc>
          <w:tcPr>
            <w:tcW w:w="158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2010</w:t>
            </w:r>
          </w:p>
        </w:tc>
        <w:tc>
          <w:tcPr>
            <w:tcW w:w="13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2009</w:t>
            </w:r>
          </w:p>
        </w:tc>
        <w:tc>
          <w:tcPr>
            <w:tcW w:w="18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2011-2010</w:t>
            </w:r>
          </w:p>
        </w:tc>
        <w:tc>
          <w:tcPr>
            <w:tcW w:w="14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2010-2009</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250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238</w:t>
            </w:r>
          </w:p>
        </w:tc>
        <w:tc>
          <w:tcPr>
            <w:tcW w:w="15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208</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w:t>
            </w:r>
          </w:p>
        </w:tc>
        <w:tc>
          <w:tcPr>
            <w:tcW w:w="182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14%</w:t>
            </w:r>
          </w:p>
        </w:tc>
        <w:tc>
          <w:tcPr>
            <w:tcW w:w="1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4"/>
              </w:rPr>
              <w:t>31%</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Silver</w:t>
            </w:r>
          </w:p>
        </w:tc>
        <w:tc>
          <w:tcPr>
            <w:tcW w:w="2500" w:type="dxa"/>
            <w:vAlign w:val="bottom"/>
          </w:tcPr>
          <w:p>
            <w:pPr>
              <w:jc w:val="right"/>
              <w:ind w:right="276"/>
              <w:spacing w:after="0"/>
              <w:rPr>
                <w:sz w:val="20"/>
                <w:szCs w:val="20"/>
                <w:color w:val="auto"/>
              </w:rPr>
            </w:pPr>
            <w:r>
              <w:rPr>
                <w:rFonts w:ascii="Arial" w:cs="Arial" w:eastAsia="Arial" w:hAnsi="Arial"/>
                <w:sz w:val="18"/>
                <w:szCs w:val="18"/>
                <w:color w:val="auto"/>
              </w:rPr>
              <w:t>87</w:t>
            </w:r>
          </w:p>
        </w:tc>
        <w:tc>
          <w:tcPr>
            <w:tcW w:w="1580" w:type="dxa"/>
            <w:vAlign w:val="bottom"/>
          </w:tcPr>
          <w:p>
            <w:pPr>
              <w:jc w:val="right"/>
              <w:ind w:right="276"/>
              <w:spacing w:after="0"/>
              <w:rPr>
                <w:sz w:val="20"/>
                <w:szCs w:val="20"/>
                <w:color w:val="auto"/>
              </w:rPr>
            </w:pPr>
            <w:r>
              <w:rPr>
                <w:rFonts w:ascii="Arial" w:cs="Arial" w:eastAsia="Arial" w:hAnsi="Arial"/>
                <w:sz w:val="18"/>
                <w:szCs w:val="18"/>
                <w:color w:val="auto"/>
              </w:rPr>
              <w:t>57</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36</w:t>
            </w:r>
          </w:p>
        </w:tc>
        <w:tc>
          <w:tcPr>
            <w:tcW w:w="1820" w:type="dxa"/>
            <w:vAlign w:val="bottom"/>
          </w:tcPr>
          <w:p>
            <w:pPr>
              <w:ind w:left="1180"/>
              <w:spacing w:after="0"/>
              <w:rPr>
                <w:sz w:val="20"/>
                <w:szCs w:val="20"/>
                <w:color w:val="auto"/>
              </w:rPr>
            </w:pPr>
            <w:r>
              <w:rPr>
                <w:rFonts w:ascii="Arial" w:cs="Arial" w:eastAsia="Arial" w:hAnsi="Arial"/>
                <w:sz w:val="18"/>
                <w:szCs w:val="18"/>
                <w:color w:val="auto"/>
              </w:rPr>
              <w:t>51</w:t>
            </w:r>
          </w:p>
        </w:tc>
        <w:tc>
          <w:tcPr>
            <w:tcW w:w="1400" w:type="dxa"/>
            <w:vAlign w:val="bottom"/>
          </w:tcPr>
          <w:p>
            <w:pPr>
              <w:ind w:left="1040"/>
              <w:spacing w:after="0"/>
              <w:rPr>
                <w:sz w:val="20"/>
                <w:szCs w:val="20"/>
                <w:color w:val="auto"/>
              </w:rPr>
            </w:pPr>
            <w:r>
              <w:rPr>
                <w:rFonts w:ascii="Arial" w:cs="Arial" w:eastAsia="Arial" w:hAnsi="Arial"/>
                <w:sz w:val="18"/>
                <w:szCs w:val="18"/>
                <w:color w:val="auto"/>
              </w:rPr>
              <w:t>59</w:t>
            </w:r>
          </w:p>
        </w:tc>
      </w:tr>
    </w:tbl>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overall increase in metal contract volume from 2009 to 2011 was attributable to the increased investment in precious metals as an asset class due to high volatility and uncertainty within the financial markets. We believe that there has been an increase in silver contract volume due to the greater use of silver as an alternative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average rate per contract decreased from 2009 to 2011 due to an increase in member trading volume, which increased faster than non-member trading. In general, members receive lower rates when compared with non-members.</w:t>
      </w:r>
    </w:p>
    <w:p>
      <w:pPr>
        <w:spacing w:after="0" w:line="17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In addition, the average rate per contract decreased in 2010 compared with 2009 due to a lower portion of equity and energy products as a percentage of total volume compared with interest rate products. As a percentage of volume, equity products volume decreased by 4% and energy product volume decreased by 1% while interest rate product volume increased by 3%. Equity and energy products have higher fees compared with interest rate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bill a substantial portion of our clearing and transaction fees to our clearing firms. The majority of clearing and transaction fees received from clearing firms represent charges for trades executed and cleared on behalf of their customers. One firm represented 12% of our clearing and transaction fees revenue in 2011. One firm represented 13% and one firm represented 12% of our clearing and transaction fees revenue in 2010. One firm represented 13% and one firm represented 11% of our clearing and transaction fees revenue in 2009.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 In 2011, MF Global, one of our largest clearing firms, was placed into bankruptcy and we transferred all of their more than 30,000 customer accounts to other futures commission merchants.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Sources of Revenue</w:t>
      </w:r>
    </w:p>
    <w:p>
      <w:pPr>
        <w:spacing w:after="0" w:line="225"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Revenues from Index Services contributed to an increase in market data and information services revenue from 2009 to 2011. In March 2010, we formed Index Services, which contributed to an increase in revenues of $54.9 million in 2010 when compared with 2009 and an increase of $35.6 million in 2011 when compared with 2010. In addition, revenues from Index Services, which include revenue from market data and licensing, increased in 2011 when compared with 2010 due to growth in assets under management, which was driven by underlying index market performance.</w:t>
      </w:r>
    </w:p>
    <w:p>
      <w:pPr>
        <w:spacing w:after="0" w:line="15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An increase in the basic device monthly fee in 2010 also contributed to an increase in overall market data and information services revenues in 2010 when compared with 2009. The overall increase from 2009 to 2011 was partially offset by a decline in revenue due to a decrease in basic device counts resulting from cost-cutting initiatives at customer firms.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2012, users of our basic service will pay $70 per month for each device compared with $61 per month in 2011 and 2010.</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two largest resellers of our market data represented approximately 39%, 45% and 55% of our market data and information services revenue in 2011, 2010 and 2009, respectively.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fourth quarter of 2011, we substantially completed installations of equipment for customers in our co-location program, which resulted in incremental revenue of $3.4 million in 2011 when compared with 2010. Co-location services launched on January 29, 2012.</w:t>
      </w:r>
    </w:p>
    <w:p>
      <w:pPr>
        <w:spacing w:after="0" w:line="1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the second quarter of 2011, we recognized a $9.8 million gain on sale of certain Index Services assets related to one of its service offerings. The gain contributed to the increase in other revenue in 2011 when compared with 2010. In addition, in 2011 when compared with 2010, we generated incremental processing services revenue of $4.3 million from various strategic</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relationships and incremental licensing fee revenue of $3.4 million. The increase in other revenues in 2011 when compared with 2010 was partially offset by a decrease in revenues of $4.4 million generated from our agreement with BM&amp;FBOVESPA S.A. (BM&amp;FBOVESPA) to develop a new multi-asset class electronic platform because the initial development phase was completed in the third quarter of 2011.</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Other revenues increased in 2010 when compared with 2009 due to $10.7 million of revenue generated from our agreement with BM&amp;FBOVESPA and incremental processing services revenue generated from various strategic relationships. This was partially offset by a $6.3 million decline in trading revenues generated by GFX Corporation (GFX) resulting from lower trading activity and narrower trading margins.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2009</w:t>
            </w:r>
          </w:p>
        </w:tc>
        <w:tc>
          <w:tcPr>
            <w:tcW w:w="194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2011-2010</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2010-2009</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351.0</w:t>
            </w:r>
          </w:p>
        </w:tc>
        <w:tc>
          <w:tcPr>
            <w:tcW w:w="194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47.0</w:t>
            </w:r>
          </w:p>
        </w:tc>
        <w:tc>
          <w:tcPr>
            <w:tcW w:w="1940" w:type="dxa"/>
            <w:vAlign w:val="bottom"/>
            <w:gridSpan w:val="2"/>
          </w:tcPr>
          <w:p>
            <w:pPr>
              <w:jc w:val="right"/>
              <w:ind w:right="428"/>
              <w:spacing w:after="0"/>
              <w:rPr>
                <w:sz w:val="20"/>
                <w:szCs w:val="20"/>
                <w:color w:val="auto"/>
              </w:rPr>
            </w:pPr>
            <w:r>
              <w:rPr>
                <w:rFonts w:ascii="Arial" w:cs="Arial" w:eastAsia="Arial" w:hAnsi="Arial"/>
                <w:sz w:val="18"/>
                <w:szCs w:val="18"/>
                <w:color w:val="auto"/>
              </w:rPr>
              <w:t>4</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(14)</w:t>
            </w:r>
          </w:p>
        </w:tc>
      </w:tr>
      <w:tr>
        <w:trPr>
          <w:trHeight w:val="27"/>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w:t>
            </w:r>
          </w:p>
        </w:tc>
        <w:tc>
          <w:tcPr>
            <w:tcW w:w="194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85.1</w:t>
            </w:r>
          </w:p>
        </w:tc>
        <w:tc>
          <w:tcPr>
            <w:tcW w:w="1940" w:type="dxa"/>
            <w:vAlign w:val="bottom"/>
            <w:gridSpan w:val="2"/>
          </w:tcPr>
          <w:p>
            <w:pPr>
              <w:jc w:val="right"/>
              <w:ind w:right="428"/>
              <w:spacing w:after="0"/>
              <w:rPr>
                <w:sz w:val="20"/>
                <w:szCs w:val="20"/>
                <w:color w:val="auto"/>
              </w:rPr>
            </w:pPr>
            <w:r>
              <w:rPr>
                <w:rFonts w:ascii="Arial" w:cs="Arial" w:eastAsia="Arial" w:hAnsi="Arial"/>
                <w:sz w:val="18"/>
                <w:szCs w:val="18"/>
                <w:color w:val="auto"/>
              </w:rPr>
              <w:t>7</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38</w:t>
            </w:r>
          </w:p>
        </w:tc>
      </w:tr>
      <w:tr>
        <w:trPr>
          <w:trHeight w:val="27"/>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125.1</w:t>
            </w:r>
          </w:p>
        </w:tc>
        <w:tc>
          <w:tcPr>
            <w:tcW w:w="194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126.3</w:t>
            </w:r>
          </w:p>
        </w:tc>
        <w:tc>
          <w:tcPr>
            <w:tcW w:w="1940" w:type="dxa"/>
            <w:vAlign w:val="bottom"/>
            <w:gridSpan w:val="2"/>
          </w:tcPr>
          <w:p>
            <w:pPr>
              <w:jc w:val="right"/>
              <w:ind w:right="368"/>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3</w:t>
            </w:r>
          </w:p>
        </w:tc>
      </w:tr>
      <w:tr>
        <w:trPr>
          <w:trHeight w:val="27"/>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76.3</w:t>
            </w:r>
          </w:p>
        </w:tc>
        <w:tc>
          <w:tcPr>
            <w:tcW w:w="194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89.2</w:t>
            </w:r>
          </w:p>
        </w:tc>
        <w:tc>
          <w:tcPr>
            <w:tcW w:w="1940" w:type="dxa"/>
            <w:vAlign w:val="bottom"/>
            <w:gridSpan w:val="2"/>
          </w:tcPr>
          <w:p>
            <w:pPr>
              <w:jc w:val="right"/>
              <w:ind w:right="428"/>
              <w:spacing w:after="0"/>
              <w:rPr>
                <w:sz w:val="20"/>
                <w:szCs w:val="20"/>
                <w:color w:val="auto"/>
              </w:rPr>
            </w:pPr>
            <w:r>
              <w:rPr>
                <w:rFonts w:ascii="Arial" w:cs="Arial" w:eastAsia="Arial" w:hAnsi="Arial"/>
                <w:sz w:val="18"/>
                <w:szCs w:val="18"/>
                <w:color w:val="auto"/>
              </w:rPr>
              <w:t>3</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(7)</w:t>
            </w:r>
          </w:p>
        </w:tc>
      </w:tr>
      <w:tr>
        <w:trPr>
          <w:trHeight w:val="27"/>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77.5</w:t>
            </w:r>
          </w:p>
        </w:tc>
        <w:tc>
          <w:tcPr>
            <w:tcW w:w="194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21</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1,259.5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1,172.6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1,023.7</w:t>
            </w:r>
          </w:p>
        </w:tc>
        <w:tc>
          <w:tcPr>
            <w:tcW w:w="1940" w:type="dxa"/>
            <w:vAlign w:val="bottom"/>
            <w:gridSpan w:val="2"/>
          </w:tcPr>
          <w:p>
            <w:pPr>
              <w:jc w:val="right"/>
              <w:ind w:right="428"/>
              <w:spacing w:after="0"/>
              <w:rPr>
                <w:sz w:val="20"/>
                <w:szCs w:val="20"/>
                <w:color w:val="auto"/>
              </w:rPr>
            </w:pPr>
            <w:r>
              <w:rPr>
                <w:rFonts w:ascii="Arial" w:cs="Arial" w:eastAsia="Arial" w:hAnsi="Arial"/>
                <w:sz w:val="18"/>
                <w:szCs w:val="18"/>
                <w:color w:val="auto"/>
              </w:rPr>
              <w:t>7</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15</w:t>
            </w:r>
          </w:p>
        </w:tc>
      </w:tr>
      <w:tr>
        <w:trPr>
          <w:trHeight w:val="20"/>
        </w:trPr>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Compared With 2010</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expenses increased by $86.9 million in 2011 when compared with 2010. The following table shows the estimated impact of key factors resulting in the increase in operating expenses.</w:t>
      </w:r>
    </w:p>
    <w:p>
      <w:pPr>
        <w:spacing w:after="0" w:line="31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Year-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Change as a</w:t>
            </w:r>
          </w:p>
        </w:tc>
        <w:tc>
          <w:tcPr>
            <w:tcW w:w="0" w:type="dxa"/>
            <w:vAlign w:val="bottom"/>
          </w:tcPr>
          <w:p>
            <w:pPr>
              <w:spacing w:after="0"/>
              <w:rPr>
                <w:sz w:val="1"/>
                <w:szCs w:val="1"/>
                <w:color w:val="auto"/>
              </w:rPr>
            </w:pPr>
          </w:p>
        </w:tc>
      </w:tr>
      <w:tr>
        <w:trPr>
          <w:trHeight w:val="149"/>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Over-Year</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2010 Expenses</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benefits and employer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MF Global-related expense</w:t>
            </w:r>
          </w:p>
        </w:tc>
        <w:tc>
          <w:tcPr>
            <w:tcW w:w="1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240" w:type="dxa"/>
            <w:vAlign w:val="bottom"/>
          </w:tcPr>
          <w:p>
            <w:pPr>
              <w:jc w:val="right"/>
              <w:ind w:right="15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Marketing expense</w:t>
            </w:r>
          </w:p>
        </w:tc>
        <w:tc>
          <w:tcPr>
            <w:tcW w:w="1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40" w:type="dxa"/>
            <w:vAlign w:val="bottom"/>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fees related to Index Services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CMA goodwill and trade name impairment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net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6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Salary increases and rising healthcare costs contributed to a rise in salaries, benefits and employer taxes. An increase in average headcount primarily due to the formation of Index Services and investment in strategic growth initiatives also contributed to an increase in expense in 2011 when compared with 2010.</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Expenses increased due to the MF Global bankruptcy filing in the fourth quarter of 2011, which resulted in write-offs of accounts receivable, legal fees and loss on collateral posted by GFX and held by MF Global in customer segregrated funds as well as a other related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increased in 2011 due to the expense impact related to the September 2010 and 2011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Marketing expenses increased in 2011 due primarily to new advertising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decrease in professional fees was attributable to the formation and integration of Index Services, which occurred in the first quarter of 2010.</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Impairment charges recorded in the second quarter of 2010 on the goodwill and trade name related to our CMA operations also contributed to a decrease in expenses in 2011 when compared with 2010.</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Compared With 2009</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expenses increased by $148.9 million in 2010 when compared with 2009. The following table shows the estimated impact of key factors resulting in the increase in operating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Year-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Change as a</w:t>
            </w:r>
          </w:p>
        </w:tc>
        <w:tc>
          <w:tcPr>
            <w:tcW w:w="0" w:type="dxa"/>
            <w:vAlign w:val="bottom"/>
          </w:tcPr>
          <w:p>
            <w:pPr>
              <w:spacing w:after="0"/>
              <w:rPr>
                <w:sz w:val="1"/>
                <w:szCs w:val="1"/>
                <w:color w:val="auto"/>
              </w:rPr>
            </w:pPr>
          </w:p>
        </w:tc>
      </w:tr>
      <w:tr>
        <w:trPr>
          <w:trHeight w:val="149"/>
        </w:trPr>
        <w:tc>
          <w:tcPr>
            <w:tcW w:w="8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Over-Year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2009 Expenses</w:t>
            </w: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Bonus expense</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CMA goodwill and trade name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Marketing and travel expense</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related to Index Services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rise in salaries, benefits and employer taxes was attributable to an increase in average headcount due to Index Services as well as salary increases and rising healthcare costs.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improved performance relative to our 2010 cash earnings target compared with 2009 relative to our 2009 cash earnings target led to the increase in our bonus expense.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Impairment charges on goodwill and trade name related to our CMA operations in the second quarter of 2010 led to an increase in expenses in 2010.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Global expansion and establishment of strategic partnerships contributed to an increase in marketing and travel expenses in 2010.</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 in expenses in 2010 was also due to professional fee expenses incurred for Index Services. This increase included $10.3 million of professional and legal fees incurred for the formation of Index Services.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2009</w:t>
            </w:r>
          </w:p>
        </w:tc>
        <w:tc>
          <w:tcPr>
            <w:tcW w:w="1960" w:type="dxa"/>
            <w:vAlign w:val="bottom"/>
            <w:tcBorders>
              <w:bottom w:val="single" w:sz="8" w:color="auto"/>
            </w:tcBorders>
            <w:gridSpan w:val="2"/>
          </w:tcPr>
          <w:p>
            <w:pPr>
              <w:jc w:val="right"/>
              <w:ind w:right="676"/>
              <w:spacing w:after="0"/>
              <w:rPr>
                <w:sz w:val="20"/>
                <w:szCs w:val="20"/>
                <w:color w:val="auto"/>
              </w:rPr>
            </w:pPr>
            <w:r>
              <w:rPr>
                <w:rFonts w:ascii="Arial" w:cs="Arial" w:eastAsia="Arial" w:hAnsi="Arial"/>
                <w:sz w:val="14"/>
                <w:szCs w:val="14"/>
                <w:b w:val="1"/>
                <w:bCs w:val="1"/>
                <w:color w:val="auto"/>
              </w:rPr>
              <w:t>2011-2010</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2010-2009</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w:t>
            </w:r>
          </w:p>
        </w:tc>
        <w:tc>
          <w:tcPr>
            <w:tcW w:w="1960" w:type="dxa"/>
            <w:vAlign w:val="bottom"/>
            <w:tcBorders>
              <w:bottom w:val="single" w:sz="8" w:color="CCEEFF"/>
            </w:tcBorders>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(13)%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Impairment of long-term investments</w:t>
            </w:r>
          </w:p>
        </w:tc>
        <w:tc>
          <w:tcPr>
            <w:tcW w:w="8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1960" w:type="dxa"/>
            <w:vAlign w:val="bottom"/>
            <w:gridSpan w:val="2"/>
          </w:tcPr>
          <w:p>
            <w:pPr>
              <w:jc w:val="right"/>
              <w:ind w:right="376"/>
              <w:spacing w:after="0"/>
              <w:rPr>
                <w:sz w:val="20"/>
                <w:szCs w:val="20"/>
                <w:color w:val="auto"/>
              </w:rPr>
            </w:pPr>
            <w:r>
              <w:rPr>
                <w:rFonts w:ascii="Arial" w:cs="Arial" w:eastAsia="Arial" w:hAnsi="Arial"/>
                <w:sz w:val="18"/>
                <w:szCs w:val="18"/>
                <w:color w:val="auto"/>
              </w:rPr>
              <w:t>(100)</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on derivative investments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(96)</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(116.9)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(140.3)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(133.9)</w:t>
            </w:r>
          </w:p>
        </w:tc>
        <w:tc>
          <w:tcPr>
            <w:tcW w:w="1960" w:type="dxa"/>
            <w:vAlign w:val="bottom"/>
            <w:gridSpan w:val="2"/>
          </w:tcPr>
          <w:p>
            <w:pPr>
              <w:jc w:val="right"/>
              <w:ind w:right="376"/>
              <w:spacing w:after="0"/>
              <w:rPr>
                <w:sz w:val="20"/>
                <w:szCs w:val="20"/>
                <w:color w:val="auto"/>
              </w:rPr>
            </w:pPr>
            <w:r>
              <w:rPr>
                <w:rFonts w:ascii="Arial" w:cs="Arial" w:eastAsia="Arial" w:hAnsi="Arial"/>
                <w:sz w:val="18"/>
                <w:szCs w:val="18"/>
                <w:color w:val="auto"/>
              </w:rPr>
              <w:t>(17)</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 of exercise rights privileges</w:t>
            </w:r>
          </w:p>
        </w:tc>
        <w:tc>
          <w:tcPr>
            <w:tcW w:w="8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Equity in net losses of unconsolidated</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960" w:type="dxa"/>
            <w:vAlign w:val="bottom"/>
            <w:gridSpan w:val="2"/>
          </w:tcPr>
          <w:p>
            <w:pPr>
              <w:jc w:val="right"/>
              <w:ind w:right="376"/>
              <w:spacing w:after="0"/>
              <w:rPr>
                <w:sz w:val="20"/>
                <w:szCs w:val="20"/>
                <w:color w:val="auto"/>
              </w:rPr>
            </w:pPr>
            <w:r>
              <w:rPr>
                <w:rFonts w:ascii="Arial" w:cs="Arial" w:eastAsia="Arial" w:hAnsi="Arial"/>
                <w:sz w:val="18"/>
                <w:szCs w:val="18"/>
                <w:color w:val="auto"/>
              </w:rPr>
              <w:t>(33)</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8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color w:val="auto"/>
              </w:rPr>
              <w:t>Total Non-Operating</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(109.2)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960" w:type="dxa"/>
            <w:vAlign w:val="bottom"/>
            <w:gridSpan w:val="2"/>
          </w:tcPr>
          <w:p>
            <w:pPr>
              <w:jc w:val="right"/>
              <w:ind w:right="376"/>
              <w:spacing w:after="0"/>
              <w:rPr>
                <w:sz w:val="20"/>
                <w:szCs w:val="20"/>
                <w:color w:val="auto"/>
              </w:rPr>
            </w:pPr>
            <w:r>
              <w:rPr>
                <w:rFonts w:ascii="Arial" w:cs="Arial" w:eastAsia="Arial" w:hAnsi="Arial"/>
                <w:sz w:val="18"/>
                <w:szCs w:val="18"/>
                <w:color w:val="auto"/>
              </w:rPr>
              <w:t>(22)</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n.m. not meaningful</w:t>
            </w: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The decrease in investment income during 2011 when compared with 2010 was due to a decline in gains on marketable securities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our non-qualified deferred compensation plans of $4.1 million. Gains and losses from these non-qualified deferred compensation plan securities are offset by an equal amount of compensation and benefits expense. In addition, we recognized a gain of $3.7 million from the sale of various equity and debt securities in 2010, which contributed to the decrease in investment income in 2011 when compared with 2010. The decrease in 2011 when compared with 2010 was partially offset by an increase in dividend income from our investment in BM&amp;FBOVESPA. Total overall dividend income was $34.9 million in 2011 compared with $31.9 million in 2010.</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investment income in 2010 when compared with 2009 was attributable to a $16.0 million increase in dividend income from our investments in BM&amp;FBOVESPA, TMX Group Inc. and Bolsa Mexicana de Valores, S.A.B. de C.V., and a $3.7 million gain resulting from the sale of various equity and debt securities. The increase was partially offset by a $4.8 million decrease in interest income as a result of lower average investment balances and lower average interest rates.</w:t>
      </w:r>
    </w:p>
    <w:p>
      <w:pPr>
        <w:sectPr>
          <w:pgSz w:w="11900" w:h="16838" w:orient="portrait"/>
          <w:cols w:equalWidth="0" w:num="1">
            <w:col w:w="11420"/>
          </w:cols>
          <w:pgMar w:left="240" w:top="12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Impairment of Long-Term Investments. </w:t>
      </w:r>
      <w:r>
        <w:rPr>
          <w:rFonts w:ascii="Arial" w:cs="Arial" w:eastAsia="Arial" w:hAnsi="Arial"/>
          <w:sz w:val="18"/>
          <w:szCs w:val="18"/>
          <w:color w:val="auto"/>
        </w:rPr>
        <w:t>In 2010, we determined that our investment in OneChicago was impaired based on its historical financial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factors. As a result, we recognized an impairment charge of $2.2 million.</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2009, we determined that our investment in DME was impaired due to the excess of our carrying value over our investment's estimated fair value. As a result, we recognized an impairment charge of $23.6 million. We also determined that our investment in IMAREX ASA (IMAREX) was impaired due to an extended and significant decline in the market price of its stock. As a result, we recognized an impairment charge of $22.4 million in 2009.</w:t>
      </w:r>
    </w:p>
    <w:p>
      <w:pPr>
        <w:spacing w:after="0" w:line="166"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i w:val="1"/>
          <w:iCs w:val="1"/>
          <w:color w:val="auto"/>
        </w:rPr>
        <w:t xml:space="preserve">Gains (Losses) on Derivative Investments. </w:t>
      </w:r>
      <w:r>
        <w:rPr>
          <w:rFonts w:ascii="Arial" w:cs="Arial" w:eastAsia="Arial" w:hAnsi="Arial"/>
          <w:sz w:val="17"/>
          <w:szCs w:val="17"/>
          <w:color w:val="auto"/>
        </w:rPr>
        <w:t>In the fourth quarter of 2010, we recognized an $8.6 million loss due to ineffectiveness on the interest rate swap</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used to hedge interest rate risk on our term loan. Both the swap contract and the term loan were originally scheduled to expire in August 2011. In December 2010, we approved a plan to refinance the term loan in January 2011 resulting in ineffectiveness of the hedge.</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Additionally, in March 2010, we recognized a $6.0 million gain on derivative investments as a result of a settlement from the Lehman Brothers Holdings Inc. (Lehman) bankruptcy proceedings. The settlement related to an unsecured claim against Lehman as counterparty to an over-the-counter put option contract we purchased to hedge our risk of changes in the fair value of BM&amp;FBOVESPA stock resulting from foreign currency exchange rate fluctuations between the U.S. dollar and the Brazilian real.</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Interest and Other Borrowing Costs. </w:t>
      </w:r>
      <w:r>
        <w:rPr>
          <w:rFonts w:ascii="Arial" w:cs="Arial" w:eastAsia="Arial" w:hAnsi="Arial"/>
          <w:sz w:val="18"/>
          <w:szCs w:val="18"/>
          <w:color w:val="auto"/>
        </w:rPr>
        <w:t>Interest expense decreased in 2011 compared with 2010 due to repayment of the $420.5 million term loan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2011 and the maturity of the $300.0 million floating rate notes in August 2010. The decrease in 2011 compared with 2010 was partially offset by the issuance, in March 2010, of $612.5 million of 4.40% fixed rate notes, which are due in 2018.</w:t>
      </w:r>
    </w:p>
    <w:p>
      <w:pPr>
        <w:spacing w:after="0" w:line="19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In 2010 when compared with 2009, interest expense increased due to the issuance of $612.5 million of 4.40% fixed rate notes due 2018. This resulted in an increase in average effective yield and total cost of borrowing. However, average debt balances decreased in 2010 due to the reduction in overall debt levels throughout the year. The increase in expense was also attributable to a full year of interest expense recognized on the 5.75% fixed rate notes issued in February 2009.</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2011-2010</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2010-2009</w:t>
            </w: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Weighted average borrowings outstanding</w:t>
            </w:r>
          </w:p>
        </w:tc>
        <w:tc>
          <w:tcPr>
            <w:tcW w:w="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2,155.8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2,668.1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2,841.8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(512.3)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(173.7)</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5.18%</w:t>
            </w:r>
          </w:p>
        </w:tc>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4.96%</w:t>
            </w:r>
          </w:p>
        </w:tc>
        <w:tc>
          <w:tcPr>
            <w:tcW w:w="42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0.22%</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7"/>
        </w:trPr>
        <w:tc>
          <w:tcPr>
            <w:tcW w:w="3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 of borrowing</w:t>
            </w:r>
          </w:p>
        </w:tc>
        <w:tc>
          <w:tcPr>
            <w:tcW w:w="5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5.47</w:t>
            </w: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5.24</w:t>
            </w: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4.76</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0.23</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0.48</w:t>
            </w:r>
          </w:p>
        </w:tc>
      </w:tr>
      <w:tr>
        <w:trPr>
          <w:trHeight w:val="27"/>
        </w:trPr>
        <w:tc>
          <w:tcPr>
            <w:tcW w:w="3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cost of borrowing includes interest, commitment fees, discount accretion and debt issuance costs.</w:t>
      </w:r>
    </w:p>
    <w:p>
      <w:pPr>
        <w:spacing w:after="0" w:line="117"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i w:val="1"/>
          <w:iCs w:val="1"/>
          <w:color w:val="auto"/>
        </w:rPr>
        <w:t xml:space="preserve">Guarantee of Exercise Rights Privileges. </w:t>
      </w:r>
      <w:r>
        <w:rPr>
          <w:rFonts w:ascii="Arial" w:cs="Arial" w:eastAsia="Arial" w:hAnsi="Arial"/>
          <w:sz w:val="16"/>
          <w:szCs w:val="16"/>
          <w:color w:val="auto"/>
        </w:rPr>
        <w:t>In December 2009, final approval of the settlement of the ERPs associated with our CBOT Holdings merger</w:t>
      </w:r>
      <w:r>
        <w:rPr>
          <w:rFonts w:ascii="Arial" w:cs="Arial" w:eastAsia="Arial" w:hAnsi="Arial"/>
          <w:sz w:val="16"/>
          <w:szCs w:val="16"/>
          <w:i w:val="1"/>
          <w:iCs w:val="1"/>
          <w:color w:val="auto"/>
        </w:rPr>
        <w:t xml:space="preserve"> </w:t>
      </w:r>
      <w:r>
        <w:rPr>
          <w:rFonts w:ascii="Arial" w:cs="Arial" w:eastAsia="Arial" w:hAnsi="Arial"/>
          <w:sz w:val="16"/>
          <w:szCs w:val="16"/>
          <w:color w:val="auto"/>
        </w:rPr>
        <w:t>occurred and we reduced our liability associated with our guarantee of the ERPs to zero, which resulted in a gain in 2009. Following the resolution of the lawsuit, we also adjusted the value of the 159 ERPs that we held to the expected settlement value, which also contributed to the gain in 2009.</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In 2009, we recognized income and expense related to the NYMEX securities lending program, which was terminated in June 2009.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18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43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8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2010</w:t>
            </w: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2009</w:t>
            </w:r>
          </w:p>
        </w:tc>
        <w:tc>
          <w:tcPr>
            <w:tcW w:w="182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2011-2010</w:t>
            </w: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2010-2009</w:t>
            </w:r>
          </w:p>
        </w:tc>
      </w:tr>
      <w:tr>
        <w:trPr>
          <w:trHeight w:val="243"/>
        </w:trPr>
        <w:tc>
          <w:tcPr>
            <w:tcW w:w="4380" w:type="dxa"/>
            <w:vAlign w:val="bottom"/>
            <w:shd w:val="clear" w:color="auto" w:fill="CCEEFF"/>
          </w:tcPr>
          <w:p>
            <w:pPr>
              <w:jc w:val="right"/>
              <w:ind w:right="2439"/>
              <w:spacing w:after="0"/>
              <w:rPr>
                <w:sz w:val="20"/>
                <w:szCs w:val="20"/>
                <w:color w:val="auto"/>
              </w:rPr>
            </w:pPr>
            <w:r>
              <w:rPr>
                <w:rFonts w:ascii="Arial" w:cs="Arial" w:eastAsia="Arial" w:hAnsi="Arial"/>
                <w:sz w:val="18"/>
                <w:szCs w:val="18"/>
                <w:color w:val="auto"/>
                <w:w w:val="89"/>
              </w:rPr>
              <w:t>Year ended December 31</w:t>
            </w:r>
          </w:p>
        </w:tc>
        <w:tc>
          <w:tcPr>
            <w:tcW w:w="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6.3%</w:t>
            </w:r>
          </w:p>
        </w:tc>
        <w:tc>
          <w:tcPr>
            <w:tcW w:w="162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44.7%</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42.6%</w:t>
            </w:r>
          </w:p>
        </w:tc>
        <w:tc>
          <w:tcPr>
            <w:tcW w:w="18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(38.4)%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2011 when compared with 2010, the decrease in our effective tax rate was the result of a reduction in state tax apportionment which resulted in a reduction in our income tax provision of $646.0 million, including a $527.9 million decrease in the income tax provision in the fourth quarter of 2011, largely due to a revaluation of our deferred tax liabilities. Additionally, in the first quarter of 2011, we began marking to market our investment in BM&amp;FBOVESPA which resulted in a $48.8 million reduction in valuation allowances on other unrealized capital losses previously reserved.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effective tax rate in 2010 when compared with 2009 was attributable to a $51.2 million charge to record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impact of our new combined state and local tax rate on our existing deferred tax liabilities. The state and local tax rate increased due to revised state apportionment estimates resulting from annual state tax filings. The increase in the effective tax rate was also due to the impairment of CMA's goodwill and trade name in the second quarter of 2010 which was not deductible.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Cash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historically met our funding requirements with cash generated by our ongoing operations. While our cost structure is fixed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short term, our sources of operating cash are dependent on trading volume levels. We believe that our existing cash, cash equivalents, marketable securities and cash generated from operations will be sufficient to cover our working capital needs, capital expenditures, and other commitments. However, it is possible that we may need to raise additional funds to finance our activities through issuances of commercial paper, future public debt offerings or by direct borrowings from financial institutions.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will also be required for operating leases and non-cancellable purchase obligations as well as other obligations reflected as long-term liabilities in our consolidated balance sheet at December 31, 2011. These were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4"/>
                <w:szCs w:val="14"/>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Purchase</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Long-Term</w:t>
            </w:r>
          </w:p>
        </w:tc>
        <w:tc>
          <w:tcPr>
            <w:tcW w:w="320" w:type="dxa"/>
            <w:vAlign w:val="bottom"/>
          </w:tcPr>
          <w:p>
            <w:pPr>
              <w:spacing w:after="0"/>
              <w:rPr>
                <w:sz w:val="12"/>
                <w:szCs w:val="12"/>
                <w:color w:val="auto"/>
              </w:rPr>
            </w:pPr>
          </w:p>
        </w:tc>
        <w:tc>
          <w:tcPr>
            <w:tcW w:w="11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Year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2013-2014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2015-2016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Gross unrecognized income tax liabilities, including interest and penalties, of $53.9 million for uncertain tax positions are not included in the table due to uncertainty about the date of their settlement.</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Operating leases include rent payments for office space in Chicago and other smaller offices in the United States and in various foreign countries. The operating lease for our headquarters in Chicago expires in November 2022. Annual minimum rental payments under this lease range from $10.1 million to $13.5 million. We also maintain an operating lease for additional office space in Chicago, which expires in November 2023. Annual minimum rental payments under this lease range from $4.5 million to $6.2 million.</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Purchase obligations include minimum payments due under agreements to purchase software licenses, hardware and maintenance as well as telecommunication services. Other long-term liabilities include primarily funding obligations for pension and other post-retirement benefit plans as well as contingent consideration.</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Future capital expenditures for technology are anticipated as we continue to support our growth through investment in our co-location program, increased system capacity and performance improvements. Each year, capital expenditures are incurred for improvements to and expansion of our offices, remote data centers, telecommunications network and other operating equipment. In 2012, we expect capital expenditures to total between $140.0 million and $150.0 million. We continue to monitor our capital needs and may revise our forecasted expenditures as necessary in the future.</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intend to continue to pay a regular quarterly dividend to our shareholders. The decision to pay a dividend, however, remains within the discretion of our board of directors and may be affected by various factors, including our earnings, financial condition, capital requirements, levels of indebtedness and other considerations our board of directors deems relevant. CME Group is also required to comply with restrictions contained in the general corporation laws of its state of incorporation which could also limit its (or their) ability to declare and pay dividends. On February 1, 2012, our board approved a change in our annual dividend policy to increase the distribution target from approximately 35% of the prior year's cash earnings to approximately 50% of the prior year's cash earnings. On February 1, 2012, the board of directors declared a regular quarterly dividend of $2.23 per share. The board of directors also declared an additional, annual variable dividend of $3.00 per share. Going forward, this dividend will be considered in the first quarter of each year and will supplement the regular dividend. The amount of the annual variable dividend will be determined after the end of each year, and the level will increase or decrease from year to year based on operating results, potential merger and acquisition activity, and other forms of capital return including regular dividends and share buybacks during the prior year. Both dividends will be payable on March 26, 2012 to shareholders of record on March 9, 2012. Assuming no changes in the number of shares outstanding, the first quarter dividend payments will total approximately $345.8 million.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Sources and Uses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is a summary of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2011-2010</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2010-2009</w:t>
            </w: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1,346.3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1,356.4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1,083.1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investing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activities</w:t>
            </w:r>
          </w:p>
        </w:tc>
        <w:tc>
          <w:tcPr>
            <w:tcW w:w="34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(153.6)</w:t>
            </w:r>
          </w:p>
        </w:tc>
        <w:tc>
          <w:tcPr>
            <w:tcW w:w="40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(108.4)</w:t>
            </w:r>
          </w:p>
        </w:tc>
        <w:tc>
          <w:tcPr>
            <w:tcW w:w="42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544.8</w:t>
            </w:r>
          </w:p>
        </w:tc>
        <w:tc>
          <w:tcPr>
            <w:tcW w:w="120" w:type="dxa"/>
            <w:vAlign w:val="bottom"/>
          </w:tcPr>
          <w:p>
            <w:pPr>
              <w:spacing w:after="0"/>
              <w:rPr>
                <w:sz w:val="20"/>
                <w:szCs w:val="20"/>
                <w:color w:val="auto"/>
              </w:rPr>
            </w:pPr>
          </w:p>
        </w:tc>
        <w:tc>
          <w:tcPr>
            <w:tcW w:w="1580" w:type="dxa"/>
            <w:vAlign w:val="bottom"/>
          </w:tcPr>
          <w:p>
            <w:pPr>
              <w:jc w:val="right"/>
              <w:ind w:right="177"/>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580" w:type="dxa"/>
            <w:vAlign w:val="bottom"/>
          </w:tcPr>
          <w:p>
            <w:pPr>
              <w:jc w:val="right"/>
              <w:ind w:right="74"/>
              <w:spacing w:after="0"/>
              <w:rPr>
                <w:sz w:val="20"/>
                <w:szCs w:val="20"/>
                <w:color w:val="auto"/>
              </w:rPr>
            </w:pPr>
            <w:r>
              <w:rPr>
                <w:rFonts w:ascii="Arial" w:cs="Arial" w:eastAsia="Arial" w:hAnsi="Arial"/>
                <w:sz w:val="18"/>
                <w:szCs w:val="18"/>
                <w:color w:val="auto"/>
              </w:rPr>
              <w:t>(120)</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(1,005.6)</w:t>
            </w: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(653.4)</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(1,665.2)</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(61)</w:t>
            </w: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provided by operating activities decreased slightly in 2011 when compared with 2010. Increased profitability as a result of higher trading volumes was offset by an increase in other current assets and other assets resulting from an increase in restricted cash. In 2011, net cash provided by operating activities was $468.1 million lower than net income, which was attributable to a decrease in deferred income tax liabilities, partially offset by amortization of purchased intangibles of $132.0 million and depreciation and amortization of $128.5 million.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increase in net cash provided by operating activities in 2010 when compared with 2009 was due to higher trading volumes and increased profitability. In 2010, net cash provided by operating activities was $404.3 million higher than net income. This increase was the result of depreciation and amortization expense of $129.9 million and amortization of purchased intangibles of $128.1 million. An increase in accrued expenses also contributed to the overall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increase in cash used in investing activities in 2011 when compared with 2010 was due to the proceeds from the sale of a long-term investment and our ERPs in 2010.</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termination of the NYMEX securities lending program in 2009 as well as the decrease in proceeds from marketable securities, net of purchases, of $278.2 million, contributed to the increase in cash used for investing in 2010 when compared with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increase in cash used in 2011 compared with 2010 was attributable to proceeds from our issuance of shares to BM&amp;FBOVESPA in 2010 and an increase in cash dividends in 2011 when compared with 2010. The increase was partially offset by a decrease in share repurchases of $354.9 million in 2011 when compared with the same period in 2010.</w:t>
      </w:r>
    </w:p>
    <w:p>
      <w:pPr>
        <w:spacing w:after="0" w:line="18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decrease in cash used in 2010 relative to 2009 was attributable to a decrease in commercial paper repayments, net of proceeds and proceeds from our share issuance to BM&amp;FBOVESPA in 2010. We also terminated the NYMEX securities lending program in 2009, which resulted in a decrease in the NYMEX securities lending program liabilities. The decrease was partially offset by an increase in share repurchases of $548.3 million in 2010. Share repurchases increased in an effort to offset most of the dilution associated with the issuance of shares to BM&amp;FBOVESPA.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as of December 31, 2011: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Par Value</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Fixed rate notes due August 2013, interest equal to 5.40%</w:t>
            </w:r>
          </w:p>
        </w:tc>
        <w:tc>
          <w:tcPr>
            <w:tcW w:w="3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
        </w:trPr>
        <w:tc>
          <w:tcPr>
            <w:tcW w:w="7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notes due February 2014, interest equal to 5.75%</w:t>
            </w:r>
          </w:p>
        </w:tc>
        <w:tc>
          <w:tcPr>
            <w:tcW w:w="30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341"/>
        </w:trPr>
        <w:tc>
          <w:tcPr>
            <w:tcW w:w="7160" w:type="dxa"/>
            <w:vAlign w:val="bottom"/>
          </w:tcPr>
          <w:p>
            <w:pPr>
              <w:ind w:left="40"/>
              <w:spacing w:after="0"/>
              <w:rPr>
                <w:sz w:val="20"/>
                <w:szCs w:val="20"/>
                <w:color w:val="auto"/>
              </w:rPr>
            </w:pPr>
            <w:r>
              <w:rPr>
                <w:rFonts w:ascii="Arial" w:cs="Arial" w:eastAsia="Arial" w:hAnsi="Arial"/>
                <w:sz w:val="18"/>
                <w:szCs w:val="18"/>
                <w:color w:val="auto"/>
              </w:rPr>
              <w:t>Fixed rate notes due March 2018, interest equal to 4.40%</w:t>
            </w:r>
            <w:r>
              <w:rPr>
                <w:rFonts w:ascii="Arial" w:cs="Arial" w:eastAsia="Arial" w:hAnsi="Arial"/>
                <w:sz w:val="25"/>
                <w:szCs w:val="25"/>
                <w:color w:val="auto"/>
                <w:vertAlign w:val="superscript"/>
              </w:rPr>
              <w:t>(1)</w:t>
            </w:r>
          </w:p>
        </w:tc>
        <w:tc>
          <w:tcPr>
            <w:tcW w:w="30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612.5</w:t>
            </w:r>
          </w:p>
        </w:tc>
      </w:tr>
    </w:tbl>
    <w:p>
      <w:pPr>
        <w:spacing w:after="0" w:line="130" w:lineRule="exact"/>
        <w:rPr>
          <w:sz w:val="20"/>
          <w:szCs w:val="20"/>
          <w:color w:val="auto"/>
        </w:rPr>
      </w:pPr>
    </w:p>
    <w:p>
      <w:pPr>
        <w:ind w:left="660" w:right="80" w:hanging="652"/>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March 2010, we completed an unregistered offering of fixed rate notes due 2018. Net proceeds from the offering were used to fund a distribution to Dow Jones in conjunction with our investment in Index Services. In February 2010, we entered into a forward-starting interest rate swap agreement that modified the interest obligation associated with these notes so that the interest payable on the notes effectively became fixed at a rate of 4.46%.</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maintain a $1.0 billion multi-currency revolving senior credit facility with various financial institutions. The proceeds from the revolving senior credit facility can be used for general corporate purposes, which includes providing liquidity for our CME clearing house in certain circumstances and, if necessary, for maturities of commercial paper. As long as we are not in default under the new senior credit facility, we have the option to increase the facility up to $1.8 billion with the consent of the agent and lenders providing the additional funds. The senior credit facility matures in January 2014 and is voluntarily prepayable from time to time without premium or penalty. Under our credit facility, we are required to remain in compliance with a</w:t>
      </w:r>
    </w:p>
    <w:p>
      <w:pPr>
        <w:sectPr>
          <w:pgSz w:w="11900" w:h="16838" w:orient="portrait"/>
          <w:cols w:equalWidth="0" w:num="1">
            <w:col w:w="11420"/>
          </w:cols>
          <w:pgMar w:left="240" w:top="122"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consolidated net worth test, which is defined as our consolidated shareholders' equity as of September 30, 2010, giving effect to share repurchases made and special dividends paid during the term of the agreement (and in no event greater than $2.0 billion in aggregate), multiplied by 0.65. We currently do not have any borrowings under this credit facility.</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maintain a 364-day fully secured, committed line of credit with a consortium of domestic and international banks to be used in certain situations by our CME clearing house.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U.S. Treasury securities, U.S. Government agency securities or money market mutual funds as well as the performance bond assets of a defaulting firm can be used to collateralize the facility. The line of credit provides for borrowings of up to $3.0 billion. At December 31, 2011, guaranty fund collateral available was $4.5 billion. We have the option to request an increase in the line from $3.0 billion to $5.0 billion. In addition to the 364-day fully secured, committed line of credit, we also have the option to use the $1.0 billion multi-currency revolving senior credit facility to provide liquidity for our clearing house in the unlikely event of default in certain circumstances.</w:t>
      </w:r>
    </w:p>
    <w:p>
      <w:pPr>
        <w:spacing w:after="0" w:line="19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addition, our 364-day fully secured, committed revolving line of credit contains a requirement that CME remain in compliance with a consolidated tangible net worth test, defined as CME consolidated shareholder's equity less intangible assets (as defined in the agreement), of not less than $375.0 million. In the event that CME elects to increase the facility, the minimum consolidated tangible net worth test would increase ratably up to $625.0 million.</w:t>
      </w:r>
    </w:p>
    <w:p>
      <w:pPr>
        <w:spacing w:after="0" w:line="14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indentures governing our fixed rate notes, our $1.0 billion multi-currency revolving senior credit facility and our 364-day fully secured, committed revolving line of credit for $3.0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December 31, 2011, we have excess borrowing capacity for general corporate purposes of approximately $1.0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we were in compliance with the various covenant requirements of all our debt facilities.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letters of credit. At December 31, 2011, the letters of credit totaled $161.0 million. GFX has a $15.0 million standby letter of credit. The letter of credit was posted as collateral with MF Global and is now held by the MF Global bankruptcy trustee. As of December 31, 2011, the letter of credit can still be drawn on by the trustee. The letter of credit expires on June 29, 2012. GFX now maintains its future positions and has collateral posted with another clearing firm.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December 31, 2011:</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Rating Agency</w:t>
            </w:r>
          </w:p>
        </w:tc>
        <w:tc>
          <w:tcPr>
            <w:tcW w:w="140" w:type="dxa"/>
            <w:vAlign w:val="bottom"/>
            <w:vMerge w:val="restart"/>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Short-Term</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Long-Term</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Debt Rating</w:t>
            </w: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Debt Rating</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A1+</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AA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Negative</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Moody’s Investors Service</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81"/>
              </w:rPr>
              <w:t>P1</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Aa3</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February 7, 2012, Standard &amp; Poor's (S&amp;P) lowered our long-term debt rating from AA to AA-, with a negative outlook. S&amp;P affirmed our A1+ short-term ratings.</w:t>
      </w:r>
    </w:p>
    <w:p>
      <w:pPr>
        <w:spacing w:after="0" w:line="17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Given our cash flow generation, our ability to pay down debt levels and our ability to refinance existing debt facilities if necessary, we expect to maintain an investment grade rating. As provided in the trust indenture documents, if our ratings are downgraded below investment grade due to a change of control, we are required to make an offer to repurchase our fixed rate notes at a price equal to 101% of the principal amount, plus accrued and unpaid interest.</w:t>
      </w:r>
    </w:p>
    <w:p>
      <w:pPr>
        <w:spacing w:after="0" w:line="14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u w:val="single" w:color="auto"/>
          <w:color w:val="auto"/>
        </w:rPr>
        <w:t>Off-Balance Sheet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2011, we did not have any off-balance sheet arrangements as defined by the regulations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totaled $1.0 billion at December 31, 2011 and $855.2 million at December 31, 2010.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w:t>
      </w:r>
    </w:p>
    <w:p>
      <w:pPr>
        <w:sectPr>
          <w:pgSz w:w="11900" w:h="16838" w:orient="portrait"/>
          <w:cols w:equalWidth="0" w:num="1">
            <w:col w:w="11420"/>
          </w:cols>
          <w:pgMar w:left="240" w:top="12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agency securities. Our exposure to risk is minimal given the nature of the investments.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a $17.1 million contribution in 2012 will allow us to meet our funding goal. However, the amount of the actual contribution is contingent on the actual rate of return on our plan assets during 2012 and the December 31, 2012 discount rate.</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November 2011, we announced that we will contribute certain assets of Index Services to a new index business venture with The McGraw-Hill Companies Inc (McGraw-Hill). As part of the agreement, we will also sell Credit Market Analysis Ltd. (CMA) to McGraw-Hill. The transaction is expected to close by June 2012, subject to regulatory approval and customary closing conditions. As part of the agreement, the company will have a long term, ownership-linked, exclusive license to list futures and options on futures based on the S&amp;P Indices.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various market risks, including those caused by changes in interest rates, credit, foreign currency exchange rates, and equity prices.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Debt outstanding at December 31, 2011 consisted of fixed rate borrowings of $2.1 billion. We did not have any variable rate borrowings as of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clearing houses act as the counterparties to all trades consummated on our exchanges as well as through third-party exchanges and over-the-counter markets for which we provide clearing services. As a result, we are exposed to significant credit risk of third parties, including our clearing firms. We are also exposed, indirectly, to the credit risk of customers of our clearing firms. These parties may default on their obligations due to bankruptcy, lack of liquidity, operational failure or other reasons.</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order to ensure performance, we establish and monitor financial requirements for our clearing firms. We set minimum performance bond requirements for our exchange-traded and over-the-counter products, including credit default swaps and interest rate swaps. For futures and options on futures, we typically establish performance bond requirements to cover at least 99% of expected price changes for a given product within a given historical period with further quantitative and qualitative considerations based on market risk. For cleared over-the-counter credit default and interest rate swaps, we typically establish performance bond requirements to cover at least 99% of expected price changes for a given product within a given historical period with further quantitative and qualitative considerations based on market risk. For CMECE clearing firms, we typically establish performance bond requirements to cover at least 95% to 99% of expected price changes for a given product within a given historical period with further quantitative and qualitative considerations based on market risk. Collateral deposited to meet performance bond requirements is charged at a discount rate to cover at least 99% of expected price and foreign currency changes for a given asset within a historical period. Discount rates vary depending on the type of collateral. We mark-to-market all open positions of CME and CMECE clearing firms at least twice a day and require payment from clearing firms whose positions have lost value and make payments to clearing firms whose positions have gained value. For select cleared-only markets, positions are marked-to-market daily with the capability to mark-to-market more frequently as market conditions warrant. These practices allow our clearing houses to identify quickly any clearing firms that may not be able to satisfy the financial obligations resulting from changes in the prices of their open contracts before those financial obligations become exceptionally large and jeopardize the ability of our clearing house to ensure performance of their open positions. This transparency makes it difficult for traders to hide losses or disguise unusual profits.</w:t>
      </w:r>
    </w:p>
    <w:p>
      <w:pPr>
        <w:spacing w:after="0" w:line="18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 We maintain three separate financial safeguard packages for our CME clearing firms; one for futures and options, one for cleared over-the-counter credit default swap contracts, and one for cleared over-the-counter interest rate swap contracts. 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membership and any associated trading rights. In addition, we would make a demand for payment pursuant to any applicable guarantee provided to the exchange by the parent company of the clearing firm. Thereafter, if the payment default remains unsatisfied, we would use our surplus funds for futures and options contracts, or our designated working capital for cleared over-the-counter credit default swap contracts and cleared over-the-counter interest rate swap contracts. We would then use guaranty fund contributions of other clearing firms within the respective financial safeguard package and funds collected through an assessment against solvent clearing firms within the respective financial safeguard package to satisfy the deficit. Surplus funds represent the amount of CME working capital reduced by an amount necessary to support normal operations and amounts designated by CME for our credit default swap and interest rate swap financial safeguard packages.</w:t>
      </w:r>
    </w:p>
    <w:p>
      <w:pPr>
        <w:spacing w:after="0" w:line="16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maintain a $3.0 billion 364-day fully secured, committed line of credit with a consortium of domestic and international banks to be used in certain situations by our CME clearing house. We have the option to request an increase in the line from $3.0 billion to $5.0 billion. We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us and our clearing firms. The credit agreement requires us to pledge certain assets to the line of credit custodian prior to drawing on the line of credit, such as clearing firm guaranty fund deposits held by us in the form of U.S. Treasury or agency securities, as well as select money market mutual funds approved for our select IEF programs. Performance bond collateral of a defaulting</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clearing firm may also be used to secure a draw on the line. In addition to the 364-day fully secured, committed line of credit, we also have the option to use our $1.0 billion multi-currency revolving senior credit facility to provide liquidity for our clearing house in the unlikely event of default.</w:t>
      </w:r>
    </w:p>
    <w:p>
      <w:pPr>
        <w:spacing w:after="0" w:line="14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Aggregate performance bond deposits for CME clearing firms for futures and options, cleared over-the-counter credit default swap contracts, and cleared over-the-counter interest rate swap contracts was $92.5 billion, including $8.1 billion of cash performance bond deposits. A defaulting firm's performance bond collateral can be used in the event of default of that clearing firm.</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shows the available assets of our CME clearing house at December 31, 2011 in the event of a payment default by a clearing firm for futures and options contracts after first utilizing the defaulting firm's available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156"/>
              <w:spacing w:after="0"/>
              <w:rPr>
                <w:sz w:val="20"/>
                <w:szCs w:val="20"/>
                <w:color w:val="auto"/>
              </w:rPr>
            </w:pPr>
            <w:r>
              <w:rPr>
                <w:rFonts w:ascii="Arial" w:cs="Arial" w:eastAsia="Arial" w:hAnsi="Arial"/>
                <w:sz w:val="14"/>
                <w:szCs w:val="14"/>
                <w:b w:val="1"/>
                <w:bCs w:val="1"/>
                <w:color w:val="auto"/>
              </w:rPr>
              <w:t>CME Clearing House</w:t>
            </w:r>
          </w:p>
        </w:tc>
        <w:tc>
          <w:tcPr>
            <w:tcW w:w="0" w:type="dxa"/>
            <w:vAlign w:val="bottom"/>
          </w:tcPr>
          <w:p>
            <w:pPr>
              <w:spacing w:after="0"/>
              <w:rPr>
                <w:sz w:val="1"/>
                <w:szCs w:val="1"/>
                <w:color w:val="auto"/>
              </w:rPr>
            </w:pPr>
          </w:p>
        </w:tc>
      </w:tr>
      <w:tr>
        <w:trPr>
          <w:trHeight w:val="192"/>
        </w:trPr>
        <w:tc>
          <w:tcPr>
            <w:tcW w:w="9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96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CME surplus funds</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70"/>
        </w:trPr>
        <w:tc>
          <w:tcPr>
            <w:tcW w:w="96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2,967.8</w:t>
            </w:r>
          </w:p>
        </w:tc>
        <w:tc>
          <w:tcPr>
            <w:tcW w:w="0" w:type="dxa"/>
            <w:vAlign w:val="bottom"/>
          </w:tcPr>
          <w:p>
            <w:pPr>
              <w:spacing w:after="0"/>
              <w:rPr>
                <w:sz w:val="1"/>
                <w:szCs w:val="1"/>
                <w:color w:val="auto"/>
              </w:rPr>
            </w:pPr>
          </w:p>
        </w:tc>
      </w:tr>
      <w:tr>
        <w:trPr>
          <w:trHeight w:val="270"/>
        </w:trPr>
        <w:tc>
          <w:tcPr>
            <w:tcW w:w="96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Assessment powers</w:t>
            </w:r>
            <w:r>
              <w:rPr>
                <w:rFonts w:ascii="Arial" w:cs="Arial" w:eastAsia="Arial" w:hAnsi="Arial"/>
                <w:sz w:val="25"/>
                <w:szCs w:val="25"/>
                <w:color w:val="auto"/>
                <w:vertAlign w:val="superscript"/>
              </w:rPr>
              <w:t>(3)</w:t>
            </w: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8,161.4</w:t>
            </w:r>
          </w:p>
        </w:tc>
        <w:tc>
          <w:tcPr>
            <w:tcW w:w="0" w:type="dxa"/>
            <w:vAlign w:val="bottom"/>
          </w:tcPr>
          <w:p>
            <w:pPr>
              <w:spacing w:after="0"/>
              <w:rPr>
                <w:sz w:val="1"/>
                <w:szCs w:val="1"/>
                <w:color w:val="auto"/>
              </w:rPr>
            </w:pPr>
          </w:p>
        </w:tc>
      </w:tr>
      <w:tr>
        <w:trPr>
          <w:trHeight w:val="264"/>
        </w:trPr>
        <w:tc>
          <w:tcPr>
            <w:tcW w:w="9600" w:type="dxa"/>
            <w:vAlign w:val="bottom"/>
            <w:gridSpan w:val="2"/>
          </w:tcPr>
          <w:p>
            <w:pPr>
              <w:ind w:left="40"/>
              <w:spacing w:after="0" w:line="264" w:lineRule="exact"/>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25"/>
                <w:szCs w:val="25"/>
                <w:color w:val="auto"/>
                <w:vertAlign w:val="superscript"/>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11,452.5</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60" w:hanging="652"/>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CME surplus funds represent the amount of working capital reduced by an amount necessary to support normal operations and the amounts designated by CME for our credit default swap and interest rate swap financial safeguard packages. Our target for the CME surplus funds is $100.0 million with amounts in excess of this target generally paid as a dividend from CME to CME Group on a quarterly basis based on prior quarter-end balances.</w:t>
      </w:r>
    </w:p>
    <w:p>
      <w:pPr>
        <w:spacing w:after="0" w:line="1" w:lineRule="exact"/>
        <w:rPr>
          <w:rFonts w:ascii="Arial" w:cs="Arial" w:eastAsia="Arial" w:hAnsi="Arial"/>
          <w:sz w:val="18"/>
          <w:szCs w:val="18"/>
          <w:color w:val="auto"/>
        </w:rPr>
      </w:pPr>
    </w:p>
    <w:p>
      <w:pPr>
        <w:ind w:left="660" w:right="120" w:hanging="652"/>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Guaranty fund contributions of clearing firms include guaranty fund contributions required of clearing firms, but do not include any excess deposits held by our exchange at the direction of clearing firms.</w:t>
      </w:r>
    </w:p>
    <w:p>
      <w:pPr>
        <w:ind w:left="660" w:right="180" w:hanging="652"/>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of a clearing firm default, if a loss continues to exist after the utilization of the assets of the defaulted firm, CME surplus funds and the non-defaulting clearing firms' guaranty fund contributions, we have the right to assess all non-defaulting clearing members as defined in the rules governing the guaranty fund.</w:t>
      </w:r>
    </w:p>
    <w:p>
      <w:pPr>
        <w:spacing w:after="0" w:line="1" w:lineRule="exact"/>
        <w:rPr>
          <w:rFonts w:ascii="Arial" w:cs="Arial" w:eastAsia="Arial" w:hAnsi="Arial"/>
          <w:sz w:val="18"/>
          <w:szCs w:val="18"/>
          <w:color w:val="auto"/>
        </w:rPr>
      </w:pPr>
    </w:p>
    <w:p>
      <w:pPr>
        <w:ind w:left="660" w:right="300" w:hanging="652"/>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aggregate minimum resources available to satisfy any obligations not met by a defaulting firm subsequent to the liquidation of the defaulting firm's performance bond collateral.</w:t>
      </w:r>
    </w:p>
    <w:p>
      <w:pPr>
        <w:spacing w:after="0" w:line="7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following shows the available assets of our CME clearing house for the credit default swap financial safeguard package at December 31, 2011 in the event of a payment default by a clearing firm that clears credit default swap contracts, after first utilizing the defaulting firm's available assets: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157"/>
              <w:spacing w:after="0"/>
              <w:rPr>
                <w:sz w:val="20"/>
                <w:szCs w:val="20"/>
                <w:color w:val="auto"/>
              </w:rPr>
            </w:pPr>
            <w:r>
              <w:rPr>
                <w:rFonts w:ascii="Arial" w:cs="Arial" w:eastAsia="Arial" w:hAnsi="Arial"/>
                <w:sz w:val="14"/>
                <w:szCs w:val="14"/>
                <w:b w:val="1"/>
                <w:bCs w:val="1"/>
                <w:color w:val="auto"/>
              </w:rPr>
              <w:t>CME Clearing House</w:t>
            </w:r>
          </w:p>
        </w:tc>
        <w:tc>
          <w:tcPr>
            <w:tcW w:w="0" w:type="dxa"/>
            <w:vAlign w:val="bottom"/>
          </w:tcPr>
          <w:p>
            <w:pPr>
              <w:spacing w:after="0"/>
              <w:rPr>
                <w:sz w:val="1"/>
                <w:szCs w:val="1"/>
                <w:color w:val="auto"/>
              </w:rPr>
            </w:pPr>
          </w:p>
        </w:tc>
      </w:tr>
      <w:tr>
        <w:trPr>
          <w:trHeight w:val="192"/>
        </w:trPr>
        <w:tc>
          <w:tcPr>
            <w:tcW w:w="9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96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CME designated working capital for credit default swap contracts</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0"/>
        </w:trPr>
        <w:tc>
          <w:tcPr>
            <w:tcW w:w="96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628.6</w:t>
            </w:r>
          </w:p>
        </w:tc>
        <w:tc>
          <w:tcPr>
            <w:tcW w:w="0" w:type="dxa"/>
            <w:vAlign w:val="bottom"/>
          </w:tcPr>
          <w:p>
            <w:pPr>
              <w:spacing w:after="0"/>
              <w:rPr>
                <w:sz w:val="1"/>
                <w:szCs w:val="1"/>
                <w:color w:val="auto"/>
              </w:rPr>
            </w:pPr>
          </w:p>
        </w:tc>
      </w:tr>
      <w:tr>
        <w:trPr>
          <w:trHeight w:val="264"/>
        </w:trPr>
        <w:tc>
          <w:tcPr>
            <w:tcW w:w="9600" w:type="dxa"/>
            <w:vAlign w:val="bottom"/>
            <w:tcBorders>
              <w:bottom w:val="single" w:sz="8" w:color="CCEEFF"/>
            </w:tcBorders>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25"/>
                <w:szCs w:val="25"/>
                <w:color w:val="auto"/>
                <w:vertAlign w:val="superscript"/>
              </w:rPr>
              <w:t>(3)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678.6</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4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CME designates working capital to satisfy a clearing firm default in the event that the defaulting clearing firm's guaranty contributions and performance bonds do not satisfy the deficit. The working capital contributed by CME would be equal to the greater of $50.0 million and 5% of the credit default swap guaranty fund, up to a maximum of $100.0 million.</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credit default swap contracts include guaranty fund contributions required of those clearing firms.</w:t>
      </w:r>
    </w:p>
    <w:p>
      <w:pPr>
        <w:spacing w:after="0" w:line="32" w:lineRule="exact"/>
        <w:rPr>
          <w:rFonts w:ascii="Arial" w:cs="Arial" w:eastAsia="Arial" w:hAnsi="Arial"/>
          <w:sz w:val="16"/>
          <w:szCs w:val="16"/>
          <w:color w:val="auto"/>
        </w:rPr>
      </w:pPr>
    </w:p>
    <w:p>
      <w:pPr>
        <w:ind w:left="660" w:right="220" w:hanging="652"/>
        <w:spacing w:after="0" w:line="273"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the aggregate minimum resources available to satisfy any obligations not met by a defaulting firm subsequent to the liquidation of the defaulting firm's performance bond collateral. In the event of a clearing firm default, if a loss continues to exist after the utilization of the assets of the defaulted firm, CME designated working capital and the non-defaulting firms' guaranty fund contributions, we may have the right to assess all non-defaulting clearing members as defined in the rules governing the credit default swap guaranty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following shows the available assets of our CME clearing house for the interest rate swap financial safeguard package at December 31, 2011 in the event of a payment default by a clearing firm that clears interest rate swap contracts, after first utilizing the defaulting firm's available assets:</w:t>
      </w:r>
    </w:p>
    <w:p>
      <w:pPr>
        <w:spacing w:after="0" w:line="28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7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CME Clearing House</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1"/>
              </w:rPr>
              <w:t>Available Assets</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CME designated working capital for interest rate swap contracts</w:t>
            </w:r>
            <w:r>
              <w:rPr>
                <w:rFonts w:ascii="Arial" w:cs="Arial" w:eastAsia="Arial" w:hAnsi="Arial"/>
                <w:sz w:val="25"/>
                <w:szCs w:val="25"/>
                <w:color w:val="auto"/>
                <w:vertAlign w:val="superscript"/>
              </w:rPr>
              <w:t>(1)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948.0</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25"/>
                <w:szCs w:val="25"/>
                <w:color w:val="auto"/>
                <w:vertAlign w:val="superscript"/>
              </w:rPr>
              <w:t>(3)</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720" w:hanging="652"/>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CME designates $100.0 million of working capital to satisfy a clearing firm default in the event that the defaulting clearing firm's guaranty contributions and performance bonds do not satisfy the deficit.</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interest rate swap contracts include guaranty fund contributions required of those clearing firms.</w:t>
      </w:r>
    </w:p>
    <w:p>
      <w:pPr>
        <w:spacing w:after="0" w:line="32" w:lineRule="exact"/>
        <w:rPr>
          <w:rFonts w:ascii="Arial" w:cs="Arial" w:eastAsia="Arial" w:hAnsi="Arial"/>
          <w:sz w:val="16"/>
          <w:szCs w:val="16"/>
          <w:color w:val="auto"/>
        </w:rPr>
      </w:pPr>
    </w:p>
    <w:p>
      <w:pPr>
        <w:ind w:left="660" w:right="180" w:hanging="652"/>
        <w:spacing w:after="0" w:line="273"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the aggregate minimum resources available to satisfy any obligations not met by a defaulting firm subsequent to the liquidation of the defaulting firm's performance bond collateral. In the event of a clearing firm default, if a loss continues to exist after the utilization of the assets of the defaulted firm, CME designated working capital and the non-defaulting firms' guaranty fund contributions, we may have the right to assess all non-defaulting clearing members as defined in the rules governing the interest rate swap guaranty fund.</w:t>
      </w:r>
    </w:p>
    <w:p>
      <w:pPr>
        <w:spacing w:after="0" w:line="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maintain a separate financial safeguard package for CMECE clearing firms. In the unlikely event of a payment default by a CMECE clearing firm, we would first apply assets of the defaulting clearing firm to satisfy its payment obligation. These assets include the defaulting firm's performance bonds. Aggregate cash performance bond deposits for CMECE clearing firms was $26.0 million. There were no non-cash performance bonds on deposit at December 31, 2011. Thereafter, if the payment default remains unsatisfied after first applying assets of the defaulting clearing firm to satisfy its payment obligation, we would use $60.0 million of CMECE funds. As of December 31, 2011, guaranty fund contributions were contributed by CMECE. In 2012, the CMECE clearing firms may be asked to contribute to the CMECE guaranty fund and the size of the fund will be reviewed in light of the actual risk exposure. Once the CMECE clearing firms contribute to the guaranty fund, we would use at least $20.0 million of CMECE funds in the event of a default.</w:t>
      </w:r>
    </w:p>
    <w:p>
      <w:pPr>
        <w:spacing w:after="0" w:line="16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Despite these safeguards, we cannot assure you that these measures will be sufficient to protect us from a default or that we will not be materially and adversely affected in the event of a significant default.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 Risk</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exposure to foreign currency transaction risk resulting from our operations is considered minimal and is not expected to be material to our financial condition or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Risk</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foreign currency translation risk related to the translation of our foreign subsidiaries' assets and liabilities from their respective functional currencies to the U.S. dollar at each reporting date. Fluctuations in exchange rates may impact the amount of total assets and liabilities we report in our consolidated balance sheets. The financial statements of certain of our foreign subsidiaries are denominated in various currencies, including the British pound and the Brazilian real, and are translated into U.S. dollars using a current exchange rate. Gains and losses resulting from this translation are recognized as a foreign currency translation adjustment within accumulated other comprehensive income, which is a component of shareholders' equity. The translation adjustment, net of tax, for 2011, 2010 and 2009 was $83.3 million, $(0.5) million and $2.6 million, respectively. In 2011, we reversed an unrealized loss of $81.7 million, net of tax, which was attributable to foreign currency translation adjustments that were recorded in accumulated other comprehensive income (loss) upon recognizing impairment on our investment in BM&amp;FBOVESPA.</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2011 and 2010, 3% and 10% of our consolidated cash and cash equivalents balances were held by foreign subsidiaries whose balance sheets were translated from a foreign functional currency to U.S. dollars at each reporting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Foreign Currency Risk</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also exposed to foreign exchange rate risk related to the equity investments noted under Equity Price Risk. Any foreign exchange rate risk related to these investments is reflected in the Equity Price Risk section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 Related to Customer Collateral</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portion of the performance bond deposits is denominated in foreign currency. We mark to market all collateral once daily and require payment from clearing firms whose collateral has lost value due to changes in foreign currency rates and price. In</w:t>
      </w:r>
    </w:p>
    <w:p>
      <w:pPr>
        <w:sectPr>
          <w:pgSz w:w="11900" w:h="16838" w:orient="portrait"/>
          <w:cols w:equalWidth="0" w:num="1">
            <w:col w:w="11380"/>
          </w:cols>
          <w:pgMar w:left="240" w:top="122" w:right="279" w:bottom="1440" w:gutter="0" w:footer="0" w:header="0"/>
        </w:sect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80"/>
          </w:cols>
          <w:pgMar w:left="240" w:top="122" w:right="27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addition, we typically establish performance bond levels to cover at least 95% to 99% of expected price and foreign currency changes for a given product within a given historical period, which further reduces our exposure to foreign currency and other price risk. Collateral deposited to meet performance bond requirements is charged at a discount rate to cover at least 99% of expected price and foreign currency changes for a given asset within a historical period. Discount rates vary depending on the type of collateral. Therefore, our exposure to foreign currency risk related to customer collateral deposits is considered minimal and is not expected to be material to our financial condition or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hold certain investments in equity securities for strategic purposes. Investments subject to equity price risks are generally recorded at their fair value. Fair values for publicly-traded equity investments are based on quoted market prices. Fair values are subject to fluctuation and, consequently, the amount realized in the subsequent sale of an investment may differ significantly from its current reported value. Fluctuation in the market price of a security may result from perceived changes in the underlying economic characteristics of the issuer, the relative price of alternative investments and general market conditions.</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 below summarizes our equity investments subject to equity price fluctuation at December 31, 2011. Equity investments are included in other assets in our 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ind w:left="580"/>
              <w:spacing w:after="0"/>
              <w:rPr>
                <w:sz w:val="20"/>
                <w:szCs w:val="20"/>
                <w:color w:val="auto"/>
              </w:rPr>
            </w:pPr>
            <w:r>
              <w:rPr>
                <w:rFonts w:ascii="Arial" w:cs="Arial" w:eastAsia="Arial" w:hAnsi="Arial"/>
                <w:sz w:val="14"/>
                <w:szCs w:val="14"/>
                <w:b w:val="1"/>
                <w:bCs w:val="1"/>
                <w:color w:val="auto"/>
                <w:w w:val="96"/>
              </w:rPr>
              <w:t>Cost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9"/>
        </w:trPr>
        <w:tc>
          <w:tcPr>
            <w:tcW w:w="4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vMerge w:val="restart"/>
          </w:tcPr>
          <w:p>
            <w:pPr>
              <w:spacing w:after="0"/>
              <w:rPr>
                <w:sz w:val="12"/>
                <w:szCs w:val="12"/>
                <w:color w:val="auto"/>
              </w:rPr>
            </w:pPr>
          </w:p>
        </w:tc>
        <w:tc>
          <w:tcPr>
            <w:tcW w:w="9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Gain (Loss),</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85"/>
              </w:rPr>
              <w:t>Basis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BM&amp;FBOVESPA S.A.</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262.9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Bolsa Mexicana de Valores, S.A.B. de C.V.</w:t>
            </w:r>
          </w:p>
        </w:tc>
        <w:tc>
          <w:tcPr>
            <w:tcW w:w="9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IMAREX ASA</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currently hedge against equity price risk. Equity investments are assessed for other-than-temporary impairment on a quarterly basis. An assessment of whether an equity investment is other-than-temporarily impaired takes into consideration the magnitude and duration of the unrealized loss. At December 31, 2011, we determined that none of the equity investments listed above were other-than-temporarily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7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ITEM 8.</w:t>
            </w:r>
          </w:p>
        </w:tc>
        <w:tc>
          <w:tcPr>
            <w:tcW w:w="240" w:type="dxa"/>
            <w:vAlign w:val="bottom"/>
          </w:tcPr>
          <w:p>
            <w:pPr>
              <w:spacing w:after="0"/>
              <w:rPr>
                <w:sz w:val="24"/>
                <w:szCs w:val="24"/>
                <w:color w:val="auto"/>
              </w:rPr>
            </w:pPr>
          </w:p>
        </w:tc>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AND SUPPLEMENTARY DATA</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3"/>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tcPr>
          <w:p>
            <w:pPr>
              <w:jc w:val="center"/>
              <w:ind w:left="1750"/>
              <w:spacing w:after="0"/>
              <w:rPr>
                <w:sz w:val="20"/>
                <w:szCs w:val="20"/>
                <w:color w:val="auto"/>
              </w:rPr>
            </w:pPr>
            <w:r>
              <w:rPr>
                <w:rFonts w:ascii="Arial" w:cs="Arial" w:eastAsia="Arial" w:hAnsi="Arial"/>
                <w:sz w:val="18"/>
                <w:szCs w:val="18"/>
                <w:b w:val="1"/>
                <w:bCs w:val="1"/>
                <w:color w:val="auto"/>
                <w:w w:val="99"/>
              </w:rPr>
              <w:t>CME GROUP INC. AND SUBSIDIARIES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3"/>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tcPr>
          <w:p>
            <w:pPr>
              <w:jc w:val="center"/>
              <w:ind w:left="175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80" w:type="dxa"/>
            <w:vAlign w:val="bottom"/>
          </w:tcPr>
          <w:p>
            <w:pPr>
              <w:jc w:val="center"/>
              <w:ind w:left="1730"/>
              <w:spacing w:after="0"/>
              <w:rPr>
                <w:sz w:val="20"/>
                <w:szCs w:val="20"/>
                <w:color w:val="auto"/>
              </w:rPr>
            </w:pPr>
            <w:r>
              <w:rPr>
                <w:rFonts w:ascii="Arial" w:cs="Arial" w:eastAsia="Arial" w:hAnsi="Arial"/>
                <w:sz w:val="18"/>
                <w:szCs w:val="18"/>
                <w:color w:val="auto"/>
                <w:w w:val="90"/>
              </w:rPr>
              <w:t>(dollars in millions, except per share data; shares in thousands)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48"/>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70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w w:val="96"/>
              </w:rPr>
              <w:t>Current Assets:</w:t>
            </w:r>
          </w:p>
        </w:tc>
        <w:tc>
          <w:tcPr>
            <w:tcW w:w="7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855.2</w:t>
            </w: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50.2</w:t>
            </w: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$1.3 and $1.6</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297.5</w:t>
            </w: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Other current assets (includes $40.0 and $0 in 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146.1</w:t>
            </w: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9,333.9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4,038.5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10,945.8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5,387.5</w:t>
            </w: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786.8</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Intangible assets—trading products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17,040.5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17,040.5</w:t>
            </w: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3,453.3</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7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7,984.0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7,983.6</w:t>
            </w: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 (includes $20.5 and $0 in 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394.4</w:t>
            </w:r>
          </w:p>
        </w:tc>
      </w:tr>
      <w:tr>
        <w:trPr>
          <w:trHeight w:val="237"/>
        </w:trPr>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70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40,758.7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35,046.1</w:t>
            </w:r>
          </w:p>
        </w:tc>
      </w:tr>
      <w:tr>
        <w:trPr>
          <w:trHeight w:val="67"/>
        </w:trPr>
        <w:tc>
          <w:tcPr>
            <w:tcW w:w="1020" w:type="dxa"/>
            <w:vAlign w:val="bottom"/>
            <w:tcBorders>
              <w:bottom w:val="single" w:sz="8" w:color="CCEEFF"/>
            </w:tcBorders>
          </w:tcPr>
          <w:p>
            <w:pPr>
              <w:spacing w:after="0"/>
              <w:rPr>
                <w:sz w:val="5"/>
                <w:szCs w:val="5"/>
                <w:color w:val="auto"/>
              </w:rPr>
            </w:pPr>
          </w:p>
        </w:tc>
        <w:tc>
          <w:tcPr>
            <w:tcW w:w="7320" w:type="dxa"/>
            <w:vAlign w:val="bottom"/>
            <w:tcBorders>
              <w:bottom w:val="single" w:sz="8" w:color="CCEEFF"/>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528"/>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Short-term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420.5</w:t>
            </w: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9,333.9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4,038.5</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4,781.2</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w w:val="98"/>
              </w:rPr>
              <w:t>Long-term debt</w:t>
            </w:r>
          </w:p>
        </w:tc>
        <w:tc>
          <w:tcPr>
            <w:tcW w:w="7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2,106.8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2,104.8</w:t>
            </w: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7,840.4</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7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191.5</w:t>
            </w:r>
          </w:p>
        </w:tc>
      </w:tr>
      <w:tr>
        <w:trPr>
          <w:trHeight w:val="27"/>
        </w:trPr>
        <w:tc>
          <w:tcPr>
            <w:tcW w:w="10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70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19,136.4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14,917.9</w:t>
            </w:r>
          </w:p>
        </w:tc>
      </w:tr>
      <w:tr>
        <w:trPr>
          <w:trHeight w:val="534"/>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Redeemable non-controlling interest</w:t>
            </w: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68.1</w:t>
            </w: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54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Series A junior participating preferred stock, $0.01 par value, 140 shares authorized, none issued 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1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2"/>
              </w:rPr>
              <w:t>outstanding</w:t>
            </w:r>
          </w:p>
        </w:tc>
        <w:tc>
          <w:tcPr>
            <w:tcW w:w="70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gridSpan w:val="3"/>
          </w:tcPr>
          <w:p>
            <w:pPr>
              <w:ind w:left="380"/>
              <w:spacing w:after="0"/>
              <w:rPr>
                <w:sz w:val="20"/>
                <w:szCs w:val="20"/>
                <w:color w:val="auto"/>
              </w:rPr>
            </w:pPr>
            <w:r>
              <w:rPr>
                <w:rFonts w:ascii="Arial" w:cs="Arial" w:eastAsia="Arial" w:hAnsi="Arial"/>
                <w:sz w:val="18"/>
                <w:szCs w:val="18"/>
                <w:color w:val="auto"/>
                <w:w w:val="91"/>
              </w:rPr>
              <w:t>Class A common stock, $0.01 par value, 1,000,000 shares authorized, 66,128 and 66,847 shares issued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outstanding as of December 31, 2011 and 2010, respectively</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17,115.1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17,277.7</w:t>
            </w: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2,885.8</w:t>
            </w: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21,552.0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20,060.1</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40,758.7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35,046.1</w:t>
            </w:r>
          </w:p>
        </w:tc>
      </w:tr>
      <w:tr>
        <w:trPr>
          <w:trHeight w:val="27"/>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1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14" w:right="2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2,710.9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2,161.9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1,589.1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of long-term investments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on derivative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 of exercise right privileges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 in net losses of unconsolidated subsidiaries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Non-Operating</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net income attributable to redeemable non-controlling interest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1,812.3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66,547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66,299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66,366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66,762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66,495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66,548</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2" w:right="23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Stock and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2008</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18,688.6</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Comprehensive income attributable to</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CME Group:</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attributable to CME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Group</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29"/>
        </w:trPr>
        <w:tc>
          <w:tcPr>
            <w:tcW w:w="3200" w:type="dxa"/>
            <w:vAlign w:val="bottom"/>
          </w:tcPr>
          <w:p>
            <w:pPr>
              <w:ind w:left="380"/>
              <w:spacing w:after="0"/>
              <w:rPr>
                <w:sz w:val="20"/>
                <w:szCs w:val="20"/>
                <w:color w:val="auto"/>
              </w:rPr>
            </w:pPr>
            <w:r>
              <w:rPr>
                <w:rFonts w:ascii="Arial" w:cs="Arial" w:eastAsia="Arial" w:hAnsi="Arial"/>
                <w:sz w:val="18"/>
                <w:szCs w:val="18"/>
                <w:color w:val="auto"/>
              </w:rPr>
              <w:t>Change in net unrealized loss 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80"/>
              <w:spacing w:after="0"/>
              <w:rPr>
                <w:sz w:val="20"/>
                <w:szCs w:val="20"/>
                <w:color w:val="auto"/>
              </w:rPr>
            </w:pPr>
            <w:r>
              <w:rPr>
                <w:rFonts w:ascii="Arial" w:cs="Arial" w:eastAsia="Arial" w:hAnsi="Arial"/>
                <w:sz w:val="18"/>
                <w:szCs w:val="18"/>
                <w:color w:val="auto"/>
              </w:rPr>
              <w:t>securities, net of tax of $16.5</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net actuarial loss on</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defined benefit plans, net of tax of</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$0.9</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200" w:type="dxa"/>
            <w:vAlign w:val="bottom"/>
          </w:tcPr>
          <w:p>
            <w:pPr>
              <w:ind w:left="380"/>
              <w:spacing w:after="0"/>
              <w:rPr>
                <w:sz w:val="20"/>
                <w:szCs w:val="20"/>
                <w:color w:val="auto"/>
              </w:rPr>
            </w:pPr>
            <w:r>
              <w:rPr>
                <w:rFonts w:ascii="Arial" w:cs="Arial" w:eastAsia="Arial" w:hAnsi="Arial"/>
                <w:sz w:val="18"/>
                <w:szCs w:val="18"/>
                <w:color w:val="auto"/>
                <w:w w:val="94"/>
              </w:rPr>
              <w:t>Net change in derivative instruments,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80"/>
              <w:spacing w:after="0"/>
              <w:rPr>
                <w:sz w:val="20"/>
                <w:szCs w:val="20"/>
                <w:color w:val="auto"/>
              </w:rPr>
            </w:pPr>
            <w:r>
              <w:rPr>
                <w:rFonts w:ascii="Arial" w:cs="Arial" w:eastAsia="Arial" w:hAnsi="Arial"/>
                <w:sz w:val="18"/>
                <w:szCs w:val="18"/>
                <w:color w:val="auto"/>
              </w:rPr>
              <w:t>net of tax of $4.7</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Change in foreign currency translation</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net of tax of $1.7</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3200" w:type="dxa"/>
            <w:vAlign w:val="bottom"/>
          </w:tcPr>
          <w:p>
            <w:pPr>
              <w:ind w:left="40"/>
              <w:spacing w:after="0"/>
              <w:rPr>
                <w:sz w:val="20"/>
                <w:szCs w:val="20"/>
                <w:color w:val="auto"/>
              </w:rPr>
            </w:pPr>
            <w:r>
              <w:rPr>
                <w:rFonts w:ascii="Arial" w:cs="Arial" w:eastAsia="Arial" w:hAnsi="Arial"/>
                <w:sz w:val="18"/>
                <w:szCs w:val="18"/>
                <w:color w:val="auto"/>
                <w:w w:val="91"/>
              </w:rPr>
              <w:t>Total comprehensive income attributable to</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CME Group</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Dividends on common stock of $4.60 per</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1"/>
              </w:rPr>
              <w:t>Class A common stock issued in exchange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for investment in Bursa Malaysia</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Derivatives Berhad</w:t>
            </w: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Class A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Excess tax benefits from option exercises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restricted stock vesting</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Vesting of issued restricted Class A</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to Board of Directors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Shares issued under Employee Stock</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Purchase Plan</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2009</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66,511</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17,187.3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2,239.9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19,301.0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 xml:space="preserve">CONSOLIDATED STATEMENTS OF SHAREHOLDERS’ EQUITY </w:t>
      </w:r>
      <w:r>
        <w:rPr>
          <w:rFonts w:ascii="Arial" w:cs="Arial" w:eastAsia="Arial" w:hAnsi="Arial"/>
          <w:sz w:val="18"/>
          <w:szCs w:val="18"/>
          <w:color w:val="auto"/>
        </w:rPr>
        <w:t>(continued)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Stock and</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2009</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19,301.0</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Comprehensive income attributable to CME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Group:</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Net income attributable to CME Group</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951.4</w:t>
            </w:r>
          </w:p>
        </w:tc>
        <w:tc>
          <w:tcPr>
            <w:tcW w:w="0" w:type="dxa"/>
            <w:vAlign w:val="bottom"/>
          </w:tcPr>
          <w:p>
            <w:pPr>
              <w:spacing w:after="0"/>
              <w:rPr>
                <w:sz w:val="1"/>
                <w:szCs w:val="1"/>
                <w:color w:val="auto"/>
              </w:rPr>
            </w:pPr>
          </w:p>
        </w:tc>
      </w:tr>
      <w:tr>
        <w:trPr>
          <w:trHeight w:val="229"/>
        </w:trPr>
        <w:tc>
          <w:tcPr>
            <w:tcW w:w="3340" w:type="dxa"/>
            <w:vAlign w:val="bottom"/>
          </w:tcPr>
          <w:p>
            <w:pPr>
              <w:ind w:left="380"/>
              <w:spacing w:after="0"/>
              <w:rPr>
                <w:sz w:val="20"/>
                <w:szCs w:val="20"/>
                <w:color w:val="auto"/>
              </w:rPr>
            </w:pPr>
            <w:r>
              <w:rPr>
                <w:rFonts w:ascii="Arial" w:cs="Arial" w:eastAsia="Arial" w:hAnsi="Arial"/>
                <w:sz w:val="18"/>
                <w:szCs w:val="18"/>
                <w:color w:val="auto"/>
              </w:rPr>
              <w:t>Change in net unrealized gain on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80"/>
              <w:spacing w:after="0"/>
              <w:rPr>
                <w:sz w:val="20"/>
                <w:szCs w:val="20"/>
                <w:color w:val="auto"/>
              </w:rPr>
            </w:pPr>
            <w:r>
              <w:rPr>
                <w:rFonts w:ascii="Arial" w:cs="Arial" w:eastAsia="Arial" w:hAnsi="Arial"/>
                <w:sz w:val="18"/>
                <w:szCs w:val="18"/>
                <w:color w:val="auto"/>
              </w:rPr>
              <w:t>securities, net of tax of $3.6</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Change in net actuarial loss on defined</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plans, net of tax of $3.8</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3340" w:type="dxa"/>
            <w:vAlign w:val="bottom"/>
          </w:tcPr>
          <w:p>
            <w:pPr>
              <w:ind w:left="380"/>
              <w:spacing w:after="0"/>
              <w:rPr>
                <w:sz w:val="20"/>
                <w:szCs w:val="20"/>
                <w:color w:val="auto"/>
              </w:rPr>
            </w:pPr>
            <w:r>
              <w:rPr>
                <w:rFonts w:ascii="Arial" w:cs="Arial" w:eastAsia="Arial" w:hAnsi="Arial"/>
                <w:sz w:val="18"/>
                <w:szCs w:val="18"/>
                <w:color w:val="auto"/>
                <w:w w:val="99"/>
              </w:rPr>
              <w:t>Net change in derivative instruments,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80"/>
              <w:spacing w:after="0"/>
              <w:rPr>
                <w:sz w:val="20"/>
                <w:szCs w:val="20"/>
                <w:color w:val="auto"/>
              </w:rPr>
            </w:pPr>
            <w:r>
              <w:rPr>
                <w:rFonts w:ascii="Arial" w:cs="Arial" w:eastAsia="Arial" w:hAnsi="Arial"/>
                <w:sz w:val="18"/>
                <w:szCs w:val="18"/>
                <w:color w:val="auto"/>
              </w:rPr>
              <w:t>net of tax of $7.4</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Change in foreign currency translation</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net of tax of $0.4</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9"/>
        </w:trPr>
        <w:tc>
          <w:tcPr>
            <w:tcW w:w="3340" w:type="dxa"/>
            <w:vAlign w:val="bottom"/>
          </w:tcPr>
          <w:p>
            <w:pPr>
              <w:ind w:left="40"/>
              <w:spacing w:after="0"/>
              <w:rPr>
                <w:sz w:val="20"/>
                <w:szCs w:val="20"/>
                <w:color w:val="auto"/>
              </w:rPr>
            </w:pPr>
            <w:r>
              <w:rPr>
                <w:rFonts w:ascii="Arial" w:cs="Arial" w:eastAsia="Arial" w:hAnsi="Arial"/>
                <w:sz w:val="18"/>
                <w:szCs w:val="18"/>
                <w:color w:val="auto"/>
                <w:w w:val="95"/>
              </w:rPr>
              <w:t>Total comprehensive income attributable to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CME Group</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973.5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on common stock of $4.60 per</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Class A common stock issued to</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BM&amp;FBOVESPA S.A.</w:t>
            </w:r>
          </w:p>
        </w:tc>
        <w:tc>
          <w:tcPr>
            <w:tcW w:w="1240" w:type="dxa"/>
            <w:vAlign w:val="bottom"/>
          </w:tcPr>
          <w:p>
            <w:pPr>
              <w:jc w:val="right"/>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Class A common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Excess tax benefits from option exercises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restricted stock vesting</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1"/>
              </w:rPr>
              <w:t>Vesting of issued restricted Class A common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stock</w:t>
            </w: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to Board of Directors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Shares issued under Employee Stock</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Purchase Plan</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66,847</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17,278.4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2,885.8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20,060.1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 xml:space="preserve">CONSOLIDATED STATEMENTS OF SHAREHOLDERS’ EQUITY </w:t>
      </w:r>
      <w:r>
        <w:rPr>
          <w:rFonts w:ascii="Arial" w:cs="Arial" w:eastAsia="Arial" w:hAnsi="Arial"/>
          <w:sz w:val="18"/>
          <w:szCs w:val="18"/>
          <w:color w:val="auto"/>
        </w:rPr>
        <w:t>(continued)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Stock and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2,885.8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20,060.1</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Comprehensive income attributable to CME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Group:</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Net income attributable to CME Group</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1,812.3</w:t>
            </w:r>
          </w:p>
        </w:tc>
        <w:tc>
          <w:tcPr>
            <w:tcW w:w="0" w:type="dxa"/>
            <w:vAlign w:val="bottom"/>
          </w:tcPr>
          <w:p>
            <w:pPr>
              <w:spacing w:after="0"/>
              <w:rPr>
                <w:sz w:val="1"/>
                <w:szCs w:val="1"/>
                <w:color w:val="auto"/>
              </w:rPr>
            </w:pPr>
          </w:p>
        </w:tc>
      </w:tr>
      <w:tr>
        <w:trPr>
          <w:trHeight w:val="229"/>
        </w:trPr>
        <w:tc>
          <w:tcPr>
            <w:tcW w:w="3340" w:type="dxa"/>
            <w:vAlign w:val="bottom"/>
          </w:tcPr>
          <w:p>
            <w:pPr>
              <w:ind w:left="380"/>
              <w:spacing w:after="0"/>
              <w:rPr>
                <w:sz w:val="20"/>
                <w:szCs w:val="20"/>
                <w:color w:val="auto"/>
              </w:rPr>
            </w:pPr>
            <w:r>
              <w:rPr>
                <w:rFonts w:ascii="Arial" w:cs="Arial" w:eastAsia="Arial" w:hAnsi="Arial"/>
                <w:sz w:val="18"/>
                <w:szCs w:val="18"/>
                <w:color w:val="auto"/>
              </w:rPr>
              <w:t>Change in net unrealized gain on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80"/>
              <w:spacing w:after="0"/>
              <w:rPr>
                <w:sz w:val="20"/>
                <w:szCs w:val="20"/>
                <w:color w:val="auto"/>
              </w:rPr>
            </w:pPr>
            <w:r>
              <w:rPr>
                <w:rFonts w:ascii="Arial" w:cs="Arial" w:eastAsia="Arial" w:hAnsi="Arial"/>
                <w:sz w:val="18"/>
                <w:szCs w:val="18"/>
                <w:color w:val="auto"/>
              </w:rPr>
              <w:t>securities, net of tax of $23.7</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Change in net actuarial loss on defined</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plans, net of tax of $6.5</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3340" w:type="dxa"/>
            <w:vAlign w:val="bottom"/>
          </w:tcPr>
          <w:p>
            <w:pPr>
              <w:ind w:left="380"/>
              <w:spacing w:after="0"/>
              <w:rPr>
                <w:sz w:val="20"/>
                <w:szCs w:val="20"/>
                <w:color w:val="auto"/>
              </w:rPr>
            </w:pPr>
            <w:r>
              <w:rPr>
                <w:rFonts w:ascii="Arial" w:cs="Arial" w:eastAsia="Arial" w:hAnsi="Arial"/>
                <w:sz w:val="18"/>
                <w:szCs w:val="18"/>
                <w:color w:val="auto"/>
                <w:w w:val="99"/>
              </w:rPr>
              <w:t>Net change in derivative instruments,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80"/>
              <w:spacing w:after="0"/>
              <w:rPr>
                <w:sz w:val="20"/>
                <w:szCs w:val="20"/>
                <w:color w:val="auto"/>
              </w:rPr>
            </w:pPr>
            <w:r>
              <w:rPr>
                <w:rFonts w:ascii="Arial" w:cs="Arial" w:eastAsia="Arial" w:hAnsi="Arial"/>
                <w:sz w:val="18"/>
                <w:szCs w:val="18"/>
                <w:color w:val="auto"/>
              </w:rPr>
              <w:t>net of tax of $0.3</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Change in foreign currency translation</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net of tax of $13.3</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9"/>
        </w:trPr>
        <w:tc>
          <w:tcPr>
            <w:tcW w:w="3340" w:type="dxa"/>
            <w:vAlign w:val="bottom"/>
          </w:tcPr>
          <w:p>
            <w:pPr>
              <w:ind w:left="40"/>
              <w:spacing w:after="0"/>
              <w:rPr>
                <w:sz w:val="20"/>
                <w:szCs w:val="20"/>
                <w:color w:val="auto"/>
              </w:rPr>
            </w:pPr>
            <w:r>
              <w:rPr>
                <w:rFonts w:ascii="Arial" w:cs="Arial" w:eastAsia="Arial" w:hAnsi="Arial"/>
                <w:sz w:val="18"/>
                <w:szCs w:val="18"/>
                <w:color w:val="auto"/>
                <w:w w:val="95"/>
              </w:rPr>
              <w:t>Total comprehensive income attributable to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CME Group</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2,028.0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on common stock of $5.60 per</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Repurchase of Class A 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9"/>
              </w:rPr>
              <w:t>Excess tax benefits from option exercises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and restricted stock vesting</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Vesting of issued restricted Class A common</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Plan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17,115.8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4,324.6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2009</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1,814.4</w:t>
            </w:r>
          </w:p>
        </w:tc>
        <w:tc>
          <w:tcPr>
            <w:tcW w:w="48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952.1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825.8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51.3</w:t>
            </w:r>
          </w:p>
        </w:tc>
        <w:tc>
          <w:tcPr>
            <w:tcW w:w="4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40.9</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128.1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128.5</w:t>
            </w:r>
          </w:p>
        </w:tc>
        <w:tc>
          <w:tcPr>
            <w:tcW w:w="4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129.9</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on derivative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Impairment of goodwill and intangible assets</w:t>
            </w: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20.5</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long-term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MF Global accounts receivable write-off</w:t>
            </w: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4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financing costs and discount accretion</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on sale of Index Services assets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Guarantee of exercise right privileges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Equity in net losses of unconsolidated subsidiaries</w:t>
            </w: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22.3</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Change in assets and liabilities:</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(28.7)</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w:t>
            </w:r>
          </w:p>
        </w:tc>
        <w:tc>
          <w:tcPr>
            <w:tcW w:w="4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(29.9)</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w:t>
            </w:r>
          </w:p>
        </w:tc>
        <w:tc>
          <w:tcPr>
            <w:tcW w:w="4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79.6</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1,346.3</w:t>
            </w: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1,356.4</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1,083.1</w:t>
            </w:r>
          </w:p>
        </w:tc>
      </w:tr>
      <w:tr>
        <w:trPr>
          <w:trHeight w:val="291"/>
        </w:trPr>
        <w:tc>
          <w:tcPr>
            <w:tcW w:w="67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4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439.8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NYMEX securities lending program investments</w:t>
            </w: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425.9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net</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(160.0)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Consideration paid in business combinations, net of cash acquired</w:t>
            </w: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(19.6)</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Index Services assets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sale of long-term investment</w:t>
            </w: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47.2</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Chicago Board Options Exchange exercise right privileges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39.7</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 of Bolsa Mexicana de Valores, S.A.B. de C.V. shares</w:t>
            </w: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(17.4)</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contributions to FXMarketSpace Limited</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544.8</w:t>
            </w:r>
          </w:p>
        </w:tc>
      </w:tr>
      <w:tr>
        <w:trPr>
          <w:trHeight w:val="20"/>
        </w:trPr>
        <w:tc>
          <w:tcPr>
            <w:tcW w:w="6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2009</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(repayments) of commercial paper,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(1,393.6)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other borrowings, net of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Repayment of other borrowings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NYMEX securities lending program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 issued to BM&amp;FBOVESPA SA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Repurchase of Class A common stock, including costs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Distribution paid to non-controlling interest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Excess tax benefits related to employee option exercises and restricted stock vesting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(1,665.2)</w:t>
            </w:r>
          </w:p>
        </w:tc>
      </w:tr>
      <w:tr>
        <w:trPr>
          <w:trHeight w:val="291"/>
        </w:trPr>
        <w:tc>
          <w:tcPr>
            <w:tcW w:w="67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855.2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297.9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1,042.3</w:t>
            </w:r>
          </w:p>
        </w:tc>
        <w:tc>
          <w:tcPr>
            <w:tcW w:w="4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855.2</w:t>
            </w: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260.6</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816.1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629.7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paid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Non-cash investing activities: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net unrealized securities gains (losses)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Change in net unrealized derivatives gains (losses)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Chicago Mercantile Exchange Inc. (CME), the Board of Trade of the City of Chicago, Inc. (CBOT), and New York Mercantile Exchange, Inc. (NYMEX), wholly-owned subsidiaries of CME Group Inc. (CME Group), are designated contract markets for the trading of futures and options on futures contracts. CME, CBOT, NYMEX and their subsidiaries are referred to collectively as “the exchange” in the notes to the consolidated financial statements. CME Group and its subsidiaries are referred to collectively as “the company” in the notes to the consolidated financial statements.</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CME Group offers a wide range of products including those based on interest rates, equities, foreign exchange, agricultural commodities, energy and metals. CME Group also offers clearing services for cleared over-the-counter derivatives including credit default swaps and interest rate swaps as well as other swaps and forwards. Trades are executed through CME Group's electronic trading platform, open outcry and privately negotiated transactions. Through its clearing house, CME Group offers clearing, settlement and guarantees for all products cleared through the exchange. In 2011, CME Clearing Europe (CMECE) began providing clearing services for various over-the-counter derivatives in Europe.</w:t>
      </w:r>
    </w:p>
    <w:p>
      <w:pPr>
        <w:spacing w:after="0" w:line="17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March 18, 2010, CBOT acquired a 90% ownership interest in CME Group Index Services LLC (Index Services), a joint venture with Dow Jones &amp; Company (Dow Jones). The financial statements and accompanying notes presented in this report include the financial results of Index Services beginning on March 19, 2010. Index Services creates, maintains and licenses the globally-recognized Dow Jones indexes. The indexes are used as benchmarks and as the basis of investment products. In November 2011, the company announced that it will contribute certain assets of Index Services to a new index business venture with The McGraw-Hill Companies Inc. (McGraw-Hill). As part of the agreement, the company will also sell Credit Market Analysis Ltd. (CMA) to McGraw-Hill. The transaction is expected to close by June 2012, subject to regulatory approval and customary closing conditions. As part of the agreement, the company will have a long term, ownership-linked, exclusive license to list futures and options on futures based on the Standard &amp; Poor's (S&amp;P) Indices.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of the company and its wholly-owned and majority-owned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All intercompany balances and transactions have been eliminated in consolidation. Certain reclassifications have been made to the prior years' financial statements to conform to the presentation in the current year.</w:t>
      </w:r>
    </w:p>
    <w:p>
      <w:pPr>
        <w:spacing w:after="0" w:line="68"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consolidated financial statements in conformity with accounting principles generally accepted in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management to make estimates and assumptions that affect the reported amounts and the disclosure of contingent amounts in the consolidated financial statements and accompanying notes. Actual results could differ from those estimates.</w:t>
      </w:r>
    </w:p>
    <w:p>
      <w:pPr>
        <w:spacing w:after="0" w:line="6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equivalents consist of money market mutual funds and highly liquid investments with maturities of three months or less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of purchase.</w:t>
      </w:r>
    </w:p>
    <w:p>
      <w:pPr>
        <w:spacing w:after="0" w:line="5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Marketable Securities. </w:t>
      </w:r>
      <w:r>
        <w:rPr>
          <w:rFonts w:ascii="Arial" w:cs="Arial" w:eastAsia="Arial" w:hAnsi="Arial"/>
          <w:sz w:val="18"/>
          <w:szCs w:val="18"/>
          <w:color w:val="auto"/>
        </w:rPr>
        <w:t>Certain marketable securities have been classified as available-for-sale and are carried at fair value based on quoted market prices,</w:t>
      </w:r>
      <w:r>
        <w:rPr>
          <w:rFonts w:ascii="Arial" w:cs="Arial" w:eastAsia="Arial" w:hAnsi="Arial"/>
          <w:sz w:val="18"/>
          <w:szCs w:val="18"/>
          <w:b w:val="1"/>
          <w:bCs w:val="1"/>
          <w:color w:val="auto"/>
        </w:rPr>
        <w:t xml:space="preserve"> </w:t>
      </w:r>
      <w:r>
        <w:rPr>
          <w:rFonts w:ascii="Arial" w:cs="Arial" w:eastAsia="Arial" w:hAnsi="Arial"/>
          <w:sz w:val="18"/>
          <w:szCs w:val="18"/>
          <w:color w:val="auto"/>
        </w:rPr>
        <w:t>with net unrealized gains and losses reported net of tax in accumulated other comprehensive income (loss). Interest on marketable securities is recognized as income when earned and includes accreted discount less amortized premium. Realized gains and losses are calculated using specific identification. Additional securities held in connection with non-qualified deferred compensation plans have been classified as trading securities. These securities are included in marketable securities in the accompanying consolidated balance sheets at fair value, and net realized and unrealized gains and losses as well as dividend income are reflected in investment income.</w:t>
      </w:r>
    </w:p>
    <w:p>
      <w:pPr>
        <w:spacing w:after="0" w:line="8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values of those financial instruments included in assets and liabilities at fair value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balance sheets are reasonable estimates of their fair values.</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or an exit price. The standard establishes a hierarchy for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independent sources. Unobservable inputs are inputs that reflect the company's assessment about the assumptions that market participants would use in pricing the asset or liability developed based on the best information available in the circumstances.</w:t>
      </w:r>
    </w:p>
    <w:p>
      <w:pPr>
        <w:spacing w:after="0" w:line="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has categorized its assets and liabilities measured at fair value into a three-level classification hierarchy. The hierarchy is broken down into three levels based on the reliability of inputs as follows: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left="660" w:right="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or liabilities at the measurement date. Assets and liabilities carried at level 1 fair value generally include U.S. Treasury and Government agency securities, equity securities listed in active markets, and investments in publicly traded mutual funds with quoted market prices.</w:t>
      </w:r>
    </w:p>
    <w:p>
      <w:pPr>
        <w:spacing w:after="0" w:line="73" w:lineRule="exact"/>
        <w:rPr>
          <w:rFonts w:ascii="Arial" w:cs="Arial" w:eastAsia="Arial" w:hAnsi="Arial"/>
          <w:sz w:val="18"/>
          <w:szCs w:val="18"/>
          <w:color w:val="auto"/>
        </w:rPr>
      </w:pPr>
    </w:p>
    <w:p>
      <w:pPr>
        <w:ind w:left="660" w:right="44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Level 2-Inputs are either directly or indirectly observable and corroborated by market data or are based on quoted prices in markets that are not active. Assets and liabilities carried at level 2 fair value generally include municipal bonds, corporate debt and certain derivatives.</w:t>
      </w:r>
    </w:p>
    <w:p>
      <w:pPr>
        <w:spacing w:after="0" w:line="38" w:lineRule="exact"/>
        <w:rPr>
          <w:rFonts w:ascii="Arial" w:cs="Arial" w:eastAsia="Arial" w:hAnsi="Arial"/>
          <w:sz w:val="17"/>
          <w:szCs w:val="17"/>
          <w:color w:val="auto"/>
        </w:rPr>
      </w:pPr>
    </w:p>
    <w:p>
      <w:pPr>
        <w:ind w:left="660" w:right="16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3-Inputs are unobservable and reflect management's best estimate of what market participants would use in pricing the asset or liability. Generally, assets and liabilities at fair value utilizing level 3 inputs include certain other assets and liabilities with inputs that require management's judgment. Assets and liabilities at fair value utilizing level 3 inputs can also include certain assets and liabilities that are tested for impairment and measured at fair value on a non-recurring basis.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regarding the fair value of financial instruments, see notes 3 and 20.</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Derivative Investments. </w:t>
      </w:r>
      <w:r>
        <w:rPr>
          <w:rFonts w:ascii="Arial" w:cs="Arial" w:eastAsia="Arial" w:hAnsi="Arial"/>
          <w:sz w:val="16"/>
          <w:szCs w:val="16"/>
          <w:color w:val="auto"/>
        </w:rPr>
        <w:t>The company may use derivative financial instruments for the purpose of hedging exposures to fluctuations in interest rates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currency exchange rates. Derivatives are recorded at fair value in the consolidated balance sheets. Changes in derivatives' fair values are recognized in earnings immediately unless the instruments are accounted for as cash flow hedges. For a derivative designated as a fair value hedge, any gain or loss on the derivative is recognized in earnings in the period of change, to the extent that the hedge is effective, together with the offsetting gain or loss on the hedged item attributable to the risk being hedged. The company records the effective portions of its derivative financial instruments that are designated as cash flow hedges in accumulated other comprehensive income (loss) in the accompanying consolidated balance sheets. In the period during which the hedged item affects earnings, the gain or loss included in accumulated other comprehensive income (loss) is transferred to the same line in the consolidated statements of income as the hedged item. Any ineffective or excluded portion of a hedge is recognized in earnings immediately. Any realized gains and losses from effective hedges are classified in the consolidated statements of income consistent with the accounting treatment of the items being hedged.</w:t>
      </w:r>
    </w:p>
    <w:p>
      <w:pPr>
        <w:spacing w:after="0" w:line="52"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Accounts receivable are primarily composed of trade receivables and unbilled revenue consisting of clearing and transaction fees,</w:t>
      </w:r>
      <w:r>
        <w:rPr>
          <w:rFonts w:ascii="Arial" w:cs="Arial" w:eastAsia="Arial" w:hAnsi="Arial"/>
          <w:sz w:val="16"/>
          <w:szCs w:val="16"/>
          <w:b w:val="1"/>
          <w:bCs w:val="1"/>
          <w:color w:val="auto"/>
        </w:rPr>
        <w:t xml:space="preserve"> </w:t>
      </w:r>
      <w:r>
        <w:rPr>
          <w:rFonts w:ascii="Arial" w:cs="Arial" w:eastAsia="Arial" w:hAnsi="Arial"/>
          <w:sz w:val="16"/>
          <w:szCs w:val="16"/>
          <w:color w:val="auto"/>
        </w:rPr>
        <w:t>market data and information services revenue. All accounts receivable are stated at cost. A significant portion of accounts receivable and revenues are from clearing firms that are also required to be shareholders of the company. Exposure to losses on receivables for clearing and transaction fees and other amounts owed by clearing firms is dependent on each clearing firm's financial condition, the Class A shares as well as the memberships that collateralize fees owed to the exchange. The exchange retains the right to liquidate shares to satisfy a clearing firm's receivable. The allowance for doubtful accounts is calculated based on historical losses and management's assessment of probable future collections based on receivable balances in excess of 90 days past due.</w:t>
      </w:r>
    </w:p>
    <w:p>
      <w:pPr>
        <w:spacing w:after="0" w:line="4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Performance Bonds and Guaranty Fund Contributions. </w:t>
      </w:r>
      <w:r>
        <w:rPr>
          <w:rFonts w:ascii="Arial" w:cs="Arial" w:eastAsia="Arial" w:hAnsi="Arial"/>
          <w:sz w:val="18"/>
          <w:szCs w:val="18"/>
          <w:color w:val="auto"/>
        </w:rPr>
        <w:t>Performance bonds and guaranty fund contributions held by CME or CMECE for clearing firms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in the form of cash, securities or other non-cash deposits.</w:t>
      </w:r>
    </w:p>
    <w:p>
      <w:pPr>
        <w:spacing w:after="0" w:line="58"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color w:val="auto"/>
        </w:rPr>
        <w:t>Performance bonds and guaranty fund contributions received in the form of cash are held by CME or CMECE and may be invested overnight in U.S. Government securities acquired through and held by a broker-dealer subsidiary of a bank, reverse repurchase agreements secured with highly rated government securities, money market funds or through CME's selected IEF program. Any interest earned on these investments accrues to CME and is included in investment income in the consolidated statements of income. Because the benefits and risks of ownership accrue to CME or CMECE, cash performance bonds and guaranty fund contributions are reflected in the consolidated balance sheets.</w:t>
      </w:r>
    </w:p>
    <w:p>
      <w:pPr>
        <w:spacing w:after="0" w:line="6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Securities and other non-cash deposits may include U.S. Treasury securities, U.S. Government agency securities, Eurobonds, other foreign government securities and gold bullion. Securities and other non-cash deposits are held in safekeeping by a custodian bank. Interest and gains or losses on securities deposited to satisfy performance bond and guaranty fund requirements accrue to the clearing firm. Because the benefits and risks of ownership accrue to the clearing firm, non-cash performance bonds and guaranty fund contributions are not reflected in the consolidated balance sheets.</w:t>
      </w:r>
    </w:p>
    <w:p>
      <w:pPr>
        <w:spacing w:after="0" w:line="42"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Property, Equipment and Leasehold Improvements. </w:t>
      </w:r>
      <w:r>
        <w:rPr>
          <w:rFonts w:ascii="Arial" w:cs="Arial" w:eastAsia="Arial" w:hAnsi="Arial"/>
          <w:sz w:val="16"/>
          <w:szCs w:val="16"/>
          <w:color w:val="auto"/>
        </w:rPr>
        <w:t>Property, equipment and leasehold improvements are stated at cost, less accumulated depreciation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Depreciation and amortization are calculated using the straight-line method, generally over two to thirty-nine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or obtaining computer software for internal use are capitalized and amortized on a straight-line basis over the estimated useful life of the software, generally three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All leases in which the company is the tenant are accounted for as operating leases. Landlord allowances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2" w:right="25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are recorded as a reduction to rent expense on a straight-line basis over the term of the lease.</w:t>
      </w:r>
    </w:p>
    <w:p>
      <w:pPr>
        <w:spacing w:after="0" w:line="2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Goodwill represents the excess of the purchase price over the fair value the net assets acquired in a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 company tests goodwill and indefinite-lived intangible assets for impairment annually and whenever events or circumstances indicate that their carrying values may not be recoverable. Impairment is recorded if the carrying amount exceeds fair value. Long-lived assets and amortizable intangible assets are reviewed for impairment based on an examination of undiscounted cash flows whenever events or changes in circumstances indicate that the carrying amounts may not be recoverable. If such assets are considered to be impaired, the impairment to be recognized is measured as the amount by which the carrying amount of the assets exceeds the fair value of the assets. In the third quarter of 2011, the company adopted the accounting guidance on goodwill impairment testing that was issued in September 2011. The guidance allows companies to perform a qualitative assessment of goodwill that may allow them to omit the annual two-step impairment test. For further information on impairment of intangible assets and goodwill, see note 6.</w:t>
      </w:r>
    </w:p>
    <w:p>
      <w:pPr>
        <w:spacing w:after="0" w:line="5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company accounts for business combinations using the purchase method. Under the purchase method, the company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as the acquirer for accounting purposes allocates the purchase price to the assets acquired and liabilities assumed based on their estimated fair values at the date of the transaction, including identifiable intangible assets. Among other sources, the company uses independent valuation services to assist in determining the estimated fair values of the assets acquired and liabilities assumed.</w:t>
      </w:r>
    </w:p>
    <w:p>
      <w:pPr>
        <w:spacing w:after="0" w:line="7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The company recognizes the funded status of defined benefit postretirement plans in its consolidated balance sheets.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other comprehensive income (loss).</w:t>
      </w:r>
    </w:p>
    <w:p>
      <w:pPr>
        <w:spacing w:after="0" w:line="18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color w:val="auto"/>
        </w:rPr>
        <w:t>Foreign Currency Translation</w:t>
      </w:r>
      <w:r>
        <w:rPr>
          <w:rFonts w:ascii="Arial" w:cs="Arial" w:eastAsia="Arial" w:hAnsi="Arial"/>
          <w:sz w:val="16"/>
          <w:szCs w:val="16"/>
          <w:color w:val="auto"/>
        </w:rPr>
        <w:t>. Foreign denominated assets and liabilities are re-measured into the functional currency using period-end exchange rates.</w:t>
      </w:r>
      <w:r>
        <w:rPr>
          <w:rFonts w:ascii="Arial" w:cs="Arial" w:eastAsia="Arial" w:hAnsi="Arial"/>
          <w:sz w:val="16"/>
          <w:szCs w:val="16"/>
          <w:b w:val="1"/>
          <w:bCs w:val="1"/>
          <w:color w:val="auto"/>
        </w:rPr>
        <w:t xml:space="preserve"> </w:t>
      </w:r>
      <w:r>
        <w:rPr>
          <w:rFonts w:ascii="Arial" w:cs="Arial" w:eastAsia="Arial" w:hAnsi="Arial"/>
          <w:sz w:val="16"/>
          <w:szCs w:val="16"/>
          <w:color w:val="auto"/>
        </w:rPr>
        <w:t>Gains and losses from foreign currency transactions are included in other income (expense) in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recognition policies for specific sources of revenue are discussed below.</w:t>
      </w:r>
    </w:p>
    <w:p>
      <w:pPr>
        <w:spacing w:after="0" w:line="121" w:lineRule="exact"/>
        <w:rPr>
          <w:sz w:val="20"/>
          <w:szCs w:val="20"/>
          <w:color w:val="auto"/>
        </w:rPr>
      </w:pPr>
    </w:p>
    <w:p>
      <w:pPr>
        <w:ind w:left="440" w:right="180"/>
        <w:spacing w:after="0" w:line="290" w:lineRule="auto"/>
        <w:rPr>
          <w:sz w:val="20"/>
          <w:szCs w:val="20"/>
          <w:color w:val="auto"/>
        </w:rPr>
      </w:pPr>
      <w:r>
        <w:rPr>
          <w:rFonts w:ascii="Arial" w:cs="Arial" w:eastAsia="Arial" w:hAnsi="Arial"/>
          <w:sz w:val="16"/>
          <w:szCs w:val="16"/>
          <w:i w:val="1"/>
          <w:iCs w:val="1"/>
          <w:color w:val="auto"/>
        </w:rPr>
        <w:t xml:space="preserve">Clearing and Transaction Fees. </w:t>
      </w:r>
      <w:r>
        <w:rPr>
          <w:rFonts w:ascii="Arial" w:cs="Arial" w:eastAsia="Arial" w:hAnsi="Arial"/>
          <w:sz w:val="16"/>
          <w:szCs w:val="16"/>
          <w:color w:val="auto"/>
        </w:rPr>
        <w:t>Clearing and transaction fees include per contract charges for trade execution, clearing, trading 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trading platform and other fees. Fees are charged at various rates based on the product traded, the method of trade, the exchange trading privileges of the customer making the trade and the type of contract cleared. Clearing and transaction fees are recognized as revenue when a buy and sell order are matched and the trade is cleared. Therefore, unfilled or cancelled buy and sell orders have no impact on revenue. On occasion, the customer's exchange trading privileges may not be properly entered by the clearing firm and incorrect fees are charged for the transactions. When this information is corrected within the time period allowed by the exchange,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58" w:lineRule="exact"/>
        <w:rPr>
          <w:sz w:val="20"/>
          <w:szCs w:val="20"/>
          <w:color w:val="auto"/>
        </w:rPr>
      </w:pPr>
    </w:p>
    <w:p>
      <w:pPr>
        <w:ind w:left="440"/>
        <w:spacing w:after="0" w:line="302" w:lineRule="auto"/>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Market data and information services represent revenue earned for the dissemination of market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are accrued each month based on the number of devices reported by vendors. The exchange conducts periodic audits of the number of devices reported and assesses additional fees as necessary. In addition, revenue is accrued each month for revenue generated from Index Services. On occasion, customers will pay for services in a lump sum payment. When these circumstances occur, revenue is recognized as services are provided.</w:t>
      </w:r>
    </w:p>
    <w:p>
      <w:pPr>
        <w:spacing w:after="0" w:line="46" w:lineRule="exact"/>
        <w:rPr>
          <w:sz w:val="20"/>
          <w:szCs w:val="20"/>
          <w:color w:val="auto"/>
        </w:rPr>
      </w:pPr>
    </w:p>
    <w:p>
      <w:pPr>
        <w:ind w:left="440" w:right="120"/>
        <w:spacing w:after="0" w:line="257"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fees are the connectivity charges to customers of the company's electronic trading platform that are also used</w:t>
      </w:r>
      <w:r>
        <w:rPr>
          <w:rFonts w:ascii="Arial" w:cs="Arial" w:eastAsia="Arial" w:hAnsi="Arial"/>
          <w:sz w:val="18"/>
          <w:szCs w:val="18"/>
          <w:i w:val="1"/>
          <w:iCs w:val="1"/>
          <w:color w:val="auto"/>
        </w:rPr>
        <w:t xml:space="preserve"> </w:t>
      </w:r>
      <w:r>
        <w:rPr>
          <w:rFonts w:ascii="Arial" w:cs="Arial" w:eastAsia="Arial" w:hAnsi="Arial"/>
          <w:sz w:val="18"/>
          <w:szCs w:val="18"/>
          <w:color w:val="auto"/>
        </w:rPr>
        <w:t>by market data vendors and customers. The fees include line charges, access fees for electronic trading platform, co-location fees and hardware rental charges and can vary depending on the type of connection provided. An additional installation fee may be charged depending on the type of service requested and a disconnection fee may also be charged if certain conditions are met. Revenue is generally recognized monthly as the service is provided.</w:t>
      </w:r>
    </w:p>
    <w:p>
      <w:pPr>
        <w:spacing w:after="0" w:line="80" w:lineRule="exact"/>
        <w:rPr>
          <w:sz w:val="20"/>
          <w:szCs w:val="20"/>
          <w:color w:val="auto"/>
        </w:rPr>
      </w:pPr>
    </w:p>
    <w:p>
      <w:pPr>
        <w:ind w:left="440" w:right="300"/>
        <w:spacing w:after="0" w:line="308" w:lineRule="auto"/>
        <w:rPr>
          <w:sz w:val="20"/>
          <w:szCs w:val="20"/>
          <w:color w:val="auto"/>
        </w:rPr>
      </w:pPr>
      <w:r>
        <w:rPr>
          <w:rFonts w:ascii="Arial" w:cs="Arial" w:eastAsia="Arial" w:hAnsi="Arial"/>
          <w:sz w:val="17"/>
          <w:szCs w:val="17"/>
          <w:color w:val="auto"/>
        </w:rPr>
        <w:t>Communication fees consist of equipment rental and usage charges to customers and firms that utilize the various telecommunications networks and services in the Chicago and New York City facilities. Revenue is billed and recognized on a monthly basis.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revenues include building revenues from the rental of commercial space that are recognized over</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440" w:right="280"/>
        <w:spacing w:after="0" w:line="279" w:lineRule="auto"/>
        <w:rPr>
          <w:sz w:val="20"/>
          <w:szCs w:val="20"/>
          <w:color w:val="auto"/>
        </w:rPr>
      </w:pPr>
      <w:r>
        <w:rPr>
          <w:rFonts w:ascii="Arial" w:cs="Arial" w:eastAsia="Arial" w:hAnsi="Arial"/>
          <w:sz w:val="17"/>
          <w:szCs w:val="17"/>
          <w:color w:val="auto"/>
        </w:rPr>
        <w:t>the lease term, using the straight-line method. Under this method, revenue is recorded evenly over the entire term of occupancy for leases with scheduled rent increases or rent abatements. Allowances for construction and other tenant costs are considered lease incentives and are recorded as a reduction to rental income on a straight-line basis over the term of the lease. In June 2011, we announced that we are pursuing a sale and partial leaseback of the north and south CBOT buildings. If the sale is completed, other revenues from rent will decrease.</w:t>
      </w:r>
    </w:p>
    <w:p>
      <w:pPr>
        <w:spacing w:after="0" w:line="63" w:lineRule="exact"/>
        <w:rPr>
          <w:sz w:val="20"/>
          <w:szCs w:val="20"/>
          <w:color w:val="auto"/>
        </w:rPr>
      </w:pPr>
    </w:p>
    <w:p>
      <w:pPr>
        <w:ind w:left="440" w:right="340"/>
        <w:spacing w:after="0" w:line="308" w:lineRule="auto"/>
        <w:rPr>
          <w:sz w:val="20"/>
          <w:szCs w:val="20"/>
          <w:color w:val="auto"/>
        </w:rPr>
      </w:pPr>
      <w:r>
        <w:rPr>
          <w:rFonts w:ascii="Arial" w:cs="Arial" w:eastAsia="Arial" w:hAnsi="Arial"/>
          <w:sz w:val="17"/>
          <w:szCs w:val="17"/>
          <w:color w:val="auto"/>
        </w:rPr>
        <w:t>Also included in revenue are ancillary charges for parking, utilities, and miscellaneous services provided to tenants. In addition, processing services revenue is included in other revenue. Processing services includes revenue generated from various strategic relationships.</w:t>
      </w:r>
    </w:p>
    <w:p>
      <w:pPr>
        <w:spacing w:after="0" w:line="38" w:lineRule="exact"/>
        <w:rPr>
          <w:sz w:val="20"/>
          <w:szCs w:val="20"/>
          <w:color w:val="auto"/>
        </w:rPr>
      </w:pPr>
    </w:p>
    <w:p>
      <w:pPr>
        <w:ind w:left="440" w:right="40"/>
        <w:spacing w:after="0" w:line="293" w:lineRule="auto"/>
        <w:rPr>
          <w:sz w:val="20"/>
          <w:szCs w:val="20"/>
          <w:color w:val="auto"/>
        </w:rPr>
      </w:pPr>
      <w:r>
        <w:rPr>
          <w:rFonts w:ascii="Arial" w:cs="Arial" w:eastAsia="Arial" w:hAnsi="Arial"/>
          <w:sz w:val="16"/>
          <w:szCs w:val="16"/>
          <w:i w:val="1"/>
          <w:iCs w:val="1"/>
          <w:color w:val="auto"/>
        </w:rPr>
        <w:t xml:space="preserve">Concentration of Revenue. </w:t>
      </w:r>
      <w:r>
        <w:rPr>
          <w:rFonts w:ascii="Arial" w:cs="Arial" w:eastAsia="Arial" w:hAnsi="Arial"/>
          <w:sz w:val="16"/>
          <w:szCs w:val="16"/>
          <w:color w:val="auto"/>
        </w:rPr>
        <w:t>One firm represented 12% of the company's clearing and transaction fees revenue in 2011. In 2010, one firm represented</w:t>
      </w:r>
      <w:r>
        <w:rPr>
          <w:rFonts w:ascii="Arial" w:cs="Arial" w:eastAsia="Arial" w:hAnsi="Arial"/>
          <w:sz w:val="16"/>
          <w:szCs w:val="16"/>
          <w:i w:val="1"/>
          <w:iCs w:val="1"/>
          <w:color w:val="auto"/>
        </w:rPr>
        <w:t xml:space="preserve"> </w:t>
      </w:r>
      <w:r>
        <w:rPr>
          <w:rFonts w:ascii="Arial" w:cs="Arial" w:eastAsia="Arial" w:hAnsi="Arial"/>
          <w:sz w:val="16"/>
          <w:szCs w:val="16"/>
          <w:color w:val="auto"/>
        </w:rPr>
        <w:t>13% and one firm represented 12% of the company's clearing and transaction fees revenue. One firm represented 13% and one firm represented 11% of the company's clearing and transaction fees revenue in 2009. Should a clearing firm withdraw from the exchange, management believes that the customer portion of that firm's trading activity would likely transfer to another clearing firm. Therefore, management does not believe that the company is exposed to significant risk from the ongoing loss of revenue received from a particular clearing firm. In 2011, MF Global, one of our largest clearing firms, was placed into bankruptcy and we transferred all of their more than 30,000 customer accounts to other futures commission merchants.</w:t>
      </w:r>
    </w:p>
    <w:p>
      <w:pPr>
        <w:spacing w:after="0" w:line="57" w:lineRule="exact"/>
        <w:rPr>
          <w:sz w:val="20"/>
          <w:szCs w:val="20"/>
          <w:color w:val="auto"/>
        </w:rPr>
      </w:pPr>
    </w:p>
    <w:p>
      <w:pPr>
        <w:ind w:left="440" w:right="180"/>
        <w:spacing w:after="0" w:line="259" w:lineRule="auto"/>
        <w:rPr>
          <w:sz w:val="20"/>
          <w:szCs w:val="20"/>
          <w:color w:val="auto"/>
        </w:rPr>
      </w:pPr>
      <w:r>
        <w:rPr>
          <w:rFonts w:ascii="Arial" w:cs="Arial" w:eastAsia="Arial" w:hAnsi="Arial"/>
          <w:sz w:val="18"/>
          <w:szCs w:val="18"/>
          <w:color w:val="auto"/>
        </w:rPr>
        <w:t>The two largest resellers of market data represented approximately 39% of market data and information services revenue in 2011, 45% in 2010, and 55% in 2009. Should one of these vendors no longer subscribe to the company's market data, 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7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Share-Based Payments. </w:t>
      </w:r>
      <w:r>
        <w:rPr>
          <w:rFonts w:ascii="Arial" w:cs="Arial" w:eastAsia="Arial" w:hAnsi="Arial"/>
          <w:sz w:val="18"/>
          <w:szCs w:val="18"/>
          <w:color w:val="auto"/>
        </w:rPr>
        <w:t>The company accounts for share-based payments using a fair value method, which is based on the grant date price of the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awards issued. The company recognizes expense relating to stock-based compensation on an accelerated basis. As a result, the expense associated with each vesting date within a stock grant is recognized over the period of time that each portion of that grant vests. The company estimates expected forfeitures of stock grants.</w:t>
      </w:r>
    </w:p>
    <w:p>
      <w:pPr>
        <w:spacing w:after="0" w:line="72"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8"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Deferred income taxes arise from temporary differences between the tax basis and book basis of assets and liabilities. A valuation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classifies interest and penalties related to uncertain tax positions in income tax expense.</w:t>
      </w:r>
    </w:p>
    <w:p>
      <w:pPr>
        <w:spacing w:after="0" w:line="5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The company reports the results of its operations as one reporting segment primarily comprised of CME, CBOT, NYMEX and COMEX</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exchanges. The remaining operations do not meet the thresholds for reporting separate segment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Available-for-Sale Securities. </w:t>
      </w:r>
      <w:r>
        <w:rPr>
          <w:rFonts w:ascii="Arial" w:cs="Arial" w:eastAsia="Arial" w:hAnsi="Arial"/>
          <w:sz w:val="16"/>
          <w:szCs w:val="16"/>
          <w:color w:val="auto"/>
        </w:rPr>
        <w:t>Certain marketable securities have been classified as available-for-sale. The amortized cost and fair value of these securities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w w:val="89"/>
              </w:rPr>
              <w:t>2011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6"/>
              </w:rPr>
              <w:t>2010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14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10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Treasury</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Asset-back securities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unrealized gains (losses) on marketable securities classified as available-for-sale are reported as a component of other comprehensive income (loss) and included in the accompanying consolidated statements of shareholders'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and gross unrealized losses of asset-backed securities at December 31, 2011 were $1.0 million and $0.2 million,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respectively. The asset-backed securities were in an unrealized loss position for more than 12 months at December 31, 2011 and were deemed not to be other-than-temporarily impaired. The company has the ability and intent to hold these asset-backed securities until a recovery of fair value, which may be maturity and, therefore, does not consider these asset-backed securities to be other-than-temporarily impaired at December 31, 2011. Unrealized gains on marketable securities totaled $0.8 million at December 31,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marketable securities at December 31, 2011, by contractual maturity, were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14"/>
                <w:szCs w:val="14"/>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of one year or less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between one and five years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between five and ten years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greater than ten years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 xml:space="preserve">Trading Securities. </w:t>
      </w:r>
      <w:r>
        <w:rPr>
          <w:rFonts w:ascii="Arial" w:cs="Arial" w:eastAsia="Arial" w:hAnsi="Arial"/>
          <w:sz w:val="17"/>
          <w:szCs w:val="17"/>
          <w:color w:val="auto"/>
        </w:rPr>
        <w:t>CME maintains additional investments in a diverse portfolio of mutual funds related to its non-qualified deferred compensation plans</w:t>
      </w:r>
      <w:r>
        <w:rPr>
          <w:rFonts w:ascii="Arial" w:cs="Arial" w:eastAsia="Arial" w:hAnsi="Arial"/>
          <w:sz w:val="17"/>
          <w:szCs w:val="17"/>
          <w:b w:val="1"/>
          <w:bCs w:val="1"/>
          <w:color w:val="auto"/>
        </w:rPr>
        <w:t xml:space="preserve"> </w:t>
      </w:r>
      <w:r>
        <w:rPr>
          <w:rFonts w:ascii="Arial" w:cs="Arial" w:eastAsia="Arial" w:hAnsi="Arial"/>
          <w:sz w:val="17"/>
          <w:szCs w:val="17"/>
          <w:color w:val="auto"/>
        </w:rPr>
        <w:t>(note 11). The fair value of these securities was $31.8 million and $28.8 million at December 31, 2011 and 2010, respectively.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PERFORMANCE BONDS AND GUARANTY FUND CONTRIBUTIONS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CME Group maintains the CME clearing house as well as a clearing house at CMECE in Europe. CME and CMECE clear and guarantee the settlement of contracts traded in their respective markets. In its guarantor role, CME and CMECE have precisely equal and offsetting claims to and from clearing firms on opposite sides of each contract, standing as an intermediary on every contract cleared. Clearing firm positions are combined to create a single portfolio for each clearing firm's regulated and non-regulated accounts with CME and CMECE for which performance bond and guaranty fund requirements are calculated. To the extent that funds are not otherwise available to satisfy an obligation under the applicable contract, CME and CMECE bear counterparty credit risk in the event that future market movements create conditions that could lead to clearing firms failing to meet their obligations to CME or CMECE. CME and CMECE reduce the exposure through risk management programs that include initial and ongoing financial standards for designation as a clearing firm, performance bond requirements and mandatory guaranty fund contributions. Each CME clearing firm is required to deposit and maintain balances in the form of cash, U.S. Government securities, bank letters of credit or other approved investments to satisfy performance bond and guaranty fund requirements. Clearing firms that clear through CMECE are required to deposit and maintain collateral in the form of cash and certain government securities. All obligations and non-cash deposits are marked to market on a daily basis.</w:t>
      </w:r>
    </w:p>
    <w:p>
      <w:pPr>
        <w:spacing w:after="0" w:line="7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addition, the rules and regulations of CBOT require certain minimum financial requirements for delivery of physical commodities, maintenance of capital requirements and deposits on pending arbitration matters. To satisfy these requirements, CBOT clearing firms have deposited cash, U.S. Treasury securities and letters of credit.</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CME and CMECE mark-to-market open positions at least twice a day, and require payment from clearing firms whose positions have lost value and make payments to clearing firms whose positions have gained value. For select cleared-only markets, positions are marked-to-market once daily, with the capability to mark-to-market more frequently as market conditions warrant.</w:t>
      </w:r>
    </w:p>
    <w:p>
      <w:pPr>
        <w:spacing w:after="0" w:line="7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Under the extremely unlikely scenario of simultaneous default by every clearing firm who has open positions with unrealized losses, the maximum exposure related to CME futures and options and CMECE's guarantee would be one half day of changes in fair value of all open positions, before considering CME and CMECE's ability to access defaulting clearing firms' performance bond and guaranty fund balances as well as other available resources. For CME's cleared over-the-counter credit default swap and interest rate swap, the maximum exposure related to CME's guarantee would be one full day of changes in fair value of all open positions, before considering CME ability to access defaulting clearing firms' performance bond and guaranty fund balances as well as other available resources. During 2011, CME and CMECE transferred an average of approximately $3.2 billion a day through their clearing systems for settlement from clearing firms whose positions had lost value to clearing firms whose positions had gained value. CME and CMECE reduce the guarantee exposure through initial and maintenance performance bond requirements and mandatory guaranty fund contributions. The company believes that the guarantee liability is immaterial and therefore has not recorded any liability at December 31, 2011.</w:t>
      </w:r>
    </w:p>
    <w:p>
      <w:pPr>
        <w:spacing w:after="0" w:line="7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performance bonds and guaranty fund contributions are included in the consolidated balance sheets, and these balances may fluctuate significantly over time due to investment choices available to clearing firms and any change in the amount of contributions required. Securities are not reflected in the consolidated financial statements and CME and CMECE do not earn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any interest on these deposits.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Clearing firms, at their option, may instruct CME to deposit the cash held by CME into one of the IEF programs. The total principal in all IEF programs was $15.4 billion at December 31, 2011 and $12.5 billion at December 31, 2010. The guaranty fund contributions held in one of the IEF programs may be used as collateral for CME's $3.0 billion secured, committed line of credit. The consolidated statements of income reflect management fees earned under the IEF programs of $11.2 million, $10.0 million and $12.5 million during 2011, 2010 and 2009, respectively. These fees are included in other revenues.</w:t>
      </w:r>
    </w:p>
    <w:p>
      <w:pPr>
        <w:spacing w:after="0" w:line="4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CME and The Options Clearing Corporation (OCC) have a cross-margin arrangement, whereby a common clearing firm may maintain a cross-margin account in which the clearing firm's positions in certain equity index futures and options are combined with certain positions cleared by OCC for purposes of calculating performance bond requirements. The performance bond deposits are held jointly by CME and OCC (note 14). Cross-margin cash, securities and letters of credit jointly held with OCC under the cross-margin agreement are reflected at 50% of the total, or CME's proportionate share per that agreement. In addition, CME has cross-margin agreements with Fixed Income Clearing Corporation (FICC) whereby the clearing firms' offsetting positions with CME and FICC are subject to reduced performance bond requirements. Clearing firms maintain separate performance bond deposits with each clearing house, but depending on the net offsetting positions between CME and FICC, each clearing house may reduce that firm's performance bond requirements.</w:t>
      </w:r>
    </w:p>
    <w:p>
      <w:pPr>
        <w:spacing w:after="0" w:line="5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Each CME clearing firm for futures and options is required to deposit and maintain specified guaranty fund contributions in the form of cash or approved securities. In the event that performance bonds, guaranty fund contributions, and other assets required to support clearing membership of a defaulting CME clearing firm are inadequate to fulfill that CME clearing firm's outstanding financial obligation, the separate guaranty fund for futures and options are available to cover potential losses after first utilizing CME surplus funds. CME surplus funds are operating funds of CME reduced by amounts needed for normal operations and working capital designated by CME to be used in the event of default of cleared over-the-counter credit default swap clearing firms and working capital designated by CME to be used in the event of default of cleared over-the-counter interest rate swap clearing firms. CME surplus funds totaled $323.3 million at December 31, 2011. The company's target for surplus funds is $100.0 million with amounts in excess of this target generally paid as a dividend from CME to CME Group on a quarterly basis based on prior quarter-end balances.</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CME maintains a separate guaranty fund to support the clearing firms that clear over-the-counter credit default swap products. Additionally, CME maintains a separate guaranty fund to support the clearing firms that clear over-the-counter interest rate swap products. These two funds are independent of the guaranty fund for futures and options and they are isolated to clearing firms for products in the respective asset class. Each clearing firm for cleared over-the-counter credit default swaps and cleared over-the-counter interest rate swaps is required to deposit and maintain specified guaranty fund contributions in the form of cash or approved securities. In the event that performance bonds, guaranty fund contributions and other assets required to support clearing membership of a defaulting clearing firm for cleared over-the-counter credit default swap contracts are inadequate to fulfill that clearing firm's outstanding financial obligation, the credit default swaps contracts guaranty fund is available to cover potential losses after first utilizing working capital designated by CME to be used in the event of default of a cleared over-the-counter credit default swap clearing firm, which is equal to the greater of $50.0 million and 5% of the credit default swap guaranty fund, up to a maximum of $100.0 million In the event that performance bonds, guaranty fund contributions and other assets required to support clearing membership of a defaulting clearing firm for cleared over-the-counter interest rate swap contracts are inadequate to fulfill that clearing firm's outstanding financial obligation, the interest rate swaps contracts guaranty fund is available to cover potential losses after first utilizing $100.0 million of working capital designated by CME to be used in the event of a default of a cleared over-the-counter interest rate swap clearing firm.</w:t>
      </w:r>
    </w:p>
    <w:p>
      <w:pPr>
        <w:spacing w:after="0" w:line="6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CME maintains a 364-day fully secured, committed line of credit with a consortium of domestic and international banks to be used in certain situations by the CME clearing house.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U.S. Treasury securities, Government agency securities or money market mutual funds as well as the performance bond assets of a defaulting firm can be used to collateralize the facility. The line of credit provides for borrowings of up to $3.0 billion. At December 31, 2011, guaranty fund collateral available was $4.5 billion. CME has the option to request an increase in the line from $3.0 billion to $5.0 billion. In addition to the 364-day fully secured, committed line of credit, the company also has the option to use the $1.0 billion multi-currency revolving senior credit facility to provide liquidity for the clearing house in the unlikely event of default.</w:t>
      </w:r>
    </w:p>
    <w:p>
      <w:pPr>
        <w:spacing w:after="0" w:line="89"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In the event that a defaulting CMECE clearing firm's performance bonds are inadequate to fulfill its outstanding financial obligation, the company would use $60.0 million of CMECE funds. As of December 31, 2011, the guaranty fund contributions were contributed by CMECE as the CMECE clearing firms have yet to contribute to the CMECE guaranty fund. In 2012, the CMECE clearing firms may be asked to contribute to the CMECE guaranty fund and the size of the fund will be reviewed in light of the actual risk exposure. Once the CMECE clearing firms contribute to the guaranty fund, the company would use at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least $20.0 million of CMECE funds in the event of a default.</w:t>
      </w:r>
    </w:p>
    <w:p>
      <w:pPr>
        <w:spacing w:after="0" w:line="117"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CME is required under the Commodity Exchange Act in the United States to segregate cash and securities deposited by clearing firms on behalf of their customers. In addition, CME requires segregation of all funds deposited by its clearing firms from its operating funds. CMECE holds cash and securities deposited by clearing firms in segregated accounts, and maintains distinct accounts for its own operating funds.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Cash and non-cash deposits held as performance bonds and guaranty fund contributions at fair value for CME and performance bonds for CMECE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2010</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Non-Cash</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3"/>
              </w:rPr>
              <w:t>Non-Cash</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Deposits</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7"/>
              </w:rPr>
              <w:t>Deposits</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and</w:t>
            </w:r>
          </w:p>
        </w:tc>
        <w:tc>
          <w:tcPr>
            <w:tcW w:w="360" w:type="dxa"/>
            <w:vAlign w:val="bottom"/>
          </w:tcPr>
          <w:p>
            <w:pPr>
              <w:spacing w:after="0"/>
              <w:rPr>
                <w:sz w:val="12"/>
                <w:szCs w:val="12"/>
                <w:color w:val="auto"/>
              </w:rPr>
            </w:pPr>
          </w:p>
        </w:tc>
        <w:tc>
          <w:tcPr>
            <w:tcW w:w="10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7"/>
              </w:rPr>
              <w:t>IEF Funds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7"/>
              </w:rPr>
              <w:t>IEF Funds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8,103.4</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80,250.7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82,867.7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Guaranty fund contributions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3,869.8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2,828.3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Cross-margin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Performance collateral for delivery</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9,333.9</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84,335.4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4,038.5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85,894.9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performance bond collateral and the guaranty fund contributions include collateral for clearing firms for the futures, options, cleared over-the-counter credit default swaps and cleared over-the-counter interest rate swaps as well as contracts cleared by CMECE.</w:t>
      </w:r>
    </w:p>
    <w:p>
      <w:pPr>
        <w:spacing w:after="0" w:line="6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$120.9 million at December 31, 2011 and $193.1 million at December 31, 2010. Intraday settlements may be invested on an overnight basis and are offset by an equal liability owed to clearing firms.</w:t>
      </w:r>
    </w:p>
    <w:p>
      <w:pPr>
        <w:spacing w:after="0" w:line="7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addition to cash, securities and other non-cash deposits, irrevocable letters of credit may be used as performance bond deposits for CME clearing firms. At December 31, these letters of credit, which are not included in the accompanying consolidated balance sheets,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4,071.8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Performance collateral for delivery</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1,449.3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1,416.6</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Letters of Credit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5,488.4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All cash, securities and letters of credit posted as performance bonds are only available to meet the financial obligations of that clearing firm to CME or CMECE.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is presented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2010</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4"/>
              </w:rPr>
              <w:t>Estimated Useful Life</w:t>
            </w: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65.2</w:t>
            </w:r>
          </w:p>
        </w:tc>
        <w:tc>
          <w:tcPr>
            <w:tcW w:w="1680" w:type="dxa"/>
            <w:vAlign w:val="bottom"/>
            <w:shd w:val="clear" w:color="auto" w:fill="CCEEFF"/>
          </w:tcPr>
          <w:p>
            <w:pPr>
              <w:jc w:val="center"/>
              <w:ind w:left="13"/>
              <w:spacing w:after="0" w:line="270" w:lineRule="exact"/>
              <w:rPr>
                <w:sz w:val="20"/>
                <w:szCs w:val="20"/>
                <w:color w:val="auto"/>
              </w:rPr>
            </w:pPr>
            <w:r>
              <w:rPr>
                <w:rFonts w:ascii="Arial" w:cs="Arial" w:eastAsia="Arial" w:hAnsi="Arial"/>
                <w:sz w:val="18"/>
                <w:szCs w:val="18"/>
                <w:color w:val="auto"/>
                <w:w w:val="84"/>
              </w:rPr>
              <w:t xml:space="preserve">10 - 20 years </w:t>
            </w:r>
            <w:r>
              <w:rPr>
                <w:rFonts w:ascii="Arial" w:cs="Arial" w:eastAsia="Arial" w:hAnsi="Arial"/>
                <w:sz w:val="25"/>
                <w:szCs w:val="25"/>
                <w:color w:val="auto"/>
                <w:w w:val="84"/>
                <w:vertAlign w:val="superscript"/>
              </w:rPr>
              <w:t>(1)</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454.9</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90"/>
              </w:rPr>
              <w:t>3 - 39 years</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201.9</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0"/>
              </w:rPr>
              <w:t>3 - 24 years</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330.3</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86"/>
              </w:rPr>
              <w:t>2 - 7 years</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software development costs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247.4</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6"/>
              </w:rPr>
              <w:t>2 - 4 years</w:t>
            </w: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Total property</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1,299.7</w:t>
            </w:r>
          </w:p>
        </w:tc>
        <w:tc>
          <w:tcPr>
            <w:tcW w:w="168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680" w:type="dxa"/>
            <w:vAlign w:val="bottom"/>
            <w:tcBorders>
              <w:bottom w:val="single" w:sz="8" w:color="CCEEFF"/>
            </w:tcBorders>
            <w:shd w:val="clear" w:color="auto" w:fill="CCEEFF"/>
          </w:tcPr>
          <w:p>
            <w:pPr>
              <w:spacing w:after="0"/>
              <w:rPr>
                <w:sz w:val="23"/>
                <w:szCs w:val="23"/>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Property,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821.9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786.8</w:t>
            </w:r>
          </w:p>
        </w:tc>
        <w:tc>
          <w:tcPr>
            <w:tcW w:w="168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Estimated useful life applies only to land improvements.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June 2011, the company announced that it is pursuing a sale and partial leaseback of the north and south buildings of CBOT. A lease agreement will allow the company to maintain the agricultural commodities trading floor and certain office space of the north and south buildings. Ownership of the east building, which houses the financial trading floor and office space, will be retained by the company.</w:t>
      </w:r>
    </w:p>
    <w:p>
      <w:pPr>
        <w:spacing w:after="0" w:line="200" w:lineRule="exact"/>
        <w:rPr>
          <w:sz w:val="20"/>
          <w:szCs w:val="20"/>
          <w:color w:val="auto"/>
        </w:rPr>
      </w:pPr>
    </w:p>
    <w:p>
      <w:pPr>
        <w:spacing w:after="0" w:line="274" w:lineRule="exact"/>
        <w:rPr>
          <w:sz w:val="20"/>
          <w:szCs w:val="20"/>
          <w:color w:val="auto"/>
        </w:rPr>
      </w:pPr>
    </w:p>
    <w:p>
      <w:pPr>
        <w:ind w:right="7060" w:firstLine="8"/>
        <w:spacing w:after="0" w:line="412" w:lineRule="auto"/>
        <w:tabs>
          <w:tab w:leader="none" w:pos="18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INTANGIBLE ASSETS AND GOODWILL </w:t>
      </w:r>
      <w:r>
        <w:rPr>
          <w:rFonts w:ascii="Arial" w:cs="Arial" w:eastAsia="Arial" w:hAnsi="Arial"/>
          <w:sz w:val="17"/>
          <w:szCs w:val="17"/>
          <w:color w:val="auto"/>
        </w:rPr>
        <w:t>Intangible assets consisted of the following at December 31: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4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relationships </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3,071.9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2,671.5</w:t>
            </w:r>
          </w:p>
        </w:tc>
        <w:tc>
          <w:tcPr>
            <w:tcW w:w="4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3,081.0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2,788.7</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Lease-related 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3,222.9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2,738.1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3,230.6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2,875.2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3,214.1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33"/>
              <w:spacing w:after="0"/>
              <w:rPr>
                <w:sz w:val="20"/>
                <w:szCs w:val="20"/>
                <w:color w:val="auto"/>
              </w:rPr>
            </w:pPr>
            <w:r>
              <w:rPr>
                <w:rFonts w:ascii="Arial" w:cs="Arial" w:eastAsia="Arial" w:hAnsi="Arial"/>
                <w:sz w:val="18"/>
                <w:szCs w:val="18"/>
                <w:color w:val="auto"/>
              </w:rPr>
              <w:t>2,735.2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3,221.9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2,870.8</w:t>
            </w: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3,453.3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(3)</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17,040.5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17,040.5</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80" w:hanging="652"/>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second quarter of 2011, the company sold its rights in certain Index Services customer relationships for $18.0 million. The net book value of these assets at the time of the sale was $8.2 million.</w:t>
      </w:r>
    </w:p>
    <w:p>
      <w:pPr>
        <w:ind w:left="660" w:right="320" w:hanging="652"/>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December 31, 2011 and 2010, other amortizable intangible assets consisted of service and market maker agreements and a definite-lived trade name.</w:t>
      </w:r>
    </w:p>
    <w:p>
      <w:pPr>
        <w:ind w:left="660" w:right="120" w:hanging="652"/>
        <w:spacing w:after="0" w:line="25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and NYMEX Holdings. Clearing and transaction fees revenues are generated through the trading of these products. These trading products, most of which have traded for decades, require authorization from the Commodity and Futures Trading Commission (CFTC). Product authorizations from the CFTC have no term limits.</w:t>
      </w:r>
    </w:p>
    <w:p>
      <w:pPr>
        <w:spacing w:after="0" w:line="5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June 2011, the company announced that it is pursuing a sale and partial leaseback of two buildings in Chicago. As part of the sale, the company is selling the rights to the existing leases with the building. Certain related intangible assets with a net book value of $17.9 million will be sold as part of the sale-leaseback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lives for the amortizable intangible assets as of December 31, 2011 are as follows: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7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Clearing firm, market data and other customer relationships</w:t>
            </w:r>
          </w:p>
        </w:tc>
        <w:tc>
          <w:tcPr>
            <w:tcW w:w="3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- 30 years</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Lease-related intangible assets</w:t>
            </w:r>
          </w:p>
        </w:tc>
        <w:tc>
          <w:tcPr>
            <w:tcW w:w="324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- 13 years</w:t>
            </w:r>
          </w:p>
        </w:tc>
      </w:tr>
      <w:tr>
        <w:trPr>
          <w:trHeight w:val="27"/>
        </w:trPr>
        <w:tc>
          <w:tcPr>
            <w:tcW w:w="7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Technology-related intellectual property</w:t>
            </w:r>
          </w:p>
        </w:tc>
        <w:tc>
          <w:tcPr>
            <w:tcW w:w="3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- 15 years</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Other</w:t>
            </w:r>
          </w:p>
        </w:tc>
        <w:tc>
          <w:tcPr>
            <w:tcW w:w="3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3 - 8 years</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2" w:right="2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Total amortization expense for intangible assets was $132.0 million, $128.1 million and $125.1 million for the years ended December 31, 2011, 2010 and 2009, respectively. As of December 31, 2011, the future estimated amortization expense related to amortizable intangible assets is expected to be as follows. The future estimated amortization expense is subject to change based on changes in foreign exchange rates.</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2,146.3</w:t>
            </w:r>
          </w:p>
        </w:tc>
        <w:tc>
          <w:tcPr>
            <w:tcW w:w="0" w:type="dxa"/>
            <w:vAlign w:val="bottom"/>
          </w:tcPr>
          <w:p>
            <w:pPr>
              <w:spacing w:after="0"/>
              <w:rPr>
                <w:sz w:val="1"/>
                <w:szCs w:val="1"/>
                <w:color w:val="auto"/>
              </w:rPr>
            </w:pPr>
          </w:p>
        </w:tc>
      </w:tr>
      <w:tr>
        <w:trPr>
          <w:trHeight w:val="243"/>
        </w:trPr>
        <w:tc>
          <w:tcPr>
            <w:tcW w:w="7020" w:type="dxa"/>
            <w:vAlign w:val="bottom"/>
            <w:gridSpan w:val="8"/>
          </w:tcPr>
          <w:p>
            <w:pPr>
              <w:spacing w:after="0"/>
              <w:rPr>
                <w:sz w:val="20"/>
                <w:szCs w:val="20"/>
                <w:color w:val="auto"/>
              </w:rPr>
            </w:pPr>
            <w:r>
              <w:rPr>
                <w:rFonts w:ascii="Arial" w:cs="Arial" w:eastAsia="Arial" w:hAnsi="Arial"/>
                <w:sz w:val="18"/>
                <w:szCs w:val="18"/>
                <w:color w:val="auto"/>
                <w:w w:val="94"/>
              </w:rPr>
              <w:t>Goodwill activity consisted of the following for the years ended December 31, 2011 and 2010:</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Business</w:t>
            </w: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Impairment</w:t>
            </w:r>
          </w:p>
        </w:tc>
        <w:tc>
          <w:tcPr>
            <w:tcW w:w="28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4"/>
                <w:szCs w:val="24"/>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2010</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Combinations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Adjustment</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8"/>
              </w:rPr>
              <w:t>Activity</w:t>
            </w:r>
            <w:r>
              <w:rPr>
                <w:rFonts w:ascii="Arial" w:cs="Arial" w:eastAsia="Arial" w:hAnsi="Arial"/>
                <w:sz w:val="12"/>
                <w:szCs w:val="12"/>
                <w:b w:val="1"/>
                <w:bCs w:val="1"/>
                <w:color w:val="auto"/>
                <w:w w:val="98"/>
              </w:rPr>
              <w:t>(4)</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5,035.7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2,462.3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Index Services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7,983.6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7,984.0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5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3"/>
              </w:rPr>
              <w:t>Business</w:t>
            </w:r>
          </w:p>
        </w:tc>
        <w:tc>
          <w:tcPr>
            <w:tcW w:w="240" w:type="dxa"/>
            <w:vAlign w:val="bottom"/>
          </w:tcPr>
          <w:p>
            <w:pPr>
              <w:spacing w:after="0"/>
              <w:rPr>
                <w:sz w:val="11"/>
                <w:szCs w:val="11"/>
                <w:color w:val="auto"/>
              </w:rPr>
            </w:pPr>
          </w:p>
        </w:tc>
        <w:tc>
          <w:tcPr>
            <w:tcW w:w="134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Impairment</w:t>
            </w:r>
          </w:p>
        </w:tc>
        <w:tc>
          <w:tcPr>
            <w:tcW w:w="280" w:type="dxa"/>
            <w:vAlign w:val="bottom"/>
          </w:tcPr>
          <w:p>
            <w:pPr>
              <w:spacing w:after="0"/>
              <w:rPr>
                <w:sz w:val="11"/>
                <w:szCs w:val="11"/>
                <w:color w:val="auto"/>
              </w:rPr>
            </w:pPr>
          </w:p>
        </w:tc>
        <w:tc>
          <w:tcPr>
            <w:tcW w:w="13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34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2009</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Combinations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Adjustment</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8"/>
              </w:rPr>
              <w:t>Activity</w:t>
            </w:r>
            <w:r>
              <w:rPr>
                <w:rFonts w:ascii="Arial" w:cs="Arial" w:eastAsia="Arial" w:hAnsi="Arial"/>
                <w:sz w:val="12"/>
                <w:szCs w:val="12"/>
                <w:b w:val="1"/>
                <w:bCs w:val="1"/>
                <w:color w:val="auto"/>
                <w:w w:val="98"/>
              </w:rPr>
              <w:t>(4)</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5,035.7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2,463.1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2,462.3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Index Services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7,549.2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7,983.6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0" w:hanging="652"/>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activity includes adjustments to restructuring costs and tax contingencies, the recognition of excess tax benefits upon exercise of stock options and foreign currency translation adjustments.</w:t>
      </w:r>
    </w:p>
    <w:p>
      <w:pPr>
        <w:spacing w:after="0" w:line="7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company conducts impairment testing of goodwill and indefinite-lived intangible assets at least annually. During the second quarter of 2010, the company recorded a $19.8 million impairment charge to reduce the carrying amount of Credit Market Analysis, Ltd. goodwill to its estimated fair value.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INVESTMENTS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various long-term investments as described below. The investments are recorded in other assets in the consolidated balance sheets.</w:t>
      </w:r>
    </w:p>
    <w:p>
      <w:pPr>
        <w:spacing w:after="0" w:line="13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b w:val="1"/>
          <w:bCs w:val="1"/>
          <w:color w:val="auto"/>
        </w:rPr>
        <w:t xml:space="preserve">BM&amp;FBOVESPA S.A. </w:t>
      </w:r>
      <w:r>
        <w:rPr>
          <w:rFonts w:ascii="Arial" w:cs="Arial" w:eastAsia="Arial" w:hAnsi="Arial"/>
          <w:sz w:val="16"/>
          <w:szCs w:val="16"/>
          <w:color w:val="auto"/>
        </w:rPr>
        <w:t>The company owns an approximate 5% interest in BM&amp;FBOVESPA S. A. (BM&amp;FBOVESPA). BM&amp;FBOVESPA is a stock and</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derivatives exchange in Brazil. The company may not sell its shares in BM&amp;FBOVESPA until February 2012. As a result, BM&amp;FBOVESPA stock was carried at cost until within twelve months of the restriction lapsing, after which time the company began accounting for the stock as an available-for-sale security. The fair value and cost basis of the investment was $527.7 million and $262.9 million, respectively, at December 31, 2011. The company and BM&amp;FBOVESPA have entered into several agreements including co-location, licensing, order routing and technology development arrangements.</w:t>
      </w:r>
    </w:p>
    <w:p>
      <w:pPr>
        <w:spacing w:after="0" w:line="154"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Bolsa Mexicana de Valores, S.A.B de C.V. </w:t>
      </w:r>
      <w:r>
        <w:rPr>
          <w:rFonts w:ascii="Arial" w:cs="Arial" w:eastAsia="Arial" w:hAnsi="Arial"/>
          <w:sz w:val="16"/>
          <w:szCs w:val="16"/>
          <w:color w:val="auto"/>
        </w:rPr>
        <w:t>In March 2010, the company acquired an approximate 2% interest in Bolsa Mexicana de Valores, S.A.B. de C.V.</w:t>
      </w:r>
      <w:r>
        <w:rPr>
          <w:rFonts w:ascii="Arial" w:cs="Arial" w:eastAsia="Arial" w:hAnsi="Arial"/>
          <w:sz w:val="16"/>
          <w:szCs w:val="16"/>
          <w:b w:val="1"/>
          <w:bCs w:val="1"/>
          <w:color w:val="auto"/>
        </w:rPr>
        <w:t xml:space="preserve"> </w:t>
      </w:r>
      <w:r>
        <w:rPr>
          <w:rFonts w:ascii="Arial" w:cs="Arial" w:eastAsia="Arial" w:hAnsi="Arial"/>
          <w:sz w:val="16"/>
          <w:szCs w:val="16"/>
          <w:color w:val="auto"/>
        </w:rPr>
        <w:t>(Bolsa Mexicana), a financial exchange operator in Mexico. The company accounts for its investment in Bolsa Mexicana stock as an available-for-sale security. The fair value and cost basis of the company's investment in Bolsa Mexicana at December 31, 2011 was $18.8 million and $17.3 million, respectively. The company and Bolsa Mexicana maintain a strategic partnership that includes an order routing agreement for derivative products.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Bursa Malaysia Derivatives Berhad. </w:t>
      </w:r>
      <w:r>
        <w:rPr>
          <w:rFonts w:ascii="Arial" w:cs="Arial" w:eastAsia="Arial" w:hAnsi="Arial"/>
          <w:sz w:val="18"/>
          <w:szCs w:val="18"/>
          <w:color w:val="auto"/>
        </w:rPr>
        <w:t>The company owns a 25% interest in Bursa Malaysia Derivatives Berhad (Bursa</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Derivatives). The company accounts for its investment in Bursa Derivatives using the equity method of accounting. The company may not sell its shares in Bursa Derivatives until November 2013. The company's investment in Bursa Derivatives was $27.4 million at December 31, 2011. The company and Bursa Derivatives have entered into several agreements including agreements to provide licensing, order routing and trade matching services.</w:t>
      </w:r>
    </w:p>
    <w:p>
      <w:pPr>
        <w:spacing w:after="0" w:line="143"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DME Holdings Limited. </w:t>
      </w:r>
      <w:r>
        <w:rPr>
          <w:rFonts w:ascii="Arial" w:cs="Arial" w:eastAsia="Arial" w:hAnsi="Arial"/>
          <w:sz w:val="17"/>
          <w:szCs w:val="17"/>
          <w:color w:val="auto"/>
        </w:rPr>
        <w:t>The company owns an approximate 28% interest in DME Holdings Limited (DME Holdings). The company accounts for its</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in DME Holdings using the equity method of accounting. The company's investment in DME Holdings was $2.1 million at December 31, 2011. In addition, in December 2011, the company provided a $3.0 million loan to Dubai Mercantile Exchange Limited, payable on demand. The company and DME Holdings maintain an agreement for Dubai Mercantile Exchange (DME) futures contracts to be exclusively traded on the CME Globex platform. At December 31, 2009, the company determined that its investment in DME Holdings was impaired due to the excess of its carrying value over the estimated fair value. As a result, the company recognized an impairment charge of $23.6 million in 2009.</w:t>
      </w:r>
    </w:p>
    <w:p>
      <w:pPr>
        <w:spacing w:after="0" w:line="17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Green Exchange Holdings LLC. </w:t>
      </w:r>
      <w:r>
        <w:rPr>
          <w:rFonts w:ascii="Arial" w:cs="Arial" w:eastAsia="Arial" w:hAnsi="Arial"/>
          <w:sz w:val="16"/>
          <w:szCs w:val="16"/>
          <w:color w:val="auto"/>
        </w:rPr>
        <w:t>The company owns approximately 40% of Green Exchange Holdings LLC (GX Holdings) and accounts for its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equity method of accounting. The company's investment in GX Holdings was $4.1 million at December 31, 2011. GX Holdings owns The Green Exchange (GreenX), which provides environmental futures and options contracts. GX Holdings is considered a variable interest entity under accounting guidance for consolidations. However, the company is not the primary beneficiary and therefore does not consolidate GreenX within its consolidated financial statements. The company and GreenX have entered into several agreements including data distribution, trade matching and clearing services.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IMAREX ASA. </w:t>
      </w:r>
      <w:r>
        <w:rPr>
          <w:rFonts w:ascii="Arial" w:cs="Arial" w:eastAsia="Arial" w:hAnsi="Arial"/>
          <w:sz w:val="17"/>
          <w:szCs w:val="17"/>
          <w:color w:val="auto"/>
        </w:rPr>
        <w:t>The company owns approximately 15% of IMAREX ASA (IMAREX). IMAREX is a derivatives exchange specializing in freight forward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agreements. The investment in IMAREX is accounted for as available-for-sale, and fair value and cost basis of the company's investment in IMAREX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 million and $3.8 million, respectively, at December 31, 2011. In September 2009, the company determined that its investment in IMAREX was impaired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an extended and significant decline in the market price of IMAREX stock. As a result, the company recognized an impairment charge of $22.4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2009.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BUILDING TENANT LEASES</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company maintains three buildings in Chicago and one in New York. A portion of the space in these buildings is utilized by the company as office space and for the trading floors. The remaining space is leased by third party tenants, including customers and shareholders, over terms ranging from one to fifteen years. The terms of the leases with customers and shareholders are consistent with terms for other third-party tenants.</w:t>
      </w:r>
    </w:p>
    <w:p>
      <w:pPr>
        <w:spacing w:after="0" w:line="1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June 2011, the company announced that it is pursuing a sale and partial leaseback of two buildings in Chicago. As part of the sale, the company is selling the rights to the existing leases with the building.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cash flows from rental revenue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7"/>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3"/>
              </w:rPr>
              <w:t>Rental</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2013</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24"/>
        </w:trPr>
        <w:tc>
          <w:tcPr>
            <w:tcW w:w="8360" w:type="dxa"/>
            <w:vAlign w:val="bottom"/>
          </w:tcPr>
          <w:p>
            <w:pPr>
              <w:spacing w:after="0"/>
              <w:rPr>
                <w:sz w:val="20"/>
                <w:szCs w:val="20"/>
                <w:color w:val="auto"/>
              </w:rPr>
            </w:pPr>
            <w:r>
              <w:rPr>
                <w:rFonts w:ascii="Arial" w:cs="Arial" w:eastAsia="Arial" w:hAnsi="Arial"/>
                <w:sz w:val="18"/>
                <w:szCs w:val="18"/>
                <w:b w:val="1"/>
                <w:bCs w:val="1"/>
                <w:color w:val="auto"/>
              </w:rPr>
              <w:t>9. DEBT</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60" w:type="dxa"/>
            <w:vAlign w:val="bottom"/>
          </w:tcPr>
          <w:p>
            <w:pPr>
              <w:spacing w:after="0"/>
              <w:rPr>
                <w:sz w:val="20"/>
                <w:szCs w:val="20"/>
                <w:color w:val="auto"/>
              </w:rPr>
            </w:pPr>
            <w:r>
              <w:rPr>
                <w:rFonts w:ascii="Arial" w:cs="Arial" w:eastAsia="Arial" w:hAnsi="Arial"/>
                <w:sz w:val="18"/>
                <w:szCs w:val="18"/>
                <w:color w:val="auto"/>
              </w:rPr>
              <w:t>Short-term debt consisted of the following at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2010</w:t>
            </w:r>
          </w:p>
        </w:tc>
        <w:tc>
          <w:tcPr>
            <w:tcW w:w="0" w:type="dxa"/>
            <w:vAlign w:val="bottom"/>
          </w:tcPr>
          <w:p>
            <w:pPr>
              <w:spacing w:after="0"/>
              <w:rPr>
                <w:sz w:val="1"/>
                <w:szCs w:val="1"/>
                <w:color w:val="auto"/>
              </w:rPr>
            </w:pP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Term loan due 2011, interest equal to 3-month LIBOR plus 1.00%, reset quarterly</w:t>
            </w:r>
            <w:r>
              <w:rPr>
                <w:rFonts w:ascii="Arial" w:cs="Arial" w:eastAsia="Arial" w:hAnsi="Arial"/>
                <w:sz w:val="25"/>
                <w:szCs w:val="25"/>
                <w:color w:val="auto"/>
                <w:vertAlign w:val="superscript"/>
              </w:rPr>
              <w:t>(1)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Total short-term debt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10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September 2008, the company entered into an interest rate swap agreement that modified the variable interest obligation associated with this loan so that the interest payable effectively became fixed at a rate of 4.72% beginning with the interest accrued after October 22, 2008. This interest rate swap agreement was terminated in January 2011 when the term loan was repaid.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 interest equal to 5.40%</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748.6</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 interest equal to 5.75%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Pr>
          <w:p>
            <w:pPr>
              <w:ind w:left="40"/>
              <w:spacing w:after="0" w:line="270" w:lineRule="exact"/>
              <w:rPr>
                <w:sz w:val="20"/>
                <w:szCs w:val="20"/>
                <w:color w:val="auto"/>
              </w:rPr>
            </w:pPr>
            <w:r>
              <w:rPr>
                <w:rFonts w:ascii="Arial" w:cs="Arial" w:eastAsia="Arial" w:hAnsi="Arial"/>
                <w:sz w:val="18"/>
                <w:szCs w:val="18"/>
                <w:color w:val="auto"/>
              </w:rPr>
              <w:t>$612.5 million fixed rate notes due March 2018, interest equal to 4.40%</w:t>
            </w:r>
            <w:r>
              <w:rPr>
                <w:rFonts w:ascii="Arial" w:cs="Arial" w:eastAsia="Arial" w:hAnsi="Arial"/>
                <w:sz w:val="25"/>
                <w:szCs w:val="25"/>
                <w:color w:val="auto"/>
                <w:vertAlign w:val="superscript"/>
              </w:rPr>
              <w:t>(2)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609.1</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2,106.8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2,104.8</w:t>
            </w:r>
          </w:p>
        </w:tc>
        <w:tc>
          <w:tcPr>
            <w:tcW w:w="0" w:type="dxa"/>
            <w:vAlign w:val="bottom"/>
          </w:tcPr>
          <w:p>
            <w:pPr>
              <w:spacing w:after="0"/>
              <w:rPr>
                <w:sz w:val="1"/>
                <w:szCs w:val="1"/>
                <w:color w:val="auto"/>
              </w:rPr>
            </w:pPr>
          </w:p>
        </w:tc>
      </w:tr>
      <w:tr>
        <w:trPr>
          <w:trHeight w:val="27"/>
        </w:trPr>
        <w:tc>
          <w:tcPr>
            <w:tcW w:w="824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80" w:hanging="652"/>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February 2010, the company entered into a forward-starting interest rate swap agreement that modified the interest obligation associated with these notes so that the interest payable on the notes effectively became fixed at a rate of 4.46% at issuance on March 18, 2010.</w:t>
      </w:r>
    </w:p>
    <w:p>
      <w:pPr>
        <w:spacing w:after="0" w:line="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Commercial paper notes with an aggregate par value of $1.0 billion and maturities ranging from 1 to 33 days were issued during 2011. There was no commercial paper outstanding at December 31, 2011 or 2010. As of December 31, 2011, the most recent commercial paper issuance was in March 2011. During 2011 and 2010, the weighted average balance, at par value, of commercial paper outstanding was $30.7 million and $83.4 million, respectively. In 2011, the maximum month-end balance for commercial paper was $200.0 million in January. In 2010, the maximum month-end balance was $300.0 million in February and March.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December 31, 2011:</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510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2013</w:t>
            </w:r>
          </w:p>
        </w:tc>
        <w:tc>
          <w:tcPr>
            <w:tcW w:w="51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750.0</w:t>
            </w:r>
          </w:p>
        </w:tc>
      </w:tr>
      <w:tr>
        <w:trPr>
          <w:trHeight w:val="27"/>
        </w:trPr>
        <w:tc>
          <w:tcPr>
            <w:tcW w:w="53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2015</w:t>
            </w:r>
          </w:p>
        </w:tc>
        <w:tc>
          <w:tcPr>
            <w:tcW w:w="51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1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612.5</w:t>
            </w:r>
          </w:p>
        </w:tc>
      </w:tr>
    </w:tbl>
    <w:p>
      <w:pPr>
        <w:spacing w:after="0" w:line="22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fair values of the fixed rate notes due 2013 and 2014 were estimated using quoted market prices. The fair value of the fixed rate notes due 2018 was derived using a standard valuation model with market-based observable inputs including U.S. Treasury yields and interest rate spreads. At December 31, 2011, the fair values of the fixed rate notes by maturity date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w:t>
            </w:r>
          </w:p>
        </w:tc>
        <w:tc>
          <w:tcPr>
            <w:tcW w:w="3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799.4</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w:t>
            </w:r>
          </w:p>
        </w:tc>
        <w:tc>
          <w:tcPr>
            <w:tcW w:w="3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818.8</w:t>
            </w:r>
          </w:p>
        </w:tc>
      </w:tr>
      <w:tr>
        <w:trPr>
          <w:trHeight w:val="27"/>
        </w:trPr>
        <w:tc>
          <w:tcPr>
            <w:tcW w:w="68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$612.5 million fixed rate notes due March 2018</w:t>
            </w:r>
          </w:p>
        </w:tc>
        <w:tc>
          <w:tcPr>
            <w:tcW w:w="3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673.6</w:t>
            </w:r>
          </w:p>
        </w:tc>
      </w:tr>
      <w:tr>
        <w:trPr>
          <w:trHeight w:val="27"/>
        </w:trPr>
        <w:tc>
          <w:tcPr>
            <w:tcW w:w="68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2" w:right="2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Income before income taxes and the income tax provision consisted of the following for the years ended December 31. The company is subject to regulation under a wide variety of U.S., federal, state and foreign tax laws and regulations.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2009</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Domestic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1,952.6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1,438.0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1,721.9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1,437.5</w:t>
            </w:r>
          </w:p>
        </w:tc>
      </w:tr>
      <w:tr>
        <w:trPr>
          <w:trHeight w:val="67"/>
        </w:trPr>
        <w:tc>
          <w:tcPr>
            <w:tcW w:w="67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536.9</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668.6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Income Tax Provision</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611.7</w:t>
            </w: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 statutory U.S. federal income tax rate to the effective tax rate is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gridSpan w:val="2"/>
          </w:tcPr>
          <w:p>
            <w:pPr>
              <w:ind w:left="7140"/>
              <w:spacing w:after="0"/>
              <w:rPr>
                <w:sz w:val="20"/>
                <w:szCs w:val="20"/>
                <w:color w:val="auto"/>
              </w:rPr>
            </w:pPr>
            <w:r>
              <w:rPr>
                <w:rFonts w:ascii="Arial" w:cs="Arial" w:eastAsia="Arial" w:hAnsi="Arial"/>
                <w:sz w:val="14"/>
                <w:szCs w:val="14"/>
                <w:b w:val="1"/>
                <w:bCs w:val="1"/>
                <w:color w:val="auto"/>
                <w:w w:val="89"/>
              </w:rPr>
              <w:t>2011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2009</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Statutory U.S. federal tax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State taxes, net of federal benefit</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560" w:type="dxa"/>
            <w:vAlign w:val="bottom"/>
          </w:tcPr>
          <w:p>
            <w:pPr>
              <w:jc w:val="right"/>
              <w:ind w:right="13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560" w:type="dxa"/>
            <w:vAlign w:val="bottom"/>
          </w:tcPr>
          <w:p>
            <w:pPr>
              <w:jc w:val="right"/>
              <w:ind w:right="133"/>
              <w:spacing w:after="0"/>
              <w:rPr>
                <w:sz w:val="20"/>
                <w:szCs w:val="20"/>
                <w:color w:val="auto"/>
              </w:rPr>
            </w:pPr>
            <w:r>
              <w:rPr>
                <w:rFonts w:ascii="Arial" w:cs="Arial" w:eastAsia="Arial" w:hAnsi="Arial"/>
                <w:sz w:val="18"/>
                <w:szCs w:val="18"/>
                <w:color w:val="auto"/>
              </w:rPr>
              <w:t>5.7</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 (decrease) in domestic valuation allowance</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1560" w:type="dxa"/>
            <w:vAlign w:val="bottom"/>
          </w:tcPr>
          <w:p>
            <w:pPr>
              <w:jc w:val="right"/>
              <w:ind w:right="133"/>
              <w:spacing w:after="0"/>
              <w:rPr>
                <w:sz w:val="20"/>
                <w:szCs w:val="20"/>
                <w:color w:val="auto"/>
              </w:rPr>
            </w:pPr>
            <w:r>
              <w:rPr>
                <w:rFonts w:ascii="Arial" w:cs="Arial" w:eastAsia="Arial" w:hAnsi="Arial"/>
                <w:sz w:val="18"/>
                <w:szCs w:val="18"/>
                <w:color w:val="auto"/>
              </w:rPr>
              <w:t>4.5</w:t>
            </w:r>
          </w:p>
        </w:tc>
      </w:tr>
      <w:tr>
        <w:trPr>
          <w:trHeight w:val="27"/>
        </w:trPr>
        <w:tc>
          <w:tcPr>
            <w:tcW w:w="6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revised state and local apportionment estimates</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560" w:type="dxa"/>
            <w:vAlign w:val="bottom"/>
          </w:tcPr>
          <w:p>
            <w:pPr>
              <w:jc w:val="right"/>
              <w:ind w:right="1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560" w:type="dxa"/>
            <w:vAlign w:val="bottom"/>
          </w:tcPr>
          <w:p>
            <w:pPr>
              <w:jc w:val="right"/>
              <w:ind w:right="133"/>
              <w:spacing w:after="0"/>
              <w:rPr>
                <w:sz w:val="20"/>
                <w:szCs w:val="20"/>
                <w:color w:val="auto"/>
              </w:rPr>
            </w:pPr>
            <w:r>
              <w:rPr>
                <w:rFonts w:ascii="Arial" w:cs="Arial" w:eastAsia="Arial" w:hAnsi="Arial"/>
                <w:sz w:val="18"/>
                <w:szCs w:val="18"/>
                <w:color w:val="auto"/>
              </w:rPr>
              <w:t>0.1</w:t>
            </w:r>
          </w:p>
        </w:tc>
      </w:tr>
      <w:tr>
        <w:trPr>
          <w:trHeight w:val="27"/>
        </w:trPr>
        <w:tc>
          <w:tcPr>
            <w:tcW w:w="65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2011, the effective tax rate was lower than the statutory tax rate because of a change in state tax apportionment which resulted in a reduction in the company's income tax provision of $646.0 million largely due to a revaluation of its existing deferred tax liabilities. In addition, the company began marking to market its investment in BM&amp;FBOVESPA which resulted in a $48.8 million reduction in valuation allowances on other unrealized capital losses previously reserved. In 2010, the effective tax rate was higher than the statutory tax rate due to a $51.2 million charge to record the impact of the company's new combined state and local tax rate on its existing deferred tax liabilities. In 2009, the effective tax rate was higher than the statutory tax rate due to an additional valuation allowance of $64.4 million related to unrealized capital losses. The increase was partially offset by a decrease resulting from a $38.9 million reduction in net deferred tax liabilities related to a change in local apportionment estimates due to a New York City tax law change enacted in 2009.</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2" w:right="23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deferred tax assets (liabilities)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Unrealized loss on securities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 and 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Deferred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Non-Current Deferred Tax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 unrealized loss on investment in BM&amp;FBOVESPA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Foreign losses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compensation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 and 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Non-Current Deferred Tax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(7,957.8)</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Property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(8,018.5)</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Non-Current Deferred Tax Liabilities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(7,840.4)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A valuation allowance is recorded when it is more-likely-than-not that some portion or all of the deferred tax assets may not be realized. The ultimate realization of the deferred tax assets depends on the ability to generate sufficient taxable income of the appropriate character in the future and in the appropriate taxing jurisdictions.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December 31, 2011 and 2010, the company had a long-term deferred tax asset of $37.8 million and $145.8 million, respectively, for domestic unrealized capital losses incurred in Brazil related to the company's investment in BM&amp;FBOVESPA. At December 31, 2011 and 2010, valuation allowances of $0 and $64.4 million, respectively, related to this deferred tax asset. The valuation allowance was recorded as of December 31, 2010 for the excess of the unrealized capital loss over the potential capital gains that could be used to offset the capital loss in future periods. The company began marking-to-market its investment in BM&amp;FBOVESPA in the first quarter of 2011. Due to mark-to-market increases in the value of its investment in BM&amp;FBOVESPA, the company determined that the valuation allowance was no longer required.</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At December 31, 2011 and 2010, the company had a long-term deferred tax asset from foreign losses of $15.6 million and $125.3 million, respectively, related to Brazilian taxes primarily as a result of unrealized capital losses incurred in Brazil related to the company's investment in BM&amp;FBOVESPA. At December 31, 2011 and 2010, valuation allowances of $15.6 million and $125.3 million, respectively, related to this deferred tax asset. At December 31, 2011 and 2010, the company determined that it was more-likely-than-not that it will not be able to realize this deferred tax asset.</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At December 31, 2011 and 2010, the company had a long-term deferred tax asset from foreign losses of $19.7 million and $19.3 million, respectively, for net operating loss carryforwards obtained through its acquisition of Swapstream Ltd. and for net operating losses generated by those operations subsequent to its acquisition. At December 31, 2011 and 2010, valuation allowances of $19.7 million and $19.3 million, respectively, related to this deferred tax asset. At December 31, 2011 and 2010, the company determined that it was more-likely-than-not that it will not be able to realize this deferred tax asset.</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2011, valuation allowances of $7.9 million have been provided for other foreign losses in various other jurisdictions for which the company does not believe that it currently meets the more-likely-than-not threshold for recognition.</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At December 31, 2010, valuation allowances of $49.4 million have also been provided for other domestic unrealized capital losses for which the company did not believe that it met the more-likely-than-not threshold for recognition. At December 31, 2011, the company determined that it was able to realize the deferred tax assets for these domestic unrealized capital losses and the valuation allowances were no longer required.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2" w:right="23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unrecognized tax benefits: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2009</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Unrecognized tax benefits, net of tax impacts in other jurisdictions</w:t>
            </w:r>
          </w:p>
        </w:tc>
        <w:tc>
          <w:tcPr>
            <w:tcW w:w="10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24.9</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43.0</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33.5</w:t>
            </w:r>
          </w:p>
        </w:tc>
      </w:tr>
      <w:tr>
        <w:trPr>
          <w:trHeight w:val="27"/>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penalties related to uncertain tax positions</w:t>
            </w:r>
          </w:p>
        </w:tc>
        <w:tc>
          <w:tcPr>
            <w:tcW w:w="1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and penalties recognized in the consolidated statements of income</w:t>
            </w:r>
          </w:p>
        </w:tc>
        <w:tc>
          <w:tcPr>
            <w:tcW w:w="10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w:t>
            </w:r>
          </w:p>
        </w:tc>
      </w:tr>
    </w:tbl>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believes it is reasonably possible that within the next twelve months, unrecognized domestic tax benefits will not change by a significant amount.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2009</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Unrecognized tax benefits acquired at dates of mergers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Reductions resulting from the lapse of statutes of limitations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with taxing authorities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w:t>
            </w: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company is subject to U.S. federal income tax as well as income taxes in Illinois and multiple other state, local and foreign jurisdictions. As of December 31, 2011 substantially all federal and state income tax matters have been concluded through 2005 and 2004, respectively. During the third quarter of 2011, the company reached a settlement with the IRS regarding the audit of its 2006 and 2007 federal tax returns. As a result, the company adjusted its reserve for unrealized federal tax benefits accordingly. In addition, during the first quarter of 2011, the company re-assessed some of its existing unrealized state tax benefits based on revised guidance released by the taxing authority and adjusted its reserve accordingly.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 xml:space="preserve">Pension Plans. </w:t>
      </w:r>
      <w:r>
        <w:rPr>
          <w:rFonts w:ascii="Arial" w:cs="Arial" w:eastAsia="Arial" w:hAnsi="Arial"/>
          <w:sz w:val="17"/>
          <w:szCs w:val="17"/>
          <w:color w:val="auto"/>
        </w:rPr>
        <w:t>CME maintains a non-contributory defined benefit cash balance pension plan for eligible employees. CME's plan provides for a contribution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projected benefit obligation: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Actuarial (gain) loss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118.2</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accumulated benefit obligation at December 31, 2011 and 2010 was $130.3 million and $105.9 million,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1" w:right="23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fair value of plan assets: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2009</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93.8</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Employer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plan assets are classified into a fair value hierarchy in their entirety based on the lowest level of input that is significant to each asset or liability’s fair value measurement. Level 1 assets are valued using unadjusted market prices for identical assets in active markets based on the valuation date. Valuation techniques for level 2 assets use significant observable inputs such as quoted prices for similar assets, quoted market prices in inactive markets and other inputs that are observable or can be supported by observable market data. The fair value of each major category of plan assets as of December 31 is indicated below.</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U.S. equity</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Fixed income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Commodity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121.3</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2011 and 2010, the fair value of pension plan assets exceeded the projected benefit obligation by $0.3 million and $3.1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excess was recorded as a non-current pension asset.</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funding goal for the exchange is to have its pension plan 100% funded at each year end on a projected benefit obligation basis, while also satisfying any minimum required contribution and obtaining the maximum tax deduction. Year-end 2011 assumptions have been used to project the assets and liabilities from December 31, 2011 to December 31, 2012. The result of this projection is that estimated liabilities would exceed the fair value of the plan assets at December 31, 2012 by approximately $17.1 million. Accordingly, it is estimated that a $17.1 million contribution in 2012 will allow the company to meet its funding goal.</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components of net pension expense and the assumptions used to determine the end-of-year projected benefit obligation and net pension expense in aggregate are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2009</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9.7</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net actuarial loss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Net Pension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11.3</w:t>
            </w:r>
          </w:p>
        </w:tc>
      </w:tr>
      <w:tr>
        <w:trPr>
          <w:trHeight w:val="67"/>
        </w:trPr>
        <w:tc>
          <w:tcPr>
            <w:tcW w:w="6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Assumptions Used to Determine End-of-Year Benefit Obligation:</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Cash balance interest crediting rate</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 Used to Determine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8.00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crediting rate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Beginning in 2010, 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Prior to 2010, the discount rate for the plan was determined based on an interest rate yield curve. The yield curve was comprised of bonds with a rating of Aaa and Aa and maturities between zero and thirty years. The expected annual benefit cash flows for the plan was discounted to develop a single-point discount rate by matching the plan's expected payout structure to such yield curve.</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18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overall objective of the plan is to meet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was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2011</w:t>
            </w: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2010</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30.4%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U.S. equity</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23.6</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26.1</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22.3</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19.7</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10.2</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334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4.0</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w:t>
            </w: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The range of target allocation percentages for 2012 is as follows: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15"/>
        </w:trPr>
        <w:tc>
          <w:tcPr>
            <w:tcW w:w="66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Minimum</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Maximum</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equity</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23.5%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Foreign equity</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23.5</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35.0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33.0</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Commodity</w:t>
            </w:r>
          </w:p>
        </w:tc>
        <w:tc>
          <w:tcPr>
            <w:tcW w:w="3340" w:type="dxa"/>
            <w:vAlign w:val="bottom"/>
          </w:tcPr>
          <w:p>
            <w:pPr>
              <w:jc w:val="right"/>
              <w:ind w:right="373"/>
              <w:spacing w:after="0"/>
              <w:rPr>
                <w:sz w:val="20"/>
                <w:szCs w:val="20"/>
                <w:color w:val="auto"/>
              </w:rPr>
            </w:pPr>
            <w:r>
              <w:rPr>
                <w:rFonts w:ascii="Arial" w:cs="Arial" w:eastAsia="Arial" w:hAnsi="Arial"/>
                <w:sz w:val="18"/>
                <w:szCs w:val="18"/>
                <w:color w:val="auto"/>
              </w:rPr>
              <w:t>2.0</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8.0</w:t>
            </w: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times, the company may determine that it is necessary to place some assets in cash equivalent investments in order to pay expected plan liabilities. Given this, the actual asset allocation for the plan may not fall within the target allocation ranges from time to time.</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(S&amp;P) or Moody's.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balance and activity of the prior service costs and actuarial losses, which are included in other comprehensive income (loss), for 2011 are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60" w:type="dxa"/>
            <w:vAlign w:val="bottom"/>
          </w:tcPr>
          <w:p>
            <w:pPr>
              <w:jc w:val="center"/>
              <w:ind w:left="341"/>
              <w:spacing w:after="0"/>
              <w:rPr>
                <w:sz w:val="20"/>
                <w:szCs w:val="20"/>
                <w:color w:val="auto"/>
              </w:rPr>
            </w:pPr>
            <w:r>
              <w:rPr>
                <w:rFonts w:ascii="Arial" w:cs="Arial" w:eastAsia="Arial" w:hAnsi="Arial"/>
                <w:sz w:val="14"/>
                <w:szCs w:val="14"/>
                <w:b w:val="1"/>
                <w:bCs w:val="1"/>
                <w:color w:val="auto"/>
                <w:w w:val="97"/>
              </w:rPr>
              <w:t>Prior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Actuarial</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jc w:val="center"/>
              <w:ind w:left="341"/>
              <w:spacing w:after="0" w:line="149" w:lineRule="exact"/>
              <w:rPr>
                <w:sz w:val="20"/>
                <w:szCs w:val="20"/>
                <w:color w:val="auto"/>
              </w:rPr>
            </w:pPr>
            <w:r>
              <w:rPr>
                <w:rFonts w:ascii="Arial" w:cs="Arial" w:eastAsia="Arial" w:hAnsi="Arial"/>
                <w:sz w:val="14"/>
                <w:szCs w:val="14"/>
                <w:b w:val="1"/>
                <w:bCs w:val="1"/>
                <w:color w:val="auto"/>
                <w:w w:val="88"/>
              </w:rPr>
              <w:t>Service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87"/>
              </w:rPr>
              <w:t>Costs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06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Unrecognized loss</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as a component of net pension expense</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1060" w:type="dxa"/>
            <w:vAlign w:val="bottom"/>
            <w:tcBorders>
              <w:top w:val="single" w:sz="8" w:color="auto"/>
            </w:tcBorders>
          </w:tcPr>
          <w:p>
            <w:pPr>
              <w:jc w:val="right"/>
              <w:ind w:right="86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amortize $3.2 million of actuarial loss from accumulated other comprehensive income (loss) into net</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periodic benefit costs in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anticipated benefit payments from the plan in future years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Year</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4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2013</w:t>
            </w:r>
          </w:p>
        </w:tc>
        <w:tc>
          <w:tcPr>
            <w:tcW w:w="49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10.9</w:t>
            </w:r>
          </w:p>
        </w:tc>
      </w:tr>
      <w:tr>
        <w:trPr>
          <w:trHeight w:val="27"/>
        </w:trPr>
        <w:tc>
          <w:tcPr>
            <w:tcW w:w="54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2015</w:t>
            </w:r>
          </w:p>
        </w:tc>
        <w:tc>
          <w:tcPr>
            <w:tcW w:w="49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12.5</w:t>
            </w:r>
          </w:p>
        </w:tc>
      </w:tr>
      <w:tr>
        <w:trPr>
          <w:trHeight w:val="27"/>
        </w:trPr>
        <w:tc>
          <w:tcPr>
            <w:tcW w:w="54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2017-2021</w:t>
            </w:r>
          </w:p>
        </w:tc>
        <w:tc>
          <w:tcPr>
            <w:tcW w:w="49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85.4</w:t>
            </w:r>
          </w:p>
        </w:tc>
      </w:tr>
    </w:tbl>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CME maintains a defined contribution savings plan pursuant to Section 401(k) of the Internal Revenue Code, whereby all U.S. employees are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and have the option to contribute to this plan. CME matches employee contributions up to 3% of the employee's base salary and may make additional discretionary contributions.</w:t>
      </w:r>
    </w:p>
    <w:p>
      <w:pPr>
        <w:spacing w:after="0" w:line="18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addition, certain CME London-based employees are eligible to participate in a defined contribution plan. For CME London-based employees, the plan provides for company contributions of 10% of earnings and does not have any vesting requirements. Salary and cash bonuses paid are included in the definition of earnings.</w:t>
      </w:r>
    </w:p>
    <w:p>
      <w:pPr>
        <w:spacing w:after="0" w:line="1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Aggregate expense for all of the defined contribution savings plans amounted to $8.6 million, $6.3 million and $5.2 million in 2011, 2010 and 2009, respectively.</w:t>
      </w:r>
    </w:p>
    <w:p>
      <w:pPr>
        <w:spacing w:after="0" w:line="16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color w:val="auto"/>
        </w:rPr>
        <w:t xml:space="preserve">CME Non-Qualified Plans. </w:t>
      </w:r>
      <w:r>
        <w:rPr>
          <w:rFonts w:ascii="Arial" w:cs="Arial" w:eastAsia="Arial" w:hAnsi="Arial"/>
          <w:sz w:val="18"/>
          <w:szCs w:val="18"/>
          <w:color w:val="auto"/>
        </w:rPr>
        <w:t>CME maintains non-qualified plans, under which participants may make assumed investment choices with respect to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contributed on their behalf. Although not required to do so, CME invests such contributions in assets that mirror the assumed investment choices. The balances in these plans are subject to the claims of general creditors of the exchange and totaled $31.8 million and $28.8 million at December 31, 2011 and 2010 respectively. Although the value of the plans is recorded as an asset in marketable securities in the consolidated balance sheets, there is an equal and offsetting liability. The investment results of these plans have no impact on net income as the investment results are recorded in equal amounts to both investment income and compensation and benefits expense.</w:t>
      </w:r>
    </w:p>
    <w:p>
      <w:pPr>
        <w:spacing w:after="0" w:line="192" w:lineRule="exact"/>
        <w:rPr>
          <w:sz w:val="20"/>
          <w:szCs w:val="20"/>
          <w:color w:val="auto"/>
        </w:rPr>
      </w:pPr>
    </w:p>
    <w:p>
      <w:pPr>
        <w:ind w:left="440" w:right="220"/>
        <w:spacing w:after="0" w:line="302" w:lineRule="auto"/>
        <w:rPr>
          <w:sz w:val="20"/>
          <w:szCs w:val="20"/>
          <w:color w:val="auto"/>
        </w:rPr>
      </w:pPr>
      <w:r>
        <w:rPr>
          <w:rFonts w:ascii="Arial" w:cs="Arial" w:eastAsia="Arial" w:hAnsi="Arial"/>
          <w:sz w:val="16"/>
          <w:szCs w:val="16"/>
          <w:i w:val="1"/>
          <w:iCs w:val="1"/>
          <w:color w:val="auto"/>
        </w:rPr>
        <w:t>Supplemental Savings Plan-</w:t>
      </w:r>
      <w:r>
        <w:rPr>
          <w:rFonts w:ascii="Arial" w:cs="Arial" w:eastAsia="Arial" w:hAnsi="Arial"/>
          <w:sz w:val="16"/>
          <w:szCs w:val="16"/>
          <w:color w:val="auto"/>
        </w:rPr>
        <w:t>CME maintains a supplemental plan to provide benefits for employees who have been impacted by statutory limits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provisions of the qualified pension and savings plan. All CME employees hired prior to January 1, 2007 are immediately vested in their supplemental plan benefits. All CME employees hired on or after January 1, 2007 are subject to the vesting requirements of the underlying qualified plans. Total expense for the supplemental plan was $2.3 million, $0.9 million and $0.7 million for 2011, 2010 and 2009, respectively.</w:t>
      </w:r>
    </w:p>
    <w:p>
      <w:pPr>
        <w:spacing w:after="0" w:line="154" w:lineRule="exact"/>
        <w:rPr>
          <w:sz w:val="20"/>
          <w:szCs w:val="20"/>
          <w:color w:val="auto"/>
        </w:rPr>
      </w:pPr>
    </w:p>
    <w:p>
      <w:pPr>
        <w:ind w:left="440" w:right="660"/>
        <w:spacing w:after="0" w:line="308" w:lineRule="auto"/>
        <w:rPr>
          <w:sz w:val="20"/>
          <w:szCs w:val="20"/>
          <w:color w:val="auto"/>
        </w:rPr>
      </w:pPr>
      <w:r>
        <w:rPr>
          <w:rFonts w:ascii="Arial" w:cs="Arial" w:eastAsia="Arial" w:hAnsi="Arial"/>
          <w:sz w:val="17"/>
          <w:szCs w:val="17"/>
          <w:i w:val="1"/>
          <w:iCs w:val="1"/>
          <w:color w:val="auto"/>
        </w:rPr>
        <w:t>Deferred Compensation Plan-</w:t>
      </w:r>
      <w:r>
        <w:rPr>
          <w:rFonts w:ascii="Arial" w:cs="Arial" w:eastAsia="Arial" w:hAnsi="Arial"/>
          <w:sz w:val="17"/>
          <w:szCs w:val="17"/>
          <w:color w:val="auto"/>
        </w:rPr>
        <w:t>A deferred compensation plan is maintained by CME, under which eligible officers and members of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may contribute a percentage of their compensation and defer income taxes thereon until the time of distribution.</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NYMEX Members' Retirement Plan and Benefits. </w:t>
      </w:r>
      <w:r>
        <w:rPr>
          <w:rFonts w:ascii="Arial" w:cs="Arial" w:eastAsia="Arial" w:hAnsi="Arial"/>
          <w:sz w:val="16"/>
          <w:szCs w:val="16"/>
          <w:color w:val="auto"/>
        </w:rPr>
        <w:t>NYMEX maintained a retirement and benefit plan under the Commodities Exchange, Inc. (COMEX)</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Recognition and Retention Plan (MRRP). This plan 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Under the terms of the MRRP, the company is required to fund the plan with a minimum annual contribution of $0.4 million until it is fully funded. All benefits to be paid under the MRRP are based on reasonable actuarial assumptions which are based upon the amounts that are available and are expected to be available to pay benefits. Total contributions to the plan were $0.8 million for each of 2009 through 2011. At December 31, 2011 and 2010, the obligation for the MRRP totaled $21.6 million and $20.7 million, respectively. Assets with a fair value of $17.7 million and $15.8 million have been allocated to this plan at December 31, 2011 and 2010, respectively, and are included in marketable securities in the consolidated balance sheets. The balances in these plans are subject to the claims of general creditors of the exchange.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17"/>
          <w:szCs w:val="17"/>
          <w:color w:val="auto"/>
        </w:rPr>
        <w:t>CME Group has entered into various non-cancellable operating lease agreements, with the most significant being as follows:</w:t>
      </w:r>
    </w:p>
    <w:p>
      <w:pPr>
        <w:spacing w:after="0" w:line="133" w:lineRule="exact"/>
        <w:rPr>
          <w:sz w:val="20"/>
          <w:szCs w:val="20"/>
          <w:color w:val="auto"/>
        </w:rPr>
      </w:pPr>
    </w:p>
    <w:p>
      <w:pPr>
        <w:ind w:left="660" w:right="8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July 2008, the company renegotiated the operating lease for its headquarters at 20 South Wacker Drive in Chicago. The lease, which has an initial term ending on November 30, 2022, contains two consecutive renewal options for seven and ten years and a contraction option which allows the company to reduce its occupied space after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November 30, 2018. In addition, the company may exercise a lease expansion option in December 2012 and in December 2017.</w:t>
      </w:r>
    </w:p>
    <w:p>
      <w:pPr>
        <w:spacing w:after="0" w:line="239" w:lineRule="exact"/>
        <w:rPr>
          <w:sz w:val="20"/>
          <w:szCs w:val="20"/>
          <w:color w:val="auto"/>
        </w:rPr>
      </w:pPr>
    </w:p>
    <w:p>
      <w:pPr>
        <w:ind w:left="660" w:right="2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August 2006, CME Group entered into an operating lease for additional office space in Chicago. The initial lease term, which became effective on August 10, 2006, terminates on November 30, 2023. The lease contains two 5-year renewal options beginning in 2023.</w:t>
      </w:r>
    </w:p>
    <w:p>
      <w:pPr>
        <w:spacing w:after="0" w:line="146" w:lineRule="exact"/>
        <w:rPr>
          <w:rFonts w:ascii="Arial" w:cs="Arial" w:eastAsia="Arial" w:hAnsi="Arial"/>
          <w:sz w:val="17"/>
          <w:szCs w:val="17"/>
          <w:color w:val="auto"/>
        </w:rPr>
      </w:pPr>
    </w:p>
    <w:p>
      <w:pPr>
        <w:ind w:left="660" w:right="100" w:hanging="328"/>
        <w:spacing w:after="0" w:line="31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May 1995, NYMEX Holdings signed a ground lease, which terminates in June 2069, with Battery Park City Authority (BPCA) for the site where it constructed its headquarters and trading facility. The lease contains an option to terminate without penalty in June 2012. The lease establishes payments in lieu of taxes (PILOTs) due to New York City. PILOTs are entirely abated until May 17, 2015 for the trading floor of the facility.</w:t>
      </w:r>
    </w:p>
    <w:p>
      <w:pPr>
        <w:spacing w:after="0" w:line="146" w:lineRule="exact"/>
        <w:rPr>
          <w:rFonts w:ascii="Arial" w:cs="Arial" w:eastAsia="Arial" w:hAnsi="Arial"/>
          <w:sz w:val="16"/>
          <w:szCs w:val="16"/>
          <w:color w:val="auto"/>
        </w:rPr>
      </w:pPr>
    </w:p>
    <w:p>
      <w:pPr>
        <w:ind w:left="660" w:right="7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January 2011, the company entered into an operating lease for office space in London. The initial lease term, which became effective on January 20, 2011, terminates on March 24, 2026, with an option to terminate without penalty in January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future minimum payments under non-cancellable operating leases were payable as follows (in millions):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2013</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135.6</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rental expense, including equipment rental, was $41.0 million in 2011, $35.5 million in 2010 and $33.7 million in 2009.</w:t>
      </w:r>
    </w:p>
    <w:p>
      <w:pPr>
        <w:spacing w:after="0" w:line="11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Commitments include material contractual purchase obligations that are non-cancellable. Purchase obligations relate to licensing,</w:t>
      </w:r>
      <w:r>
        <w:rPr>
          <w:rFonts w:ascii="Arial" w:cs="Arial" w:eastAsia="Arial" w:hAnsi="Arial"/>
          <w:sz w:val="18"/>
          <w:szCs w:val="18"/>
          <w:b w:val="1"/>
          <w:bCs w:val="1"/>
          <w:color w:val="auto"/>
        </w:rPr>
        <w:t xml:space="preserve"> </w:t>
      </w:r>
      <w:r>
        <w:rPr>
          <w:rFonts w:ascii="Arial" w:cs="Arial" w:eastAsia="Arial" w:hAnsi="Arial"/>
          <w:sz w:val="18"/>
          <w:szCs w:val="18"/>
          <w:color w:val="auto"/>
        </w:rPr>
        <w:t>hardware and maintenance and telecommunication services. At December 31, 2011, future minimum payments due under purchase obligations were payable as follows (in millions):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640" w:type="dxa"/>
            <w:vAlign w:val="bottom"/>
            <w:tcBorders>
              <w:top w:val="single" w:sz="8" w:color="auto"/>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2013</w:t>
            </w:r>
          </w:p>
        </w:tc>
        <w:tc>
          <w:tcPr>
            <w:tcW w:w="6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9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6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9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 xml:space="preserve">Licensing Agreements. </w:t>
      </w:r>
      <w:r>
        <w:rPr>
          <w:rFonts w:ascii="Arial" w:cs="Arial" w:eastAsia="Arial" w:hAnsi="Arial"/>
          <w:sz w:val="17"/>
          <w:szCs w:val="17"/>
          <w:color w:val="auto"/>
        </w:rPr>
        <w:t>CME Group has various licensing agreements including agreements with S&amp;P and NASDAQ OMX Group, Inc. (NASDAQ OMX)</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to certain equity index products. The license agreement with S&amp;P provides that the rights to S&amp;P 500 Index futures and options will be exclusive through December 31, 2016 as long as certain volume requirements are met. The company maintains a license agreement with NASDAQ OMX, which is exclusive with respect to futures and options contracts based on certain NASDAQ OMX indexes through October 9, 2019.</w:t>
      </w:r>
    </w:p>
    <w:p>
      <w:pPr>
        <w:spacing w:after="0" w:line="5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In 1994, NYMEX entered into a letter of intent with BPCA, New York Economic Development Corporation (EDC) and Empire State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Corporation (ESDC) to construct a new trading facility and office building on a site in Battery Park City. By agreement dated May 18, 1995, the EDC and ESDC agreed to provide funding of $128.7 million to construct the facility. NYMEX is liable for liquidated damages on a declining scale if it violates terms of the occupancy agreement at any time prior to 15 years from the date of occupancy, July 7, 1997. Such a violation could also potentially trigger a cross default under the ground lease described in operating leases.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color w:val="auto"/>
        </w:rPr>
        <w:t>In 2002, NYMEX entered into an agreement with ESDC and received a $5.0 million grant. The agreement requires NYMEX to maintain certain annual employment levels, and in 2011 the agreement was extended through 2013. The grant is subject to recapture amounts on a declining scale through 2013.</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Legal Matters</w:t>
      </w:r>
      <w:r>
        <w:rPr>
          <w:rFonts w:ascii="Arial" w:cs="Arial" w:eastAsia="Arial" w:hAnsi="Arial"/>
          <w:sz w:val="18"/>
          <w:szCs w:val="18"/>
          <w:color w:val="auto"/>
        </w:rPr>
        <w:t>. In 2008, Fifth Market filed a complaint against CME Group and CME seeking a permanent injunction against CME's Globex system and</w:t>
      </w:r>
      <w:r>
        <w:rPr>
          <w:rFonts w:ascii="Arial" w:cs="Arial" w:eastAsia="Arial" w:hAnsi="Arial"/>
          <w:sz w:val="18"/>
          <w:szCs w:val="18"/>
          <w:i w:val="1"/>
          <w:iCs w:val="1"/>
          <w:color w:val="auto"/>
        </w:rPr>
        <w:t xml:space="preserve"> </w:t>
      </w:r>
      <w:r>
        <w:rPr>
          <w:rFonts w:ascii="Arial" w:cs="Arial" w:eastAsia="Arial" w:hAnsi="Arial"/>
          <w:sz w:val="18"/>
          <w:szCs w:val="18"/>
          <w:color w:val="auto"/>
        </w:rPr>
        <w:t>unquantified enhanced damages for what the plaintiff alleges is willful infringement of two U.S. patents, in addition to costs, expenses and attorneys' fees. The matter has been stayed pending the outcome of a reexamination of one of the patents at issue by the U.S. Patent and Trademark Office (USPTO). Based on its investigation to date and advice from legal counsel, the company believes this suit is without merit and intends to defend itself vigorously against these charges.</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2009, CME and CBOT filed a complaint against Howard Garber seeking a declaratory judgment that neither CME nor CBOT infringed Mr. Garber's patent and that his patent is invalid and unenforceable. In 2009, Technology Research Group LLC, the current owner of the patent at issue, filed counterclaims alleging that CME and CBOT willingly infringe or induce or contribute to the infringement of its patent. Technology Research is seeking damages in the amount no less than a reasonable royalty. The matter has been dismissed without prejudice with right to reinstate subject to reexamination of the patent at issue by the USPTO and evaluation of all settlement possibilities. Based on its investigation to date and advice from legal counsel, the company believes this suit is without merit and intends to defend itself vigorously against these charges.</w:t>
      </w:r>
    </w:p>
    <w:p>
      <w:pPr>
        <w:spacing w:after="0" w:line="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2009, Realtime Data LLC filed a complaint against CME Group and other exchanges alleging willful infringement of four patents which was later amended to add CBOT and NYMEX as defendants. Subsequently, two additional lawsuits have been filed each adding a claim for the infringement of an additional patent. Both of these lawsuits have been consolidated with the original action. Realtime Data is seeking a permanent injunction, unquantified enhanced damages, attorneys' fees and costs. Discovery in this matter is in the early stages. The Court of Appeals for the Federal Circuit has ordered that the case be transferred to the Southern District of New York. Realtime's request for reconsideration of the transfer has been denied and the case has been transferred to New York. Based on its investigation to date and advice from legal counsel, the company believes this suit is without merit and intends to defend itself vigorously against these charges.</w:t>
      </w:r>
    </w:p>
    <w:p>
      <w:pPr>
        <w:spacing w:after="0" w:line="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foregoing legal matters involve alleged infringements of intellectual property, which due to their nature involve potential liability that is uncertain, difficult to quantify and involve a wide range of potential outcomes. The company believes that the matters are without merit and intends to defend itself vigorously against the claims. We expect the reexaminations by the USPTO in the Fifth Market and Garber matters to result in a determination of the validity of the patents at issue which we expect will have an impact on the merits of the matters. Given the uncertainty of the potential outcome of the reexaminations, at this time the company is unable to estimate the reasonably possible loss or range of reasonably possible loss in the unlikely event it were found to be liable at trial in these matters.</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bankruptcy of MF Global Inc. (MF Global), we have received two subpoenas (Grand Jury, Northern District of Illinois and CFTC enforcement) to produce information and witnesses in connection with the authorities' investigation of the matter. We have also received a document request from the SIPC Trustee handling the liquidation of MF Global Inc. In addition, CME has been named as a defendant in several lawsuits stemming from the MF Global matter. In December 2011, an MF Global customer filed suit in Michigan state court on behalf of all Michigan customers of MF Global against CME and certain officers and directors of MF Global. This suit alleges three counts: violation of the Consumer Protection Act, conspiracy, and conversion. The plaintiff alleges individual damages of less than $75,000 and class damages of less than $5.0 million as well as treble damages and attorneys' fees. The case has been removed to federal court. Three suits were filed in January and February 2012 in federal court in New York on behalf of all commodity account holders or customers of MF Global that had not received a return of 100% of their funds as of November 2, 2011. Named defendants in the matters include CME, certain officers and directors of MF Global and JP Morgan Chase. Claims against CME are for aiding and abetting breach of fiduciary duty and aiding and abetting tortious conduct. Unspecified damages along with treble and punitive damages are sought. We expect these suits, along with several other lawsuits related to MF Global in which CME is not named as a defendant, to be consolidated in federal court in New York. Based on our analysis, we believe that we have strong legal and factual defenses to the claims. Given that these matters are in the very early stage, at this time the company is unable to estimate the reasonably possible loss or range of reasonably possible loss in the unlikely event it were found to be liable in these matters.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 As of December 31, 2011, the company has accrued $12.8 million related to all outstanding legal matters.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Regulatory Matters</w:t>
      </w:r>
      <w:r>
        <w:rPr>
          <w:rFonts w:ascii="Arial" w:cs="Arial" w:eastAsia="Arial" w:hAnsi="Arial"/>
          <w:sz w:val="18"/>
          <w:szCs w:val="18"/>
          <w:color w:val="auto"/>
        </w:rPr>
        <w:t>. In the normal course of business, the company discusses matters with its regulators raised during regulatory examinations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Intellectual Property Indemnifications</w:t>
      </w:r>
      <w:r>
        <w:rPr>
          <w:rFonts w:ascii="Arial" w:cs="Arial" w:eastAsia="Arial" w:hAnsi="Arial"/>
          <w:sz w:val="18"/>
          <w:szCs w:val="18"/>
          <w:color w:val="auto"/>
        </w:rPr>
        <w:t>. Certain agreements with customers and other third parties related to accessing the CME Globex platform, the CME</w:t>
      </w:r>
      <w:r>
        <w:rPr>
          <w:rFonts w:ascii="Arial" w:cs="Arial" w:eastAsia="Arial" w:hAnsi="Arial"/>
          <w:sz w:val="18"/>
          <w:szCs w:val="18"/>
          <w:i w:val="1"/>
          <w:iCs w:val="1"/>
          <w:color w:val="auto"/>
        </w:rPr>
        <w:t xml:space="preserve"> </w:t>
      </w:r>
      <w:r>
        <w:rPr>
          <w:rFonts w:ascii="Arial" w:cs="Arial" w:eastAsia="Arial" w:hAnsi="Arial"/>
          <w:sz w:val="18"/>
          <w:szCs w:val="18"/>
          <w:color w:val="auto"/>
        </w:rPr>
        <w:t>ClearPort platform, and/or the Clearing 21 platform; utilizing market data services; licensing CME SPAN software; and calculating indexes as a service provider and licensing indexes as the basis of financial products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GUARANTEES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have a mutual offset agreement with a current term through October 2012.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agreement will automatically renew for a one-year period unless either party provides advance notice of their intent to terminate. CME can maintain collateral in the form of U.S. Treasury securities or irrevocable letters of credit. At December 31, 2011, CME was contingently liable to SGX on irrevocable letters of credit totaling $161.0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Cross-Margin Agreements</w:t>
      </w:r>
      <w:r>
        <w:rPr>
          <w:rFonts w:ascii="Arial" w:cs="Arial" w:eastAsia="Arial" w:hAnsi="Arial"/>
          <w:sz w:val="18"/>
          <w:szCs w:val="18"/>
          <w:color w:val="auto"/>
        </w:rPr>
        <w:t>. CME and The Options Clearing Corporation (OCC) have a cross-margin arrangement, whereby a common clearing firm may</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cross-margin 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would be allocated 50% each to CME and OCC.</w:t>
      </w:r>
    </w:p>
    <w:p>
      <w:pPr>
        <w:spacing w:after="0" w:line="18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Cross-margin agreements exist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w:t>
      </w:r>
    </w:p>
    <w:p>
      <w:pPr>
        <w:spacing w:after="0" w:line="7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MF Global Bankruptcy Trust. </w:t>
      </w:r>
      <w:r>
        <w:rPr>
          <w:rFonts w:ascii="Arial" w:cs="Arial" w:eastAsia="Arial" w:hAnsi="Arial"/>
          <w:sz w:val="16"/>
          <w:szCs w:val="16"/>
          <w:color w:val="auto"/>
        </w:rPr>
        <w:t>The company has provided a $550.0 million financial guarantee to the bankruptcy trustee of MF Global in order to accelerate</w:t>
      </w:r>
      <w:r>
        <w:rPr>
          <w:rFonts w:ascii="Arial" w:cs="Arial" w:eastAsia="Arial" w:hAnsi="Arial"/>
          <w:sz w:val="16"/>
          <w:szCs w:val="16"/>
          <w:i w:val="1"/>
          <w:iCs w:val="1"/>
          <w:color w:val="auto"/>
        </w:rPr>
        <w:t xml:space="preserve"> </w:t>
      </w:r>
      <w:r>
        <w:rPr>
          <w:rFonts w:ascii="Arial" w:cs="Arial" w:eastAsia="Arial" w:hAnsi="Arial"/>
          <w:sz w:val="16"/>
          <w:szCs w:val="16"/>
          <w:color w:val="auto"/>
        </w:rPr>
        <w:t>the return of funds to MF Global customers. In the event that the trustee erroneously distributed more property than was permitted by the bankruptcy code and CFTC regulations to any former MF Global customer on or after November 16, 2011, the company will make a cash payment for the amount of the erroneous distribution up to $550.0 million to the trustee. A payment will only be made after the trustee makes reasonable efforts to collect the property erroneously distributed to the customer. If a payment is made by the company, the company will have the right to seek reimbursement of the erroneously distributed property from the applicable customer. The company believes that the likelihood of payment to the trustee is remote given the process in place to validate trust distributions. As a result, the guarantee liability is estimated to be immaterial at December 31, 2011.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INSTRUMENTS</w:t>
      </w:r>
    </w:p>
    <w:p>
      <w:pPr>
        <w:spacing w:after="0" w:line="94"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The company mitigates certain financial exposures to interest rate risk and foreign currency exchange rate risk through the use of derivative financial instruments as part of its risk management program. The company does not use derivative instruments for trading purposes. All derivatives have been designated as cash flow hedges.</w:t>
      </w:r>
    </w:p>
    <w:p>
      <w:pPr>
        <w:spacing w:after="0" w:line="12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At December 31, 2011, there were no derivative instrument assets or liabilities recorded in the consolidated balance sheet. The fair value of the interest rate derivative instruments was $11.8 million at December 31, 2010. The interest rate derivative instruments were included in other current liabilities in the consolidated balance sheet.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derivative instruments on the consolidated statements of income and consolidated statements of shareholders’ equity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4"/>
          </w:tcPr>
          <w:p>
            <w:pPr>
              <w:jc w:val="center"/>
              <w:ind w:right="114"/>
              <w:spacing w:after="0"/>
              <w:rPr>
                <w:sz w:val="20"/>
                <w:szCs w:val="20"/>
                <w:color w:val="auto"/>
              </w:rPr>
            </w:pPr>
            <w:r>
              <w:rPr>
                <w:rFonts w:ascii="Arial" w:cs="Arial" w:eastAsia="Arial" w:hAnsi="Arial"/>
                <w:sz w:val="14"/>
                <w:szCs w:val="14"/>
                <w:b w:val="1"/>
                <w:bCs w:val="1"/>
                <w:color w:val="auto"/>
                <w:w w:val="87"/>
              </w:rPr>
              <w:t>Gains (Losses)</w:t>
            </w:r>
          </w:p>
        </w:tc>
        <w:tc>
          <w:tcPr>
            <w:tcW w:w="120" w:type="dxa"/>
            <w:vAlign w:val="bottom"/>
          </w:tcPr>
          <w:p>
            <w:pPr>
              <w:spacing w:after="0"/>
              <w:rPr>
                <w:sz w:val="14"/>
                <w:szCs w:val="14"/>
                <w:color w:val="auto"/>
              </w:rPr>
            </w:pPr>
          </w:p>
        </w:tc>
        <w:tc>
          <w:tcPr>
            <w:tcW w:w="2940" w:type="dxa"/>
            <w:vAlign w:val="bottom"/>
            <w:gridSpan w:val="4"/>
            <w:vMerge w:val="restart"/>
          </w:tcPr>
          <w:p>
            <w:pPr>
              <w:jc w:val="center"/>
              <w:ind w:left="818"/>
              <w:spacing w:after="0"/>
              <w:rPr>
                <w:sz w:val="20"/>
                <w:szCs w:val="20"/>
                <w:color w:val="auto"/>
              </w:rPr>
            </w:pPr>
            <w:r>
              <w:rPr>
                <w:rFonts w:ascii="Arial" w:cs="Arial" w:eastAsia="Arial" w:hAnsi="Arial"/>
                <w:sz w:val="14"/>
                <w:szCs w:val="14"/>
                <w:b w:val="1"/>
                <w:bCs w:val="1"/>
                <w:color w:val="auto"/>
                <w:w w:val="90"/>
              </w:rPr>
              <w:t>Gains (Losses) Reclassified from</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Gains (Losses) Recognized in Income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4"/>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120" w:type="dxa"/>
            <w:vAlign w:val="bottom"/>
          </w:tcPr>
          <w:p>
            <w:pPr>
              <w:spacing w:after="0"/>
              <w:rPr>
                <w:sz w:val="12"/>
                <w:szCs w:val="12"/>
                <w:color w:val="auto"/>
              </w:rPr>
            </w:pPr>
          </w:p>
        </w:tc>
        <w:tc>
          <w:tcPr>
            <w:tcW w:w="29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gridSpan w:val="5"/>
            <w:vMerge w:val="continue"/>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114"/>
              <w:spacing w:after="0"/>
              <w:rPr>
                <w:sz w:val="20"/>
                <w:szCs w:val="20"/>
                <w:color w:val="auto"/>
              </w:rPr>
            </w:pPr>
            <w:r>
              <w:rPr>
                <w:rFonts w:ascii="Arial" w:cs="Arial" w:eastAsia="Arial" w:hAnsi="Arial"/>
                <w:sz w:val="14"/>
                <w:szCs w:val="14"/>
                <w:b w:val="1"/>
                <w:bCs w:val="1"/>
                <w:color w:val="auto"/>
                <w:w w:val="92"/>
              </w:rPr>
              <w:t>(Effective Portion)</w:t>
            </w:r>
          </w:p>
        </w:tc>
        <w:tc>
          <w:tcPr>
            <w:tcW w:w="120" w:type="dxa"/>
            <w:vAlign w:val="bottom"/>
          </w:tcPr>
          <w:p>
            <w:pPr>
              <w:spacing w:after="0"/>
              <w:rPr>
                <w:sz w:val="16"/>
                <w:szCs w:val="16"/>
                <w:color w:val="auto"/>
              </w:rPr>
            </w:pPr>
          </w:p>
        </w:tc>
        <w:tc>
          <w:tcPr>
            <w:tcW w:w="3160" w:type="dxa"/>
            <w:vAlign w:val="bottom"/>
            <w:tcBorders>
              <w:bottom w:val="single" w:sz="8" w:color="auto"/>
            </w:tcBorders>
            <w:gridSpan w:val="5"/>
          </w:tcPr>
          <w:p>
            <w:pPr>
              <w:jc w:val="center"/>
              <w:ind w:left="578"/>
              <w:spacing w:after="0"/>
              <w:rPr>
                <w:sz w:val="20"/>
                <w:szCs w:val="20"/>
                <w:color w:val="auto"/>
              </w:rPr>
            </w:pPr>
            <w:r>
              <w:rPr>
                <w:rFonts w:ascii="Arial" w:cs="Arial" w:eastAsia="Arial" w:hAnsi="Arial"/>
                <w:sz w:val="14"/>
                <w:szCs w:val="14"/>
                <w:b w:val="1"/>
                <w:bCs w:val="1"/>
                <w:color w:val="auto"/>
                <w:w w:val="95"/>
              </w:rPr>
              <w:t>Accumulated OCI (Effective Portion)</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4"/>
          </w:tcPr>
          <w:p>
            <w:pPr>
              <w:ind w:left="1300"/>
              <w:spacing w:after="0"/>
              <w:rPr>
                <w:sz w:val="20"/>
                <w:szCs w:val="20"/>
                <w:color w:val="auto"/>
              </w:rPr>
            </w:pPr>
            <w:r>
              <w:rPr>
                <w:rFonts w:ascii="Arial" w:cs="Arial" w:eastAsia="Arial" w:hAnsi="Arial"/>
                <w:sz w:val="14"/>
                <w:szCs w:val="14"/>
                <w:b w:val="1"/>
                <w:bCs w:val="1"/>
                <w:color w:val="auto"/>
              </w:rPr>
              <w:t>(Ineffective Portion)</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Location</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Location</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Contract Type: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Interest and other</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Gains (losses) on</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borrowing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derivative investments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Foreign exchange</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investments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investments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150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 xml:space="preserve">Interest Rate Derivatives. </w:t>
      </w:r>
      <w:r>
        <w:rPr>
          <w:rFonts w:ascii="Arial" w:cs="Arial" w:eastAsia="Arial" w:hAnsi="Arial"/>
          <w:sz w:val="18"/>
          <w:szCs w:val="18"/>
          <w:color w:val="auto"/>
        </w:rPr>
        <w:t>In connection with the issuance of floating rate debt in August and October 2008, the company entered into three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swap contracts, designated as cash flow hedges, for purposes of hedging against a change in interest payments due to fluctuations in the underlying benchmark rate. In December 2010, the company approved a plan to refinance the term loan in January 2011 resulting in an $8.6 million loss on derivative instruments as a result of ineffectiveness on the associated interest rate swap contract. In January 2011, the company recognized $0.2 million in interest expense and an additional $0.1 million loss on derivative instruments.</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February 2010, the company entered into a forward starting interest rate swap contract, designated as a cash flow hedge, for purposes of hedging against a change in interest payments due to fluctuations in the underlying benchmark rate between the date of the swap and the forecasted issuance of fixed rate debt in March 2010. The swap was highly effective. The loss on the derivative instrument will be recognized as interest expense over the life of the fixed rate debt. During 2011 and 2010, the company recognized $0.3 million and $0.2 million, respectively, in interest expense on the associated interest rate swap contract.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Foreign Currency Derivatives. </w:t>
      </w:r>
      <w:r>
        <w:rPr>
          <w:rFonts w:ascii="Arial" w:cs="Arial" w:eastAsia="Arial" w:hAnsi="Arial"/>
          <w:sz w:val="16"/>
          <w:szCs w:val="16"/>
          <w:color w:val="auto"/>
        </w:rPr>
        <w:t>In connection with its purchase of BM&amp;FBOVESPA stock in February 2008, CME Group purchased a put option to hedge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against changes in the fair value of BM&amp;FBOVESPA stock resulting from foreign currency rate fluctuations between the U.S. dollar and the Brazilian real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(BRL) beyond the option's exercise price. Lehman Brothers Special Financing Inc. (LBSF) was the sole counterparty to this option contract. 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15, 2008, Lehman Brothers Holdings Inc. (Lehman) filed for protection under Chapter 11 of the United States Bankruptcy Code. The bankruptcy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filing of Lehman was an event of default that gave the company the right to immediately terminate the put option agreement with LBSF. In March 2010,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recognized a $6.0 million gain on derivative instruments as a result of a settlement from the Lehman bankruptcy proceedings.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REDEEMABLE NON-CONTROLLING INTEREST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changes in redeemable non-controlling interest for the years presented:</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380"/>
              <w:spacing w:after="0"/>
              <w:rPr>
                <w:sz w:val="20"/>
                <w:szCs w:val="20"/>
                <w:color w:val="auto"/>
              </w:rPr>
            </w:pPr>
            <w:r>
              <w:rPr>
                <w:rFonts w:ascii="Arial" w:cs="Arial" w:eastAsia="Arial" w:hAnsi="Arial"/>
                <w:sz w:val="18"/>
                <w:szCs w:val="18"/>
                <w:color w:val="auto"/>
              </w:rPr>
              <w:t>Contribution by Dow Jones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675.0</w:t>
            </w:r>
          </w:p>
        </w:tc>
      </w:tr>
      <w:tr>
        <w:trPr>
          <w:trHeight w:val="27"/>
        </w:trPr>
        <w:tc>
          <w:tcPr>
            <w:tcW w:w="8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to Dow Jones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r>
      <w:tr>
        <w:trPr>
          <w:trHeight w:val="243"/>
        </w:trPr>
        <w:tc>
          <w:tcPr>
            <w:tcW w:w="8260" w:type="dxa"/>
            <w:vAlign w:val="bottom"/>
          </w:tcPr>
          <w:p>
            <w:pPr>
              <w:ind w:left="380"/>
              <w:spacing w:after="0"/>
              <w:rPr>
                <w:sz w:val="20"/>
                <w:szCs w:val="20"/>
                <w:color w:val="auto"/>
              </w:rPr>
            </w:pPr>
            <w:r>
              <w:rPr>
                <w:rFonts w:ascii="Arial" w:cs="Arial" w:eastAsia="Arial" w:hAnsi="Arial"/>
                <w:sz w:val="18"/>
                <w:szCs w:val="18"/>
                <w:color w:val="auto"/>
              </w:rPr>
              <w:t>Allocation of stock-based compensation</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comprehensive income attributable to redeemable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r>
      <w:tr>
        <w:trPr>
          <w:trHeight w:val="257"/>
        </w:trPr>
        <w:tc>
          <w:tcPr>
            <w:tcW w:w="826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68.1</w:t>
            </w:r>
          </w:p>
        </w:tc>
      </w:tr>
      <w:tr>
        <w:trPr>
          <w:trHeight w:val="20"/>
        </w:trPr>
        <w:tc>
          <w:tcPr>
            <w:tcW w:w="8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The following table presents information regarding capital stock:</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836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865"/>
        </w:trPr>
        <w:tc>
          <w:tcPr>
            <w:tcW w:w="1020" w:type="dxa"/>
            <w:vAlign w:val="bottom"/>
            <w:tcBorders>
              <w:top w:val="single" w:sz="8" w:color="0000FF"/>
            </w:tcBorders>
          </w:tcPr>
          <w:p>
            <w:pPr>
              <w:spacing w:after="0"/>
              <w:rPr>
                <w:sz w:val="24"/>
                <w:szCs w:val="24"/>
                <w:color w:val="auto"/>
              </w:rPr>
            </w:pPr>
          </w:p>
        </w:tc>
        <w:tc>
          <w:tcPr>
            <w:tcW w:w="7340" w:type="dxa"/>
            <w:vAlign w:val="bottom"/>
          </w:tcPr>
          <w:p>
            <w:pPr>
              <w:spacing w:after="0"/>
              <w:rPr>
                <w:sz w:val="24"/>
                <w:szCs w:val="24"/>
                <w:color w:val="auto"/>
              </w:rPr>
            </w:pPr>
          </w:p>
        </w:tc>
        <w:tc>
          <w:tcPr>
            <w:tcW w:w="2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64"/>
        </w:trPr>
        <w:tc>
          <w:tcPr>
            <w:tcW w:w="8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2011</w:t>
            </w: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Class A common stock authorized</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1,000,000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Class A common stock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66,128</w:t>
            </w:r>
          </w:p>
        </w:tc>
        <w:tc>
          <w:tcPr>
            <w:tcW w:w="1000" w:type="dxa"/>
            <w:vAlign w:val="bottom"/>
          </w:tcPr>
          <w:p>
            <w:pPr>
              <w:jc w:val="right"/>
              <w:spacing w:after="0"/>
              <w:rPr>
                <w:sz w:val="20"/>
                <w:szCs w:val="20"/>
                <w:color w:val="auto"/>
              </w:rPr>
            </w:pPr>
            <w:r>
              <w:rPr>
                <w:rFonts w:ascii="Arial" w:cs="Arial" w:eastAsia="Arial" w:hAnsi="Arial"/>
                <w:sz w:val="18"/>
                <w:szCs w:val="18"/>
                <w:color w:val="auto"/>
              </w:rPr>
              <w:t>66,847</w:t>
            </w:r>
          </w:p>
        </w:tc>
      </w:tr>
      <w:tr>
        <w:trPr>
          <w:trHeight w:val="27"/>
        </w:trPr>
        <w:tc>
          <w:tcPr>
            <w:tcW w:w="10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Class B-1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0.6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Class B-2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0.8</w:t>
            </w: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10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Class B-3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Class B-4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0.4</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CME Group has no shares of preferred stock issued and outstanding.</w:t>
      </w:r>
    </w:p>
    <w:p>
      <w:pPr>
        <w:spacing w:after="0" w:line="11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Associated Trading Rights. </w:t>
      </w:r>
      <w:r>
        <w:rPr>
          <w:rFonts w:ascii="Arial" w:cs="Arial" w:eastAsia="Arial" w:hAnsi="Arial"/>
          <w:sz w:val="17"/>
          <w:szCs w:val="17"/>
          <w:color w:val="auto"/>
        </w:rPr>
        <w:t>Members of CME, CBOT, NYMEX and COMEX own or lease trading rights which entitle them to access the trading floors,</w:t>
      </w:r>
      <w:r>
        <w:rPr>
          <w:rFonts w:ascii="Arial" w:cs="Arial" w:eastAsia="Arial" w:hAnsi="Arial"/>
          <w:sz w:val="17"/>
          <w:szCs w:val="17"/>
          <w:b w:val="1"/>
          <w:bCs w:val="1"/>
          <w:color w:val="auto"/>
        </w:rPr>
        <w:t xml:space="preserve"> </w:t>
      </w:r>
      <w:r>
        <w:rPr>
          <w:rFonts w:ascii="Arial" w:cs="Arial" w:eastAsia="Arial" w:hAnsi="Arial"/>
          <w:sz w:val="17"/>
          <w:szCs w:val="17"/>
          <w:color w:val="auto"/>
        </w:rPr>
        <w:t>discounts on trading fees and the right to vote on certain exchange matters as provided for by the rules of the particular exchange and CME Group's or the subsidiaries'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representation on the board of directors and approval rights with respect to the core rights described below.</w:t>
      </w:r>
    </w:p>
    <w:p>
      <w:pPr>
        <w:spacing w:after="0" w:line="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Trading rights at CBOT are evidenced by Class B memberships in CBOT, at NYMEX by Class A memberships in NYMEX and at COMEX by COMEX Division Memberships in COMEX. Members of the CBOT, NYMEX and COMEX exchanges do not have any rights to elect members of the board of directors and are not entitled to receive dividends or other distributions on their memberships. The company is, however, required to have at least 10 CBOT directors (as defined by its bylaws) until its 2012 annual meeting.</w:t>
      </w:r>
    </w:p>
    <w:p>
      <w:pPr>
        <w:spacing w:after="0" w:line="75"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 xml:space="preserve">Core Rights. </w:t>
      </w:r>
      <w:r>
        <w:rPr>
          <w:rFonts w:ascii="Arial" w:cs="Arial" w:eastAsia="Arial" w:hAnsi="Arial"/>
          <w:sz w:val="17"/>
          <w:szCs w:val="17"/>
          <w:color w:val="auto"/>
        </w:rPr>
        <w:t>Holders of CME Group Class B common shares have the right to approve changes in specified rights relating to the trading privileges at CME</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 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66"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With the exception of the matters reserved to holders of CME Group Class B common stock, holders of CME Group common stock vote</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on all matters for which a vote of common shareholders is required. In these votes, each holder of shares of Class A or Class B common stock of CME Group has one vote per share.</w:t>
      </w:r>
    </w:p>
    <w:p>
      <w:pPr>
        <w:spacing w:after="0" w:line="68"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Each class of CME Group Class B common stock is subject to transfer restrictions contained in the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 These transfer restrictions prohibit the sale or transfer of any shares of Class B common stock separate from the sale of the associated trading rights.</w:t>
      </w:r>
    </w:p>
    <w:p>
      <w:pPr>
        <w:spacing w:after="0" w:line="68"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 xml:space="preserve">Election of Directors. </w:t>
      </w:r>
      <w:r>
        <w:rPr>
          <w:rFonts w:ascii="Arial" w:cs="Arial" w:eastAsia="Arial" w:hAnsi="Arial"/>
          <w:sz w:val="17"/>
          <w:szCs w:val="17"/>
          <w:color w:val="auto"/>
        </w:rPr>
        <w:t>The CME Group Board of Directors is currently comprised of 32 members, including 10 CBOT directors (as defined by its bylaws).</w:t>
      </w:r>
      <w:r>
        <w:rPr>
          <w:rFonts w:ascii="Arial" w:cs="Arial" w:eastAsia="Arial" w:hAnsi="Arial"/>
          <w:sz w:val="17"/>
          <w:szCs w:val="17"/>
          <w:b w:val="1"/>
          <w:bCs w:val="1"/>
          <w:color w:val="auto"/>
        </w:rPr>
        <w:t xml:space="preserve"> </w:t>
      </w:r>
      <w:r>
        <w:rPr>
          <w:rFonts w:ascii="Arial" w:cs="Arial" w:eastAsia="Arial" w:hAnsi="Arial"/>
          <w:sz w:val="17"/>
          <w:szCs w:val="17"/>
          <w:color w:val="auto"/>
        </w:rPr>
        <w:t>Until CME Group's 2012 annual meeting, its board must include at least 10 CBOT directors. Holders of Class B-1, Class B-2 and Class B-3 common 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5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of CME Group are entitled to receive proportionately such dividends, if any, as may be declared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CME Group board of directors.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Shareholder Rights Provisions. </w:t>
      </w:r>
      <w:r>
        <w:rPr>
          <w:rFonts w:ascii="Arial" w:cs="Arial" w:eastAsia="Arial" w:hAnsi="Arial"/>
          <w:sz w:val="16"/>
          <w:szCs w:val="16"/>
          <w:color w:val="auto"/>
        </w:rPr>
        <w:t>The board of directors of CME Group previously adopted a plan creating rights that entitle CME Group's shareholders to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purchase shares of CME Group stock in the event that a third party initiates a transaction designed to take over the company. The plan expired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 2011. The company plans to request shareholder approval of certain amendments to its Certificate of Incorporation to remove the designation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Series A Junior Participating Preferred Stock at its 2012 annual meeting.</w:t>
      </w:r>
    </w:p>
    <w:p>
      <w:pPr>
        <w:spacing w:after="0" w:line="9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CME Group Omnibus Stock Plan. </w:t>
      </w:r>
      <w:r>
        <w:rPr>
          <w:rFonts w:ascii="Arial" w:cs="Arial" w:eastAsia="Arial" w:hAnsi="Arial"/>
          <w:sz w:val="18"/>
          <w:szCs w:val="18"/>
          <w:color w:val="auto"/>
        </w:rPr>
        <w:t>CME Group has adopted an Omnibus Stock Plan under which stock-based awards may be made to employees. A total of</w:t>
      </w:r>
      <w:r>
        <w:rPr>
          <w:rFonts w:ascii="Arial" w:cs="Arial" w:eastAsia="Arial" w:hAnsi="Arial"/>
          <w:sz w:val="18"/>
          <w:szCs w:val="18"/>
          <w:b w:val="1"/>
          <w:bCs w:val="1"/>
          <w:color w:val="auto"/>
        </w:rPr>
        <w:t xml:space="preserve"> </w:t>
      </w:r>
      <w:r>
        <w:rPr>
          <w:rFonts w:ascii="Arial" w:cs="Arial" w:eastAsia="Arial" w:hAnsi="Arial"/>
          <w:sz w:val="18"/>
          <w:szCs w:val="18"/>
          <w:color w:val="auto"/>
        </w:rPr>
        <w:t>8.0 million Class A shares have been reserved for awards under the plan. Awards totaling 4.4 million shares have been granted and are outstanding or have been exercised under this plan at December 31, 2011 (note 18).</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CBOT Holdings Long-Term Equity Incentive Plan. </w:t>
      </w:r>
      <w:r>
        <w:rPr>
          <w:rFonts w:ascii="Arial" w:cs="Arial" w:eastAsia="Arial" w:hAnsi="Arial"/>
          <w:sz w:val="18"/>
          <w:szCs w:val="18"/>
          <w:color w:val="auto"/>
        </w:rPr>
        <w:t>In connection with the merger with CBOT Holdings, CME Group</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14" w:right="2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assumed CBOT Holdings' 2005 Long-Term Equity Incentive Plan. Under the plan, stock-based awards may be made to certain directors, officers and other key employees or individuals. A total of 0.4 million shares have been reserved for awards under the plan. In connection with receiving shareholder approval to increase the amount of authorized shares under the Omnibus Stock Plan in May 2009, the company undertook to freeze future awards under this plan. As a result, 0.3 million shares that remained authorized for future awards under this plan were frozen.</w:t>
      </w:r>
    </w:p>
    <w:p>
      <w:pPr>
        <w:spacing w:after="0" w:line="5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NYMEX Holdings Omnibus Long-Term Incentive Plan. </w:t>
      </w:r>
      <w:r>
        <w:rPr>
          <w:rFonts w:ascii="Arial" w:cs="Arial" w:eastAsia="Arial" w:hAnsi="Arial"/>
          <w:sz w:val="16"/>
          <w:szCs w:val="16"/>
          <w:color w:val="auto"/>
        </w:rPr>
        <w:t>In connection with the merger with NYMEX Holdings, CME Group assumed NYMEX Holdings'</w:t>
      </w:r>
      <w:r>
        <w:rPr>
          <w:rFonts w:ascii="Arial" w:cs="Arial" w:eastAsia="Arial" w:hAnsi="Arial"/>
          <w:sz w:val="16"/>
          <w:szCs w:val="16"/>
          <w:b w:val="1"/>
          <w:bCs w:val="1"/>
          <w:color w:val="auto"/>
        </w:rPr>
        <w:t xml:space="preserve"> </w:t>
      </w:r>
      <w:r>
        <w:rPr>
          <w:rFonts w:ascii="Arial" w:cs="Arial" w:eastAsia="Arial" w:hAnsi="Arial"/>
          <w:sz w:val="16"/>
          <w:szCs w:val="16"/>
          <w:color w:val="auto"/>
        </w:rPr>
        <w:t>2006 Omnibus Long-Term Incentive Plan. Under the plan, stock-based awards may be made to any director, officer or employee of the company and other key individuals providing services to the company. A total of 1.0 million shares have been reserved for awards under the plan. In connection with receiving shareholder approval to increase the amount of authorized shares under the Omnibus Stock Plan in May 2009, the company undertook to freeze future awards under this plan. As a result, 0.7 million shares that remained authorized for future awards under this plan were frozen.</w:t>
      </w:r>
    </w:p>
    <w:p>
      <w:pPr>
        <w:spacing w:after="0" w:line="46"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b w:val="1"/>
          <w:bCs w:val="1"/>
          <w:color w:val="auto"/>
        </w:rPr>
        <w:t xml:space="preserve">Director Stock Plan. </w:t>
      </w:r>
      <w:r>
        <w:rPr>
          <w:rFonts w:ascii="Arial" w:cs="Arial" w:eastAsia="Arial" w:hAnsi="Arial"/>
          <w:sz w:val="18"/>
          <w:szCs w:val="18"/>
          <w:color w:val="auto"/>
        </w:rPr>
        <w:t>CME Group has adopted a Director Stock Plan under which awards are made to non-executive directors as part of their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 total of 125,000 Class A shares have been reserved under this plan, and approximately 42,000 shares have been awarded through December 31, 2011.</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CME Group has adopted an Employee Stock Purchase Plan (ESPP) under which employees may purchase Class A shares at</w:t>
      </w:r>
      <w:r>
        <w:rPr>
          <w:rFonts w:ascii="Arial" w:cs="Arial" w:eastAsia="Arial" w:hAnsi="Arial"/>
          <w:sz w:val="18"/>
          <w:szCs w:val="18"/>
          <w:b w:val="1"/>
          <w:bCs w:val="1"/>
          <w:color w:val="auto"/>
        </w:rPr>
        <w:t xml:space="preserve"> </w:t>
      </w:r>
      <w:r>
        <w:rPr>
          <w:rFonts w:ascii="Arial" w:cs="Arial" w:eastAsia="Arial" w:hAnsi="Arial"/>
          <w:sz w:val="18"/>
          <w:szCs w:val="18"/>
          <w:color w:val="auto"/>
        </w:rPr>
        <w:t>90% of the market value of the shares using after-tax payroll deductions. A total of 40,000 Class A shares have been reserved under this plan, of which approximately 26,000 shares have been purchased through December 31, 2011 (note 18).</w:t>
      </w:r>
    </w:p>
    <w:p>
      <w:pPr>
        <w:spacing w:after="0" w:line="68"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In June 2008, CME Group was authorized by its board of directors to pursue new initiatives to return capital to shareholders.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initiatives included a share buyback program of up to $1.1 billion of CME Group Class A common stock, subject to market conditions through December 2009. The board's authorization permitted the repurchase of shares through the open market, an accelerated program, a tender offer or privately negotiated transactions. The number of shares purchased under the program was 0.9 million shares at an average price per share of $272 for a total cost of $250.8 million.</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February 2010, CME Group was authorized by its board of directors to purchase up to 2.35 million shares of Class A common stock. The authorization of the repurchase was approved in connection with the company's agreement to issue additional Class A common shares to BM&amp;FBOVESPA to increase its aggregate share ownership in the company to 5%. During 2010, 2.0 million shares were purchased at an average price of $287 per share for a total cost of $575.3 million. This plan's authorization has expired.</w:t>
      </w:r>
    </w:p>
    <w:p>
      <w:pPr>
        <w:spacing w:after="0" w:line="7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 May 2011, the board of directors authorized a share buyback program of up to $750.0 million of CME Group Class A common stock over a 12 month period. During 2011, 0.8 million shares were purchased at an average price of $272 per share for a total cost of $220.4 million.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PAYMENTS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CME Group adopted an Omnibus Stock Plan under which stock-based awards may be made to employees. A total of 8.0 million Class A shares have been reserved for awards under the plan. Awards totaling 4.4 million shares have been granted and are outstanding or have been exercised under the plan as of December 31, 2011. Awards granted before 2009 generally vest over a five-year period, with 20% vesting one year after the grant date and on that same date in each of the following four years. Beginning in 2009, awards granted generally vest over a four-year period, with 25% vesting one year after the grant date and on that same date in each of the following three years.</w:t>
      </w:r>
    </w:p>
    <w:p>
      <w:pPr>
        <w:spacing w:after="0" w:line="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compensation expense for stock-based payments and total income tax benefit recognized in the consolidated statements of income for stock-based awards were as follows:</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2009</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40.9</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33.4</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Income tax benefit recognized</w:t>
            </w:r>
          </w:p>
        </w:tc>
        <w:tc>
          <w:tcPr>
            <w:tcW w:w="258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18.8</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16.4</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13.4</w:t>
            </w:r>
          </w:p>
        </w:tc>
      </w:tr>
    </w:tbl>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Excluding estimates of future forfeitures, at December 31, 2011, there was $92.1 million of total unrecognized compensation expense related to employee stock-based compensation arrangements that had not yet vested. This expense is expected to be recognized over a weighted average period of 2.0 years.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2011, the company granted employees stock options totaling 273,916 shares under the Omnibus Stock Plan. The options have a ten-year term with exercise prices ranging from $239 to $286, the closing market prices on the grant dates. The fair value of these options, which was measured at the grant dates using the Black-Scholes valuation model, totaled $25.4 million. The fair value is recognized as compensation expense on an accelerated basis over the vesting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Black-Scholes fair value of each option grant was calculated using the following assumptions: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674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582"/>
        </w:trPr>
        <w:tc>
          <w:tcPr>
            <w:tcW w:w="1020" w:type="dxa"/>
            <w:vAlign w:val="bottom"/>
            <w:tcBorders>
              <w:top w:val="single" w:sz="8" w:color="0000FF"/>
            </w:tcBorders>
          </w:tcPr>
          <w:p>
            <w:pPr>
              <w:spacing w:after="0"/>
              <w:rPr>
                <w:sz w:val="24"/>
                <w:szCs w:val="24"/>
                <w:color w:val="auto"/>
              </w:rPr>
            </w:pPr>
          </w:p>
        </w:tc>
        <w:tc>
          <w:tcPr>
            <w:tcW w:w="57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Grant Year</w:t>
            </w:r>
          </w:p>
        </w:tc>
        <w:tc>
          <w:tcPr>
            <w:tcW w:w="1600" w:type="dxa"/>
            <w:vAlign w:val="bottom"/>
            <w:tcBorders>
              <w:bottom w:val="single" w:sz="8" w:color="auto"/>
            </w:tcBorders>
          </w:tcPr>
          <w:p>
            <w:pPr>
              <w:spacing w:after="0"/>
              <w:rPr>
                <w:sz w:val="24"/>
                <w:szCs w:val="24"/>
                <w:color w:val="auto"/>
              </w:rPr>
            </w:pPr>
          </w:p>
        </w:tc>
      </w:tr>
      <w:tr>
        <w:trPr>
          <w:trHeight w:val="264"/>
        </w:trPr>
        <w:tc>
          <w:tcPr>
            <w:tcW w:w="1020" w:type="dxa"/>
            <w:vAlign w:val="bottom"/>
            <w:tcBorders>
              <w:bottom w:val="single" w:sz="8" w:color="auto"/>
            </w:tcBorders>
          </w:tcPr>
          <w:p>
            <w:pPr>
              <w:spacing w:after="0"/>
              <w:rPr>
                <w:sz w:val="22"/>
                <w:szCs w:val="22"/>
                <w:color w:val="auto"/>
              </w:rPr>
            </w:pPr>
          </w:p>
        </w:tc>
        <w:tc>
          <w:tcPr>
            <w:tcW w:w="57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60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89"/>
              </w:rPr>
              <w:t>2009</w:t>
            </w: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620" w:type="dxa"/>
            <w:vAlign w:val="bottom"/>
            <w:tcBorders>
              <w:bottom w:val="single" w:sz="8" w:color="CCEEFF"/>
            </w:tcBorders>
            <w:shd w:val="clear" w:color="auto" w:fill="CCEEFF"/>
          </w:tcPr>
          <w:p>
            <w:pPr>
              <w:jc w:val="center"/>
              <w:ind w:right="34"/>
              <w:spacing w:after="0"/>
              <w:rPr>
                <w:sz w:val="20"/>
                <w:szCs w:val="20"/>
                <w:color w:val="auto"/>
              </w:rPr>
            </w:pPr>
            <w:r>
              <w:rPr>
                <w:rFonts w:ascii="Arial" w:cs="Arial" w:eastAsia="Arial" w:hAnsi="Arial"/>
                <w:sz w:val="18"/>
                <w:szCs w:val="18"/>
                <w:color w:val="auto"/>
                <w:w w:val="93"/>
              </w:rPr>
              <w:t>1.2%-2.4%</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1.4%-1.7%</w:t>
            </w:r>
          </w:p>
        </w:tc>
        <w:tc>
          <w:tcPr>
            <w:tcW w:w="160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0"/>
              </w:rPr>
              <w:t>1.4%-2.4%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1620" w:type="dxa"/>
            <w:vAlign w:val="bottom"/>
          </w:tcPr>
          <w:p>
            <w:pPr>
              <w:jc w:val="center"/>
              <w:ind w:right="34"/>
              <w:spacing w:after="0"/>
              <w:rPr>
                <w:sz w:val="20"/>
                <w:szCs w:val="20"/>
                <w:color w:val="auto"/>
              </w:rPr>
            </w:pPr>
            <w:r>
              <w:rPr>
                <w:rFonts w:ascii="Arial" w:cs="Arial" w:eastAsia="Arial" w:hAnsi="Arial"/>
                <w:sz w:val="18"/>
                <w:szCs w:val="18"/>
                <w:color w:val="auto"/>
                <w:w w:val="89"/>
              </w:rPr>
              <w:t>41%-42%</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42%-44%</w:t>
            </w:r>
          </w:p>
        </w:tc>
        <w:tc>
          <w:tcPr>
            <w:tcW w:w="1600" w:type="dxa"/>
            <w:vAlign w:val="bottom"/>
          </w:tcPr>
          <w:p>
            <w:pPr>
              <w:jc w:val="center"/>
              <w:ind w:left="34"/>
              <w:spacing w:after="0"/>
              <w:rPr>
                <w:sz w:val="20"/>
                <w:szCs w:val="20"/>
                <w:color w:val="auto"/>
              </w:rPr>
            </w:pPr>
            <w:r>
              <w:rPr>
                <w:rFonts w:ascii="Arial" w:cs="Arial" w:eastAsia="Arial" w:hAnsi="Arial"/>
                <w:sz w:val="18"/>
                <w:szCs w:val="18"/>
                <w:color w:val="auto"/>
                <w:w w:val="92"/>
              </w:rPr>
              <w:t>45%-49%</w:t>
            </w:r>
          </w:p>
        </w:tc>
      </w:tr>
      <w:tr>
        <w:trPr>
          <w:trHeight w:val="27"/>
        </w:trPr>
        <w:tc>
          <w:tcPr>
            <w:tcW w:w="10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620" w:type="dxa"/>
            <w:vAlign w:val="bottom"/>
            <w:tcBorders>
              <w:bottom w:val="single" w:sz="8" w:color="CCEEFF"/>
            </w:tcBorders>
            <w:shd w:val="clear" w:color="auto" w:fill="CCEEFF"/>
          </w:tcPr>
          <w:p>
            <w:pPr>
              <w:jc w:val="center"/>
              <w:ind w:right="34"/>
              <w:spacing w:after="0"/>
              <w:rPr>
                <w:sz w:val="20"/>
                <w:szCs w:val="20"/>
                <w:color w:val="auto"/>
              </w:rPr>
            </w:pPr>
            <w:r>
              <w:rPr>
                <w:rFonts w:ascii="Arial" w:cs="Arial" w:eastAsia="Arial" w:hAnsi="Arial"/>
                <w:sz w:val="18"/>
                <w:szCs w:val="18"/>
                <w:color w:val="auto"/>
                <w:w w:val="93"/>
              </w:rPr>
              <w:t>2.0%-2.3%</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1.9%-2.9%</w:t>
            </w:r>
          </w:p>
        </w:tc>
        <w:tc>
          <w:tcPr>
            <w:tcW w:w="160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0"/>
              </w:rPr>
              <w:t>2.4%-3.2%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Expected life</w:t>
            </w:r>
          </w:p>
        </w:tc>
        <w:tc>
          <w:tcPr>
            <w:tcW w:w="1620" w:type="dxa"/>
            <w:vAlign w:val="bottom"/>
          </w:tcPr>
          <w:p>
            <w:pPr>
              <w:ind w:left="200"/>
              <w:spacing w:after="0"/>
              <w:rPr>
                <w:sz w:val="20"/>
                <w:szCs w:val="20"/>
                <w:color w:val="auto"/>
              </w:rPr>
            </w:pPr>
            <w:r>
              <w:rPr>
                <w:rFonts w:ascii="Arial" w:cs="Arial" w:eastAsia="Arial" w:hAnsi="Arial"/>
                <w:sz w:val="18"/>
                <w:szCs w:val="18"/>
                <w:color w:val="auto"/>
              </w:rPr>
              <w:t>5.6 to 6.2 years</w:t>
            </w:r>
          </w:p>
        </w:tc>
        <w:tc>
          <w:tcPr>
            <w:tcW w:w="1460" w:type="dxa"/>
            <w:vAlign w:val="bottom"/>
          </w:tcPr>
          <w:p>
            <w:pPr>
              <w:jc w:val="center"/>
              <w:spacing w:after="0"/>
              <w:rPr>
                <w:sz w:val="20"/>
                <w:szCs w:val="20"/>
                <w:color w:val="auto"/>
              </w:rPr>
            </w:pPr>
            <w:r>
              <w:rPr>
                <w:rFonts w:ascii="Arial" w:cs="Arial" w:eastAsia="Arial" w:hAnsi="Arial"/>
                <w:sz w:val="18"/>
                <w:szCs w:val="18"/>
                <w:color w:val="auto"/>
                <w:w w:val="86"/>
              </w:rPr>
              <w:t>6.2 years</w:t>
            </w:r>
          </w:p>
        </w:tc>
        <w:tc>
          <w:tcPr>
            <w:tcW w:w="1600" w:type="dxa"/>
            <w:vAlign w:val="bottom"/>
          </w:tcPr>
          <w:p>
            <w:pPr>
              <w:ind w:left="320"/>
              <w:spacing w:after="0"/>
              <w:rPr>
                <w:sz w:val="20"/>
                <w:szCs w:val="20"/>
                <w:color w:val="auto"/>
              </w:rPr>
            </w:pPr>
            <w:r>
              <w:rPr>
                <w:rFonts w:ascii="Arial" w:cs="Arial" w:eastAsia="Arial" w:hAnsi="Arial"/>
                <w:sz w:val="18"/>
                <w:szCs w:val="18"/>
                <w:color w:val="auto"/>
              </w:rPr>
              <w:t>6.2 to 6.5 years</w:t>
            </w:r>
          </w:p>
        </w:tc>
      </w:tr>
    </w:tbl>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dividend yield was calculated by dividing that year's expected quarterly dividends by the market price of the stock at the dates of grant. A weighting of implied and historical volatility was used to estimate expected future volatility. The risk-free interest rate was based on the U.S. Treasury yield in effect at the time of each grant. The expected life of options granted has been determined using the simplified method as outlined in guidance from the Securities and Exchange Commission.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2011. Aggregate intrinsic value is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jc w:val="center"/>
              <w:ind w:left="464"/>
              <w:spacing w:after="0"/>
              <w:rPr>
                <w:sz w:val="20"/>
                <w:szCs w:val="20"/>
                <w:color w:val="auto"/>
              </w:rPr>
            </w:pPr>
            <w:r>
              <w:rPr>
                <w:rFonts w:ascii="Arial" w:cs="Arial" w:eastAsia="Arial" w:hAnsi="Arial"/>
                <w:sz w:val="14"/>
                <w:szCs w:val="14"/>
                <w:b w:val="1"/>
                <w:bCs w:val="1"/>
                <w:color w:val="auto"/>
                <w:w w:val="91"/>
              </w:rPr>
              <w:t>Weighted</w:t>
            </w:r>
          </w:p>
        </w:tc>
        <w:tc>
          <w:tcPr>
            <w:tcW w:w="500" w:type="dxa"/>
            <w:vAlign w:val="bottom"/>
          </w:tcPr>
          <w:p>
            <w:pPr>
              <w:spacing w:after="0"/>
              <w:rPr>
                <w:sz w:val="14"/>
                <w:szCs w:val="14"/>
                <w:color w:val="auto"/>
              </w:rPr>
            </w:pPr>
          </w:p>
        </w:tc>
        <w:tc>
          <w:tcPr>
            <w:tcW w:w="172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1"/>
              </w:rPr>
              <w:t>Weighted Average</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tcPr>
          <w:p>
            <w:pPr>
              <w:jc w:val="center"/>
              <w:ind w:left="464"/>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3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160" w:type="dxa"/>
            <w:vAlign w:val="bottom"/>
          </w:tcPr>
          <w:p>
            <w:pPr>
              <w:jc w:val="center"/>
              <w:ind w:left="444"/>
              <w:spacing w:after="0" w:line="149" w:lineRule="exact"/>
              <w:rPr>
                <w:sz w:val="20"/>
                <w:szCs w:val="20"/>
                <w:color w:val="auto"/>
              </w:rPr>
            </w:pPr>
            <w:r>
              <w:rPr>
                <w:rFonts w:ascii="Arial" w:cs="Arial" w:eastAsia="Arial" w:hAnsi="Arial"/>
                <w:sz w:val="14"/>
                <w:szCs w:val="14"/>
                <w:b w:val="1"/>
                <w:bCs w:val="1"/>
                <w:color w:val="auto"/>
                <w:w w:val="90"/>
              </w:rPr>
              <w:t>Exercise</w:t>
            </w:r>
          </w:p>
        </w:tc>
        <w:tc>
          <w:tcPr>
            <w:tcW w:w="500" w:type="dxa"/>
            <w:vAlign w:val="bottom"/>
          </w:tcPr>
          <w:p>
            <w:pPr>
              <w:spacing w:after="0"/>
              <w:rPr>
                <w:sz w:val="12"/>
                <w:szCs w:val="12"/>
                <w:color w:val="auto"/>
              </w:rPr>
            </w:pPr>
          </w:p>
        </w:tc>
        <w:tc>
          <w:tcPr>
            <w:tcW w:w="17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4"/>
              </w:rPr>
              <w:t>Remaining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left="444"/>
              <w:spacing w:after="0"/>
              <w:rPr>
                <w:sz w:val="20"/>
                <w:szCs w:val="20"/>
                <w:color w:val="auto"/>
              </w:rPr>
            </w:pPr>
            <w:r>
              <w:rPr>
                <w:rFonts w:ascii="Arial" w:cs="Arial" w:eastAsia="Arial" w:hAnsi="Arial"/>
                <w:sz w:val="14"/>
                <w:szCs w:val="14"/>
                <w:b w:val="1"/>
                <w:bCs w:val="1"/>
                <w:color w:val="auto"/>
                <w:w w:val="93"/>
              </w:rPr>
              <w:t>Price</w:t>
            </w:r>
          </w:p>
        </w:tc>
        <w:tc>
          <w:tcPr>
            <w:tcW w:w="5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5"/>
              </w:rPr>
              <w:t>Contractual Life</w:t>
            </w:r>
          </w:p>
        </w:tc>
        <w:tc>
          <w:tcPr>
            <w:tcW w:w="13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2010</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1,217,121</w:t>
            </w:r>
          </w:p>
        </w:tc>
        <w:tc>
          <w:tcPr>
            <w:tcW w:w="1160" w:type="dxa"/>
            <w:vAlign w:val="bottom"/>
            <w:tcBorders>
              <w:bottom w:val="single" w:sz="8" w:color="CCEEFF"/>
            </w:tcBorders>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307</w:t>
            </w:r>
          </w:p>
        </w:tc>
        <w:tc>
          <w:tcPr>
            <w:tcW w:w="1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5"/>
              </w:rPr>
              <w:t>6.6 years  $</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273,916</w:t>
            </w:r>
          </w:p>
        </w:tc>
        <w:tc>
          <w:tcPr>
            <w:tcW w:w="1160" w:type="dxa"/>
            <w:vAlign w:val="bottom"/>
          </w:tcPr>
          <w:p>
            <w:pPr>
              <w:spacing w:after="0"/>
              <w:rPr>
                <w:sz w:val="21"/>
                <w:szCs w:val="21"/>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w w:val="99"/>
              </w:rPr>
              <w:t>272</w:t>
            </w:r>
          </w:p>
        </w:tc>
        <w:tc>
          <w:tcPr>
            <w:tcW w:w="1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(34,007)</w:t>
            </w: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169</w:t>
            </w:r>
          </w:p>
        </w:tc>
        <w:tc>
          <w:tcPr>
            <w:tcW w:w="1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480" w:type="dxa"/>
            <w:vAlign w:val="bottom"/>
          </w:tcPr>
          <w:p>
            <w:pPr>
              <w:jc w:val="right"/>
              <w:spacing w:after="0"/>
              <w:rPr>
                <w:sz w:val="20"/>
                <w:szCs w:val="20"/>
                <w:color w:val="auto"/>
              </w:rPr>
            </w:pPr>
            <w:r>
              <w:rPr>
                <w:rFonts w:ascii="Arial" w:cs="Arial" w:eastAsia="Arial" w:hAnsi="Arial"/>
                <w:sz w:val="18"/>
                <w:szCs w:val="18"/>
                <w:color w:val="auto"/>
              </w:rPr>
              <w:t>(39,814)</w:t>
            </w:r>
          </w:p>
        </w:tc>
        <w:tc>
          <w:tcPr>
            <w:tcW w:w="1160" w:type="dxa"/>
            <w:vAlign w:val="bottom"/>
          </w:tcPr>
          <w:p>
            <w:pPr>
              <w:spacing w:after="0"/>
              <w:rPr>
                <w:sz w:val="21"/>
                <w:szCs w:val="21"/>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w w:val="99"/>
              </w:rPr>
              <w:t>373</w:t>
            </w:r>
          </w:p>
        </w:tc>
        <w:tc>
          <w:tcPr>
            <w:tcW w:w="1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2011</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1,417,216</w:t>
            </w:r>
          </w:p>
        </w:tc>
        <w:tc>
          <w:tcPr>
            <w:tcW w:w="1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302</w:t>
            </w:r>
          </w:p>
        </w:tc>
        <w:tc>
          <w:tcPr>
            <w:tcW w:w="1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6.4 years</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
              <w:spacing w:after="0"/>
              <w:rPr>
                <w:sz w:val="20"/>
                <w:szCs w:val="20"/>
                <w:color w:val="auto"/>
              </w:rPr>
            </w:pPr>
            <w:r>
              <w:rPr>
                <w:rFonts w:ascii="Arial" w:cs="Arial" w:eastAsia="Arial" w:hAnsi="Arial"/>
                <w:sz w:val="18"/>
                <w:szCs w:val="18"/>
                <w:color w:val="auto"/>
              </w:rPr>
              <w:t>Exercisable at December 31, 2011</w:t>
            </w: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20" w:type="dxa"/>
            <w:vAlign w:val="bottom"/>
            <w:vMerge w:val="continue"/>
          </w:tcPr>
          <w:p>
            <w:pPr>
              <w:spacing w:after="0"/>
              <w:rPr>
                <w:sz w:val="21"/>
                <w:szCs w:val="21"/>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777,232</w:t>
            </w:r>
          </w:p>
        </w:tc>
        <w:tc>
          <w:tcPr>
            <w:tcW w:w="1160" w:type="dxa"/>
            <w:vAlign w:val="bottom"/>
          </w:tcPr>
          <w:p>
            <w:pPr>
              <w:spacing w:after="0"/>
              <w:rPr>
                <w:sz w:val="21"/>
                <w:szCs w:val="21"/>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w w:val="99"/>
              </w:rPr>
              <w:t>306</w:t>
            </w:r>
          </w:p>
        </w:tc>
        <w:tc>
          <w:tcPr>
            <w:tcW w:w="1720" w:type="dxa"/>
            <w:vAlign w:val="bottom"/>
          </w:tcPr>
          <w:p>
            <w:pPr>
              <w:ind w:left="800"/>
              <w:spacing w:after="0"/>
              <w:rPr>
                <w:sz w:val="20"/>
                <w:szCs w:val="20"/>
                <w:color w:val="auto"/>
              </w:rPr>
            </w:pPr>
            <w:r>
              <w:rPr>
                <w:rFonts w:ascii="Arial" w:cs="Arial" w:eastAsia="Arial" w:hAnsi="Arial"/>
                <w:sz w:val="18"/>
                <w:szCs w:val="18"/>
                <w:color w:val="auto"/>
              </w:rPr>
              <w:t>4.6 years</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weighted average grant date fair value of options granted during 2011, 2010, and 2009 was $93, $101 and $117 per share, respectively. The total intrinsic value of options exercised during the years ended December 31, 2011, 2010 and 2009, was $4.2 million, $15.6 million and $14.6 million, respectively.</w:t>
      </w:r>
    </w:p>
    <w:p>
      <w:pPr>
        <w:spacing w:after="0" w:line="9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2011, the company granted 142,168 shares of restricted Class A common stock and 472 shares of restricted stock units. Restricted common stock and restricted stock units generally have a vesting period of 2 to 4 years. The fair value related to these grants was $38.6 million, which is recognized as compensation expense on an accelerated basis over the vesting period. Beginning with restricted stock grants in September 2010, dividends are accrued on restricted Class A common stock and restricted stock units and are paid once the restricted stock vests. In 2011, the company also granted 14,751 performance shares. The fair value related to these grants was $3.8 million, which is recognized as compensation expense on an accelerated basis over the vesting period. The vesting of these shares is contingent on meeting stated performance or market conditions.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restricted stock units, and performance shares activity for 2011: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2010</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196,830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157,391</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(42,677)</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(25,022)</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2011</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286,522</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total fair value of restricted stock, restricted stock units, and performance shares that vested during the years ended December 31, 2011, 2010 and 2009, was $11.6 million, $10.3 million and $6.2 million, respectively.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Eligible employees may acquire shares of CME Group's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Compensation expense is recognized on the dates of purchase for the discount from the closing price. In 2011, 2010 and 2009, a total of 6,417, 4,371 and 4,402 shares, respectively, of Class A common stock were issued to participating employees. These shares are subject to a six-month holding period. Annual expense of $0.2 million for the purchase discount was recognized in 2011. Annual expense of $0.1 million for the purchase discount was recognized in 2010 and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Non-executive directors receive an annual award of Class A common stock with a value equal to $75,000. Non-executive</w:t>
      </w:r>
    </w:p>
    <w:p>
      <w:pPr>
        <w:sectPr>
          <w:pgSz w:w="11900" w:h="16838" w:orient="portrait"/>
          <w:cols w:equalWidth="0" w:num="1">
            <w:col w:w="11420"/>
          </w:cols>
          <w:pgMar w:left="240" w:top="114"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14" w:right="23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directors may also elect to receive some or all of the cash portion of their annual stipend, up to $25,000, in shares of stock based on the closing price at the date of distribution. As a result, 8,117, 7,470 and 11,674 shares of Class A common stock were issued to non-executive directors during 2011, 2010 and 2009, respectively. These shares are not subject to any vesting restrictions. Expense of $2.1 million, $2.4 million and $2.5 million related to these stock-based payments was recognized for the years ended December 31, 2011, 2010 and 2009, respectively.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ACCUMULATED OTHER COMPREHENSIVE INCOME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changes in accumulated other comprehensive income (loss) for the years presented, net of tax:</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Actuarial</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28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In</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Gain (Loss)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2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Gain (Loss)</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on Defined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2"/>
                <w:szCs w:val="12"/>
                <w:color w:val="auto"/>
              </w:rPr>
            </w:pPr>
          </w:p>
        </w:tc>
        <w:tc>
          <w:tcPr>
            <w:tcW w:w="12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On Securities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Instruments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Benefit Plans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Adjustment</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2008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on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Reclassification of security impairment</w:t>
            </w:r>
          </w:p>
        </w:tc>
        <w:tc>
          <w:tcPr>
            <w:tcW w:w="2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 on cash flow hedge</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w w:val="98"/>
              </w:rPr>
              <w:t>Reclassification of realized loss on cash flow</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40"/>
              <w:spacing w:after="0"/>
              <w:rPr>
                <w:sz w:val="20"/>
                <w:szCs w:val="20"/>
                <w:color w:val="auto"/>
              </w:rPr>
            </w:pPr>
            <w:r>
              <w:rPr>
                <w:rFonts w:ascii="Arial" w:cs="Arial" w:eastAsia="Arial" w:hAnsi="Arial"/>
                <w:sz w:val="18"/>
                <w:szCs w:val="18"/>
                <w:color w:val="auto"/>
              </w:rPr>
              <w:t>hedge</w:t>
            </w:r>
          </w:p>
        </w:tc>
        <w:tc>
          <w:tcPr>
            <w:tcW w:w="2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2009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on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Reclassification of gain on sale of security</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gain</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 on cash flow hedge</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Ineffectiveness on cash flow hedge</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Reclassification of realized loss on cash flow</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Balance at December 31, 2010</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Reversal of unrealized loss attributable to</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on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actuarial loss</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Ineffectiveness on cash flow hedge</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Reclassification of realized loss on cash flow</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Balance at December 31, 2011</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FAIR VALUE MEASUREMENTS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uses a three-level classification hierarchy of fair value measurements for disclosure purposes. In general, the company uses quoted prices in active markets for identical assets to determine the fair value of marketable securities and equity investments. Level 1 assets generally include U.S. Treasury securities and exchange-traded mutual funds. If quoted prices are</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2" w:right="23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not available to determine fair value, the company uses other inputs that are observable either directly or indirectly. Assets included in level 2 generally consist of U.S. Government agency securities, municipal bonds and asset-backed securities. The level 2 marketable securities were measured at fair value based on matrix pricing using prices of similar securities with similar inputs such as maturity dates, interest rates and credit ratings.</w:t>
      </w:r>
    </w:p>
    <w:p>
      <w:pPr>
        <w:spacing w:after="0" w:line="14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determined the fair value of its interest rate swap contracts, considered level 2 liabilities, using standard valuation models with market-based observable inputs including forward and spot exchange rates and interest rate curves. The level 2 marketable securities were measured at fair value based on matrix pricing using prices of similar securities with similar inputs such as maturity dates, interest rates and credit ratings.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determined the fair value of its contingent consideration liability, considered a level 3 liability, using a standard valuation model to determine the present value of future payouts. The liability was included in level 3 because management used significant unobservable inputs including probability and discount rates.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Financial assets and liabilities recorded in the consolidated balance sheet as of December 31, 2011 and 2010 were classified in their entirety based on the lowest level of input that was significant to each asset or liability's fair value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December 31, 2011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589.7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at Fair Value:</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December 31, 2010</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contracts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December 31, 2011, equity investments include our investment in BM&amp;FBOVESPA, which has been recorded at fair value using its quoted market price. The fair value of our investment in BM&amp;FBOVESPA was $527.7 million at December 31, 2011. Until February 2011, this investment was recorded at cost due to restrictions on sale of the stock that exceeded a one year time</w:t>
      </w:r>
    </w:p>
    <w:p>
      <w:pPr>
        <w:sectPr>
          <w:pgSz w:w="11900" w:h="16838" w:orient="portrait"/>
          <w:cols w:equalWidth="0" w:num="1">
            <w:col w:w="11420"/>
          </w:cols>
          <w:pgMar w:left="240" w:top="121" w:right="239" w:bottom="1136"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1" w:right="239" w:bottom="1136" w:gutter="0" w:footer="0" w:header="0"/>
          <w:type w:val="continuous"/>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period. Equity investments are included in other assets in the consolidated balance sheets.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transfers of assets between level 1 and level 2 during the 2011 and 2010. The following is a reconciliation of assets and liabilities valued at fair value on a recurring basis using significant unobservable inputs (level 3) during 2010 and 2011.</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8"/>
              </w:rPr>
              <w:t>Contingent Consideration</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January 1, 2010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324"/>
        </w:trPr>
        <w:tc>
          <w:tcPr>
            <w:tcW w:w="9140" w:type="dxa"/>
            <w:vAlign w:val="bottom"/>
          </w:tcPr>
          <w:p>
            <w:pPr>
              <w:ind w:left="40"/>
              <w:spacing w:after="0"/>
              <w:rPr>
                <w:sz w:val="20"/>
                <w:szCs w:val="20"/>
                <w:color w:val="auto"/>
              </w:rPr>
            </w:pPr>
            <w:r>
              <w:rPr>
                <w:rFonts w:ascii="Arial" w:cs="Arial" w:eastAsia="Arial" w:hAnsi="Arial"/>
                <w:sz w:val="18"/>
                <w:szCs w:val="18"/>
                <w:color w:val="auto"/>
              </w:rPr>
              <w:t>Contingent obligation arising from acquisition</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97"/>
        </w:trPr>
        <w:tc>
          <w:tcPr>
            <w:tcW w:w="9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9.5</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2010</w:t>
            </w:r>
          </w:p>
        </w:tc>
        <w:tc>
          <w:tcPr>
            <w:tcW w:w="2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Realized and unrealized gains (losses):</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Included in operating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liability at December 31, 2011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During 2010, the company recorded impairment charges on goodwill and a trade name related to CMA. The fair values of CMA's goodwill and trade name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were derived using discounted cash flow models. As of the impairment test date, the fair values of CMA's goodwill and trade name were $28.5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$0.9 million, respectively. The company also recorded an impairment charge on its investment in OneChicago, LLC during 2010. At the impairment test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investment was estimated to be zero based on a discounted cash flow analysis. There were no assets or liabilities valued at fair value on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nonrecurring basis using significant unobservable inputs during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EARNINGS PER SHARE</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of approximately 938,000 were anti-dilutive for the year ended December 31, 2011. There were no anti-dilutive restricted stock awards for the year ended December 31, 2011. Outstanding stock options and restricted stock awards of approximately 851,000 and 612,000 were anti-dilutive for the years ended December 31, 2010 and 2009, respectively.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w w:val="98"/>
              </w:rPr>
              <w:t>Weighted Average Common Shares Outstanding (in thousands):</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66,547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66,366</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Effect of stock options and restricted stock awards</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66,495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66,548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1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594"/>
        </w:trPr>
        <w:tc>
          <w:tcPr>
            <w:tcW w:w="5140" w:type="dxa"/>
            <w:vAlign w:val="bottom"/>
          </w:tcPr>
          <w:p>
            <w:pPr>
              <w:spacing w:after="0"/>
              <w:rPr>
                <w:sz w:val="24"/>
                <w:szCs w:val="24"/>
                <w:color w:val="auto"/>
              </w:rPr>
            </w:pPr>
          </w:p>
        </w:tc>
        <w:tc>
          <w:tcPr>
            <w:tcW w:w="1560" w:type="dxa"/>
            <w:vAlign w:val="bottom"/>
          </w:tcPr>
          <w:p>
            <w:pPr>
              <w:jc w:val="right"/>
              <w:ind w:right="81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INFORMATION (UNAUDITED)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800" w:type="dxa"/>
            <w:vAlign w:val="bottom"/>
          </w:tcPr>
          <w:p>
            <w:pPr>
              <w:spacing w:after="0"/>
              <w:rPr>
                <w:sz w:val="14"/>
                <w:szCs w:val="14"/>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First</w:t>
            </w:r>
          </w:p>
        </w:tc>
        <w:tc>
          <w:tcPr>
            <w:tcW w:w="300" w:type="dxa"/>
            <w:vAlign w:val="bottom"/>
          </w:tcPr>
          <w:p>
            <w:pPr>
              <w:spacing w:after="0"/>
              <w:rPr>
                <w:sz w:val="14"/>
                <w:szCs w:val="14"/>
                <w:color w:val="auto"/>
              </w:rPr>
            </w:pPr>
          </w:p>
        </w:tc>
        <w:tc>
          <w:tcPr>
            <w:tcW w:w="960" w:type="dxa"/>
            <w:vAlign w:val="bottom"/>
          </w:tcPr>
          <w:p>
            <w:pPr>
              <w:jc w:val="right"/>
              <w:ind w:right="312"/>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4"/>
                <w:szCs w:val="14"/>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4"/>
                <w:szCs w:val="14"/>
                <w:color w:val="auto"/>
              </w:rPr>
            </w:pPr>
          </w:p>
        </w:tc>
        <w:tc>
          <w:tcPr>
            <w:tcW w:w="960" w:type="dxa"/>
            <w:vAlign w:val="bottom"/>
          </w:tcPr>
          <w:p>
            <w:pPr>
              <w:jc w:val="right"/>
              <w:ind w:right="312"/>
              <w:spacing w:after="0"/>
              <w:rPr>
                <w:sz w:val="20"/>
                <w:szCs w:val="20"/>
                <w:color w:val="auto"/>
              </w:rPr>
            </w:pPr>
            <w:r>
              <w:rPr>
                <w:rFonts w:ascii="Arial" w:cs="Arial" w:eastAsia="Arial" w:hAnsi="Arial"/>
                <w:sz w:val="14"/>
                <w:szCs w:val="14"/>
                <w:b w:val="1"/>
                <w:bCs w:val="1"/>
                <w:color w:val="auto"/>
              </w:rPr>
              <w:t>Fourth</w:t>
            </w:r>
          </w:p>
        </w:tc>
        <w:tc>
          <w:tcPr>
            <w:tcW w:w="32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gridSpan w:val="4"/>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Quarter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Year Ended December 31, 2011</w:t>
            </w:r>
          </w:p>
        </w:tc>
        <w:tc>
          <w:tcPr>
            <w:tcW w:w="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Total revenues</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831.6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838.3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874.2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736.5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3,280.6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524.1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534.5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572.1</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390.4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2,021.1</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Non-operating income (expense)</w:t>
            </w:r>
          </w:p>
        </w:tc>
        <w:tc>
          <w:tcPr>
            <w:tcW w:w="8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511.6</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509.3</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545.9</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369.7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1,936.5</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Net income attributable to CME Group</w:t>
            </w:r>
          </w:p>
        </w:tc>
        <w:tc>
          <w:tcPr>
            <w:tcW w:w="8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456.6</w:t>
            </w:r>
          </w:p>
        </w:tc>
        <w:tc>
          <w:tcPr>
            <w:tcW w:w="3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293.7</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316.1</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745.9</w:t>
            </w:r>
          </w:p>
        </w:tc>
        <w:tc>
          <w:tcPr>
            <w:tcW w:w="3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1,812.3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Basic</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6.83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4.40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4.76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11.28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4.38</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03"/>
        </w:trPr>
        <w:tc>
          <w:tcPr>
            <w:tcW w:w="47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Year Ended December 31, 2010</w:t>
            </w: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693.2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813.9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733.4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763.2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3,003.7</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Operating income</w:t>
            </w:r>
          </w:p>
        </w:tc>
        <w:tc>
          <w:tcPr>
            <w:tcW w:w="8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414.7</w:t>
            </w:r>
          </w:p>
        </w:tc>
        <w:tc>
          <w:tcPr>
            <w:tcW w:w="3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515.1</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442.9</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458.4</w:t>
            </w:r>
          </w:p>
        </w:tc>
        <w:tc>
          <w:tcPr>
            <w:tcW w:w="3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1,831.1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Income before income taxes</w:t>
            </w:r>
          </w:p>
        </w:tc>
        <w:tc>
          <w:tcPr>
            <w:tcW w:w="8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398.9</w:t>
            </w:r>
          </w:p>
        </w:tc>
        <w:tc>
          <w:tcPr>
            <w:tcW w:w="3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480.1</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415.7</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427.2</w:t>
            </w:r>
          </w:p>
        </w:tc>
        <w:tc>
          <w:tcPr>
            <w:tcW w:w="3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1,721.9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w:t>
            </w:r>
          </w:p>
        </w:tc>
        <w:tc>
          <w:tcPr>
            <w:tcW w:w="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240.2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270.7</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244.3</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196.2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951.4</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3.62</w:t>
            </w:r>
          </w:p>
        </w:tc>
        <w:tc>
          <w:tcPr>
            <w:tcW w:w="3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3.66</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2.93</w:t>
            </w:r>
          </w:p>
        </w:tc>
        <w:tc>
          <w:tcPr>
            <w:tcW w:w="3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require disclosure except the following:</w:t>
      </w:r>
    </w:p>
    <w:p>
      <w:pPr>
        <w:spacing w:after="0" w:line="3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February 2012, the company announced that it will establish a $100.0 million fund designed to provide further protection of customer segregated funds for U.S. family farmers and ranchers who hedge their business in CME Group futures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Annual Report on Internal Control over Financial Reporting</w:t>
      </w:r>
    </w:p>
    <w:p>
      <w:pPr>
        <w:spacing w:after="0" w:line="19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2011. Management based its assessment on criteria for effective internal control over financial reporting described in Internal Control-Integrated Framework Issued by the Committee of Sponsoring Organizations of the Treadway Commission.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3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Based on this assessment, management believes that, as of December 31, 2011, our internal control over financial reporting is effective. The effectiveness of our internal control over financial reporting as of December 31, 2011 has been audited by Ernst &amp; Young LLP, an independent registered public accounting firm, as stated in the following report.</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40"/>
          </w:cols>
          <w:pgMar w:left="240" w:top="122" w:right="31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right="2620" w:firstLine="2624"/>
        <w:spacing w:after="0" w:line="355" w:lineRule="auto"/>
        <w:rPr>
          <w:sz w:val="20"/>
          <w:szCs w:val="20"/>
          <w:color w:val="auto"/>
        </w:rPr>
      </w:pPr>
      <w:r>
        <w:rPr>
          <w:rFonts w:ascii="Arial" w:cs="Arial" w:eastAsia="Arial" w:hAnsi="Arial"/>
          <w:sz w:val="18"/>
          <w:szCs w:val="18"/>
          <w:b w:val="1"/>
          <w:bCs w:val="1"/>
          <w:color w:val="auto"/>
        </w:rPr>
        <w:t>REPORT OF INDEPENDENT REGISTERED PUBLIC ACCOUNTING FIRM The Board of Directors and Shareholders of CME Group Inc.</w:t>
      </w:r>
    </w:p>
    <w:p>
      <w:pPr>
        <w:jc w:val="both"/>
        <w:spacing w:after="0" w:line="254" w:lineRule="auto"/>
        <w:rPr>
          <w:sz w:val="20"/>
          <w:szCs w:val="20"/>
          <w:color w:val="auto"/>
        </w:rPr>
      </w:pPr>
      <w:r>
        <w:rPr>
          <w:rFonts w:ascii="Arial" w:cs="Arial" w:eastAsia="Arial" w:hAnsi="Arial"/>
          <w:sz w:val="18"/>
          <w:szCs w:val="18"/>
          <w:color w:val="auto"/>
        </w:rPr>
        <w:t>We have audited the accompanying consolidated balance sheets of CME Group Inc. and its subsidiaries as of December 31, 2011 and 2010, and the related consolidated statements of income, shareholders' equity, and cash flows for each of the three years in the period ended December 31, 2011. Our audit also included the financial statement schedule listed in the Index at Item 15(a). These financial statements are the responsibility of the Company's management. Our responsibility is to express an opinion on these financial statements based on our audits.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CME Group Inc. and its subsidiaries at December 31, 2011 and 2010, and the consolidated results of their operations and their cash flows for each of the three years in the period ended December 31, 2011, in conformity with U.S. generally accepted accounting principles.</w:t>
      </w:r>
    </w:p>
    <w:p>
      <w:pPr>
        <w:spacing w:after="0" w:line="1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CME Group Inc.'s internal control over financial reporting as of December 31, 2011, based on criteria established in Internal Control-Integrated Framework issued by the Committee of Sponsoring Organizations of the Treadway Commission and our report dated February 27, 2012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right="2620" w:firstLine="2624"/>
        <w:spacing w:after="0" w:line="407" w:lineRule="auto"/>
        <w:rPr>
          <w:sz w:val="20"/>
          <w:szCs w:val="20"/>
          <w:color w:val="auto"/>
        </w:rPr>
      </w:pPr>
      <w:r>
        <w:rPr>
          <w:rFonts w:ascii="Arial" w:cs="Arial" w:eastAsia="Arial" w:hAnsi="Arial"/>
          <w:sz w:val="18"/>
          <w:szCs w:val="18"/>
          <w:b w:val="1"/>
          <w:bCs w:val="1"/>
          <w:color w:val="auto"/>
        </w:rPr>
        <w:t>REPORT OF INDEPENDENT REGISTERED PUBLIC ACCOUNTING FIRM The Board of Directors and Shareholders of CME Group Inc.</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CME Group Inc.'s internal control over financial reporting as of December 31, 2011, based on criteria established in Internal Control-Integrated Framework issued by the Committee of Sponsoring Organizations of the Treadway Commission (the COSO criteria). CME Group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29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CME Group Inc. maintained, in all material respects, effective internal control over financial reporting as of December 31, 2011, based on the COSO criteria</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as of December 31, 2011 and 2010 and the related consolidated statements of income, shareholders' equity, and cash flows for each of the three years in the period ended December 31, 2011 of CME Group Inc. and our report dated February 27, 2012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fourth quarter of 2011 that have materially affected, or are reasonably likely to materially affect, the company's internal control over financial reporting. There were no changes in the company's internal control over financial reporting during the period covered by this report that have materially affected, or are reasonably likely to materially affect, internal control over financial reporting.</w:t>
      </w:r>
    </w:p>
    <w:p>
      <w:pPr>
        <w:spacing w:after="0" w:line="2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We have adopted a written code of conduct applicable to all of our employees, including our Chief Executive Officer, Chief Financial Officer, Chief Accounting Officer and other senior financial officers. In accordance with SEC rules and regulations, our Code of Conduct is available on our Web site at </w:t>
      </w:r>
      <w:r>
        <w:rPr>
          <w:rFonts w:ascii="Arial" w:cs="Arial" w:eastAsia="Arial" w:hAnsi="Arial"/>
          <w:sz w:val="17"/>
          <w:szCs w:val="17"/>
          <w:i w:val="1"/>
          <w:iCs w:val="1"/>
          <w:color w:val="auto"/>
        </w:rPr>
        <w:t xml:space="preserve">www.cmegroup.com </w:t>
      </w:r>
      <w:r>
        <w:rPr>
          <w:rFonts w:ascii="Arial" w:cs="Arial" w:eastAsia="Arial" w:hAnsi="Arial"/>
          <w:sz w:val="17"/>
          <w:szCs w:val="17"/>
          <w:color w:val="auto"/>
        </w:rPr>
        <w:t>under the “Investor Relations-Corporate Governance” link. We intend to disclose promptly on our Web site any substantive amendments</w:t>
      </w:r>
      <w:r>
        <w:rPr>
          <w:rFonts w:ascii="Arial" w:cs="Arial" w:eastAsia="Arial" w:hAnsi="Arial"/>
          <w:sz w:val="17"/>
          <w:szCs w:val="17"/>
          <w:i w:val="1"/>
          <w:iCs w:val="1"/>
          <w:color w:val="auto"/>
        </w:rPr>
        <w:t xml:space="preserve"> </w:t>
      </w:r>
      <w:r>
        <w:rPr>
          <w:rFonts w:ascii="Arial" w:cs="Arial" w:eastAsia="Arial" w:hAnsi="Arial"/>
          <w:sz w:val="17"/>
          <w:szCs w:val="17"/>
          <w:color w:val="auto"/>
        </w:rPr>
        <w:t>to our Code of Conduct and, in accordance with the listing requirements of the NASDAQ, any waivers granted to our executive officers or Board members will be promptly disclosed on a Current Report on Form 8-K. In addition, we have adopted Corporate Governance Principles which govern the practices of our Board of Directors. You may also obtain a copy of our Code of Conduct and our Corporate Governance Principles by following the instructions in the section of this Annual Report on Form 10-K entitled “Item 1. Business-Available Information.”</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CME Group’s definitive proxy statement for the Annual Meeting of Shareholders to be held on May 23, 2012, to be filed by CME Group with the Securities and Exchange Commission pursuant to Regulation 14A within 120 days after December 31, 2011 (Proxy Statement). Additional information called for by this item is contained in Item 1 of this Annual Report on Form 10-K under the caption “Employees-Executive Officers.”</w:t>
      </w:r>
    </w:p>
    <w:p>
      <w:pPr>
        <w:spacing w:after="0" w:line="200" w:lineRule="exact"/>
        <w:rPr>
          <w:sz w:val="20"/>
          <w:szCs w:val="20"/>
          <w:color w:val="auto"/>
        </w:rPr>
      </w:pPr>
    </w:p>
    <w:p>
      <w:pPr>
        <w:spacing w:after="0" w:line="2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86" w:lineRule="exact"/>
        <w:rPr>
          <w:sz w:val="20"/>
          <w:szCs w:val="20"/>
          <w:color w:val="auto"/>
        </w:rPr>
      </w:pPr>
    </w:p>
    <w:p>
      <w:pPr>
        <w:ind w:left="1300" w:right="1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RELATED TRANSACTIONS AND DIRECTOR INDEPENDENCE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122" w:right="29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Financial Statement Schedules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Consolidated Financial Statements and related Notes, together with the Reports of Independent Registered Public Accounting Firm with respect thereto, included within Item 8 are hereby incorporated by reference: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Balance Sheets at December 31, 2011 and 2010</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Income for the Years Ended December 31, 2011, 2010 and 2009</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Shareholders' Equity for the Years Ended December 31, 2011, 2010 and 2009</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Cash Flows for the Years Ended December 31, 2011, 2010 and 2009</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Charged</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(credited) to</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beginning</w:t>
            </w:r>
          </w:p>
        </w:tc>
        <w:tc>
          <w:tcPr>
            <w:tcW w:w="2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against</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costs and</w:t>
            </w:r>
          </w:p>
        </w:tc>
        <w:tc>
          <w:tcPr>
            <w:tcW w:w="2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9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of year</w:t>
            </w: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goodwill</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expenses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of year</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2011</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2010</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264.4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2009</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8"/>
        </w:trPr>
        <w:tc>
          <w:tcPr>
            <w:tcW w:w="504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write-offs of doubtful accounts and reversals of deferred tax asset valuation allowances against accumulated other comprehensive income.</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in the consolidated financial statements or notes thereto.</w:t>
      </w:r>
    </w:p>
    <w:p>
      <w:pPr>
        <w:spacing w:after="0" w:line="116"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(b) Exhibits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2.</w:t>
            </w:r>
          </w:p>
        </w:tc>
        <w:tc>
          <w:tcPr>
            <w:tcW w:w="12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Plan of Acquisition, Reorganization, Arrangement, Liquidation or Succession</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Agreement and Plan of Merger, dated as of October 1, 2001, between Chicago Mercantile Exchange Inc., Chicago Mercantile Exchange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Holdings Inc. and CME Merger Subsidiary Inc. (incorporated by reference to Exhibit 2.1 to Chicago Mercantile Exchange Holdings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Inc.’s Form S-4, filed with the SEC on August 7, 2001, File No. 333-66988).</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Agreement and Plan of Merger, dated as of October 17, 2006, among Chicago Mercantile Exchange Holdings Inc., CBOT Holdings,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and Board of Trade of the City of Chicago, Inc. (incorporated by reference to Exhibit 2.1 to Chicago Mercantile Exchange Holdings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Inc.’s Form 8-K, filed with the SEC on October 19, 2006, File No. 000-33379); Amendment, dated as of May 11, 2007 (incorporated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reference to Exhibit 2.1 to Chicago Mercantile Exchange Holdings Inc.’s Form 8-K, filed with the SEC on May 11, 2007, File No. 000-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33379); Amendment, dated as of June 14, 2007 (incorporated by reference to Exhibit 2.1 to Chicago Mercantile Exchange Holdings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Inc.’s Form 8-K, filed with the SEC on June 14, 2007, File No. 000-33379); Amendment, dated as of July 6, 2007 (incorporated by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 to Exhibit 2.1 to CME Group Inc.’s Form 8-K, filed with SEC on July 6, 2007, File No. 000-33379).</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Agreement and Plan of Merger, dated as of March 17, 2008, among CME Group Inc., CMEG NY Inc., NYMEX Holdings, Inc. and New</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York Mercantile Exchange, Inc. (incorporated by reference to Exhibit 2.1 to CME Group Inc.’s Form 8-K, filed with the SEC on March</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21, 2008, File No. 000-33379); Amendment, dated June 30, 2008 (incorporated by reference to Exhibit 2.1 to CME Group Inc.’s Form</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10-Q, filed with the SEC on August 7, 2008, File No. 001-31553); Amendment, dated as of July 18, 2008 (incorporated by reference to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Exhibit 2.1 to CME Group’s Current Report on Form 8-K, filed with the SEC on July 23, 2008, File No. 001-31553); Amendment, dated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as of August 7, 2008 (incorporated by reference to Exhibit No. 2.2 to CME Group’s Form 10-Q filed with the SEC on November 11,</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2008, File No. 001-31553).</w:t>
            </w:r>
          </w:p>
        </w:tc>
        <w:tc>
          <w:tcPr>
            <w:tcW w:w="0" w:type="dxa"/>
            <w:vAlign w:val="bottom"/>
          </w:tcPr>
          <w:p>
            <w:pPr>
              <w:spacing w:after="0"/>
              <w:rPr>
                <w:sz w:val="1"/>
                <w:szCs w:val="1"/>
                <w:color w:val="auto"/>
              </w:rPr>
            </w:pPr>
          </w:p>
        </w:tc>
      </w:tr>
      <w:tr>
        <w:trPr>
          <w:trHeight w:val="392"/>
        </w:trPr>
        <w:tc>
          <w:tcPr>
            <w:tcW w:w="13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3.</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Articles of Incorporation and Bylaws</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Third Amended and Restated Certificate of Incorporation of CME Group Inc. (incorporated by reference to Exhibit 3.1 to CME Group</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Inc.’s Current Report on Form 8-K, filed with the SEC on August 28, 2008,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Seventh Amended and Restated Bylaws of CME Group Inc. (incorporated by reference to Exhibit 3.1 to CME Group Inc.’s Current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Report on Form 8-K, filed with the SEC on May 20, 2009, File No. 001-31553).</w:t>
            </w:r>
          </w:p>
        </w:tc>
        <w:tc>
          <w:tcPr>
            <w:tcW w:w="0" w:type="dxa"/>
            <w:vAlign w:val="bottom"/>
          </w:tcPr>
          <w:p>
            <w:pPr>
              <w:spacing w:after="0"/>
              <w:rPr>
                <w:sz w:val="1"/>
                <w:szCs w:val="1"/>
                <w:color w:val="auto"/>
              </w:rPr>
            </w:pPr>
          </w:p>
        </w:tc>
      </w:tr>
      <w:tr>
        <w:trPr>
          <w:trHeight w:val="392"/>
        </w:trPr>
        <w:tc>
          <w:tcPr>
            <w:tcW w:w="13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4.</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Instruments Defining the Rights of Security Holders</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Commercial Paper Dealer Agreement, dated as of August 16, 2007, among CME Group Inc., as Issuer, and Merrill Lynch Money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Markets Inc., as Dealer, for Notes with maturities up to 270 days, and Merrill Lynch, Pierce, Fenner &amp; Smith Incorporated, as Dealer for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Notes with maturities over 270 days (incorporated by reference to Exhibit 4.2 to CME Group Inc.’s Form 10-Q, filed with the SEC on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November 8, 2007, File No. 000-33379).</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Issuing and Paying Agency Agreement, dated as of August 16, 2007, between CME Group Inc. and JPMorgan Chase Bank, National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Association, as issuing and paying agent (incorporated by reference to Exhibit 4.3 to CME Group Inc.’s Form 10-Q, filed with the SEC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on November 8, 2007, File No. 000-33379).</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Commercial Paper Dealer Agreement, dated as of August 20, 2008, between CME Group Inc., as Issuer, and Bank of America Securities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LLC, as Dealer (incorporated by reference to Exhibit 10.1 to CME Group Inc.’s Current Report on Form 8-K, filed with the SEC on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August 26, 2008,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Commercial Paper Dealer Agreement, dated as of August 22, 2008, between CME Group Inc., as Issuer, and Goldman, Sachs &amp; Co.,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Dealer (incorporated by reference to Exhibit 10.2 to CME Group Inc.’s Current Report on Form 8-K, filed with the SEC on August 26,</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2008,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Indenture, dated August 12, 2008, between CME Group Inc. and U.S. Bank National Association (incorporated by reference to Exhibit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4.1 to CME Group Inc.’s Current Report on Form 8-K, filed with the SEC on August 13, 2008,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Second Supplemental Indenture (including the form of floating rate note due 2010), dated August 12, 2008, between CME Group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and U.S. Bank National Association (incorporated by reference to Exhibit 4.3 to CME Group Inc.’s Current Report on Form 8-K, filed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with the SEC on August 13, 2008, File No. 001-31553).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21" w:right="2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9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FF"/>
            </w:tcBorders>
          </w:tcPr>
          <w:p>
            <w:pPr>
              <w:jc w:val="center"/>
              <w:ind w:left="279"/>
              <w:spacing w:after="0"/>
              <w:rPr>
                <w:sz w:val="20"/>
                <w:szCs w:val="20"/>
                <w:color w:val="auto"/>
              </w:rPr>
            </w:pPr>
            <w:r>
              <w:rPr>
                <w:rFonts w:ascii="Arial" w:cs="Arial" w:eastAsia="Arial" w:hAnsi="Arial"/>
                <w:sz w:val="14"/>
                <w:szCs w:val="14"/>
                <w:b w:val="1"/>
                <w:bCs w:val="1"/>
                <w:color w:val="auto"/>
                <w:w w:val="98"/>
              </w:rPr>
              <w:t>Exhibit</w:t>
            </w:r>
          </w:p>
        </w:tc>
        <w:tc>
          <w:tcPr>
            <w:tcW w:w="480" w:type="dxa"/>
            <w:vAlign w:val="bottom"/>
            <w:gridSpan w:val="2"/>
          </w:tcPr>
          <w:p>
            <w:pPr>
              <w:spacing w:after="0"/>
              <w:rPr>
                <w:sz w:val="24"/>
                <w:szCs w:val="24"/>
                <w:color w:val="auto"/>
              </w:rPr>
            </w:pPr>
          </w:p>
        </w:tc>
        <w:tc>
          <w:tcPr>
            <w:tcW w:w="992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2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95"/>
              </w:rPr>
              <w:t>4.7</w:t>
            </w: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Third Supplemental Indenture, dated August 12, 2008 (including the form of 5.4% note due 2013), between CME Group Inc. and U.S.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Bank National Association (incorporated by reference to Exhibit 4.4 to CME Group Inc.’s Current Report on Form 8-K, filed with the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 on August 13, 2008, File No. 001-31553).</w:t>
            </w:r>
          </w:p>
        </w:tc>
        <w:tc>
          <w:tcPr>
            <w:tcW w:w="0" w:type="dxa"/>
            <w:vAlign w:val="bottom"/>
          </w:tcPr>
          <w:p>
            <w:pPr>
              <w:spacing w:after="0"/>
              <w:rPr>
                <w:sz w:val="1"/>
                <w:szCs w:val="1"/>
                <w:color w:val="auto"/>
              </w:rPr>
            </w:pPr>
          </w:p>
        </w:tc>
      </w:tr>
      <w:tr>
        <w:trPr>
          <w:trHeight w:val="377"/>
        </w:trPr>
        <w:tc>
          <w:tcPr>
            <w:tcW w:w="1020" w:type="dxa"/>
            <w:vAlign w:val="bottom"/>
          </w:tcPr>
          <w:p>
            <w:pPr>
              <w:jc w:val="right"/>
              <w:ind w:right="679"/>
              <w:spacing w:after="0"/>
              <w:rPr>
                <w:sz w:val="20"/>
                <w:szCs w:val="20"/>
                <w:color w:val="auto"/>
              </w:rPr>
            </w:pPr>
            <w:r>
              <w:rPr>
                <w:rFonts w:ascii="Arial" w:cs="Arial" w:eastAsia="Arial" w:hAnsi="Arial"/>
                <w:sz w:val="18"/>
                <w:szCs w:val="18"/>
                <w:color w:val="auto"/>
                <w:w w:val="95"/>
              </w:rPr>
              <w:t>4.8</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Fourth Supplemental Indenture (including the form of 5.75% note due 2014), dated February 9, 2009, between CME Group Inc.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U.S. Bank National Association (incorporated by reference to Exhibit 4.2 to CME Group Inc.’s Current Report on Form 8-K, filed with</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the SEC on February 9, 2009, File No. 001-31553).</w:t>
            </w:r>
          </w:p>
        </w:tc>
        <w:tc>
          <w:tcPr>
            <w:tcW w:w="0" w:type="dxa"/>
            <w:vAlign w:val="bottom"/>
          </w:tcPr>
          <w:p>
            <w:pPr>
              <w:spacing w:after="0"/>
              <w:rPr>
                <w:sz w:val="1"/>
                <w:szCs w:val="1"/>
                <w:color w:val="auto"/>
              </w:rPr>
            </w:pPr>
          </w:p>
        </w:tc>
      </w:tr>
      <w:tr>
        <w:trPr>
          <w:trHeight w:val="377"/>
        </w:trPr>
        <w:tc>
          <w:tcPr>
            <w:tcW w:w="1020" w:type="dxa"/>
            <w:vAlign w:val="bottom"/>
          </w:tcPr>
          <w:p>
            <w:pPr>
              <w:jc w:val="right"/>
              <w:ind w:right="679"/>
              <w:spacing w:after="0"/>
              <w:rPr>
                <w:sz w:val="20"/>
                <w:szCs w:val="20"/>
                <w:color w:val="auto"/>
              </w:rPr>
            </w:pPr>
            <w:r>
              <w:rPr>
                <w:rFonts w:ascii="Arial" w:cs="Arial" w:eastAsia="Arial" w:hAnsi="Arial"/>
                <w:sz w:val="18"/>
                <w:szCs w:val="18"/>
                <w:color w:val="auto"/>
                <w:w w:val="95"/>
              </w:rPr>
              <w:t>4.9</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Indenture, dated March 18, 2010, between CME Group Index Services LLC, CME Group Inc. and U.S. Bank National Association</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by reference to CME Group Inc.’s Form 8-K, filed with the SEC on March 23, 2010, File No. 001-31553).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520" w:hanging="1485"/>
        <w:spacing w:after="0"/>
        <w:tabs>
          <w:tab w:leader="none" w:pos="152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Material Contracts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CME Group Inc. Amended and Restated Omnibus Stock Plan, amended and restated effective as of June 17, 2009 (incorporated by</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reference to Exhibit 10.3 to CME Group Inc.’s Form 10-Q, filed with the SEC on August 6, 2009, File No. 001-31553).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10320" w:type="dxa"/>
            <w:vAlign w:val="bottom"/>
          </w:tcPr>
          <w:p>
            <w:pPr>
              <w:ind w:left="440"/>
              <w:spacing w:after="0"/>
              <w:rPr>
                <w:sz w:val="20"/>
                <w:szCs w:val="20"/>
                <w:color w:val="auto"/>
              </w:rPr>
            </w:pPr>
            <w:r>
              <w:rPr>
                <w:rFonts w:ascii="Arial" w:cs="Arial" w:eastAsia="Arial" w:hAnsi="Arial"/>
                <w:sz w:val="18"/>
                <w:szCs w:val="18"/>
                <w:color w:val="auto"/>
                <w:w w:val="95"/>
              </w:rPr>
              <w:t>Form of Equity Grant Letter for Executive Officers (incorporated by reference to Exhibit 10.2 to CME Group Inc.’s Form 10-K, filed</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with the SEC on February 26, 2010, File No. 001-31553).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10.3(1)</w:t>
            </w: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Form of equity grant letter for performance based shares based on specific Company initiatives (incorporated by reference to Exhibit</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10.7 to CME Group Inc.'s Form 10-Q, filed with the SEC on August 5, 2011, File No. 001-31553).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10.4(1)</w:t>
            </w:r>
          </w:p>
        </w:tc>
        <w:tc>
          <w:tcPr>
            <w:tcW w:w="10320" w:type="dxa"/>
            <w:vAlign w:val="bottom"/>
          </w:tcPr>
          <w:p>
            <w:pPr>
              <w:ind w:left="440"/>
              <w:spacing w:after="0"/>
              <w:rPr>
                <w:sz w:val="20"/>
                <w:szCs w:val="20"/>
                <w:color w:val="auto"/>
              </w:rPr>
            </w:pPr>
            <w:r>
              <w:rPr>
                <w:rFonts w:ascii="Arial" w:cs="Arial" w:eastAsia="Arial" w:hAnsi="Arial"/>
                <w:sz w:val="18"/>
                <w:szCs w:val="18"/>
                <w:color w:val="auto"/>
                <w:w w:val="92"/>
              </w:rPr>
              <w:t>Form of equity grant letter for annual grant of performance shares (incorporated by reference to Exhibit 10.8 to CME Group Inc.'s Form</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10-Q, filed with the SEC on August 5, 2011, File No. 001-31553).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10.5(1)</w:t>
            </w:r>
          </w:p>
        </w:tc>
        <w:tc>
          <w:tcPr>
            <w:tcW w:w="10320" w:type="dxa"/>
            <w:vAlign w:val="bottom"/>
          </w:tcPr>
          <w:p>
            <w:pPr>
              <w:ind w:left="440"/>
              <w:spacing w:after="0"/>
              <w:rPr>
                <w:sz w:val="20"/>
                <w:szCs w:val="20"/>
                <w:color w:val="auto"/>
              </w:rPr>
            </w:pPr>
            <w:r>
              <w:rPr>
                <w:rFonts w:ascii="Arial" w:cs="Arial" w:eastAsia="Arial" w:hAnsi="Arial"/>
                <w:sz w:val="18"/>
                <w:szCs w:val="18"/>
                <w:color w:val="auto"/>
                <w:w w:val="94"/>
              </w:rPr>
              <w:t>CME Group Inc. 2005 Director Stock Plan, amended and restated effective as of (incorporated by reference to Exhibit 10.2 to CME</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Group Inc.'s Current Report on Form 8-K, filed with the SEC on May 18, 2009, File No. 001-31553).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10.6(1)</w:t>
            </w: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Form of Equity Stipend Grant Letter for Non-Executive Directors (incorporated by reference to Exhibit 10.4 to CME Group Inc.'s Form</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10-K, filed with the SEC on February 26, 2010, File No. 001-31553).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10.7(1)</w:t>
            </w:r>
          </w:p>
        </w:tc>
        <w:tc>
          <w:tcPr>
            <w:tcW w:w="10320" w:type="dxa"/>
            <w:vAlign w:val="bottom"/>
          </w:tcPr>
          <w:p>
            <w:pPr>
              <w:ind w:left="440"/>
              <w:spacing w:after="0"/>
              <w:rPr>
                <w:sz w:val="20"/>
                <w:szCs w:val="20"/>
                <w:color w:val="auto"/>
              </w:rPr>
            </w:pPr>
            <w:r>
              <w:rPr>
                <w:rFonts w:ascii="Arial" w:cs="Arial" w:eastAsia="Arial" w:hAnsi="Arial"/>
                <w:sz w:val="18"/>
                <w:szCs w:val="18"/>
                <w:color w:val="auto"/>
                <w:w w:val="95"/>
              </w:rPr>
              <w:t>Chicago Mercantile Exchange Holdings Inc. Amended and Restated Employee Stock Purchase Plan (incorporated by reference to</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Exhibit 10.1 to CME Group Inc.'s Form 10-Q, filed with the SEC on August 3, 2007, File No. 000-33379) and the First Amendment to</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5"/>
              </w:rPr>
              <w:t>the CME Group Inc. Employee Stock Purchase Plan, dated May 6, 2010, (incorporated by reference to Exhibit 10.1 to CME Group</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Inc.'s Form 10-Q, filed with the SEC on August 6, 2010, File No. 001-31553).</w:t>
            </w:r>
          </w:p>
        </w:tc>
      </w:tr>
      <w:tr>
        <w:trPr>
          <w:trHeight w:val="593"/>
        </w:trPr>
        <w:tc>
          <w:tcPr>
            <w:tcW w:w="1040" w:type="dxa"/>
            <w:vAlign w:val="bottom"/>
          </w:tcPr>
          <w:p>
            <w:pPr>
              <w:spacing w:after="0"/>
              <w:rPr>
                <w:sz w:val="20"/>
                <w:szCs w:val="20"/>
                <w:color w:val="auto"/>
              </w:rPr>
            </w:pPr>
            <w:r>
              <w:rPr>
                <w:rFonts w:ascii="Arial" w:cs="Arial" w:eastAsia="Arial" w:hAnsi="Arial"/>
                <w:sz w:val="18"/>
                <w:szCs w:val="18"/>
                <w:color w:val="auto"/>
              </w:rPr>
              <w:t>10.8(1)</w:t>
            </w:r>
          </w:p>
        </w:tc>
        <w:tc>
          <w:tcPr>
            <w:tcW w:w="10320" w:type="dxa"/>
            <w:vAlign w:val="bottom"/>
          </w:tcPr>
          <w:p>
            <w:pPr>
              <w:ind w:left="440"/>
              <w:spacing w:after="0"/>
              <w:rPr>
                <w:sz w:val="20"/>
                <w:szCs w:val="20"/>
                <w:color w:val="auto"/>
              </w:rPr>
            </w:pPr>
            <w:r>
              <w:rPr>
                <w:rFonts w:ascii="Arial" w:cs="Arial" w:eastAsia="Arial" w:hAnsi="Arial"/>
                <w:sz w:val="18"/>
                <w:szCs w:val="18"/>
                <w:color w:val="auto"/>
                <w:w w:val="90"/>
              </w:rPr>
              <w:t>Amended and Restated CBOT Holdings, Inc. 2005 Long-Term Equity Plan, amended and restated as of December 2, 2008 (incorporated</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by reference to Exhibit 10.6 to CME Group Inc.'s Form 10-K, filed with the SEC on March 2, 2009, File No. 001-31553).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10.9(1)</w:t>
            </w:r>
          </w:p>
        </w:tc>
        <w:tc>
          <w:tcPr>
            <w:tcW w:w="10320" w:type="dxa"/>
            <w:vAlign w:val="bottom"/>
          </w:tcPr>
          <w:p>
            <w:pPr>
              <w:ind w:left="440"/>
              <w:spacing w:after="0"/>
              <w:rPr>
                <w:sz w:val="20"/>
                <w:szCs w:val="20"/>
                <w:color w:val="auto"/>
              </w:rPr>
            </w:pPr>
            <w:r>
              <w:rPr>
                <w:rFonts w:ascii="Arial" w:cs="Arial" w:eastAsia="Arial" w:hAnsi="Arial"/>
                <w:sz w:val="18"/>
                <w:szCs w:val="18"/>
                <w:color w:val="auto"/>
                <w:w w:val="94"/>
              </w:rPr>
              <w:t>Amended and Restated NYMEX Holdings, Inc. 2006 Omnibus Long-Term Incentive Plan, amended and restated as of December 2,</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4"/>
              </w:rPr>
              <w:t>2008 (incorporated by reference to Exhibit 10.7 to CME Group Inc.'s Form 10-K, filed with the SEC on March 2, 2009, File No. 001-</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31553).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10.10(1)</w:t>
            </w:r>
          </w:p>
        </w:tc>
        <w:tc>
          <w:tcPr>
            <w:tcW w:w="10320" w:type="dxa"/>
            <w:vAlign w:val="bottom"/>
          </w:tcPr>
          <w:p>
            <w:pPr>
              <w:ind w:left="440"/>
              <w:spacing w:after="0"/>
              <w:rPr>
                <w:sz w:val="20"/>
                <w:szCs w:val="20"/>
                <w:color w:val="auto"/>
              </w:rPr>
            </w:pPr>
            <w:r>
              <w:rPr>
                <w:rFonts w:ascii="Arial" w:cs="Arial" w:eastAsia="Arial" w:hAnsi="Arial"/>
                <w:sz w:val="18"/>
                <w:szCs w:val="18"/>
                <w:color w:val="auto"/>
                <w:w w:val="90"/>
              </w:rPr>
              <w:t>Chicago Mercantile Exchange Inc. Senior Management Supplemental Deferred Savings Plan (SMSDSP) consisting of the Grandfathered</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2"/>
              </w:rPr>
              <w:t>SMSDSP, amended and restated as of January 1, 2008, and the Amended and Restated 409A SMSDSP, amended and restated as of</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January 1, 2008 (incorporated by reference to Exhibit 10.7 to CME Group Inc.'s Form 10-K, filed with the SEC on February 28, 2008,</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File No. 000-33379).</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10.11(1)</w:t>
            </w:r>
          </w:p>
        </w:tc>
        <w:tc>
          <w:tcPr>
            <w:tcW w:w="10320" w:type="dxa"/>
            <w:vAlign w:val="bottom"/>
          </w:tcPr>
          <w:p>
            <w:pPr>
              <w:ind w:left="440"/>
              <w:spacing w:after="0"/>
              <w:rPr>
                <w:sz w:val="20"/>
                <w:szCs w:val="20"/>
                <w:color w:val="auto"/>
              </w:rPr>
            </w:pPr>
            <w:r>
              <w:rPr>
                <w:rFonts w:ascii="Arial" w:cs="Arial" w:eastAsia="Arial" w:hAnsi="Arial"/>
                <w:sz w:val="18"/>
                <w:szCs w:val="18"/>
                <w:color w:val="auto"/>
                <w:w w:val="90"/>
              </w:rPr>
              <w:t>Amended and Restated Chicago Mercantile Exchange Inc. Directors' Deferred Compensation Plan, amended and restated as of January</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2"/>
              </w:rPr>
              <w:t>1, 2009 (incorporated by reference to Exhibit 10.9 to CME Group Inc.'s Form 10-K, filed with the SEC on March 2, 2009, File No. 001-</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31553).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10.12(1)</w:t>
            </w:r>
          </w:p>
        </w:tc>
        <w:tc>
          <w:tcPr>
            <w:tcW w:w="10320" w:type="dxa"/>
            <w:vAlign w:val="bottom"/>
          </w:tcPr>
          <w:p>
            <w:pPr>
              <w:ind w:left="440"/>
              <w:spacing w:after="0"/>
              <w:rPr>
                <w:sz w:val="20"/>
                <w:szCs w:val="20"/>
                <w:color w:val="auto"/>
              </w:rPr>
            </w:pPr>
            <w:r>
              <w:rPr>
                <w:rFonts w:ascii="Arial" w:cs="Arial" w:eastAsia="Arial" w:hAnsi="Arial"/>
                <w:sz w:val="18"/>
                <w:szCs w:val="18"/>
                <w:color w:val="auto"/>
                <w:w w:val="97"/>
              </w:rPr>
              <w:t>NYMEX Holdings, Inc. Executive Deferred Compensation Plan for Key Employees (incorporated by reference to Exhibit 10.5 to</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NYMEX Holdings, Inc.'s Form 10-K, filed with the SEC on March 29, 2001, File No. 000-1105018).</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10.13(1)</w:t>
            </w:r>
          </w:p>
        </w:tc>
        <w:tc>
          <w:tcPr>
            <w:tcW w:w="10320" w:type="dxa"/>
            <w:vAlign w:val="bottom"/>
          </w:tcPr>
          <w:p>
            <w:pPr>
              <w:ind w:left="440"/>
              <w:spacing w:after="0"/>
              <w:rPr>
                <w:sz w:val="20"/>
                <w:szCs w:val="20"/>
                <w:color w:val="auto"/>
              </w:rPr>
            </w:pPr>
            <w:r>
              <w:rPr>
                <w:rFonts w:ascii="Arial" w:cs="Arial" w:eastAsia="Arial" w:hAnsi="Arial"/>
                <w:sz w:val="18"/>
                <w:szCs w:val="18"/>
                <w:color w:val="auto"/>
                <w:w w:val="92"/>
              </w:rPr>
              <w:t>Chicago Mercantile Exchange Inc. Supplemental Executive Retirement Plan consisting of the Grandfathered Supplemental Retirement</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Plan, amended and restated as of January 1, 2008, and the Amended and Restated 409A Supplemental Executive Retirement Plan,</w:t>
            </w:r>
          </w:p>
        </w:tc>
      </w:tr>
    </w:tbl>
    <w:p>
      <w:pPr>
        <w:ind w:left="1520" w:right="240"/>
        <w:spacing w:after="0" w:line="261" w:lineRule="auto"/>
        <w:rPr>
          <w:sz w:val="20"/>
          <w:szCs w:val="20"/>
          <w:color w:val="auto"/>
        </w:rPr>
      </w:pPr>
      <w:r>
        <w:rPr>
          <w:rFonts w:ascii="Arial" w:cs="Arial" w:eastAsia="Arial" w:hAnsi="Arial"/>
          <w:sz w:val="18"/>
          <w:szCs w:val="18"/>
          <w:color w:val="auto"/>
        </w:rPr>
        <w:t>amended and restated as of January 1, 2008 (incorporated by reference to Exhibit 10.9 to CME Group Inc.'s Form 10-K, filed with the SEC on February 28, 2008, File No. 000-33379).</w:t>
      </w:r>
    </w:p>
    <w:p>
      <w:pPr>
        <w:sectPr>
          <w:pgSz w:w="11900" w:h="16838" w:orient="portrait"/>
          <w:cols w:equalWidth="0" w:num="1">
            <w:col w:w="11420"/>
          </w:cols>
          <w:pgMar w:left="240" w:top="114"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14" w:right="2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9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FF"/>
            </w:tcBorders>
          </w:tcPr>
          <w:p>
            <w:pPr>
              <w:ind w:left="460"/>
              <w:spacing w:after="0"/>
              <w:rPr>
                <w:sz w:val="20"/>
                <w:szCs w:val="20"/>
                <w:color w:val="auto"/>
              </w:rPr>
            </w:pPr>
            <w:r>
              <w:rPr>
                <w:rFonts w:ascii="Arial" w:cs="Arial" w:eastAsia="Arial" w:hAnsi="Arial"/>
                <w:sz w:val="14"/>
                <w:szCs w:val="14"/>
                <w:b w:val="1"/>
                <w:bCs w:val="1"/>
                <w:color w:val="auto"/>
              </w:rPr>
              <w:t>Exhibit</w:t>
            </w:r>
          </w:p>
        </w:tc>
        <w:tc>
          <w:tcPr>
            <w:tcW w:w="480" w:type="dxa"/>
            <w:vAlign w:val="bottom"/>
            <w:gridSpan w:val="2"/>
          </w:tcPr>
          <w:p>
            <w:pPr>
              <w:spacing w:after="0"/>
              <w:rPr>
                <w:sz w:val="24"/>
                <w:szCs w:val="24"/>
                <w:color w:val="auto"/>
              </w:rPr>
            </w:pPr>
          </w:p>
        </w:tc>
        <w:tc>
          <w:tcPr>
            <w:tcW w:w="992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3"/>
          </w:tcPr>
          <w:p>
            <w:pPr>
              <w:ind w:left="44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10.14(1)</w:t>
            </w: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Chicago Mercantile Exchange Inc. Supplemental Executive Retirement Trust; First Amendment thereto, dated September 7, 1993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(incorporated by reference to Exhibit 10.5 to Chicago Mercantile Exchange Inc.'s Form S-4, filed with the SEC on February 24, 2000,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File No. 333-95561); Second Amendment to Chicago Mercantile Exchange Inc. Senior Management Supplemental Deferred Savings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Plan, executed as of April 25, 2011 (incorporated by reference to Exhibit 10.4 to CME Group Inc.'s Form 10-Q, filed with the SEC on</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August 5, 2011, File No. 001-31553)</w:t>
            </w:r>
          </w:p>
        </w:tc>
        <w:tc>
          <w:tcPr>
            <w:tcW w:w="0" w:type="dxa"/>
            <w:vAlign w:val="bottom"/>
          </w:tcPr>
          <w:p>
            <w:pPr>
              <w:spacing w:after="0"/>
              <w:rPr>
                <w:sz w:val="1"/>
                <w:szCs w:val="1"/>
                <w:color w:val="auto"/>
              </w:rPr>
            </w:pPr>
          </w:p>
        </w:tc>
      </w:tr>
      <w:tr>
        <w:trPr>
          <w:trHeight w:val="593"/>
        </w:trPr>
        <w:tc>
          <w:tcPr>
            <w:tcW w:w="1020" w:type="dxa"/>
            <w:vAlign w:val="bottom"/>
          </w:tcPr>
          <w:p>
            <w:pPr>
              <w:ind w:left="40"/>
              <w:spacing w:after="0"/>
              <w:rPr>
                <w:sz w:val="20"/>
                <w:szCs w:val="20"/>
                <w:color w:val="auto"/>
              </w:rPr>
            </w:pPr>
            <w:r>
              <w:rPr>
                <w:rFonts w:ascii="Arial" w:cs="Arial" w:eastAsia="Arial" w:hAnsi="Arial"/>
                <w:sz w:val="18"/>
                <w:szCs w:val="18"/>
                <w:color w:val="auto"/>
              </w:rPr>
              <w:t>10.15(1)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COMEX Members' Recognition and Retention Plan (incorporated by reference to Exhibit 10.11 to NYMEX Holdings, Inc.'s Form 10-K,</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with the SEC on March 29, 2001, File No. 000-1105018).</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10.16(1)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Amended and Restated CME Group Inc. Incentive Plan for Named Executive Officers (incorporated by reference to Exhibit 10.3 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CME Group Inc.'s Current Report on Form 8-K, filed with the SEC on May 18, 2009, File No. 001-31553); Amendment, effective as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February 2, 2010 (incorporated by reference to Exhibit 10.14 to CME Group Inc.'s Form 10-K, filed with the SEC on February 26, 2010,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File No. 001-31553); Second Amendment to the Amended and Restated CME Group Inc. Annual Incentive Plan for Named Executive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Officers, executed as of April 25, 2011 (incorporated by reference to Exhibit 10.5 to CME Group Inc.'s Form 10-Q, filed with the SEC</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on August 5, 2011, File No. 001-31553).</w:t>
            </w:r>
          </w:p>
        </w:tc>
        <w:tc>
          <w:tcPr>
            <w:tcW w:w="0" w:type="dxa"/>
            <w:vAlign w:val="bottom"/>
          </w:tcPr>
          <w:p>
            <w:pPr>
              <w:spacing w:after="0"/>
              <w:rPr>
                <w:sz w:val="1"/>
                <w:szCs w:val="1"/>
                <w:color w:val="auto"/>
              </w:rPr>
            </w:pPr>
          </w:p>
        </w:tc>
      </w:tr>
      <w:tr>
        <w:trPr>
          <w:trHeight w:val="593"/>
        </w:trPr>
        <w:tc>
          <w:tcPr>
            <w:tcW w:w="1020" w:type="dxa"/>
            <w:vAlign w:val="bottom"/>
          </w:tcPr>
          <w:p>
            <w:pPr>
              <w:ind w:left="40"/>
              <w:spacing w:after="0"/>
              <w:rPr>
                <w:sz w:val="20"/>
                <w:szCs w:val="20"/>
                <w:color w:val="auto"/>
              </w:rPr>
            </w:pPr>
            <w:r>
              <w:rPr>
                <w:rFonts w:ascii="Arial" w:cs="Arial" w:eastAsia="Arial" w:hAnsi="Arial"/>
                <w:sz w:val="18"/>
                <w:szCs w:val="18"/>
                <w:color w:val="auto"/>
              </w:rPr>
              <w:t>10.17(1)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CME Group Inc. Annual Incentive Plan, adopted as of March 4, 2008 (incorporated by reference to Exhibit 10.2 to CME Group Inc.'s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Form 10-Q, filed with the SEC on May 9, 2008, File No. 000-33379); Amendment, effective as of February 2, 2010 (incorporated by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reference to Exhibit 10.15 to CME Group Inc.'s Form 10-K, filed with the SEC on February 26, 2010, File No. 001-31553); Second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Amendment to the Amended and Restated CME Group Inc. Annual Incentive Plan, executed as of April 25, 2011 (incorporated by</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 to Exhibit 10.6 to CME Group Inc.'s Form 10-Q, filed with the SEC on August 5, 2011,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10.18(1)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Amended and Restated CME Group Inc. Severance Plan for Corporate Officers, dated as of August 13, 2007 (incorporated by reference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to Exhibit 10.9 to CME Group Inc.'s Form 10-Q, filed with the SEC on November 8, 2007, File No. 000-33379); Amendment, effective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as of December 21, 2007 (incorporated by reference to Exhibit 10.12 to CME Group Inc.'s Form 10-K, filed with the SEC on February</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28, 2008, File No. 000-33379).</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10.19(1)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Agreement, dated as of April 14, 2011, between CME Group Inc. and Craig S. Donohue (incorporated by reference to Exhibit 10.2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CME Group Inc.'s Form 10-Q, filed with the SEC on August 5, 2011,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10.20(1)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Amended and Restated Agreement, dated August 5, 2009, between CME Group Inc. and Phupinder Gill (incorporated by reference 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Exhibit 10.2 to CME Group Inc.'s Form 8-K, filed with the SEC on August 6, 2009, File No. 001-31553) Amendment to Employment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Agreement, dated April 6, 2011, between CME Group Inc. and Phupinder S. Gill (incorporated by reference to Exhibit 10.3 to CME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Group Inc.'s Form 10-Q, filed with the SEC on August 5, 2011,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10.21(1)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Agreement between CME Group Inc. and Terrence A. Duffy, dated as of November 9, 2010 (incorporated by reference to Exhibit 10.1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to CME Group Inc.'s Form 8-K, filed with the SEC on November 15, 2010, File No. 001-31553); Amendment to Employment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Agreement, dated April 6, 2011, between CME Group Inc. and Terrence A. Duffy (incorporated by reference to Exhibit 10.1 to CME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Group Inc.'s Form 10-Q, filed with the SEC on August 5, 2011,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10.22(1)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Consulting Agreement between Leo Melamed and CME Group Inc., dated June 26, 2009 (incorporated by reference to Exhibit 10.2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CME Group Inc.'s Form 10-Q, filed with the SEC on August 6, 2009,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10.23(1)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Consulting Agreement between Leo Melamed and Chicago Mercantile Exchange Holdings Inc., dated November 14, 2005 (incorporated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by reference to Exhibit 10.28 to Chicago Mercantile Exchange Holdings Inc.'s Form 10-K filed with the SEC on March 6, 2006, File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No. 000-33379).</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10.24(1)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Consulting Agreement between Jack Sandner and Chicago Mercantile Exchange Holdings Inc., dated October 10, 2005 (incorporated by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reference to Exhibit 10.4 to Chicago Mercantile Exchange Holdings Inc.'s Form 10-Q, filed with the SEC on November 4, 2005, File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No. 000-33379).</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10.25(1)*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Consulting Agreement between Charles P. Carey and CME Group Inc., dated October 13, 2011.</w:t>
            </w:r>
          </w:p>
        </w:tc>
        <w:tc>
          <w:tcPr>
            <w:tcW w:w="0" w:type="dxa"/>
            <w:vAlign w:val="bottom"/>
          </w:tcPr>
          <w:p>
            <w:pPr>
              <w:spacing w:after="0"/>
              <w:rPr>
                <w:sz w:val="1"/>
                <w:szCs w:val="1"/>
                <w:color w:val="auto"/>
              </w:rPr>
            </w:pPr>
          </w:p>
        </w:tc>
      </w:tr>
      <w:tr>
        <w:trPr>
          <w:trHeight w:val="608"/>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3" w:right="2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10.26(2)</w:t>
            </w:r>
          </w:p>
        </w:tc>
        <w:tc>
          <w:tcPr>
            <w:tcW w:w="12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Amended and Restated License Agreement, effective as of September 20, 2005, by and between Standard &amp; Poor's, a division of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McGraw-Hill Companies, Inc., and Chicago Mercantile Exchange Inc. (incorporated by reference to Exhibit 10.1 to Chicago Mercantile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Exchange Holdings Inc.'s Form 10-Q, filed with the SEC on November 4, 2005, File No. 000-33379); Amendment, dated March 30,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2006 (incorporated by reference to Exhibit 10.3 to Chicago Mercantile Exchange Holdings Inc.'s Form 10-Q, filed with the SEC on May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8, 2006, File No. 000-33379); Amendment, dated September 22, 2006 (incorporated by reference to Exhibit 10.3 to Chicago Mercantile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Exchange Holdings Inc.'s Form 10-Q filed with the SEC on November 6, 2006, File No. 000-33379); Amendment, dated September 28,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2006 (incorporated by reference to Exhibit 10.4 to Chicago Mercantile Exchange Holdings Inc.'s Form 10-Q filed with the SEC on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November 6, 2006, File No. 000-33379); Amendment, dated as of March 2, 2009 (incorporated by reference to Exhibit 10.1 to CME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Group Inc.'s Form 10-Q, filed with the SEC on May 8, 2009, File No. 001-31553); Amendment, dated as of April 27, 2009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(incorporated by reference to Exhibit 10.6 to CME Group Inc.'s Form 10-Q, filed with the SEC on August 6, 2009, File No. 001-31553);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Amendment, dated as of April 27, 2009 (incorporated by reference to Exhibit 10.7 to CME Group Inc.'s Form 10-Q, filed with the SEC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on August 6, 2009, File No. 001-31553); Amendment, dated as of July 24, 2009, (incorporated by reference to Exhibit 10.5 to CME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Group Inc.'s Form 10-Q, filed with the SEC on November 6, 2009, File No. 001-31553); Amendment, dated October 2, 2009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(incorporated by reference to Exhibit 10.26 to CME Group Inc.'s Form 10-K, filed with the SEC on February 26, 2010, File No. 001-</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10.27(2)</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License Agreement, effective as of October 9, 2003, between The Nasdaq Stock Market, Inc., a subsidiary of National Association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Securities Dealers, Inc., and Chicago Mercantile Exchange Inc. (incorporated by reference to Chicago Mercantile Exchange Holdings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Inc.'s Form 10-K, filed with the SEC on March 11, 2004, File No. 001-31553), Amendment, dated April 26, 2005 (incorporated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reference to Exhibit 10.1 to Chicago Mercantile Exchange Holdings Inc.'s Form 10-Q, filed with the SEC on August 4, 2005, File No.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001-31553); Amendment, dated June 22, 2005 (incorporated by reference to Exhibit 10.2 to Chicago Mercantile Exchange Holdings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Inc.'s Form 10-Q, filed with the SEC on August 4, 2005, File No. 001-31553); Amendment, dated as of June 26, 2008 (incorporated by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 to Exhibit 10.1 to CME Group Inc.'s Form 10-Q, filed with the SEC on August 7, 2008,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Credit Agreement, dated as of January 11, 2011 among CME Group Inc. as Borrower, the Lenders party thereto, and Bank of America,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N.A., as Administrative Agent, UBS Securities LLC, Barclays Capital, and Wells Fargo Securities, LLC, as Co-Syndication Agents,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Merrill Lynch, Pierce, Fenner &amp; Smith Incorporated, Barclays Capital, UBS Securities LLC, and Wells Fargo Securities, LLC, as Joint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Lead Arrangers and Joint Book Managers (incorporated by reference to Exhibit 10.1 to CME Group Inc.'s Form 8-K, filed with the SEC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on January 14, 2011, File No. 001-31553); Amendment to Credit Agreement for Commitment Increase, dated as of November 1,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among CME Group Inc., as borrower, JPMorgan Chase Bank, N.A., and Bank of America, as administrative agent (incorporated by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 to Exhibit 10.1 to CME Group Inc.'s Form 8-K, filed with the SEC on November 4, 2011,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Credit Facility, dated as of November 14, 2011, with each of the banks from time to time party thereto, JPMORGAN CHASE BANK,</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N.A., as administrative agent and as collateral agent, BANK OF AMERICA, N.A., as syndication agent, BMO HARRIS BANK N.A.,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as documentation agent, J.P. MORGAN SECURITIES LLC and MERRILL LYNCH, PIERCE, FENNER &amp; SMITH INCORPORATED,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as joint lead arrangers (incorporated by reference to Exhibit 10.1 to CME Group Inc.'s Form 8-K, filed with the SEC on November 17,</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2011),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Commercial Paper Dealer Agreement, dated as of August 16, 2007, between CME Group Inc., as Issuer, and Merrill Lynch Money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Markets Inc., as Dealer for Notes with maturities up to 270 days and Merrill Lynch, Pierce, Fenner &amp; Smith Incorporated, as Dealer for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Notes with maturities over 270 days (incorporated by reference to Exhibit 4.1 above).</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Issuing and Paying Agency Agreement, dated as of August 16, 2007, between CME Group Inc. and JPMorgan Chase Bank, National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Association, as issuing and paying agent (incorporated by reference to Exhibit 4.2 above).</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Commercial Paper Dealer Agreement, dated as of August 20, 2008, between CME Group Inc., as Issuer, and Bank of America Securities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LLC, as Dealer (incorporated by reference to Exhibit 4.3 above).</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960" w:right="120" w:firstLine="567"/>
        <w:spacing w:after="0" w:line="277" w:lineRule="auto"/>
        <w:rPr>
          <w:sz w:val="20"/>
          <w:szCs w:val="20"/>
          <w:color w:val="auto"/>
        </w:rPr>
      </w:pPr>
      <w:r>
        <w:rPr>
          <w:rFonts w:ascii="Arial" w:cs="Arial" w:eastAsia="Arial" w:hAnsi="Arial"/>
          <w:sz w:val="18"/>
          <w:szCs w:val="18"/>
          <w:color w:val="auto"/>
        </w:rPr>
        <w:t>Commercial Paper Dealer Agreement, dated as of August 22, 2008, between CME Group Inc., as Issuer, and Goldman, Sachs &amp; Co., as 10.33 Dealer (incorporated by reference to Exhibit 4.4 above).</w:t>
      </w:r>
    </w:p>
    <w:p>
      <w:pPr>
        <w:spacing w:after="0" w:line="130" w:lineRule="exact"/>
        <w:rPr>
          <w:sz w:val="20"/>
          <w:szCs w:val="20"/>
          <w:color w:val="auto"/>
        </w:rPr>
      </w:pPr>
    </w:p>
    <w:p>
      <w:pPr>
        <w:ind w:left="960" w:right="80" w:firstLine="567"/>
        <w:spacing w:after="0" w:line="277" w:lineRule="auto"/>
        <w:rPr>
          <w:sz w:val="20"/>
          <w:szCs w:val="20"/>
          <w:color w:val="auto"/>
        </w:rPr>
      </w:pPr>
      <w:r>
        <w:rPr>
          <w:rFonts w:ascii="Arial" w:cs="Arial" w:eastAsia="Arial" w:hAnsi="Arial"/>
          <w:sz w:val="18"/>
          <w:szCs w:val="18"/>
          <w:color w:val="auto"/>
        </w:rPr>
        <w:t>Ground Lease between Battery Park City Authority and New York Mercantile Exchange dated May 18, 1995 (incorporated by reference 10.34 to Exhibit 10.3 to NYMEX Holdings, Inc.'s Registration Statement on Form S-4, File No. 333-30332).</w:t>
      </w:r>
    </w:p>
    <w:p>
      <w:pPr>
        <w:spacing w:after="0" w:line="130" w:lineRule="exact"/>
        <w:rPr>
          <w:sz w:val="20"/>
          <w:szCs w:val="20"/>
          <w:color w:val="auto"/>
        </w:rPr>
      </w:pPr>
    </w:p>
    <w:p>
      <w:pPr>
        <w:ind w:left="1520" w:right="380"/>
        <w:spacing w:after="0" w:line="291" w:lineRule="auto"/>
        <w:rPr>
          <w:sz w:val="20"/>
          <w:szCs w:val="20"/>
          <w:color w:val="auto"/>
        </w:rPr>
      </w:pPr>
      <w:r>
        <w:rPr>
          <w:rFonts w:ascii="Arial" w:cs="Arial" w:eastAsia="Arial" w:hAnsi="Arial"/>
          <w:sz w:val="16"/>
          <w:szCs w:val="16"/>
          <w:color w:val="auto"/>
        </w:rPr>
        <w:t>Funding Agreement among New York State Urban Development Corporation, New York City Economic Development Corporation, Battery Park City Authority and New York Mercantile Exchange dated May 18, 1995 (incorporated by reference to Exhibit 10.4 to</w:t>
      </w:r>
    </w:p>
    <w:p>
      <w:pPr>
        <w:ind w:left="960"/>
        <w:spacing w:after="0"/>
        <w:tabs>
          <w:tab w:leader="none" w:pos="15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NYMEX Holdings, Inc.'s Registration Statement on Form S-4, File No. 333-30332).</w:t>
      </w:r>
    </w:p>
    <w:p>
      <w:pPr>
        <w:sectPr>
          <w:pgSz w:w="11900" w:h="16838" w:orient="portrait"/>
          <w:cols w:equalWidth="0" w:num="1">
            <w:col w:w="11420"/>
          </w:cols>
          <w:pgMar w:left="240" w:top="122" w:right="2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122" w:right="2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9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FF"/>
            </w:tcBorders>
          </w:tcPr>
          <w:p>
            <w:pPr>
              <w:jc w:val="center"/>
              <w:ind w:left="273"/>
              <w:spacing w:after="0"/>
              <w:rPr>
                <w:sz w:val="20"/>
                <w:szCs w:val="20"/>
                <w:color w:val="auto"/>
              </w:rPr>
            </w:pPr>
            <w:r>
              <w:rPr>
                <w:rFonts w:ascii="Arial" w:cs="Arial" w:eastAsia="Arial" w:hAnsi="Arial"/>
                <w:sz w:val="14"/>
                <w:szCs w:val="14"/>
                <w:b w:val="1"/>
                <w:bCs w:val="1"/>
                <w:color w:val="auto"/>
                <w:w w:val="98"/>
              </w:rPr>
              <w:t>Exhibit</w:t>
            </w:r>
          </w:p>
        </w:tc>
        <w:tc>
          <w:tcPr>
            <w:tcW w:w="480" w:type="dxa"/>
            <w:vAlign w:val="bottom"/>
            <w:gridSpan w:val="2"/>
          </w:tcPr>
          <w:p>
            <w:pPr>
              <w:spacing w:after="0"/>
              <w:rPr>
                <w:sz w:val="24"/>
                <w:szCs w:val="24"/>
                <w:color w:val="auto"/>
              </w:rPr>
            </w:pPr>
          </w:p>
        </w:tc>
        <w:tc>
          <w:tcPr>
            <w:tcW w:w="992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12.1*</w:t>
            </w:r>
          </w:p>
        </w:tc>
        <w:tc>
          <w:tcPr>
            <w:tcW w:w="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Ratio of Fixed Charges.</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List of Subsidiaries of CME Group Inc.</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Section 302—Certification of Craig S. Donohue.</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Section 302—Certification of James E. Parisi.</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43"/>
        </w:trPr>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_______________</w:t>
            </w:r>
          </w:p>
        </w:tc>
        <w:tc>
          <w:tcPr>
            <w:tcW w:w="120" w:type="dxa"/>
            <w:vAlign w:val="bottom"/>
          </w:tcPr>
          <w:p>
            <w:pPr>
              <w:spacing w:after="0"/>
              <w:rPr>
                <w:sz w:val="21"/>
                <w:szCs w:val="21"/>
                <w:color w:val="auto"/>
              </w:rPr>
            </w:pPr>
          </w:p>
        </w:tc>
        <w:tc>
          <w:tcPr>
            <w:tcW w:w="9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360" w:hanging="1325"/>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pursuant to Rule 406 of the Securities Act has been previously granted by the SEC for portions of this exhibit.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14" w:right="2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27th day of February, 2012.</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CME Group Inc.</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760" w:type="dxa"/>
            <w:vAlign w:val="bottom"/>
            <w:gridSpan w:val="3"/>
          </w:tcPr>
          <w:p>
            <w:pPr>
              <w:ind w:left="860"/>
              <w:spacing w:after="0"/>
              <w:rPr>
                <w:sz w:val="20"/>
                <w:szCs w:val="20"/>
                <w:color w:val="auto"/>
              </w:rPr>
            </w:pPr>
            <w:r>
              <w:rPr>
                <w:rFonts w:ascii="Arial" w:cs="Arial" w:eastAsia="Arial" w:hAnsi="Arial"/>
                <w:sz w:val="18"/>
                <w:szCs w:val="18"/>
                <w:color w:val="auto"/>
              </w:rPr>
              <w:t>By:</w:t>
            </w:r>
          </w:p>
        </w:tc>
        <w:tc>
          <w:tcPr>
            <w:tcW w:w="4880" w:type="dxa"/>
            <w:vAlign w:val="bottom"/>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E. P</w:t>
            </w:r>
            <w:r>
              <w:rPr>
                <w:rFonts w:ascii="Arial" w:cs="Arial" w:eastAsia="Arial" w:hAnsi="Arial"/>
                <w:sz w:val="14"/>
                <w:szCs w:val="14"/>
                <w:color w:val="auto"/>
              </w:rPr>
              <w:t>ARISI</w:t>
            </w: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146"/>
        </w:trPr>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80" w:type="dxa"/>
            <w:vAlign w:val="bottom"/>
          </w:tcPr>
          <w:p>
            <w:pPr>
              <w:jc w:val="center"/>
              <w:ind w:left="364"/>
              <w:spacing w:after="0" w:line="147" w:lineRule="exact"/>
              <w:rPr>
                <w:sz w:val="20"/>
                <w:szCs w:val="20"/>
                <w:color w:val="auto"/>
              </w:rPr>
            </w:pPr>
            <w:r>
              <w:rPr>
                <w:rFonts w:ascii="Arial" w:cs="Arial" w:eastAsia="Arial" w:hAnsi="Arial"/>
                <w:sz w:val="14"/>
                <w:szCs w:val="14"/>
                <w:b w:val="1"/>
                <w:bCs w:val="1"/>
                <w:color w:val="auto"/>
                <w:w w:val="93"/>
              </w:rPr>
              <w:t>James E. Parisi</w:t>
            </w:r>
          </w:p>
        </w:tc>
      </w:tr>
      <w:tr>
        <w:trPr>
          <w:trHeight w:val="186"/>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jc w:val="center"/>
              <w:ind w:left="364"/>
              <w:spacing w:after="0"/>
              <w:rPr>
                <w:sz w:val="20"/>
                <w:szCs w:val="20"/>
                <w:color w:val="auto"/>
              </w:rPr>
            </w:pPr>
            <w:r>
              <w:rPr>
                <w:rFonts w:ascii="Arial" w:cs="Arial" w:eastAsia="Arial" w:hAnsi="Arial"/>
                <w:sz w:val="14"/>
                <w:szCs w:val="14"/>
                <w:b w:val="1"/>
                <w:bCs w:val="1"/>
                <w:color w:val="auto"/>
                <w:w w:val="95"/>
              </w:rPr>
              <w:t>Managing Director and Chief Financial Officer</w:t>
            </w:r>
          </w:p>
        </w:tc>
      </w:tr>
      <w:tr>
        <w:trPr>
          <w:trHeight w:val="749"/>
        </w:trPr>
        <w:tc>
          <w:tcPr>
            <w:tcW w:w="1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center"/>
              <w:ind w:right="1321"/>
              <w:spacing w:after="0"/>
              <w:rPr>
                <w:sz w:val="20"/>
                <w:szCs w:val="20"/>
                <w:color w:val="auto"/>
              </w:rPr>
            </w:pPr>
            <w:r>
              <w:rPr>
                <w:rFonts w:ascii="Arial" w:cs="Arial" w:eastAsia="Arial" w:hAnsi="Arial"/>
                <w:sz w:val="14"/>
                <w:szCs w:val="14"/>
                <w:b w:val="1"/>
                <w:bCs w:val="1"/>
                <w:color w:val="auto"/>
                <w:w w:val="89"/>
              </w:rPr>
              <w:t>Signature</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Title</w:t>
            </w:r>
          </w:p>
        </w:tc>
      </w:tr>
      <w:tr>
        <w:trPr>
          <w:trHeight w:val="364"/>
        </w:trPr>
        <w:tc>
          <w:tcPr>
            <w:tcW w:w="2120" w:type="dxa"/>
            <w:vAlign w:val="bottom"/>
            <w:gridSpan w:val="2"/>
          </w:tcPr>
          <w:p>
            <w:pPr>
              <w:ind w:left="1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60" w:type="dxa"/>
            <w:vAlign w:val="bottom"/>
            <w:gridSpan w:val="2"/>
          </w:tcPr>
          <w:p>
            <w:pPr>
              <w:jc w:val="center"/>
              <w:ind w:right="821"/>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ERRENCE</w:t>
            </w:r>
            <w:r>
              <w:rPr>
                <w:rFonts w:ascii="Arial" w:cs="Arial" w:eastAsia="Arial" w:hAnsi="Arial"/>
                <w:sz w:val="18"/>
                <w:szCs w:val="18"/>
                <w:color w:val="auto"/>
                <w:w w:val="97"/>
              </w:rPr>
              <w:t xml:space="preserve"> A. D</w:t>
            </w:r>
            <w:r>
              <w:rPr>
                <w:rFonts w:ascii="Arial" w:cs="Arial" w:eastAsia="Arial" w:hAnsi="Arial"/>
                <w:sz w:val="14"/>
                <w:szCs w:val="14"/>
                <w:color w:val="auto"/>
                <w:w w:val="97"/>
              </w:rPr>
              <w:t>UFFY</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Executive Chairman of the Board and Director</w:t>
            </w: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2"/>
          </w:tcPr>
          <w:p>
            <w:pPr>
              <w:jc w:val="center"/>
              <w:ind w:right="1101"/>
              <w:spacing w:after="0"/>
              <w:rPr>
                <w:sz w:val="20"/>
                <w:szCs w:val="20"/>
                <w:color w:val="auto"/>
              </w:rPr>
            </w:pPr>
            <w:r>
              <w:rPr>
                <w:rFonts w:ascii="Arial" w:cs="Arial" w:eastAsia="Arial" w:hAnsi="Arial"/>
                <w:sz w:val="18"/>
                <w:szCs w:val="18"/>
                <w:color w:val="auto"/>
                <w:w w:val="93"/>
              </w:rPr>
              <w:t>Terrence A. Duffy</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92"/>
        </w:trPr>
        <w:tc>
          <w:tcPr>
            <w:tcW w:w="19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660" w:type="dxa"/>
            <w:vAlign w:val="bottom"/>
            <w:gridSpan w:val="2"/>
          </w:tcPr>
          <w:p>
            <w:pPr>
              <w:jc w:val="center"/>
              <w:ind w:right="781"/>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RAIG</w:t>
            </w:r>
            <w:r>
              <w:rPr>
                <w:rFonts w:ascii="Arial" w:cs="Arial" w:eastAsia="Arial" w:hAnsi="Arial"/>
                <w:sz w:val="18"/>
                <w:szCs w:val="18"/>
                <w:color w:val="auto"/>
                <w:w w:val="96"/>
              </w:rPr>
              <w:t xml:space="preserve"> S. D</w:t>
            </w:r>
            <w:r>
              <w:rPr>
                <w:rFonts w:ascii="Arial" w:cs="Arial" w:eastAsia="Arial" w:hAnsi="Arial"/>
                <w:sz w:val="14"/>
                <w:szCs w:val="14"/>
                <w:color w:val="auto"/>
                <w:w w:val="96"/>
              </w:rPr>
              <w:t>ONOHUE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Director</w:t>
            </w: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184"/>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2"/>
          </w:tcPr>
          <w:p>
            <w:pPr>
              <w:jc w:val="center"/>
              <w:ind w:right="1121"/>
              <w:spacing w:after="0"/>
              <w:rPr>
                <w:sz w:val="20"/>
                <w:szCs w:val="20"/>
                <w:color w:val="auto"/>
              </w:rPr>
            </w:pPr>
            <w:r>
              <w:rPr>
                <w:rFonts w:ascii="Arial" w:cs="Arial" w:eastAsia="Arial" w:hAnsi="Arial"/>
                <w:sz w:val="14"/>
                <w:szCs w:val="14"/>
                <w:b w:val="1"/>
                <w:bCs w:val="1"/>
                <w:color w:val="auto"/>
                <w:w w:val="93"/>
              </w:rPr>
              <w:t>Craig S. Donohue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431"/>
        </w:trPr>
        <w:tc>
          <w:tcPr>
            <w:tcW w:w="1900" w:type="dxa"/>
            <w:vAlign w:val="bottom"/>
          </w:tcPr>
          <w:p>
            <w:pPr>
              <w:spacing w:after="0"/>
              <w:rPr>
                <w:sz w:val="24"/>
                <w:szCs w:val="24"/>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60" w:type="dxa"/>
            <w:vAlign w:val="bottom"/>
          </w:tcPr>
          <w:p>
            <w:pPr>
              <w:jc w:val="center"/>
              <w:ind w:right="961"/>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AMES</w:t>
            </w:r>
            <w:r>
              <w:rPr>
                <w:rFonts w:ascii="Arial" w:cs="Arial" w:eastAsia="Arial" w:hAnsi="Arial"/>
                <w:sz w:val="18"/>
                <w:szCs w:val="18"/>
                <w:color w:val="auto"/>
                <w:w w:val="94"/>
              </w:rPr>
              <w:t xml:space="preserve"> E. P</w:t>
            </w:r>
            <w:r>
              <w:rPr>
                <w:rFonts w:ascii="Arial" w:cs="Arial" w:eastAsia="Arial" w:hAnsi="Arial"/>
                <w:sz w:val="14"/>
                <w:szCs w:val="14"/>
                <w:color w:val="auto"/>
                <w:w w:val="94"/>
              </w:rPr>
              <w:t>ARISI</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Managing Director and Chief Financial Officer</w:t>
            </w: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8"/>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jc w:val="center"/>
              <w:ind w:right="1321"/>
              <w:spacing w:after="0"/>
              <w:rPr>
                <w:sz w:val="20"/>
                <w:szCs w:val="20"/>
                <w:color w:val="auto"/>
              </w:rPr>
            </w:pPr>
            <w:r>
              <w:rPr>
                <w:rFonts w:ascii="Arial" w:cs="Arial" w:eastAsia="Arial" w:hAnsi="Arial"/>
                <w:sz w:val="14"/>
                <w:szCs w:val="14"/>
                <w:b w:val="1"/>
                <w:bCs w:val="1"/>
                <w:color w:val="auto"/>
                <w:w w:val="91"/>
              </w:rPr>
              <w:t>James E. Parisi</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900" w:type="dxa"/>
            <w:vAlign w:val="bottom"/>
          </w:tcPr>
          <w:p>
            <w:pPr>
              <w:spacing w:after="0"/>
              <w:rPr>
                <w:sz w:val="24"/>
                <w:szCs w:val="24"/>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60" w:type="dxa"/>
            <w:vAlign w:val="bottom"/>
          </w:tcPr>
          <w:p>
            <w:pPr>
              <w:jc w:val="center"/>
              <w:ind w:right="961"/>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AMES</w:t>
            </w:r>
            <w:r>
              <w:rPr>
                <w:rFonts w:ascii="Arial" w:cs="Arial" w:eastAsia="Arial" w:hAnsi="Arial"/>
                <w:sz w:val="18"/>
                <w:szCs w:val="18"/>
                <w:color w:val="auto"/>
                <w:w w:val="94"/>
              </w:rPr>
              <w:t xml:space="preserve"> V. P</w:t>
            </w:r>
            <w:r>
              <w:rPr>
                <w:rFonts w:ascii="Arial" w:cs="Arial" w:eastAsia="Arial" w:hAnsi="Arial"/>
                <w:sz w:val="14"/>
                <w:szCs w:val="14"/>
                <w:color w:val="auto"/>
                <w:w w:val="94"/>
              </w:rPr>
              <w:t>IEPER</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Managing Director and Chief Accounting Officer</w:t>
            </w: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8"/>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jc w:val="center"/>
              <w:ind w:right="1321"/>
              <w:spacing w:after="0"/>
              <w:rPr>
                <w:sz w:val="20"/>
                <w:szCs w:val="20"/>
                <w:color w:val="auto"/>
              </w:rPr>
            </w:pPr>
            <w:r>
              <w:rPr>
                <w:rFonts w:ascii="Arial" w:cs="Arial" w:eastAsia="Arial" w:hAnsi="Arial"/>
                <w:sz w:val="14"/>
                <w:szCs w:val="14"/>
                <w:b w:val="1"/>
                <w:bCs w:val="1"/>
                <w:color w:val="auto"/>
                <w:w w:val="91"/>
              </w:rPr>
              <w:t>James V. Pieper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900" w:type="dxa"/>
            <w:vAlign w:val="bottom"/>
          </w:tcPr>
          <w:p>
            <w:pPr>
              <w:spacing w:after="0"/>
              <w:rPr>
                <w:sz w:val="24"/>
                <w:szCs w:val="24"/>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60" w:type="dxa"/>
            <w:vAlign w:val="bottom"/>
          </w:tcPr>
          <w:p>
            <w:pPr>
              <w:jc w:val="center"/>
              <w:ind w:right="1001"/>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EO</w:t>
            </w:r>
            <w:r>
              <w:rPr>
                <w:rFonts w:ascii="Arial" w:cs="Arial" w:eastAsia="Arial" w:hAnsi="Arial"/>
                <w:sz w:val="18"/>
                <w:szCs w:val="18"/>
                <w:color w:val="auto"/>
              </w:rPr>
              <w:t xml:space="preserve"> M</w:t>
            </w:r>
            <w:r>
              <w:rPr>
                <w:rFonts w:ascii="Arial" w:cs="Arial" w:eastAsia="Arial" w:hAnsi="Arial"/>
                <w:sz w:val="14"/>
                <w:szCs w:val="14"/>
                <w:color w:val="auto"/>
              </w:rPr>
              <w:t>ELAMED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Chairman Emeritus and Director</w:t>
            </w: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184"/>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Pr>
          <w:p>
            <w:pPr>
              <w:jc w:val="center"/>
              <w:ind w:right="1321"/>
              <w:spacing w:after="0"/>
              <w:rPr>
                <w:sz w:val="20"/>
                <w:szCs w:val="20"/>
                <w:color w:val="auto"/>
              </w:rPr>
            </w:pPr>
            <w:r>
              <w:rPr>
                <w:rFonts w:ascii="Arial" w:cs="Arial" w:eastAsia="Arial" w:hAnsi="Arial"/>
                <w:sz w:val="14"/>
                <w:szCs w:val="14"/>
                <w:b w:val="1"/>
                <w:bCs w:val="1"/>
                <w:color w:val="auto"/>
                <w:w w:val="96"/>
              </w:rPr>
              <w:t>Leo Melamed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431"/>
        </w:trPr>
        <w:tc>
          <w:tcPr>
            <w:tcW w:w="2120" w:type="dxa"/>
            <w:vAlign w:val="bottom"/>
            <w:gridSpan w:val="2"/>
          </w:tcPr>
          <w:p>
            <w:pPr>
              <w:ind w:left="17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60" w:type="dxa"/>
            <w:vAlign w:val="bottom"/>
            <w:gridSpan w:val="2"/>
          </w:tcPr>
          <w:p>
            <w:pPr>
              <w:jc w:val="center"/>
              <w:ind w:right="781"/>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EFFREY</w:t>
            </w:r>
            <w:r>
              <w:rPr>
                <w:rFonts w:ascii="Arial" w:cs="Arial" w:eastAsia="Arial" w:hAnsi="Arial"/>
                <w:sz w:val="18"/>
                <w:szCs w:val="18"/>
                <w:color w:val="auto"/>
                <w:w w:val="98"/>
              </w:rPr>
              <w:t xml:space="preserve"> M. B</w:t>
            </w:r>
            <w:r>
              <w:rPr>
                <w:rFonts w:ascii="Arial" w:cs="Arial" w:eastAsia="Arial" w:hAnsi="Arial"/>
                <w:sz w:val="14"/>
                <w:szCs w:val="14"/>
                <w:color w:val="auto"/>
                <w:w w:val="98"/>
              </w:rPr>
              <w:t>ERNACCHI</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8"/>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2"/>
          </w:tcPr>
          <w:p>
            <w:pPr>
              <w:jc w:val="center"/>
              <w:ind w:right="1121"/>
              <w:spacing w:after="0"/>
              <w:rPr>
                <w:sz w:val="20"/>
                <w:szCs w:val="20"/>
                <w:color w:val="auto"/>
              </w:rPr>
            </w:pPr>
            <w:r>
              <w:rPr>
                <w:rFonts w:ascii="Arial" w:cs="Arial" w:eastAsia="Arial" w:hAnsi="Arial"/>
                <w:sz w:val="14"/>
                <w:szCs w:val="14"/>
                <w:b w:val="1"/>
                <w:bCs w:val="1"/>
                <w:color w:val="auto"/>
                <w:w w:val="94"/>
              </w:rPr>
              <w:t>Jeffrey M. Bernacchi</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900" w:type="dxa"/>
            <w:vAlign w:val="bottom"/>
          </w:tcPr>
          <w:p>
            <w:pPr>
              <w:ind w:left="1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80" w:type="dxa"/>
            <w:vAlign w:val="bottom"/>
            <w:gridSpan w:val="3"/>
          </w:tcPr>
          <w:p>
            <w:pPr>
              <w:ind w:left="10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IMOTHY</w:t>
            </w:r>
            <w:r>
              <w:rPr>
                <w:rFonts w:ascii="Arial" w:cs="Arial" w:eastAsia="Arial" w:hAnsi="Arial"/>
                <w:sz w:val="18"/>
                <w:szCs w:val="18"/>
                <w:color w:val="auto"/>
              </w:rPr>
              <w:t xml:space="preserve"> S. B</w:t>
            </w:r>
            <w:r>
              <w:rPr>
                <w:rFonts w:ascii="Arial" w:cs="Arial" w:eastAsia="Arial" w:hAnsi="Arial"/>
                <w:sz w:val="14"/>
                <w:szCs w:val="14"/>
                <w:color w:val="auto"/>
              </w:rPr>
              <w:t>ITSBERGER</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184"/>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2"/>
          </w:tcPr>
          <w:p>
            <w:pPr>
              <w:jc w:val="center"/>
              <w:ind w:right="1101"/>
              <w:spacing w:after="0"/>
              <w:rPr>
                <w:sz w:val="20"/>
                <w:szCs w:val="20"/>
                <w:color w:val="auto"/>
              </w:rPr>
            </w:pPr>
            <w:r>
              <w:rPr>
                <w:rFonts w:ascii="Arial" w:cs="Arial" w:eastAsia="Arial" w:hAnsi="Arial"/>
                <w:sz w:val="14"/>
                <w:szCs w:val="14"/>
                <w:b w:val="1"/>
                <w:bCs w:val="1"/>
                <w:color w:val="auto"/>
                <w:w w:val="93"/>
              </w:rPr>
              <w:t>Timothy S. Bitsberger</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431"/>
        </w:trPr>
        <w:tc>
          <w:tcPr>
            <w:tcW w:w="19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660" w:type="dxa"/>
            <w:vAlign w:val="bottom"/>
            <w:gridSpan w:val="2"/>
          </w:tcPr>
          <w:p>
            <w:pPr>
              <w:jc w:val="center"/>
              <w:ind w:right="861"/>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HARLES</w:t>
            </w:r>
            <w:r>
              <w:rPr>
                <w:rFonts w:ascii="Arial" w:cs="Arial" w:eastAsia="Arial" w:hAnsi="Arial"/>
                <w:sz w:val="18"/>
                <w:szCs w:val="18"/>
                <w:color w:val="auto"/>
                <w:w w:val="95"/>
              </w:rPr>
              <w:t xml:space="preserve"> P. C</w:t>
            </w:r>
            <w:r>
              <w:rPr>
                <w:rFonts w:ascii="Arial" w:cs="Arial" w:eastAsia="Arial" w:hAnsi="Arial"/>
                <w:sz w:val="14"/>
                <w:szCs w:val="14"/>
                <w:color w:val="auto"/>
                <w:w w:val="95"/>
              </w:rPr>
              <w:t>AREY</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184"/>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Pr>
          <w:p>
            <w:pPr>
              <w:jc w:val="center"/>
              <w:ind w:right="1321"/>
              <w:spacing w:after="0"/>
              <w:rPr>
                <w:sz w:val="20"/>
                <w:szCs w:val="20"/>
                <w:color w:val="auto"/>
              </w:rPr>
            </w:pPr>
            <w:r>
              <w:rPr>
                <w:rFonts w:ascii="Arial" w:cs="Arial" w:eastAsia="Arial" w:hAnsi="Arial"/>
                <w:sz w:val="14"/>
                <w:szCs w:val="14"/>
                <w:b w:val="1"/>
                <w:bCs w:val="1"/>
                <w:color w:val="auto"/>
                <w:w w:val="91"/>
              </w:rPr>
              <w:t>Charles P. Carey</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431"/>
        </w:trPr>
        <w:tc>
          <w:tcPr>
            <w:tcW w:w="1900" w:type="dxa"/>
            <w:vAlign w:val="bottom"/>
          </w:tcPr>
          <w:p>
            <w:pPr>
              <w:spacing w:after="0"/>
              <w:rPr>
                <w:sz w:val="24"/>
                <w:szCs w:val="24"/>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60" w:type="dxa"/>
            <w:vAlign w:val="bottom"/>
          </w:tcPr>
          <w:p>
            <w:pPr>
              <w:jc w:val="center"/>
              <w:ind w:right="961"/>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ARK</w:t>
            </w:r>
            <w:r>
              <w:rPr>
                <w:rFonts w:ascii="Arial" w:cs="Arial" w:eastAsia="Arial" w:hAnsi="Arial"/>
                <w:sz w:val="18"/>
                <w:szCs w:val="18"/>
                <w:color w:val="auto"/>
              </w:rPr>
              <w:t xml:space="preserve"> E. C</w:t>
            </w:r>
            <w:r>
              <w:rPr>
                <w:rFonts w:ascii="Arial" w:cs="Arial" w:eastAsia="Arial" w:hAnsi="Arial"/>
                <w:sz w:val="14"/>
                <w:szCs w:val="14"/>
                <w:color w:val="auto"/>
              </w:rPr>
              <w:t>ERMAK</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8"/>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jc w:val="center"/>
              <w:ind w:right="1321"/>
              <w:spacing w:after="0"/>
              <w:rPr>
                <w:sz w:val="20"/>
                <w:szCs w:val="20"/>
                <w:color w:val="auto"/>
              </w:rPr>
            </w:pPr>
            <w:r>
              <w:rPr>
                <w:rFonts w:ascii="Arial" w:cs="Arial" w:eastAsia="Arial" w:hAnsi="Arial"/>
                <w:sz w:val="14"/>
                <w:szCs w:val="14"/>
                <w:b w:val="1"/>
                <w:bCs w:val="1"/>
                <w:color w:val="auto"/>
              </w:rPr>
              <w:t>Mark E. Cermak</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900" w:type="dxa"/>
            <w:vAlign w:val="bottom"/>
          </w:tcPr>
          <w:p>
            <w:pPr>
              <w:ind w:left="17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880" w:type="dxa"/>
            <w:vAlign w:val="bottom"/>
            <w:gridSpan w:val="3"/>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ENNIS</w:t>
            </w:r>
            <w:r>
              <w:rPr>
                <w:rFonts w:ascii="Arial" w:cs="Arial" w:eastAsia="Arial" w:hAnsi="Arial"/>
                <w:sz w:val="18"/>
                <w:szCs w:val="18"/>
                <w:color w:val="auto"/>
              </w:rPr>
              <w:t xml:space="preserve"> H. C</w:t>
            </w:r>
            <w:r>
              <w:rPr>
                <w:rFonts w:ascii="Arial" w:cs="Arial" w:eastAsia="Arial" w:hAnsi="Arial"/>
                <w:sz w:val="14"/>
                <w:szCs w:val="14"/>
                <w:color w:val="auto"/>
              </w:rPr>
              <w:t>HOOKASZIAN</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184"/>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2"/>
          </w:tcPr>
          <w:p>
            <w:pPr>
              <w:jc w:val="center"/>
              <w:ind w:right="1121"/>
              <w:spacing w:after="0"/>
              <w:rPr>
                <w:sz w:val="20"/>
                <w:szCs w:val="20"/>
                <w:color w:val="auto"/>
              </w:rPr>
            </w:pPr>
            <w:r>
              <w:rPr>
                <w:rFonts w:ascii="Arial" w:cs="Arial" w:eastAsia="Arial" w:hAnsi="Arial"/>
                <w:sz w:val="14"/>
                <w:szCs w:val="14"/>
                <w:b w:val="1"/>
                <w:bCs w:val="1"/>
                <w:color w:val="auto"/>
                <w:w w:val="91"/>
              </w:rPr>
              <w:t>Dennis H. Chookaszian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431"/>
        </w:trPr>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460" w:type="dxa"/>
            <w:vAlign w:val="bottom"/>
          </w:tcPr>
          <w:p>
            <w:pPr>
              <w:jc w:val="center"/>
              <w:ind w:right="961"/>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ACKIE</w:t>
            </w:r>
            <w:r>
              <w:rPr>
                <w:rFonts w:ascii="Arial" w:cs="Arial" w:eastAsia="Arial" w:hAnsi="Arial"/>
                <w:sz w:val="18"/>
                <w:szCs w:val="18"/>
                <w:color w:val="auto"/>
                <w:w w:val="98"/>
              </w:rPr>
              <w:t xml:space="preserve"> C</w:t>
            </w:r>
            <w:r>
              <w:rPr>
                <w:rFonts w:ascii="Arial" w:cs="Arial" w:eastAsia="Arial" w:hAnsi="Arial"/>
                <w:sz w:val="14"/>
                <w:szCs w:val="14"/>
                <w:color w:val="auto"/>
                <w:w w:val="98"/>
              </w:rPr>
              <w:t>LEGG</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184"/>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Pr>
          <w:p>
            <w:pPr>
              <w:jc w:val="center"/>
              <w:ind w:right="1321"/>
              <w:spacing w:after="0"/>
              <w:rPr>
                <w:sz w:val="20"/>
                <w:szCs w:val="20"/>
                <w:color w:val="auto"/>
              </w:rPr>
            </w:pPr>
            <w:r>
              <w:rPr>
                <w:rFonts w:ascii="Arial" w:cs="Arial" w:eastAsia="Arial" w:hAnsi="Arial"/>
                <w:sz w:val="14"/>
                <w:szCs w:val="14"/>
                <w:b w:val="1"/>
                <w:bCs w:val="1"/>
                <w:color w:val="auto"/>
                <w:w w:val="91"/>
              </w:rPr>
              <w:t>Jackie Clegg</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431"/>
        </w:trPr>
        <w:tc>
          <w:tcPr>
            <w:tcW w:w="19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660" w:type="dxa"/>
            <w:vAlign w:val="bottom"/>
            <w:gridSpan w:val="2"/>
          </w:tcPr>
          <w:p>
            <w:pPr>
              <w:jc w:val="center"/>
              <w:ind w:right="801"/>
              <w:spacing w:after="0"/>
              <w:rPr>
                <w:sz w:val="20"/>
                <w:szCs w:val="20"/>
                <w:color w:val="auto"/>
              </w:rPr>
            </w:pPr>
            <w:r>
              <w:rPr>
                <w:rFonts w:ascii="Arial" w:cs="Arial" w:eastAsia="Arial" w:hAnsi="Arial"/>
                <w:sz w:val="18"/>
                <w:szCs w:val="18"/>
                <w:color w:val="auto"/>
                <w:w w:val="93"/>
              </w:rPr>
              <w:t>R</w:t>
            </w:r>
            <w:r>
              <w:rPr>
                <w:rFonts w:ascii="Arial" w:cs="Arial" w:eastAsia="Arial" w:hAnsi="Arial"/>
                <w:sz w:val="14"/>
                <w:szCs w:val="14"/>
                <w:color w:val="auto"/>
                <w:w w:val="93"/>
              </w:rPr>
              <w:t>OBERT</w:t>
            </w:r>
            <w:r>
              <w:rPr>
                <w:rFonts w:ascii="Arial" w:cs="Arial" w:eastAsia="Arial" w:hAnsi="Arial"/>
                <w:sz w:val="18"/>
                <w:szCs w:val="18"/>
                <w:color w:val="auto"/>
                <w:w w:val="93"/>
              </w:rPr>
              <w:t xml:space="preserve"> F. C</w:t>
            </w:r>
            <w:r>
              <w:rPr>
                <w:rFonts w:ascii="Arial" w:cs="Arial" w:eastAsia="Arial" w:hAnsi="Arial"/>
                <w:sz w:val="14"/>
                <w:szCs w:val="14"/>
                <w:color w:val="auto"/>
                <w:w w:val="93"/>
              </w:rPr>
              <w:t>ORVINO</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8"/>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2"/>
          </w:tcPr>
          <w:p>
            <w:pPr>
              <w:jc w:val="center"/>
              <w:ind w:right="1121"/>
              <w:spacing w:after="0"/>
              <w:rPr>
                <w:sz w:val="20"/>
                <w:szCs w:val="20"/>
                <w:color w:val="auto"/>
              </w:rPr>
            </w:pPr>
            <w:r>
              <w:rPr>
                <w:rFonts w:ascii="Arial" w:cs="Arial" w:eastAsia="Arial" w:hAnsi="Arial"/>
                <w:sz w:val="14"/>
                <w:szCs w:val="14"/>
                <w:b w:val="1"/>
                <w:bCs w:val="1"/>
                <w:color w:val="auto"/>
                <w:w w:val="92"/>
              </w:rPr>
              <w:t>Robert F. Corvino</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900" w:type="dxa"/>
            <w:vAlign w:val="bottom"/>
          </w:tcPr>
          <w:p>
            <w:pPr>
              <w:ind w:left="17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880" w:type="dxa"/>
            <w:vAlign w:val="bottom"/>
            <w:gridSpan w:val="3"/>
          </w:tcPr>
          <w:p>
            <w:pPr>
              <w:ind w:left="1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A. D</w:t>
            </w:r>
            <w:r>
              <w:rPr>
                <w:rFonts w:ascii="Arial" w:cs="Arial" w:eastAsia="Arial" w:hAnsi="Arial"/>
                <w:sz w:val="14"/>
                <w:szCs w:val="14"/>
                <w:color w:val="auto"/>
              </w:rPr>
              <w:t>ONALDSON</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184"/>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2"/>
          </w:tcPr>
          <w:p>
            <w:pPr>
              <w:jc w:val="center"/>
              <w:ind w:right="1121"/>
              <w:spacing w:after="0"/>
              <w:rPr>
                <w:sz w:val="20"/>
                <w:szCs w:val="20"/>
                <w:color w:val="auto"/>
              </w:rPr>
            </w:pPr>
            <w:r>
              <w:rPr>
                <w:rFonts w:ascii="Arial" w:cs="Arial" w:eastAsia="Arial" w:hAnsi="Arial"/>
                <w:sz w:val="14"/>
                <w:szCs w:val="14"/>
                <w:b w:val="1"/>
                <w:bCs w:val="1"/>
                <w:color w:val="auto"/>
                <w:w w:val="91"/>
              </w:rPr>
              <w:t>James A. Donaldson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431"/>
        </w:trPr>
        <w:tc>
          <w:tcPr>
            <w:tcW w:w="19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660" w:type="dxa"/>
            <w:vAlign w:val="bottom"/>
            <w:gridSpan w:val="2"/>
          </w:tcPr>
          <w:p>
            <w:pPr>
              <w:jc w:val="center"/>
              <w:ind w:right="761"/>
              <w:spacing w:after="0"/>
              <w:rPr>
                <w:sz w:val="20"/>
                <w:szCs w:val="20"/>
                <w:color w:val="auto"/>
              </w:rPr>
            </w:pPr>
            <w:r>
              <w:rPr>
                <w:rFonts w:ascii="Arial" w:cs="Arial" w:eastAsia="Arial" w:hAnsi="Arial"/>
                <w:sz w:val="18"/>
                <w:szCs w:val="18"/>
                <w:color w:val="auto"/>
                <w:w w:val="97"/>
              </w:rPr>
              <w:t>M</w:t>
            </w:r>
            <w:r>
              <w:rPr>
                <w:rFonts w:ascii="Arial" w:cs="Arial" w:eastAsia="Arial" w:hAnsi="Arial"/>
                <w:sz w:val="14"/>
                <w:szCs w:val="14"/>
                <w:color w:val="auto"/>
                <w:w w:val="97"/>
              </w:rPr>
              <w:t>ARTIN</w:t>
            </w:r>
            <w:r>
              <w:rPr>
                <w:rFonts w:ascii="Arial" w:cs="Arial" w:eastAsia="Arial" w:hAnsi="Arial"/>
                <w:sz w:val="18"/>
                <w:szCs w:val="18"/>
                <w:color w:val="auto"/>
                <w:w w:val="97"/>
              </w:rPr>
              <w:t xml:space="preserve"> J. G</w:t>
            </w:r>
            <w:r>
              <w:rPr>
                <w:rFonts w:ascii="Arial" w:cs="Arial" w:eastAsia="Arial" w:hAnsi="Arial"/>
                <w:sz w:val="14"/>
                <w:szCs w:val="14"/>
                <w:color w:val="auto"/>
                <w:w w:val="97"/>
              </w:rPr>
              <w:t>EPSMAN</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184"/>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2"/>
          </w:tcPr>
          <w:p>
            <w:pPr>
              <w:jc w:val="center"/>
              <w:ind w:right="1121"/>
              <w:spacing w:after="0"/>
              <w:rPr>
                <w:sz w:val="20"/>
                <w:szCs w:val="20"/>
                <w:color w:val="auto"/>
              </w:rPr>
            </w:pPr>
            <w:r>
              <w:rPr>
                <w:rFonts w:ascii="Arial" w:cs="Arial" w:eastAsia="Arial" w:hAnsi="Arial"/>
                <w:sz w:val="14"/>
                <w:szCs w:val="14"/>
                <w:b w:val="1"/>
                <w:bCs w:val="1"/>
                <w:color w:val="auto"/>
                <w:w w:val="97"/>
              </w:rPr>
              <w:t>Martin J. Gepsman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431"/>
        </w:trPr>
        <w:tc>
          <w:tcPr>
            <w:tcW w:w="2120" w:type="dxa"/>
            <w:vAlign w:val="bottom"/>
            <w:gridSpan w:val="2"/>
          </w:tcPr>
          <w:p>
            <w:pPr>
              <w:ind w:left="1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ARRY</w:t>
            </w:r>
            <w:r>
              <w:rPr>
                <w:rFonts w:ascii="Arial" w:cs="Arial" w:eastAsia="Arial" w:hAnsi="Arial"/>
                <w:sz w:val="18"/>
                <w:szCs w:val="18"/>
                <w:color w:val="auto"/>
              </w:rPr>
              <w:t xml:space="preserve"> G. G</w:t>
            </w:r>
            <w:r>
              <w:rPr>
                <w:rFonts w:ascii="Arial" w:cs="Arial" w:eastAsia="Arial" w:hAnsi="Arial"/>
                <w:sz w:val="14"/>
                <w:szCs w:val="14"/>
                <w:color w:val="auto"/>
              </w:rPr>
              <w:t>ERDES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184"/>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Pr>
          <w:p>
            <w:pPr>
              <w:jc w:val="center"/>
              <w:ind w:right="1321"/>
              <w:spacing w:after="0"/>
              <w:rPr>
                <w:sz w:val="20"/>
                <w:szCs w:val="20"/>
                <w:color w:val="auto"/>
              </w:rPr>
            </w:pPr>
            <w:r>
              <w:rPr>
                <w:rFonts w:ascii="Arial" w:cs="Arial" w:eastAsia="Arial" w:hAnsi="Arial"/>
                <w:sz w:val="14"/>
                <w:szCs w:val="14"/>
                <w:b w:val="1"/>
                <w:bCs w:val="1"/>
                <w:color w:val="auto"/>
                <w:w w:val="96"/>
              </w:rPr>
              <w:t>Larry G. Gerdes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431"/>
        </w:trPr>
        <w:tc>
          <w:tcPr>
            <w:tcW w:w="2120" w:type="dxa"/>
            <w:vAlign w:val="bottom"/>
            <w:gridSpan w:val="2"/>
          </w:tcPr>
          <w:p>
            <w:pPr>
              <w:ind w:left="1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60" w:type="dxa"/>
            <w:vAlign w:val="bottom"/>
            <w:gridSpan w:val="2"/>
          </w:tcPr>
          <w:p>
            <w:pPr>
              <w:jc w:val="center"/>
              <w:ind w:right="801"/>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R. G</w:t>
            </w:r>
            <w:r>
              <w:rPr>
                <w:rFonts w:ascii="Arial" w:cs="Arial" w:eastAsia="Arial" w:hAnsi="Arial"/>
                <w:sz w:val="14"/>
                <w:szCs w:val="14"/>
                <w:color w:val="auto"/>
              </w:rPr>
              <w:t>LICKMAN</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184"/>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2"/>
          </w:tcPr>
          <w:p>
            <w:pPr>
              <w:jc w:val="center"/>
              <w:ind w:right="1121"/>
              <w:spacing w:after="0"/>
              <w:rPr>
                <w:sz w:val="20"/>
                <w:szCs w:val="20"/>
                <w:color w:val="auto"/>
              </w:rPr>
            </w:pPr>
            <w:r>
              <w:rPr>
                <w:rFonts w:ascii="Arial" w:cs="Arial" w:eastAsia="Arial" w:hAnsi="Arial"/>
                <w:sz w:val="14"/>
                <w:szCs w:val="14"/>
                <w:b w:val="1"/>
                <w:bCs w:val="1"/>
                <w:color w:val="auto"/>
                <w:w w:val="96"/>
              </w:rPr>
              <w:t>Daniel R. Glickman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2" w:right="239" w:bottom="1440" w:gutter="0" w:footer="0" w:header="0"/>
          <w:type w:val="continuous"/>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tcPr>
          <w:p>
            <w:pPr>
              <w:ind w:left="19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80" w:type="dxa"/>
            <w:vAlign w:val="bottom"/>
          </w:tcPr>
          <w:p>
            <w:pPr>
              <w:spacing w:after="0"/>
              <w:rPr>
                <w:sz w:val="20"/>
                <w:szCs w:val="20"/>
                <w:color w:val="auto"/>
              </w:rPr>
            </w:pPr>
          </w:p>
        </w:tc>
        <w:tc>
          <w:tcPr>
            <w:tcW w:w="3480" w:type="dxa"/>
            <w:vAlign w:val="bottom"/>
          </w:tcPr>
          <w:p>
            <w:pPr>
              <w:jc w:val="center"/>
              <w:ind w:right="1820"/>
              <w:spacing w:after="0"/>
              <w:rPr>
                <w:sz w:val="20"/>
                <w:szCs w:val="20"/>
                <w:color w:val="auto"/>
              </w:rPr>
            </w:pPr>
            <w:r>
              <w:rPr>
                <w:rFonts w:ascii="Arial" w:cs="Arial" w:eastAsia="Arial" w:hAnsi="Arial"/>
                <w:sz w:val="18"/>
                <w:szCs w:val="18"/>
                <w:color w:val="auto"/>
                <w:w w:val="95"/>
              </w:rPr>
              <w:t>J. D</w:t>
            </w:r>
            <w:r>
              <w:rPr>
                <w:rFonts w:ascii="Arial" w:cs="Arial" w:eastAsia="Arial" w:hAnsi="Arial"/>
                <w:sz w:val="14"/>
                <w:szCs w:val="14"/>
                <w:color w:val="auto"/>
                <w:w w:val="95"/>
              </w:rPr>
              <w:t>ENNIS</w:t>
            </w:r>
            <w:r>
              <w:rPr>
                <w:rFonts w:ascii="Arial" w:cs="Arial" w:eastAsia="Arial" w:hAnsi="Arial"/>
                <w:sz w:val="18"/>
                <w:szCs w:val="18"/>
                <w:color w:val="auto"/>
                <w:w w:val="95"/>
              </w:rPr>
              <w:t xml:space="preserve"> H</w:t>
            </w:r>
            <w:r>
              <w:rPr>
                <w:rFonts w:ascii="Arial" w:cs="Arial" w:eastAsia="Arial" w:hAnsi="Arial"/>
                <w:sz w:val="14"/>
                <w:szCs w:val="14"/>
                <w:color w:val="auto"/>
                <w:w w:val="95"/>
              </w:rPr>
              <w:t>ASTERT</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w w:val="92"/>
              </w:rPr>
              <w:t>J. Dennis Hastert</w:t>
            </w:r>
          </w:p>
        </w:tc>
        <w:tc>
          <w:tcPr>
            <w:tcW w:w="760" w:type="dxa"/>
            <w:vAlign w:val="bottom"/>
          </w:tcPr>
          <w:p>
            <w:pPr>
              <w:spacing w:after="0"/>
              <w:rPr>
                <w:sz w:val="20"/>
                <w:szCs w:val="20"/>
                <w:color w:val="auto"/>
              </w:rPr>
            </w:pPr>
          </w:p>
        </w:tc>
      </w:tr>
      <w:tr>
        <w:trPr>
          <w:trHeight w:val="377"/>
        </w:trPr>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80" w:type="dxa"/>
            <w:vAlign w:val="bottom"/>
          </w:tcPr>
          <w:p>
            <w:pPr>
              <w:jc w:val="center"/>
              <w:ind w:right="1780"/>
              <w:spacing w:after="0"/>
              <w:rPr>
                <w:sz w:val="20"/>
                <w:szCs w:val="20"/>
                <w:color w:val="auto"/>
              </w:rPr>
            </w:pPr>
            <w:r>
              <w:rPr>
                <w:rFonts w:ascii="Arial" w:cs="Arial" w:eastAsia="Arial" w:hAnsi="Arial"/>
                <w:sz w:val="18"/>
                <w:szCs w:val="18"/>
                <w:color w:val="auto"/>
                <w:w w:val="93"/>
              </w:rPr>
              <w:t>B</w:t>
            </w:r>
            <w:r>
              <w:rPr>
                <w:rFonts w:ascii="Arial" w:cs="Arial" w:eastAsia="Arial" w:hAnsi="Arial"/>
                <w:sz w:val="14"/>
                <w:szCs w:val="14"/>
                <w:color w:val="auto"/>
                <w:w w:val="93"/>
              </w:rPr>
              <w:t>RUCE</w:t>
            </w:r>
            <w:r>
              <w:rPr>
                <w:rFonts w:ascii="Arial" w:cs="Arial" w:eastAsia="Arial" w:hAnsi="Arial"/>
                <w:sz w:val="18"/>
                <w:szCs w:val="18"/>
                <w:color w:val="auto"/>
                <w:w w:val="93"/>
              </w:rPr>
              <w:t xml:space="preserve"> F. J</w:t>
            </w:r>
            <w:r>
              <w:rPr>
                <w:rFonts w:ascii="Arial" w:cs="Arial" w:eastAsia="Arial" w:hAnsi="Arial"/>
                <w:sz w:val="14"/>
                <w:szCs w:val="14"/>
                <w:color w:val="auto"/>
                <w:w w:val="93"/>
              </w:rPr>
              <w:t>OHNSON</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w w:val="89"/>
              </w:rPr>
              <w:t>Bruce F. Johnson</w:t>
            </w:r>
          </w:p>
        </w:tc>
        <w:tc>
          <w:tcPr>
            <w:tcW w:w="760" w:type="dxa"/>
            <w:vAlign w:val="bottom"/>
          </w:tcPr>
          <w:p>
            <w:pPr>
              <w:spacing w:after="0"/>
              <w:rPr>
                <w:sz w:val="20"/>
                <w:szCs w:val="20"/>
                <w:color w:val="auto"/>
              </w:rPr>
            </w:pPr>
          </w:p>
        </w:tc>
      </w:tr>
      <w:tr>
        <w:trPr>
          <w:trHeight w:val="377"/>
        </w:trPr>
        <w:tc>
          <w:tcPr>
            <w:tcW w:w="2220" w:type="dxa"/>
            <w:vAlign w:val="bottom"/>
            <w:gridSpan w:val="2"/>
          </w:tcPr>
          <w:p>
            <w:pPr>
              <w:ind w:left="20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480" w:type="dxa"/>
            <w:vAlign w:val="bottom"/>
          </w:tcPr>
          <w:p>
            <w:pPr>
              <w:jc w:val="center"/>
              <w:ind w:right="178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M. K</w:t>
            </w:r>
            <w:r>
              <w:rPr>
                <w:rFonts w:ascii="Arial" w:cs="Arial" w:eastAsia="Arial" w:hAnsi="Arial"/>
                <w:sz w:val="14"/>
                <w:szCs w:val="14"/>
                <w:color w:val="auto"/>
              </w:rPr>
              <w:t>ATLER</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rPr>
              <w:t>Gary M. Katler</w:t>
            </w:r>
          </w:p>
        </w:tc>
        <w:tc>
          <w:tcPr>
            <w:tcW w:w="760" w:type="dxa"/>
            <w:vAlign w:val="bottom"/>
          </w:tcPr>
          <w:p>
            <w:pPr>
              <w:spacing w:after="0"/>
              <w:rPr>
                <w:sz w:val="20"/>
                <w:szCs w:val="20"/>
                <w:color w:val="auto"/>
              </w:rPr>
            </w:pPr>
          </w:p>
        </w:tc>
      </w:tr>
      <w:tr>
        <w:trPr>
          <w:trHeight w:val="377"/>
        </w:trPr>
        <w:tc>
          <w:tcPr>
            <w:tcW w:w="5700" w:type="dxa"/>
            <w:vAlign w:val="bottom"/>
            <w:gridSpan w:val="3"/>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w:t>
            </w:r>
            <w:r>
              <w:rPr>
                <w:rFonts w:ascii="Arial" w:cs="Arial" w:eastAsia="Arial" w:hAnsi="Arial"/>
                <w:sz w:val="14"/>
                <w:szCs w:val="14"/>
                <w:color w:val="auto"/>
              </w:rPr>
              <w:t>ILLIAM</w:t>
            </w:r>
            <w:r>
              <w:rPr>
                <w:rFonts w:ascii="Arial" w:cs="Arial" w:eastAsia="Arial" w:hAnsi="Arial"/>
                <w:sz w:val="18"/>
                <w:szCs w:val="18"/>
                <w:color w:val="auto"/>
              </w:rPr>
              <w:t xml:space="preserve"> P. M</w:t>
            </w:r>
            <w:r>
              <w:rPr>
                <w:rFonts w:ascii="Arial" w:cs="Arial" w:eastAsia="Arial" w:hAnsi="Arial"/>
                <w:sz w:val="14"/>
                <w:szCs w:val="14"/>
                <w:color w:val="auto"/>
              </w:rPr>
              <w:t>ILLER</w:t>
            </w:r>
            <w:r>
              <w:rPr>
                <w:rFonts w:ascii="Arial" w:cs="Arial" w:eastAsia="Arial" w:hAnsi="Arial"/>
                <w:sz w:val="18"/>
                <w:szCs w:val="18"/>
                <w:color w:val="auto"/>
              </w:rPr>
              <w:t xml:space="preserve"> II</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4"/>
        </w:trPr>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rPr>
              <w:t>William P. Miller II</w:t>
            </w:r>
          </w:p>
        </w:tc>
        <w:tc>
          <w:tcPr>
            <w:tcW w:w="760" w:type="dxa"/>
            <w:vAlign w:val="bottom"/>
          </w:tcPr>
          <w:p>
            <w:pPr>
              <w:spacing w:after="0"/>
              <w:rPr>
                <w:sz w:val="16"/>
                <w:szCs w:val="16"/>
                <w:color w:val="auto"/>
              </w:rPr>
            </w:pPr>
          </w:p>
        </w:tc>
      </w:tr>
      <w:tr>
        <w:trPr>
          <w:trHeight w:val="431"/>
        </w:trPr>
        <w:tc>
          <w:tcPr>
            <w:tcW w:w="2140" w:type="dxa"/>
            <w:vAlign w:val="bottom"/>
          </w:tcPr>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480" w:type="dxa"/>
            <w:vAlign w:val="bottom"/>
          </w:tcPr>
          <w:p>
            <w:pPr>
              <w:jc w:val="center"/>
              <w:ind w:right="1780"/>
              <w:spacing w:after="0"/>
              <w:rPr>
                <w:sz w:val="20"/>
                <w:szCs w:val="20"/>
                <w:color w:val="auto"/>
              </w:rPr>
            </w:pPr>
            <w:r>
              <w:rPr>
                <w:rFonts w:ascii="Arial" w:cs="Arial" w:eastAsia="Arial" w:hAnsi="Arial"/>
                <w:sz w:val="18"/>
                <w:szCs w:val="18"/>
                <w:color w:val="auto"/>
                <w:w w:val="93"/>
              </w:rPr>
              <w:t>JOSEPH NICIFORO</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4"/>
        </w:trPr>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80" w:type="dxa"/>
            <w:vAlign w:val="bottom"/>
          </w:tcPr>
          <w:p>
            <w:pPr>
              <w:jc w:val="center"/>
              <w:ind w:right="2120"/>
              <w:spacing w:after="0"/>
              <w:rPr>
                <w:sz w:val="20"/>
                <w:szCs w:val="20"/>
                <w:color w:val="auto"/>
              </w:rPr>
            </w:pPr>
            <w:r>
              <w:rPr>
                <w:rFonts w:ascii="Arial" w:cs="Arial" w:eastAsia="Arial" w:hAnsi="Arial"/>
                <w:sz w:val="14"/>
                <w:szCs w:val="14"/>
                <w:b w:val="1"/>
                <w:bCs w:val="1"/>
                <w:color w:val="auto"/>
                <w:w w:val="90"/>
              </w:rPr>
              <w:t>Joseph Niciforo</w:t>
            </w:r>
          </w:p>
        </w:tc>
        <w:tc>
          <w:tcPr>
            <w:tcW w:w="760" w:type="dxa"/>
            <w:vAlign w:val="bottom"/>
          </w:tcPr>
          <w:p>
            <w:pPr>
              <w:spacing w:after="0"/>
              <w:rPr>
                <w:sz w:val="16"/>
                <w:szCs w:val="16"/>
                <w:color w:val="auto"/>
              </w:rPr>
            </w:pPr>
          </w:p>
        </w:tc>
      </w:tr>
      <w:tr>
        <w:trPr>
          <w:trHeight w:val="431"/>
        </w:trPr>
        <w:tc>
          <w:tcPr>
            <w:tcW w:w="2140" w:type="dxa"/>
            <w:vAlign w:val="bottom"/>
          </w:tcPr>
          <w:p>
            <w:pPr>
              <w:ind w:left="19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80" w:type="dxa"/>
            <w:vAlign w:val="bottom"/>
          </w:tcPr>
          <w:p>
            <w:pPr>
              <w:spacing w:after="0"/>
              <w:rPr>
                <w:sz w:val="24"/>
                <w:szCs w:val="24"/>
                <w:color w:val="auto"/>
              </w:rPr>
            </w:pPr>
          </w:p>
        </w:tc>
        <w:tc>
          <w:tcPr>
            <w:tcW w:w="3480" w:type="dxa"/>
            <w:vAlign w:val="bottom"/>
          </w:tcPr>
          <w:p>
            <w:pPr>
              <w:jc w:val="center"/>
              <w:ind w:right="2080"/>
              <w:spacing w:after="0"/>
              <w:rPr>
                <w:sz w:val="20"/>
                <w:szCs w:val="20"/>
                <w:color w:val="auto"/>
              </w:rPr>
            </w:pPr>
            <w:r>
              <w:rPr>
                <w:rFonts w:ascii="Arial" w:cs="Arial" w:eastAsia="Arial" w:hAnsi="Arial"/>
                <w:sz w:val="18"/>
                <w:szCs w:val="18"/>
                <w:color w:val="auto"/>
                <w:w w:val="97"/>
              </w:rPr>
              <w:t>C.C. O</w:t>
            </w:r>
            <w:r>
              <w:rPr>
                <w:rFonts w:ascii="Arial" w:cs="Arial" w:eastAsia="Arial" w:hAnsi="Arial"/>
                <w:sz w:val="14"/>
                <w:szCs w:val="14"/>
                <w:color w:val="auto"/>
                <w:w w:val="97"/>
              </w:rPr>
              <w:t>DOM</w:t>
            </w:r>
            <w:r>
              <w:rPr>
                <w:rFonts w:ascii="Arial" w:cs="Arial" w:eastAsia="Arial" w:hAnsi="Arial"/>
                <w:sz w:val="18"/>
                <w:szCs w:val="18"/>
                <w:color w:val="auto"/>
                <w:w w:val="97"/>
              </w:rPr>
              <w:t xml:space="preserve"> II</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4"/>
        </w:trPr>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rPr>
              <w:t>C.C. Odom II</w:t>
            </w:r>
          </w:p>
        </w:tc>
        <w:tc>
          <w:tcPr>
            <w:tcW w:w="760" w:type="dxa"/>
            <w:vAlign w:val="bottom"/>
          </w:tcPr>
          <w:p>
            <w:pPr>
              <w:spacing w:after="0"/>
              <w:rPr>
                <w:sz w:val="16"/>
                <w:szCs w:val="16"/>
                <w:color w:val="auto"/>
              </w:rPr>
            </w:pPr>
          </w:p>
        </w:tc>
      </w:tr>
      <w:tr>
        <w:trPr>
          <w:trHeight w:val="431"/>
        </w:trPr>
        <w:tc>
          <w:tcPr>
            <w:tcW w:w="2140" w:type="dxa"/>
            <w:vAlign w:val="bottom"/>
          </w:tcPr>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JAMES E. OLIFF</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85"/>
        </w:trPr>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w w:val="92"/>
              </w:rPr>
              <w:t>James E. Oliff</w:t>
            </w:r>
          </w:p>
        </w:tc>
        <w:tc>
          <w:tcPr>
            <w:tcW w:w="760" w:type="dxa"/>
            <w:vAlign w:val="bottom"/>
          </w:tcPr>
          <w:p>
            <w:pPr>
              <w:spacing w:after="0"/>
              <w:rPr>
                <w:sz w:val="24"/>
                <w:szCs w:val="24"/>
                <w:color w:val="auto"/>
              </w:rPr>
            </w:pPr>
          </w:p>
        </w:tc>
      </w:tr>
      <w:tr>
        <w:trPr>
          <w:trHeight w:val="377"/>
        </w:trPr>
        <w:tc>
          <w:tcPr>
            <w:tcW w:w="5700" w:type="dxa"/>
            <w:vAlign w:val="bottom"/>
            <w:gridSpan w:val="3"/>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RONALD A. PANKAU</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w w:val="95"/>
              </w:rPr>
              <w:t>Ronald A. Pankau</w:t>
            </w:r>
          </w:p>
        </w:tc>
        <w:tc>
          <w:tcPr>
            <w:tcW w:w="760" w:type="dxa"/>
            <w:vAlign w:val="bottom"/>
          </w:tcPr>
          <w:p>
            <w:pPr>
              <w:spacing w:after="0"/>
              <w:rPr>
                <w:sz w:val="20"/>
                <w:szCs w:val="20"/>
                <w:color w:val="auto"/>
              </w:rPr>
            </w:pPr>
          </w:p>
        </w:tc>
      </w:tr>
      <w:tr>
        <w:trPr>
          <w:trHeight w:val="377"/>
        </w:trPr>
        <w:tc>
          <w:tcPr>
            <w:tcW w:w="2140" w:type="dxa"/>
            <w:vAlign w:val="bottom"/>
          </w:tcPr>
          <w:p>
            <w:pPr>
              <w:ind w:left="1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480" w:type="dxa"/>
            <w:vAlign w:val="bottom"/>
          </w:tcPr>
          <w:p>
            <w:pPr>
              <w:jc w:val="center"/>
              <w:ind w:right="206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OHN</w:t>
            </w:r>
            <w:r>
              <w:rPr>
                <w:rFonts w:ascii="Arial" w:cs="Arial" w:eastAsia="Arial" w:hAnsi="Arial"/>
                <w:sz w:val="18"/>
                <w:szCs w:val="18"/>
                <w:color w:val="auto"/>
                <w:w w:val="98"/>
              </w:rPr>
              <w:t xml:space="preserve"> L. P</w:t>
            </w:r>
            <w:r>
              <w:rPr>
                <w:rFonts w:ascii="Arial" w:cs="Arial" w:eastAsia="Arial" w:hAnsi="Arial"/>
                <w:sz w:val="14"/>
                <w:szCs w:val="14"/>
                <w:color w:val="auto"/>
                <w:w w:val="98"/>
              </w:rPr>
              <w:t>IETRZAK</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4"/>
        </w:trPr>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w w:val="94"/>
              </w:rPr>
              <w:t>John L. Pietrzak</w:t>
            </w:r>
          </w:p>
        </w:tc>
        <w:tc>
          <w:tcPr>
            <w:tcW w:w="760" w:type="dxa"/>
            <w:vAlign w:val="bottom"/>
          </w:tcPr>
          <w:p>
            <w:pPr>
              <w:spacing w:after="0"/>
              <w:rPr>
                <w:sz w:val="16"/>
                <w:szCs w:val="16"/>
                <w:color w:val="auto"/>
              </w:rPr>
            </w:pPr>
          </w:p>
        </w:tc>
      </w:tr>
      <w:tr>
        <w:trPr>
          <w:trHeight w:val="431"/>
        </w:trPr>
        <w:tc>
          <w:tcPr>
            <w:tcW w:w="5700" w:type="dxa"/>
            <w:vAlign w:val="bottom"/>
            <w:gridSpan w:val="3"/>
          </w:tcPr>
          <w:p>
            <w:pPr>
              <w:ind w:left="2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EDEMIR PINTO</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4"/>
        </w:trPr>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w w:val="94"/>
              </w:rPr>
              <w:t>Edemir Pinto</w:t>
            </w:r>
          </w:p>
        </w:tc>
        <w:tc>
          <w:tcPr>
            <w:tcW w:w="760" w:type="dxa"/>
            <w:vAlign w:val="bottom"/>
          </w:tcPr>
          <w:p>
            <w:pPr>
              <w:spacing w:after="0"/>
              <w:rPr>
                <w:sz w:val="16"/>
                <w:szCs w:val="16"/>
                <w:color w:val="auto"/>
              </w:rPr>
            </w:pPr>
          </w:p>
        </w:tc>
      </w:tr>
      <w:tr>
        <w:trPr>
          <w:trHeight w:val="431"/>
        </w:trPr>
        <w:tc>
          <w:tcPr>
            <w:tcW w:w="2140" w:type="dxa"/>
            <w:vAlign w:val="bottom"/>
          </w:tcPr>
          <w:p>
            <w:pPr>
              <w:ind w:left="1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480" w:type="dxa"/>
            <w:vAlign w:val="bottom"/>
          </w:tcPr>
          <w:p>
            <w:pPr>
              <w:jc w:val="center"/>
              <w:ind w:right="2060"/>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LEX</w:t>
            </w:r>
            <w:r>
              <w:rPr>
                <w:rFonts w:ascii="Arial" w:cs="Arial" w:eastAsia="Arial" w:hAnsi="Arial"/>
                <w:sz w:val="18"/>
                <w:szCs w:val="18"/>
                <w:color w:val="auto"/>
                <w:w w:val="98"/>
              </w:rPr>
              <w:t xml:space="preserve"> J. P</w:t>
            </w:r>
            <w:r>
              <w:rPr>
                <w:rFonts w:ascii="Arial" w:cs="Arial" w:eastAsia="Arial" w:hAnsi="Arial"/>
                <w:sz w:val="14"/>
                <w:szCs w:val="14"/>
                <w:color w:val="auto"/>
                <w:w w:val="98"/>
              </w:rPr>
              <w:t>OLLOCK</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w w:val="91"/>
              </w:rPr>
              <w:t>Alex J. Pollock</w:t>
            </w:r>
          </w:p>
        </w:tc>
        <w:tc>
          <w:tcPr>
            <w:tcW w:w="760" w:type="dxa"/>
            <w:vAlign w:val="bottom"/>
          </w:tcPr>
          <w:p>
            <w:pPr>
              <w:spacing w:after="0"/>
              <w:rPr>
                <w:sz w:val="20"/>
                <w:szCs w:val="20"/>
                <w:color w:val="auto"/>
              </w:rPr>
            </w:pPr>
          </w:p>
        </w:tc>
      </w:tr>
      <w:tr>
        <w:trPr>
          <w:trHeight w:val="377"/>
        </w:trPr>
        <w:tc>
          <w:tcPr>
            <w:tcW w:w="2220" w:type="dxa"/>
            <w:vAlign w:val="bottom"/>
            <w:gridSpan w:val="2"/>
          </w:tcPr>
          <w:p>
            <w:pPr>
              <w:ind w:left="20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480" w:type="dxa"/>
            <w:vAlign w:val="bottom"/>
          </w:tcPr>
          <w:p>
            <w:pPr>
              <w:jc w:val="center"/>
              <w:ind w:right="1780"/>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OHN</w:t>
            </w:r>
            <w:r>
              <w:rPr>
                <w:rFonts w:ascii="Arial" w:cs="Arial" w:eastAsia="Arial" w:hAnsi="Arial"/>
                <w:sz w:val="18"/>
                <w:szCs w:val="18"/>
                <w:color w:val="auto"/>
                <w:w w:val="94"/>
              </w:rPr>
              <w:t xml:space="preserve"> F. S</w:t>
            </w:r>
            <w:r>
              <w:rPr>
                <w:rFonts w:ascii="Arial" w:cs="Arial" w:eastAsia="Arial" w:hAnsi="Arial"/>
                <w:sz w:val="14"/>
                <w:szCs w:val="14"/>
                <w:color w:val="auto"/>
                <w:w w:val="94"/>
              </w:rPr>
              <w:t>ANDNER</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4"/>
        </w:trPr>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w w:val="92"/>
              </w:rPr>
              <w:t>John F. Sandner</w:t>
            </w:r>
          </w:p>
        </w:tc>
        <w:tc>
          <w:tcPr>
            <w:tcW w:w="760" w:type="dxa"/>
            <w:vAlign w:val="bottom"/>
          </w:tcPr>
          <w:p>
            <w:pPr>
              <w:spacing w:after="0"/>
              <w:rPr>
                <w:sz w:val="16"/>
                <w:szCs w:val="16"/>
                <w:color w:val="auto"/>
              </w:rPr>
            </w:pPr>
          </w:p>
        </w:tc>
      </w:tr>
      <w:tr>
        <w:trPr>
          <w:trHeight w:val="431"/>
        </w:trPr>
        <w:tc>
          <w:tcPr>
            <w:tcW w:w="2220" w:type="dxa"/>
            <w:vAlign w:val="bottom"/>
            <w:gridSpan w:val="2"/>
          </w:tcPr>
          <w:p>
            <w:pPr>
              <w:ind w:left="20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480" w:type="dxa"/>
            <w:vAlign w:val="bottom"/>
          </w:tcPr>
          <w:p>
            <w:pPr>
              <w:jc w:val="center"/>
              <w:ind w:right="1780"/>
              <w:spacing w:after="0"/>
              <w:rPr>
                <w:sz w:val="20"/>
                <w:szCs w:val="20"/>
                <w:color w:val="auto"/>
              </w:rPr>
            </w:pPr>
            <w:r>
              <w:rPr>
                <w:rFonts w:ascii="Arial" w:cs="Arial" w:eastAsia="Arial" w:hAnsi="Arial"/>
                <w:sz w:val="18"/>
                <w:szCs w:val="18"/>
                <w:color w:val="auto"/>
                <w:w w:val="96"/>
              </w:rPr>
              <w:t>T</w:t>
            </w:r>
            <w:r>
              <w:rPr>
                <w:rFonts w:ascii="Arial" w:cs="Arial" w:eastAsia="Arial" w:hAnsi="Arial"/>
                <w:sz w:val="14"/>
                <w:szCs w:val="14"/>
                <w:color w:val="auto"/>
                <w:w w:val="96"/>
              </w:rPr>
              <w:t>ERRY</w:t>
            </w:r>
            <w:r>
              <w:rPr>
                <w:rFonts w:ascii="Arial" w:cs="Arial" w:eastAsia="Arial" w:hAnsi="Arial"/>
                <w:sz w:val="18"/>
                <w:szCs w:val="18"/>
                <w:color w:val="auto"/>
                <w:w w:val="96"/>
              </w:rPr>
              <w:t xml:space="preserve"> L. S</w:t>
            </w:r>
            <w:r>
              <w:rPr>
                <w:rFonts w:ascii="Arial" w:cs="Arial" w:eastAsia="Arial" w:hAnsi="Arial"/>
                <w:sz w:val="14"/>
                <w:szCs w:val="14"/>
                <w:color w:val="auto"/>
                <w:w w:val="96"/>
              </w:rPr>
              <w:t>AVAGE</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w w:val="93"/>
              </w:rPr>
              <w:t>Terry L. Savage</w:t>
            </w:r>
          </w:p>
        </w:tc>
        <w:tc>
          <w:tcPr>
            <w:tcW w:w="760" w:type="dxa"/>
            <w:vAlign w:val="bottom"/>
          </w:tcPr>
          <w:p>
            <w:pPr>
              <w:spacing w:after="0"/>
              <w:rPr>
                <w:sz w:val="20"/>
                <w:szCs w:val="20"/>
                <w:color w:val="auto"/>
              </w:rPr>
            </w:pPr>
          </w:p>
        </w:tc>
      </w:tr>
      <w:tr>
        <w:trPr>
          <w:trHeight w:val="377"/>
        </w:trPr>
        <w:tc>
          <w:tcPr>
            <w:tcW w:w="2140" w:type="dxa"/>
            <w:vAlign w:val="bottom"/>
          </w:tcPr>
          <w:p>
            <w:pPr>
              <w:ind w:left="1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480" w:type="dxa"/>
            <w:vAlign w:val="bottom"/>
          </w:tcPr>
          <w:p>
            <w:pPr>
              <w:jc w:val="center"/>
              <w:ind w:right="1780"/>
              <w:spacing w:after="0"/>
              <w:rPr>
                <w:sz w:val="20"/>
                <w:szCs w:val="20"/>
                <w:color w:val="auto"/>
              </w:rPr>
            </w:pPr>
            <w:r>
              <w:rPr>
                <w:rFonts w:ascii="Arial" w:cs="Arial" w:eastAsia="Arial" w:hAnsi="Arial"/>
                <w:sz w:val="18"/>
                <w:szCs w:val="18"/>
                <w:color w:val="auto"/>
                <w:w w:val="98"/>
              </w:rPr>
              <w:t>W</w:t>
            </w:r>
            <w:r>
              <w:rPr>
                <w:rFonts w:ascii="Arial" w:cs="Arial" w:eastAsia="Arial" w:hAnsi="Arial"/>
                <w:sz w:val="14"/>
                <w:szCs w:val="14"/>
                <w:color w:val="auto"/>
                <w:w w:val="98"/>
              </w:rPr>
              <w:t>ILLIAM</w:t>
            </w:r>
            <w:r>
              <w:rPr>
                <w:rFonts w:ascii="Arial" w:cs="Arial" w:eastAsia="Arial" w:hAnsi="Arial"/>
                <w:sz w:val="18"/>
                <w:szCs w:val="18"/>
                <w:color w:val="auto"/>
                <w:w w:val="98"/>
              </w:rPr>
              <w:t xml:space="preserve"> R. S</w:t>
            </w:r>
            <w:r>
              <w:rPr>
                <w:rFonts w:ascii="Arial" w:cs="Arial" w:eastAsia="Arial" w:hAnsi="Arial"/>
                <w:sz w:val="14"/>
                <w:szCs w:val="14"/>
                <w:color w:val="auto"/>
                <w:w w:val="98"/>
              </w:rPr>
              <w:t>HEPARD</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w w:val="96"/>
              </w:rPr>
              <w:t>William R. Shepard</w:t>
            </w:r>
          </w:p>
        </w:tc>
        <w:tc>
          <w:tcPr>
            <w:tcW w:w="760" w:type="dxa"/>
            <w:vAlign w:val="bottom"/>
          </w:tcPr>
          <w:p>
            <w:pPr>
              <w:spacing w:after="0"/>
              <w:rPr>
                <w:sz w:val="20"/>
                <w:szCs w:val="20"/>
                <w:color w:val="auto"/>
              </w:rPr>
            </w:pPr>
          </w:p>
        </w:tc>
      </w:tr>
      <w:tr>
        <w:trPr>
          <w:trHeight w:val="377"/>
        </w:trPr>
        <w:tc>
          <w:tcPr>
            <w:tcW w:w="2140" w:type="dxa"/>
            <w:vAlign w:val="bottom"/>
          </w:tcPr>
          <w:p>
            <w:pPr>
              <w:ind w:left="1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60" w:type="dxa"/>
            <w:vAlign w:val="bottom"/>
            <w:gridSpan w:val="2"/>
          </w:tcPr>
          <w:p>
            <w:pPr>
              <w:jc w:val="center"/>
              <w:ind w:right="1980"/>
              <w:spacing w:after="0"/>
              <w:rPr>
                <w:sz w:val="20"/>
                <w:szCs w:val="20"/>
                <w:color w:val="auto"/>
              </w:rPr>
            </w:pPr>
            <w:r>
              <w:rPr>
                <w:rFonts w:ascii="Arial" w:cs="Arial" w:eastAsia="Arial" w:hAnsi="Arial"/>
                <w:sz w:val="18"/>
                <w:szCs w:val="18"/>
                <w:color w:val="auto"/>
                <w:w w:val="95"/>
              </w:rPr>
              <w:t>H</w:t>
            </w:r>
            <w:r>
              <w:rPr>
                <w:rFonts w:ascii="Arial" w:cs="Arial" w:eastAsia="Arial" w:hAnsi="Arial"/>
                <w:sz w:val="14"/>
                <w:szCs w:val="14"/>
                <w:color w:val="auto"/>
                <w:w w:val="95"/>
              </w:rPr>
              <w:t>OWARD</w:t>
            </w:r>
            <w:r>
              <w:rPr>
                <w:rFonts w:ascii="Arial" w:cs="Arial" w:eastAsia="Arial" w:hAnsi="Arial"/>
                <w:sz w:val="18"/>
                <w:szCs w:val="18"/>
                <w:color w:val="auto"/>
                <w:w w:val="95"/>
              </w:rPr>
              <w:t xml:space="preserve"> J. S</w:t>
            </w:r>
            <w:r>
              <w:rPr>
                <w:rFonts w:ascii="Arial" w:cs="Arial" w:eastAsia="Arial" w:hAnsi="Arial"/>
                <w:sz w:val="14"/>
                <w:szCs w:val="14"/>
                <w:color w:val="auto"/>
                <w:w w:val="95"/>
              </w:rPr>
              <w:t>IEGEL</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w w:val="94"/>
              </w:rPr>
              <w:t>Howard J. Siegel</w:t>
            </w:r>
          </w:p>
        </w:tc>
        <w:tc>
          <w:tcPr>
            <w:tcW w:w="760" w:type="dxa"/>
            <w:vAlign w:val="bottom"/>
          </w:tcPr>
          <w:p>
            <w:pPr>
              <w:spacing w:after="0"/>
              <w:rPr>
                <w:sz w:val="20"/>
                <w:szCs w:val="20"/>
                <w:color w:val="auto"/>
              </w:rPr>
            </w:pPr>
          </w:p>
        </w:tc>
      </w:tr>
      <w:tr>
        <w:trPr>
          <w:trHeight w:val="377"/>
        </w:trPr>
        <w:tc>
          <w:tcPr>
            <w:tcW w:w="2140" w:type="dxa"/>
            <w:vAlign w:val="bottom"/>
          </w:tcPr>
          <w:p>
            <w:pPr>
              <w:ind w:left="1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60" w:type="dxa"/>
            <w:vAlign w:val="bottom"/>
            <w:gridSpan w:val="2"/>
          </w:tcPr>
          <w:p>
            <w:pPr>
              <w:jc w:val="center"/>
              <w:ind w:right="1720"/>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HRISTOPHER</w:t>
            </w:r>
            <w:r>
              <w:rPr>
                <w:rFonts w:ascii="Arial" w:cs="Arial" w:eastAsia="Arial" w:hAnsi="Arial"/>
                <w:sz w:val="18"/>
                <w:szCs w:val="18"/>
                <w:color w:val="auto"/>
                <w:w w:val="95"/>
              </w:rPr>
              <w:t xml:space="preserve"> S</w:t>
            </w:r>
            <w:r>
              <w:rPr>
                <w:rFonts w:ascii="Arial" w:cs="Arial" w:eastAsia="Arial" w:hAnsi="Arial"/>
                <w:sz w:val="14"/>
                <w:szCs w:val="14"/>
                <w:color w:val="auto"/>
                <w:w w:val="95"/>
              </w:rPr>
              <w:t>TEWART</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w w:val="94"/>
              </w:rPr>
              <w:t>Christopher Stewart</w:t>
            </w:r>
          </w:p>
        </w:tc>
        <w:tc>
          <w:tcPr>
            <w:tcW w:w="760" w:type="dxa"/>
            <w:vAlign w:val="bottom"/>
          </w:tcPr>
          <w:p>
            <w:pPr>
              <w:spacing w:after="0"/>
              <w:rPr>
                <w:sz w:val="20"/>
                <w:szCs w:val="20"/>
                <w:color w:val="auto"/>
              </w:rPr>
            </w:pPr>
          </w:p>
        </w:tc>
      </w:tr>
      <w:tr>
        <w:trPr>
          <w:trHeight w:val="377"/>
        </w:trPr>
        <w:tc>
          <w:tcPr>
            <w:tcW w:w="2140" w:type="dxa"/>
            <w:vAlign w:val="bottom"/>
          </w:tcPr>
          <w:p>
            <w:pPr>
              <w:ind w:left="19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80" w:type="dxa"/>
            <w:vAlign w:val="bottom"/>
          </w:tcPr>
          <w:p>
            <w:pPr>
              <w:spacing w:after="0"/>
              <w:rPr>
                <w:sz w:val="24"/>
                <w:szCs w:val="24"/>
                <w:color w:val="auto"/>
              </w:rPr>
            </w:pPr>
          </w:p>
        </w:tc>
        <w:tc>
          <w:tcPr>
            <w:tcW w:w="3480" w:type="dxa"/>
            <w:vAlign w:val="bottom"/>
          </w:tcPr>
          <w:p>
            <w:pPr>
              <w:jc w:val="center"/>
              <w:ind w:right="178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ENNIS</w:t>
            </w:r>
            <w:r>
              <w:rPr>
                <w:rFonts w:ascii="Arial" w:cs="Arial" w:eastAsia="Arial" w:hAnsi="Arial"/>
                <w:sz w:val="18"/>
                <w:szCs w:val="18"/>
                <w:color w:val="auto"/>
                <w:w w:val="98"/>
              </w:rPr>
              <w:t xml:space="preserve"> A. S</w:t>
            </w:r>
            <w:r>
              <w:rPr>
                <w:rFonts w:ascii="Arial" w:cs="Arial" w:eastAsia="Arial" w:hAnsi="Arial"/>
                <w:sz w:val="14"/>
                <w:szCs w:val="14"/>
                <w:color w:val="auto"/>
                <w:w w:val="98"/>
              </w:rPr>
              <w:t>USKIND</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w w:val="92"/>
              </w:rPr>
              <w:t>Dennis A. Suskind</w:t>
            </w:r>
          </w:p>
        </w:tc>
        <w:tc>
          <w:tcPr>
            <w:tcW w:w="760" w:type="dxa"/>
            <w:vAlign w:val="bottom"/>
          </w:tcPr>
          <w:p>
            <w:pPr>
              <w:spacing w:after="0"/>
              <w:rPr>
                <w:sz w:val="20"/>
                <w:szCs w:val="20"/>
                <w:color w:val="auto"/>
              </w:rPr>
            </w:pPr>
          </w:p>
        </w:tc>
      </w:tr>
      <w:tr>
        <w:trPr>
          <w:trHeight w:val="377"/>
        </w:trPr>
        <w:tc>
          <w:tcPr>
            <w:tcW w:w="2140" w:type="dxa"/>
            <w:vAlign w:val="bottom"/>
          </w:tcPr>
          <w:p>
            <w:pPr>
              <w:ind w:left="19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80" w:type="dxa"/>
            <w:vAlign w:val="bottom"/>
          </w:tcPr>
          <w:p>
            <w:pPr>
              <w:spacing w:after="0"/>
              <w:rPr>
                <w:sz w:val="24"/>
                <w:szCs w:val="24"/>
                <w:color w:val="auto"/>
              </w:rPr>
            </w:pPr>
          </w:p>
        </w:tc>
        <w:tc>
          <w:tcPr>
            <w:tcW w:w="3480" w:type="dxa"/>
            <w:vAlign w:val="bottom"/>
          </w:tcPr>
          <w:p>
            <w:pPr>
              <w:jc w:val="center"/>
              <w:ind w:right="1820"/>
              <w:spacing w:after="0"/>
              <w:rPr>
                <w:sz w:val="20"/>
                <w:szCs w:val="20"/>
                <w:color w:val="auto"/>
              </w:rPr>
            </w:pPr>
            <w:r>
              <w:rPr>
                <w:rFonts w:ascii="Arial" w:cs="Arial" w:eastAsia="Arial" w:hAnsi="Arial"/>
                <w:sz w:val="18"/>
                <w:szCs w:val="18"/>
                <w:color w:val="auto"/>
                <w:w w:val="96"/>
              </w:rPr>
              <w:t>D</w:t>
            </w:r>
            <w:r>
              <w:rPr>
                <w:rFonts w:ascii="Arial" w:cs="Arial" w:eastAsia="Arial" w:hAnsi="Arial"/>
                <w:sz w:val="14"/>
                <w:szCs w:val="14"/>
                <w:color w:val="auto"/>
                <w:w w:val="96"/>
              </w:rPr>
              <w:t>AVID</w:t>
            </w:r>
            <w:r>
              <w:rPr>
                <w:rFonts w:ascii="Arial" w:cs="Arial" w:eastAsia="Arial" w:hAnsi="Arial"/>
                <w:sz w:val="18"/>
                <w:szCs w:val="18"/>
                <w:color w:val="auto"/>
                <w:w w:val="96"/>
              </w:rPr>
              <w:t xml:space="preserve"> J. W</w:t>
            </w:r>
            <w:r>
              <w:rPr>
                <w:rFonts w:ascii="Arial" w:cs="Arial" w:eastAsia="Arial" w:hAnsi="Arial"/>
                <w:sz w:val="14"/>
                <w:szCs w:val="14"/>
                <w:color w:val="auto"/>
                <w:w w:val="96"/>
              </w:rPr>
              <w:t>ESCOTT</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Pr>
          <w:p>
            <w:pPr>
              <w:jc w:val="center"/>
              <w:ind w:right="2140"/>
              <w:spacing w:after="0"/>
              <w:rPr>
                <w:sz w:val="20"/>
                <w:szCs w:val="20"/>
                <w:color w:val="auto"/>
              </w:rPr>
            </w:pPr>
            <w:r>
              <w:rPr>
                <w:rFonts w:ascii="Arial" w:cs="Arial" w:eastAsia="Arial" w:hAnsi="Arial"/>
                <w:sz w:val="14"/>
                <w:szCs w:val="14"/>
                <w:b w:val="1"/>
                <w:bCs w:val="1"/>
                <w:color w:val="auto"/>
                <w:w w:val="91"/>
              </w:rPr>
              <w:t>David J. Wescott</w:t>
            </w:r>
          </w:p>
        </w:tc>
        <w:tc>
          <w:tcPr>
            <w:tcW w:w="7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219"/>
          </w:cols>
          <w:pgMar w:left="2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219"/>
          </w:cols>
          <w:pgMar w:left="240" w:top="121" w:right="1440"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4620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620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October 13, 2011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Charles P. Carey</w:t>
      </w:r>
    </w:p>
    <w:p>
      <w:pPr>
        <w:spacing w:after="0"/>
        <w:rPr>
          <w:sz w:val="20"/>
          <w:szCs w:val="20"/>
          <w:color w:val="auto"/>
        </w:rPr>
      </w:pPr>
      <w:r>
        <w:rPr>
          <w:rFonts w:ascii="Arial" w:cs="Arial" w:eastAsia="Arial" w:hAnsi="Arial"/>
          <w:sz w:val="20"/>
          <w:szCs w:val="20"/>
          <w:color w:val="auto"/>
        </w:rPr>
        <w:t>604 West 52nd Pl.</w:t>
      </w:r>
    </w:p>
    <w:p>
      <w:pPr>
        <w:spacing w:after="0"/>
        <w:rPr>
          <w:sz w:val="20"/>
          <w:szCs w:val="20"/>
          <w:color w:val="auto"/>
        </w:rPr>
      </w:pPr>
      <w:r>
        <w:rPr>
          <w:rFonts w:ascii="Arial" w:cs="Arial" w:eastAsia="Arial" w:hAnsi="Arial"/>
          <w:sz w:val="20"/>
          <w:szCs w:val="20"/>
          <w:color w:val="auto"/>
        </w:rPr>
        <w:t>Western Springs, IL 60558</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Mr. Carey:</w:t>
      </w:r>
    </w:p>
    <w:p>
      <w:pPr>
        <w:spacing w:after="0" w:line="216" w:lineRule="exact"/>
        <w:rPr>
          <w:sz w:val="20"/>
          <w:szCs w:val="20"/>
          <w:color w:val="auto"/>
        </w:rPr>
      </w:pPr>
    </w:p>
    <w:p>
      <w:pPr>
        <w:jc w:val="both"/>
        <w:ind w:right="60" w:firstLine="648"/>
        <w:spacing w:after="0" w:line="243" w:lineRule="auto"/>
        <w:rPr>
          <w:sz w:val="20"/>
          <w:szCs w:val="20"/>
          <w:color w:val="auto"/>
        </w:rPr>
      </w:pPr>
      <w:r>
        <w:rPr>
          <w:rFonts w:ascii="Arial" w:cs="Arial" w:eastAsia="Arial" w:hAnsi="Arial"/>
          <w:sz w:val="20"/>
          <w:szCs w:val="20"/>
          <w:color w:val="auto"/>
        </w:rPr>
        <w:t>This letter will confirm the terms of your agreement (the "Agreement") with the undersigned CME Group Inc. ("CME Group "), with respect to your performance of consulting services for CME Group and its subsidiaries and affiliates (collectively with CME Group, the "CME Group Entities") commencing on the date you sign this Agreement.</w:t>
      </w:r>
    </w:p>
    <w:p>
      <w:pPr>
        <w:spacing w:after="0" w:line="247" w:lineRule="exact"/>
        <w:rPr>
          <w:sz w:val="20"/>
          <w:szCs w:val="20"/>
          <w:color w:val="auto"/>
        </w:rPr>
      </w:pPr>
    </w:p>
    <w:p>
      <w:pPr>
        <w:ind w:left="980" w:right="100"/>
        <w:spacing w:after="0" w:line="279" w:lineRule="auto"/>
        <w:tabs>
          <w:tab w:leader="none" w:pos="1466" w:val="left"/>
        </w:tabs>
        <w:numPr>
          <w:ilvl w:val="0"/>
          <w:numId w:val="44"/>
        </w:numPr>
        <w:rPr>
          <w:rFonts w:ascii="Arial" w:cs="Arial" w:eastAsia="Arial" w:hAnsi="Arial"/>
          <w:sz w:val="21"/>
          <w:szCs w:val="21"/>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effective upon the date you accept this Agreement and shall continue in force until the annual meeting of CME Group shareholders to be held in 2012 (the "Term"). This agreement shall also terminate upon your death or "permanent disability." For purposes of this Agreement, "permanent disability" shall mean any mental or physical disability or illness which results in your being unable to substantially perform your duties for a continuous period of 150 days or for periods aggregating 180 days of any 365 day period.</w:t>
      </w:r>
    </w:p>
    <w:p>
      <w:pPr>
        <w:spacing w:after="0" w:line="215" w:lineRule="exact"/>
        <w:rPr>
          <w:rFonts w:ascii="Arial" w:cs="Arial" w:eastAsia="Arial" w:hAnsi="Arial"/>
          <w:sz w:val="21"/>
          <w:szCs w:val="21"/>
          <w:color w:val="auto"/>
        </w:rPr>
      </w:pPr>
    </w:p>
    <w:p>
      <w:pPr>
        <w:ind w:left="980" w:right="40"/>
        <w:spacing w:after="0" w:line="266" w:lineRule="auto"/>
        <w:tabs>
          <w:tab w:leader="none" w:pos="1466" w:val="left"/>
        </w:tabs>
        <w:numPr>
          <w:ilvl w:val="0"/>
          <w:numId w:val="44"/>
        </w:numPr>
        <w:rPr>
          <w:rFonts w:ascii="Arial" w:cs="Arial" w:eastAsia="Arial" w:hAnsi="Arial"/>
          <w:sz w:val="22"/>
          <w:szCs w:val="22"/>
          <w:color w:val="auto"/>
        </w:rPr>
      </w:pPr>
      <w:r>
        <w:rPr>
          <w:rFonts w:ascii="Arial" w:cs="Arial" w:eastAsia="Arial" w:hAnsi="Arial"/>
          <w:sz w:val="20"/>
          <w:szCs w:val="20"/>
          <w:u w:val="single" w:color="auto"/>
          <w:color w:val="auto"/>
        </w:rPr>
        <w:t>Scope of Consulting Services</w:t>
      </w:r>
      <w:r>
        <w:rPr>
          <w:rFonts w:ascii="Arial" w:cs="Arial" w:eastAsia="Arial" w:hAnsi="Arial"/>
          <w:sz w:val="20"/>
          <w:szCs w:val="20"/>
          <w:color w:val="auto"/>
        </w:rPr>
        <w:t>. During the term of this Agreement, you will render consulting services to CME Group and CME Group Entities upon request with respect to interactions with the CBOT Directors (as defined in bylaws of CME Group), including any Rule Change Notices (as defined in the Restated Certificate of Incorporation of Board of Trade of the City of Chicago, Inc. (“CBOT”)), the global expansion of CBOT products, regulatory matters, and other matters in which you have expertise relating to the financial services industry. In providing such services, you shall comply with all applicable laws, statutes, regulations, orders, codes and other acts of any applicable governmental authority and the policies, standards and regulations of CME Group and the CME Group Entities. You will personally perform all of the consulting services required under this Agreement. Any request for consulting services under this Agreement will be made by the Board of Directors or the Executive Chairman of CME Group. The Board of Directors or the Executive Chairman insofar as reasonably practicable, shall consider your convenience in the timing of the requests, and your failure or inability, by reason of temporary illness or other cause beyond your control or because of your absence for reasonable periods, to respond to such requests during any such temporary period shall not be deemed to constitute a default on your</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part in the performance of your consulting services under this Agreement.</w:t>
      </w:r>
    </w:p>
    <w:p>
      <w:pPr>
        <w:spacing w:after="0" w:line="256" w:lineRule="exact"/>
        <w:rPr>
          <w:sz w:val="20"/>
          <w:szCs w:val="20"/>
          <w:color w:val="auto"/>
        </w:rPr>
      </w:pPr>
    </w:p>
    <w:p>
      <w:pPr>
        <w:ind w:right="120"/>
        <w:spacing w:after="0" w:line="264" w:lineRule="auto"/>
        <w:tabs>
          <w:tab w:leader="none" w:pos="486" w:val="left"/>
        </w:tabs>
        <w:numPr>
          <w:ilvl w:val="0"/>
          <w:numId w:val="45"/>
        </w:numPr>
        <w:rPr>
          <w:rFonts w:ascii="Arial" w:cs="Arial" w:eastAsia="Arial" w:hAnsi="Arial"/>
          <w:sz w:val="22"/>
          <w:szCs w:val="22"/>
          <w:color w:val="auto"/>
        </w:rPr>
      </w:pPr>
      <w:r>
        <w:rPr>
          <w:rFonts w:ascii="Arial" w:cs="Arial" w:eastAsia="Arial" w:hAnsi="Arial"/>
          <w:sz w:val="20"/>
          <w:szCs w:val="20"/>
          <w:u w:val="single" w:color="auto"/>
          <w:color w:val="auto"/>
        </w:rPr>
        <w:t>Consulting Fee</w:t>
      </w:r>
      <w:r>
        <w:rPr>
          <w:rFonts w:ascii="Arial" w:cs="Arial" w:eastAsia="Arial" w:hAnsi="Arial"/>
          <w:sz w:val="20"/>
          <w:szCs w:val="20"/>
          <w:color w:val="auto"/>
        </w:rPr>
        <w:t>. In consideration for your consulting services and the non-compete and confidentiality provisions of this Agreement, CME Group shall pay to you $500,000 in the aggregate during the Term, payable in four equal installments of $125,000 in arrears. The first such installment shall be paid on October 17, 2011, with the subsequent installments due and payable on January 16, 2012 and April 16, 2012 and with the last installment being paid no later than 30 days following the date of the annual meeting of the CME Group shareholders to be held in 2012. During the Term, you will continue to receive the standard compensation and benefit package awarded to other CME Group non-executive directors.</w:t>
      </w:r>
    </w:p>
    <w:p>
      <w:pPr>
        <w:spacing w:after="0" w:line="229" w:lineRule="exact"/>
        <w:rPr>
          <w:rFonts w:ascii="Arial" w:cs="Arial" w:eastAsia="Arial" w:hAnsi="Arial"/>
          <w:sz w:val="22"/>
          <w:szCs w:val="22"/>
          <w:color w:val="auto"/>
        </w:rPr>
      </w:pPr>
    </w:p>
    <w:p>
      <w:pPr>
        <w:ind w:right="100"/>
        <w:spacing w:after="0" w:line="264" w:lineRule="auto"/>
        <w:tabs>
          <w:tab w:leader="none" w:pos="486" w:val="left"/>
        </w:tabs>
        <w:numPr>
          <w:ilvl w:val="0"/>
          <w:numId w:val="45"/>
        </w:numPr>
        <w:rPr>
          <w:rFonts w:ascii="Arial" w:cs="Arial" w:eastAsia="Arial" w:hAnsi="Arial"/>
          <w:sz w:val="22"/>
          <w:szCs w:val="22"/>
          <w:color w:val="auto"/>
        </w:rPr>
      </w:pPr>
      <w:r>
        <w:rPr>
          <w:rFonts w:ascii="Arial" w:cs="Arial" w:eastAsia="Arial" w:hAnsi="Arial"/>
          <w:sz w:val="20"/>
          <w:szCs w:val="20"/>
          <w:u w:val="single" w:color="auto"/>
          <w:color w:val="auto"/>
        </w:rPr>
        <w:t>Expense Reimbursement /Other Benefits</w:t>
      </w:r>
      <w:r>
        <w:rPr>
          <w:rFonts w:ascii="Arial" w:cs="Arial" w:eastAsia="Arial" w:hAnsi="Arial"/>
          <w:sz w:val="20"/>
          <w:szCs w:val="20"/>
          <w:color w:val="auto"/>
        </w:rPr>
        <w:t>. CME Group shall reimburse you for, or advance to you, all reasonable and necessary out-of-pocket travel and other expenses incurred by you at the specific request of a CME Group Entity and otherwise consistent with CME Group expense reimbursement policies from time to time in effect in connection with your performance of services hereunder. Such expenses shall be reimbursed promptly after your submission to CME Group of expense statements, including copies of receipts and other documents verifying the amounts included therein, in such reasonable detail as CME Group may require.</w:t>
      </w:r>
    </w:p>
    <w:p>
      <w:pPr>
        <w:spacing w:after="0" w:line="226" w:lineRule="exact"/>
        <w:rPr>
          <w:rFonts w:ascii="Arial" w:cs="Arial" w:eastAsia="Arial" w:hAnsi="Arial"/>
          <w:sz w:val="22"/>
          <w:szCs w:val="22"/>
          <w:color w:val="auto"/>
        </w:rPr>
      </w:pPr>
    </w:p>
    <w:p>
      <w:pPr>
        <w:spacing w:after="0" w:line="265" w:lineRule="auto"/>
        <w:tabs>
          <w:tab w:leader="none" w:pos="486" w:val="left"/>
        </w:tabs>
        <w:numPr>
          <w:ilvl w:val="0"/>
          <w:numId w:val="45"/>
        </w:numPr>
        <w:rPr>
          <w:rFonts w:ascii="Arial" w:cs="Arial" w:eastAsia="Arial" w:hAnsi="Arial"/>
          <w:sz w:val="22"/>
          <w:szCs w:val="22"/>
          <w:color w:val="auto"/>
        </w:rPr>
      </w:pPr>
      <w:r>
        <w:rPr>
          <w:rFonts w:ascii="Arial" w:cs="Arial" w:eastAsia="Arial" w:hAnsi="Arial"/>
          <w:sz w:val="20"/>
          <w:szCs w:val="20"/>
          <w:u w:val="single" w:color="auto"/>
          <w:color w:val="auto"/>
        </w:rPr>
        <w:t>Nature of the Relationship</w:t>
      </w:r>
      <w:r>
        <w:rPr>
          <w:rFonts w:ascii="Arial" w:cs="Arial" w:eastAsia="Arial" w:hAnsi="Arial"/>
          <w:sz w:val="20"/>
          <w:szCs w:val="20"/>
          <w:color w:val="auto"/>
        </w:rPr>
        <w:t>. You will perform the services required under this Agreement as an independent contractor to, and not as an agent or employee of, CME Group or any other CME Group Entity. Except as and to the extent that CME Group or another CME Group Entity, as the case may be, may otherwise prescribe in writing, you shall not have any authority to negotiate or to conclude any contracts on behalf of, or otherwise bind, CME Group or any other CME Group Entity. You shall be solely responsible for and shall pay all amounts of applicable federal and state income and self employment taxes. You shall not be eligible to participate in any employee benefit, group insurance or compensation plans or programs maintained by any CME Group Entity, except for those plans or programs available to other non-executive directors that you may participate in as a director. Neither CME Group nor any other CME Group Entity shall provide Social Security, unemployment compensation, disability insurance, workers' compensation or similar coverage, or any other statutory employment benefit, to you.</w:t>
      </w:r>
    </w:p>
    <w:p>
      <w:pPr>
        <w:spacing w:after="0" w:line="230" w:lineRule="exact"/>
        <w:rPr>
          <w:rFonts w:ascii="Arial" w:cs="Arial" w:eastAsia="Arial" w:hAnsi="Arial"/>
          <w:sz w:val="22"/>
          <w:szCs w:val="22"/>
          <w:color w:val="auto"/>
        </w:rPr>
      </w:pPr>
    </w:p>
    <w:p>
      <w:pPr>
        <w:ind w:right="380"/>
        <w:spacing w:after="0" w:line="251" w:lineRule="auto"/>
        <w:tabs>
          <w:tab w:leader="none" w:pos="486" w:val="left"/>
        </w:tabs>
        <w:numPr>
          <w:ilvl w:val="0"/>
          <w:numId w:val="45"/>
        </w:numPr>
        <w:rPr>
          <w:rFonts w:ascii="Arial" w:cs="Arial" w:eastAsia="Arial" w:hAnsi="Arial"/>
          <w:sz w:val="22"/>
          <w:szCs w:val="22"/>
          <w:color w:val="auto"/>
        </w:rPr>
      </w:pPr>
      <w:r>
        <w:rPr>
          <w:rFonts w:ascii="Arial" w:cs="Arial" w:eastAsia="Arial" w:hAnsi="Arial"/>
          <w:sz w:val="20"/>
          <w:szCs w:val="20"/>
          <w:u w:val="single" w:color="auto"/>
          <w:color w:val="auto"/>
        </w:rPr>
        <w:t>Reporting Obligations.</w:t>
      </w:r>
      <w:r>
        <w:rPr>
          <w:rFonts w:ascii="Arial" w:cs="Arial" w:eastAsia="Arial" w:hAnsi="Arial"/>
          <w:sz w:val="20"/>
          <w:szCs w:val="20"/>
          <w:color w:val="auto"/>
        </w:rPr>
        <w:t xml:space="preserve"> During the Term, you will make regular reports, no less frequently than once every two months, to the Executive Chairman regarding the services provided pursuant to this Agreement.</w:t>
      </w:r>
    </w:p>
    <w:p>
      <w:pPr>
        <w:spacing w:after="0" w:line="237" w:lineRule="exact"/>
        <w:rPr>
          <w:rFonts w:ascii="Arial" w:cs="Arial" w:eastAsia="Arial" w:hAnsi="Arial"/>
          <w:sz w:val="22"/>
          <w:szCs w:val="22"/>
          <w:color w:val="auto"/>
        </w:rPr>
      </w:pPr>
    </w:p>
    <w:p>
      <w:pPr>
        <w:ind w:right="220"/>
        <w:spacing w:after="0" w:line="261" w:lineRule="auto"/>
        <w:tabs>
          <w:tab w:leader="none" w:pos="486" w:val="left"/>
        </w:tabs>
        <w:numPr>
          <w:ilvl w:val="0"/>
          <w:numId w:val="45"/>
        </w:numPr>
        <w:rPr>
          <w:rFonts w:ascii="Arial" w:cs="Arial" w:eastAsia="Arial" w:hAnsi="Arial"/>
          <w:sz w:val="22"/>
          <w:szCs w:val="22"/>
          <w:color w:val="auto"/>
        </w:rPr>
      </w:pPr>
      <w:r>
        <w:rPr>
          <w:rFonts w:ascii="Arial" w:cs="Arial" w:eastAsia="Arial" w:hAnsi="Arial"/>
          <w:sz w:val="20"/>
          <w:szCs w:val="20"/>
          <w:u w:val="single" w:color="auto"/>
          <w:color w:val="auto"/>
        </w:rPr>
        <w:t>Assisting Competitors</w:t>
      </w:r>
      <w:r>
        <w:rPr>
          <w:rFonts w:ascii="Arial" w:cs="Arial" w:eastAsia="Arial" w:hAnsi="Arial"/>
          <w:sz w:val="20"/>
          <w:szCs w:val="20"/>
          <w:color w:val="auto"/>
        </w:rPr>
        <w:t>. During the Term and for a period of one (1) year thereafter, you will not, without the prior written consent of CME Group, accept employment with or act or provide services for or on behalf of or serve on the Board of Directors (or similarly governing body) or any advisory committees of any derivatives exchange or for any person, organization or entity providing clearing services. In addition to the fiduciary responsibilities of</w:t>
      </w:r>
    </w:p>
    <w:p>
      <w:pPr>
        <w:sectPr>
          <w:pgSz w:w="11900" w:h="16838" w:orient="portrait"/>
          <w:cols w:equalWidth="0" w:num="1">
            <w:col w:w="10420"/>
          </w:cols>
          <w:pgMar w:left="1220" w:top="149" w:right="259" w:bottom="1440" w:gutter="0" w:footer="0" w:header="0"/>
        </w:sectPr>
      </w:pPr>
    </w:p>
    <w:bookmarkStart w:id="105" w:name="page106"/>
    <w:bookmarkEnd w:id="105"/>
    <w:p>
      <w:pPr>
        <w:spacing w:after="0" w:line="292" w:lineRule="auto"/>
        <w:rPr>
          <w:sz w:val="20"/>
          <w:szCs w:val="20"/>
          <w:color w:val="auto"/>
        </w:rPr>
      </w:pPr>
      <w:r>
        <w:rPr>
          <w:rFonts w:ascii="Arial" w:cs="Arial" w:eastAsia="Arial" w:hAnsi="Arial"/>
          <w:sz w:val="19"/>
          <w:szCs w:val="19"/>
          <w:color w:val="auto"/>
        </w:rPr>
        <w:t xml:space="preserve">a director, CME Group’s </w:t>
      </w:r>
      <w:r>
        <w:rPr>
          <w:rFonts w:ascii="Arial" w:cs="Arial" w:eastAsia="Arial" w:hAnsi="Arial"/>
          <w:sz w:val="19"/>
          <w:szCs w:val="19"/>
          <w:i w:val="1"/>
          <w:iCs w:val="1"/>
          <w:color w:val="auto"/>
        </w:rPr>
        <w:t>Director Conflict of Interest Policy</w:t>
      </w:r>
      <w:r>
        <w:rPr>
          <w:rFonts w:ascii="Arial" w:cs="Arial" w:eastAsia="Arial" w:hAnsi="Arial"/>
          <w:sz w:val="19"/>
          <w:szCs w:val="19"/>
          <w:color w:val="auto"/>
        </w:rPr>
        <w:t xml:space="preserve"> provides: “A director may not use his position, or confidential corporate information, to benefit himself or another person or entity.” In addition, the </w:t>
      </w:r>
      <w:r>
        <w:rPr>
          <w:rFonts w:ascii="Arial" w:cs="Arial" w:eastAsia="Arial" w:hAnsi="Arial"/>
          <w:sz w:val="19"/>
          <w:szCs w:val="19"/>
          <w:i w:val="1"/>
          <w:iCs w:val="1"/>
          <w:color w:val="auto"/>
        </w:rPr>
        <w:t>Board of Directors Code of Ethics</w:t>
      </w:r>
      <w:r>
        <w:rPr>
          <w:rFonts w:ascii="Arial" w:cs="Arial" w:eastAsia="Arial" w:hAnsi="Arial"/>
          <w:sz w:val="19"/>
          <w:szCs w:val="19"/>
          <w:color w:val="auto"/>
        </w:rPr>
        <w:t xml:space="preserve"> provides: “In order to maintain the highest degree of integrity in the conduct of CME Group’s business and to maintain your independent judgment, directors must avoid any activity or personal interests that creates or appears to create a conflict between a director’s own interests and the interests of CME Group as determined by CME Group.”</w:t>
      </w:r>
    </w:p>
    <w:p>
      <w:pPr>
        <w:spacing w:after="0" w:line="203" w:lineRule="exact"/>
        <w:rPr>
          <w:sz w:val="20"/>
          <w:szCs w:val="20"/>
          <w:color w:val="auto"/>
        </w:rPr>
      </w:pPr>
    </w:p>
    <w:p>
      <w:pPr>
        <w:ind w:right="20"/>
        <w:spacing w:after="0" w:line="274" w:lineRule="auto"/>
        <w:tabs>
          <w:tab w:leader="none" w:pos="486" w:val="left"/>
        </w:tabs>
        <w:numPr>
          <w:ilvl w:val="0"/>
          <w:numId w:val="46"/>
        </w:numPr>
        <w:rPr>
          <w:rFonts w:ascii="Arial" w:cs="Arial" w:eastAsia="Arial" w:hAnsi="Arial"/>
          <w:sz w:val="21"/>
          <w:szCs w:val="21"/>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In connection with your service to the CME Group Entities and their predecessors, and pursuant to this Agreement, you have acquired or may acquire confidential information with respect to the business, plans, strategies, finances, technology, markets, operations, customers, members, employees, suppliers and vendors and other matters of or related to the CME Group Entities. In addition to the fiduciary responsibility of a director, at least</w:t>
      </w:r>
    </w:p>
    <w:p>
      <w:pPr>
        <w:spacing w:after="0" w:line="2" w:lineRule="exact"/>
        <w:rPr>
          <w:rFonts w:ascii="Arial" w:cs="Arial" w:eastAsia="Arial" w:hAnsi="Arial"/>
          <w:sz w:val="21"/>
          <w:szCs w:val="21"/>
          <w:color w:val="auto"/>
        </w:rPr>
      </w:pPr>
    </w:p>
    <w:p>
      <w:pPr>
        <w:ind w:right="60"/>
        <w:spacing w:after="0" w:line="281" w:lineRule="auto"/>
        <w:rPr>
          <w:rFonts w:ascii="Arial" w:cs="Arial" w:eastAsia="Arial" w:hAnsi="Arial"/>
          <w:sz w:val="21"/>
          <w:szCs w:val="21"/>
          <w:color w:val="auto"/>
        </w:rPr>
      </w:pPr>
      <w:r>
        <w:rPr>
          <w:rFonts w:ascii="Arial" w:cs="Arial" w:eastAsia="Arial" w:hAnsi="Arial"/>
          <w:sz w:val="19"/>
          <w:szCs w:val="19"/>
          <w:color w:val="auto"/>
        </w:rPr>
        <w:t xml:space="preserve">two CME Group policies on confidentiality govern disclosure of information secured by reason of service on the Board of Directors. CME Group’s </w:t>
      </w:r>
      <w:r>
        <w:rPr>
          <w:rFonts w:ascii="Arial" w:cs="Arial" w:eastAsia="Arial" w:hAnsi="Arial"/>
          <w:sz w:val="19"/>
          <w:szCs w:val="19"/>
          <w:i w:val="1"/>
          <w:iCs w:val="1"/>
          <w:color w:val="auto"/>
        </w:rPr>
        <w:t>Corporate Governance Principles</w:t>
      </w:r>
      <w:r>
        <w:rPr>
          <w:rFonts w:ascii="Arial" w:cs="Arial" w:eastAsia="Arial" w:hAnsi="Arial"/>
          <w:sz w:val="19"/>
          <w:szCs w:val="19"/>
          <w:color w:val="auto"/>
        </w:rPr>
        <w:t xml:space="preserve"> respecting Confidentiality of Information provide: “In order to facilitate open discussion, confidentiality of information and deliberations is an imperative. Each Director has an</w:t>
      </w:r>
    </w:p>
    <w:p>
      <w:pPr>
        <w:spacing w:after="0" w:line="2" w:lineRule="exact"/>
        <w:rPr>
          <w:rFonts w:ascii="Arial" w:cs="Arial" w:eastAsia="Arial" w:hAnsi="Arial"/>
          <w:sz w:val="21"/>
          <w:szCs w:val="21"/>
          <w:color w:val="auto"/>
        </w:rPr>
      </w:pPr>
    </w:p>
    <w:p>
      <w:pPr>
        <w:ind w:right="60"/>
        <w:spacing w:after="0" w:line="268" w:lineRule="auto"/>
        <w:rPr>
          <w:rFonts w:ascii="Arial" w:cs="Arial" w:eastAsia="Arial" w:hAnsi="Arial"/>
          <w:sz w:val="21"/>
          <w:szCs w:val="21"/>
          <w:color w:val="auto"/>
        </w:rPr>
      </w:pPr>
      <w:r>
        <w:rPr>
          <w:rFonts w:ascii="Arial" w:cs="Arial" w:eastAsia="Arial" w:hAnsi="Arial"/>
          <w:sz w:val="20"/>
          <w:szCs w:val="20"/>
          <w:color w:val="auto"/>
        </w:rPr>
        <w:t xml:space="preserve">affirmative duty to safeguard the confidentiality of information provided to the Board as well as the nature of Board room deliberations.” The </w:t>
      </w:r>
      <w:r>
        <w:rPr>
          <w:rFonts w:ascii="Arial" w:cs="Arial" w:eastAsia="Arial" w:hAnsi="Arial"/>
          <w:sz w:val="20"/>
          <w:szCs w:val="20"/>
          <w:i w:val="1"/>
          <w:iCs w:val="1"/>
          <w:color w:val="auto"/>
        </w:rPr>
        <w:t>Board of Directors Code of Ethics</w:t>
      </w:r>
      <w:r>
        <w:rPr>
          <w:rFonts w:ascii="Arial" w:cs="Arial" w:eastAsia="Arial" w:hAnsi="Arial"/>
          <w:sz w:val="20"/>
          <w:szCs w:val="20"/>
          <w:color w:val="auto"/>
        </w:rPr>
        <w:t xml:space="preserve"> provides: “Confidential Information: Board members may often receive or have access to confidential, sensitive and non-public information about CME Group and others. Board members should presume that any information they receive about CME Group or about CME Group’s customers, members or others through their work as a Board member is confidential and, therefore, should not be disclosed or made public, except when disclosure is authorized or legally required. Board members have an obligation to safeguard confidential information, whether generated internally or acquired from others, and to use it only in the performance of their responsibilities as a Board member. The obligation to preserve CME Group's confidential information is ongoing even after an individual's service as a director ends.” (All of the foregoing categories of information are, collectively, the "Confidential Information") Unless disclosure is required by law, you shall not, without the prior written consent of CME Group, at any time, whether during or after the term of this Agreement, communicate or divulge any Confidential Information to anyone other than a CME Group Entity or those other persons or entities designated by CME Group. All records, files, documents, notes, data and the like relating to the business or activities of any CME Group Entity which you shall prepare, develop, use, compile or receive shall be and remain the sole property of CME Group, or such other CME Group Entity as the case may be, and shall be returned upon CME Group's request. "Confidential Information" shall exclude information (a) readily available in the public domain other than as a result of your act or omission or (b) obtained from third parties rightfully in possession of such information and having no direct or indirect confidentiality obligation to any CME Group Entity.</w:t>
      </w:r>
    </w:p>
    <w:p>
      <w:pPr>
        <w:sectPr>
          <w:pgSz w:w="11900" w:h="16838" w:orient="portrait"/>
          <w:cols w:equalWidth="0" w:num="1">
            <w:col w:w="10440"/>
          </w:cols>
          <w:pgMar w:left="1220" w:top="129" w:right="239" w:bottom="1440" w:gutter="0" w:footer="0" w:header="0"/>
        </w:sectPr>
      </w:pPr>
    </w:p>
    <w:bookmarkStart w:id="106" w:name="page107"/>
    <w:bookmarkEnd w:id="106"/>
    <w:p>
      <w:pPr>
        <w:ind w:right="140"/>
        <w:spacing w:after="0" w:line="265" w:lineRule="auto"/>
        <w:tabs>
          <w:tab w:leader="none" w:pos="486" w:val="left"/>
        </w:tabs>
        <w:numPr>
          <w:ilvl w:val="0"/>
          <w:numId w:val="47"/>
        </w:numPr>
        <w:rPr>
          <w:rFonts w:ascii="Arial" w:cs="Arial" w:eastAsia="Arial" w:hAnsi="Arial"/>
          <w:sz w:val="22"/>
          <w:szCs w:val="22"/>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To the extent permitted by law, CME Group agrees to indemnify you if you are a party or are threatened to be made a party to any threatened, pending or completed action, suit or proceeding, whether civil, criminal, administrative or investigative by reason of the fact that you are providing consulting services under this Agreement. The indemnification shall be from and against expenses (including attorneys’ fees), judgments, fines and amounts paid in settlement actually and reasonably incurred by you or on your behalf in connection with such action, suit or proceeding and any appeal therefrom, but shall only be provided if you acted in good faith and in a manner you reasonably believed to be in or not opposed to the best interests of CME Group, and, with respect to any criminal action, suit or proceeding, had no reasonable cause to believe your conduct was unlawful.</w:t>
      </w:r>
    </w:p>
    <w:p>
      <w:pPr>
        <w:spacing w:after="0" w:line="225" w:lineRule="exact"/>
        <w:rPr>
          <w:rFonts w:ascii="Arial" w:cs="Arial" w:eastAsia="Arial" w:hAnsi="Arial"/>
          <w:sz w:val="22"/>
          <w:szCs w:val="22"/>
          <w:color w:val="auto"/>
        </w:rPr>
      </w:pPr>
    </w:p>
    <w:p>
      <w:pPr>
        <w:ind w:right="120"/>
        <w:spacing w:after="0" w:line="277" w:lineRule="auto"/>
        <w:tabs>
          <w:tab w:leader="none" w:pos="594" w:val="left"/>
        </w:tabs>
        <w:numPr>
          <w:ilvl w:val="0"/>
          <w:numId w:val="47"/>
        </w:numPr>
        <w:rPr>
          <w:rFonts w:ascii="Arial" w:cs="Arial" w:eastAsia="Arial" w:hAnsi="Arial"/>
          <w:sz w:val="21"/>
          <w:szCs w:val="21"/>
          <w:color w:val="auto"/>
        </w:rPr>
      </w:pPr>
      <w:r>
        <w:rPr>
          <w:rFonts w:ascii="Arial" w:cs="Arial" w:eastAsia="Arial" w:hAnsi="Arial"/>
          <w:sz w:val="19"/>
          <w:szCs w:val="19"/>
          <w:u w:val="single" w:color="auto"/>
          <w:color w:val="auto"/>
        </w:rPr>
        <w:t>Non-Waiver</w:t>
      </w:r>
      <w:r>
        <w:rPr>
          <w:rFonts w:ascii="Arial" w:cs="Arial" w:eastAsia="Arial" w:hAnsi="Arial"/>
          <w:sz w:val="19"/>
          <w:szCs w:val="19"/>
          <w:color w:val="auto"/>
        </w:rPr>
        <w:t>. The failure by either party to exercise any of its or his rights in the event of a breach of this Agreement by the other party shall not be construed as a waiver of such breach or any subsequent breach, or prevent either party from later enforcing strict compliance with this Agreement as to such breach or any subsequent breach.</w:t>
      </w:r>
    </w:p>
    <w:p>
      <w:pPr>
        <w:spacing w:after="0" w:line="216" w:lineRule="exact"/>
        <w:rPr>
          <w:rFonts w:ascii="Arial" w:cs="Arial" w:eastAsia="Arial" w:hAnsi="Arial"/>
          <w:sz w:val="21"/>
          <w:szCs w:val="21"/>
          <w:color w:val="auto"/>
        </w:rPr>
      </w:pPr>
    </w:p>
    <w:p>
      <w:pPr>
        <w:jc w:val="both"/>
        <w:ind w:right="420"/>
        <w:spacing w:after="0" w:line="261" w:lineRule="auto"/>
        <w:tabs>
          <w:tab w:leader="none" w:pos="586" w:val="left"/>
        </w:tabs>
        <w:numPr>
          <w:ilvl w:val="0"/>
          <w:numId w:val="47"/>
        </w:numPr>
        <w:rPr>
          <w:rFonts w:ascii="Arial" w:cs="Arial" w:eastAsia="Arial" w:hAnsi="Arial"/>
          <w:sz w:val="22"/>
          <w:szCs w:val="22"/>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is held by a court of competent jurisdiction to be void or unenforceable for any reason, such provision shall be modified or deleted in such manner so as to make this Agreement, as modified, legal and enforceable, and the remaining provisions hereof shall continue in full force and effect.</w:t>
      </w:r>
    </w:p>
    <w:p>
      <w:pPr>
        <w:spacing w:after="0" w:line="230" w:lineRule="exact"/>
        <w:rPr>
          <w:rFonts w:ascii="Arial" w:cs="Arial" w:eastAsia="Arial" w:hAnsi="Arial"/>
          <w:sz w:val="22"/>
          <w:szCs w:val="22"/>
          <w:color w:val="auto"/>
        </w:rPr>
      </w:pPr>
    </w:p>
    <w:p>
      <w:pPr>
        <w:spacing w:after="0" w:line="265" w:lineRule="auto"/>
        <w:tabs>
          <w:tab w:leader="none" w:pos="594" w:val="left"/>
        </w:tabs>
        <w:numPr>
          <w:ilvl w:val="0"/>
          <w:numId w:val="47"/>
        </w:numPr>
        <w:rPr>
          <w:rFonts w:ascii="Arial" w:cs="Arial" w:eastAsia="Arial" w:hAnsi="Arial"/>
          <w:sz w:val="22"/>
          <w:szCs w:val="22"/>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and other required communications under this Agreement ("Notices") shall be in writing, and shall be sent to a party at the address set forth below such party's signature block below. A party may change its address by sending Notice to the other party of the new address. Notices shall be given: (a) by personal delivery to the other party; (b) by facsimile, with a confirmation sent by registered or certified mail, return receipt requested; (c) by registered or certified mail, return receipt requested; or (d) by express courier (e.g. DHL, Federal Express, etc.). Notices shall be effective and shall be deemed delivered: (i) if by personal delivery, on the date of the personal delivery; (ii) if by facsimile, on the date stated in the electronic confirmation, delivered during normal business hours (8:00 a.m. to 5:00 p.m. at recipient's location), and, if not delivered during normal business hours, on the next business day following delivery; (iii) if solely by mail, on the date of receipt as stated on the return receipt; or (iv) if by express courier, on the date signed for or rejected as reflected in the courier's delivery log.</w:t>
      </w:r>
    </w:p>
    <w:p>
      <w:pPr>
        <w:spacing w:after="0" w:line="230" w:lineRule="exact"/>
        <w:rPr>
          <w:rFonts w:ascii="Arial" w:cs="Arial" w:eastAsia="Arial" w:hAnsi="Arial"/>
          <w:sz w:val="22"/>
          <w:szCs w:val="22"/>
          <w:color w:val="auto"/>
        </w:rPr>
      </w:pPr>
    </w:p>
    <w:p>
      <w:pPr>
        <w:ind w:right="160"/>
        <w:spacing w:after="0" w:line="264" w:lineRule="auto"/>
        <w:tabs>
          <w:tab w:leader="none" w:pos="594" w:val="left"/>
        </w:tabs>
        <w:numPr>
          <w:ilvl w:val="0"/>
          <w:numId w:val="47"/>
        </w:numPr>
        <w:rPr>
          <w:rFonts w:ascii="Arial" w:cs="Arial" w:eastAsia="Arial" w:hAnsi="Arial"/>
          <w:sz w:val="22"/>
          <w:szCs w:val="22"/>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Agreement is personal to you, and you shall not assign this Agreement without CME Group's prior written consent. This Agreement shall be governed by and construed in accordance with the laws of the State of Illinois without regard to choice of law rules. This Agreement contains the entire understanding between CME Group and yourself with respect to the subject matter hereof and supercedes and voids all prior negotiations, discussions, and agreements, whether written or oral. This Agreement may not be amended, modified or extended other than by a</w:t>
      </w:r>
    </w:p>
    <w:p>
      <w:pPr>
        <w:sectPr>
          <w:pgSz w:w="11900" w:h="16838" w:orient="portrait"/>
          <w:cols w:equalWidth="0" w:num="1">
            <w:col w:w="10440"/>
          </w:cols>
          <w:pgMar w:left="1220" w:top="163" w:right="2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color w:val="auto"/>
        </w:rPr>
        <w:t>written agreement executed by the parties hereto.</w:t>
      </w: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 * *</w:t>
      </w:r>
    </w:p>
    <w:p>
      <w:pPr>
        <w:sectPr>
          <w:pgSz w:w="11900" w:h="16838" w:orient="portrait"/>
          <w:cols w:equalWidth="0" w:num="1">
            <w:col w:w="9239"/>
          </w:cols>
          <w:pgMar w:left="1220" w:top="149" w:right="1440" w:bottom="1440" w:gutter="0" w:footer="0" w:header="0"/>
        </w:sectPr>
      </w:pPr>
    </w:p>
    <w:bookmarkStart w:id="108" w:name="page109"/>
    <w:bookmarkEnd w:id="108"/>
    <w:p>
      <w:pPr>
        <w:ind w:firstLine="648"/>
        <w:spacing w:after="0" w:line="247" w:lineRule="auto"/>
        <w:rPr>
          <w:sz w:val="20"/>
          <w:szCs w:val="20"/>
          <w:color w:val="auto"/>
        </w:rPr>
      </w:pPr>
      <w:r>
        <w:rPr>
          <w:rFonts w:ascii="Arial" w:cs="Arial" w:eastAsia="Arial" w:hAnsi="Arial"/>
          <w:sz w:val="20"/>
          <w:szCs w:val="20"/>
          <w:color w:val="auto"/>
        </w:rPr>
        <w:t>Please confirm that the foregoing Agreement correctly sets forth the agreement between CME Group and yourself by signing and returning to CME Group one of the enclosed copies of this letter.</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1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20"/>
                <w:szCs w:val="20"/>
                <w:color w:val="auto"/>
              </w:rPr>
              <w:t>CME GROUP INC.</w:t>
            </w:r>
          </w:p>
        </w:tc>
        <w:tc>
          <w:tcPr>
            <w:tcW w:w="0" w:type="dxa"/>
            <w:vAlign w:val="bottom"/>
          </w:tcPr>
          <w:p>
            <w:pPr>
              <w:spacing w:after="0"/>
              <w:rPr>
                <w:sz w:val="1"/>
                <w:szCs w:val="1"/>
                <w:color w:val="auto"/>
              </w:rPr>
            </w:pPr>
          </w:p>
        </w:tc>
      </w:tr>
      <w:tr>
        <w:trPr>
          <w:trHeight w:val="604"/>
        </w:trPr>
        <w:tc>
          <w:tcPr>
            <w:tcW w:w="1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20"/>
                <w:szCs w:val="20"/>
                <w:color w:val="auto"/>
              </w:rPr>
              <w:t>/s/ Terrence A. Duffy</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20"/>
                <w:szCs w:val="20"/>
                <w:color w:val="auto"/>
                <w:w w:val="98"/>
              </w:rPr>
              <w:t>Executive Chairman Of The Board</w:t>
            </w: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3020" w:type="dxa"/>
            <w:vAlign w:val="bottom"/>
            <w:gridSpan w:val="2"/>
          </w:tcPr>
          <w:p>
            <w:pPr>
              <w:spacing w:after="0"/>
              <w:rPr>
                <w:sz w:val="20"/>
                <w:szCs w:val="20"/>
                <w:color w:val="auto"/>
              </w:rPr>
            </w:pPr>
            <w:r>
              <w:rPr>
                <w:rFonts w:ascii="Arial" w:cs="Arial" w:eastAsia="Arial" w:hAnsi="Arial"/>
                <w:sz w:val="20"/>
                <w:szCs w:val="20"/>
                <w:color w:val="auto"/>
              </w:rPr>
              <w:t>/s/ Terrence A. Duffy</w:t>
            </w:r>
          </w:p>
        </w:tc>
        <w:tc>
          <w:tcPr>
            <w:tcW w:w="0" w:type="dxa"/>
            <w:vAlign w:val="bottom"/>
          </w:tcPr>
          <w:p>
            <w:pPr>
              <w:spacing w:after="0"/>
              <w:rPr>
                <w:sz w:val="1"/>
                <w:szCs w:val="1"/>
                <w:color w:val="auto"/>
              </w:rPr>
            </w:pPr>
          </w:p>
        </w:tc>
      </w:tr>
      <w:tr>
        <w:trPr>
          <w:trHeight w:val="249"/>
        </w:trPr>
        <w:tc>
          <w:tcPr>
            <w:tcW w:w="5480" w:type="dxa"/>
            <w:vAlign w:val="bottom"/>
            <w:gridSpan w:val="2"/>
          </w:tcPr>
          <w:p>
            <w:pPr>
              <w:spacing w:after="0"/>
              <w:rPr>
                <w:sz w:val="20"/>
                <w:szCs w:val="20"/>
                <w:color w:val="auto"/>
              </w:rPr>
            </w:pPr>
            <w:r>
              <w:rPr>
                <w:rFonts w:ascii="Arial" w:cs="Arial" w:eastAsia="Arial" w:hAnsi="Arial"/>
                <w:sz w:val="20"/>
                <w:szCs w:val="20"/>
                <w:color w:val="auto"/>
              </w:rPr>
              <w:t>Agreed and Accepted as of</w:t>
            </w:r>
          </w:p>
        </w:tc>
        <w:tc>
          <w:tcPr>
            <w:tcW w:w="1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80" w:type="dxa"/>
            <w:vAlign w:val="bottom"/>
            <w:gridSpan w:val="2"/>
          </w:tcPr>
          <w:p>
            <w:pPr>
              <w:spacing w:after="0"/>
              <w:rPr>
                <w:sz w:val="20"/>
                <w:szCs w:val="20"/>
                <w:color w:val="auto"/>
              </w:rPr>
            </w:pPr>
            <w:r>
              <w:rPr>
                <w:rFonts w:ascii="Arial" w:cs="Arial" w:eastAsia="Arial" w:hAnsi="Arial"/>
                <w:sz w:val="20"/>
                <w:szCs w:val="20"/>
                <w:color w:val="auto"/>
              </w:rPr>
              <w:t>October 13, 2011</w:t>
            </w:r>
          </w:p>
        </w:tc>
        <w:tc>
          <w:tcPr>
            <w:tcW w:w="1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5480" w:type="dxa"/>
            <w:vAlign w:val="bottom"/>
            <w:gridSpan w:val="2"/>
          </w:tcPr>
          <w:p>
            <w:pPr>
              <w:spacing w:after="0"/>
              <w:rPr>
                <w:sz w:val="20"/>
                <w:szCs w:val="20"/>
                <w:color w:val="auto"/>
              </w:rPr>
            </w:pPr>
            <w:r>
              <w:rPr>
                <w:rFonts w:ascii="Arial" w:cs="Arial" w:eastAsia="Arial" w:hAnsi="Arial"/>
                <w:sz w:val="20"/>
                <w:szCs w:val="20"/>
                <w:color w:val="auto"/>
              </w:rPr>
              <w:t>/s/ Charles P. Carey</w:t>
            </w:r>
          </w:p>
        </w:tc>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7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Charles P. Carey</w:t>
            </w:r>
          </w:p>
        </w:tc>
        <w:tc>
          <w:tcPr>
            <w:tcW w:w="3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80" w:type="dxa"/>
            <w:vAlign w:val="bottom"/>
            <w:gridSpan w:val="2"/>
          </w:tcPr>
          <w:p>
            <w:pPr>
              <w:spacing w:after="0"/>
              <w:rPr>
                <w:sz w:val="20"/>
                <w:szCs w:val="20"/>
                <w:color w:val="auto"/>
              </w:rPr>
            </w:pPr>
            <w:r>
              <w:rPr>
                <w:rFonts w:ascii="Arial" w:cs="Arial" w:eastAsia="Arial" w:hAnsi="Arial"/>
                <w:sz w:val="20"/>
                <w:szCs w:val="20"/>
                <w:color w:val="auto"/>
              </w:rPr>
              <w:t>Address for Notice Purposes:</w:t>
            </w:r>
          </w:p>
        </w:tc>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480" w:type="dxa"/>
            <w:vAlign w:val="bottom"/>
            <w:gridSpan w:val="2"/>
          </w:tcPr>
          <w:p>
            <w:pPr>
              <w:spacing w:after="0"/>
              <w:rPr>
                <w:sz w:val="20"/>
                <w:szCs w:val="20"/>
                <w:color w:val="auto"/>
              </w:rPr>
            </w:pPr>
            <w:r>
              <w:rPr>
                <w:rFonts w:ascii="Arial" w:cs="Arial" w:eastAsia="Arial" w:hAnsi="Arial"/>
                <w:sz w:val="20"/>
                <w:szCs w:val="20"/>
                <w:color w:val="auto"/>
              </w:rPr>
              <w:t>604 West 52nd Pl.</w:t>
            </w:r>
          </w:p>
        </w:tc>
        <w:tc>
          <w:tcPr>
            <w:tcW w:w="3020" w:type="dxa"/>
            <w:vAlign w:val="bottom"/>
            <w:gridSpan w:val="2"/>
          </w:tcPr>
          <w:p>
            <w:pPr>
              <w:spacing w:after="0"/>
              <w:rPr>
                <w:sz w:val="20"/>
                <w:szCs w:val="20"/>
                <w:color w:val="auto"/>
              </w:rPr>
            </w:pPr>
            <w:r>
              <w:rPr>
                <w:rFonts w:ascii="Arial" w:cs="Arial" w:eastAsia="Arial" w:hAnsi="Arial"/>
                <w:sz w:val="20"/>
                <w:szCs w:val="20"/>
                <w:color w:val="auto"/>
              </w:rPr>
              <w:t>Address for Notice Purposes:</w:t>
            </w:r>
          </w:p>
        </w:tc>
        <w:tc>
          <w:tcPr>
            <w:tcW w:w="0" w:type="dxa"/>
            <w:vAlign w:val="bottom"/>
          </w:tcPr>
          <w:p>
            <w:pPr>
              <w:spacing w:after="0"/>
              <w:rPr>
                <w:sz w:val="1"/>
                <w:szCs w:val="1"/>
                <w:color w:val="auto"/>
              </w:rPr>
            </w:pPr>
          </w:p>
        </w:tc>
      </w:tr>
      <w:tr>
        <w:trPr>
          <w:trHeight w:val="237"/>
        </w:trPr>
        <w:tc>
          <w:tcPr>
            <w:tcW w:w="5480" w:type="dxa"/>
            <w:vAlign w:val="bottom"/>
            <w:gridSpan w:val="2"/>
          </w:tcPr>
          <w:p>
            <w:pPr>
              <w:spacing w:after="0"/>
              <w:rPr>
                <w:sz w:val="20"/>
                <w:szCs w:val="20"/>
                <w:color w:val="auto"/>
              </w:rPr>
            </w:pPr>
            <w:r>
              <w:rPr>
                <w:rFonts w:ascii="Arial" w:cs="Arial" w:eastAsia="Arial" w:hAnsi="Arial"/>
                <w:sz w:val="20"/>
                <w:szCs w:val="20"/>
                <w:color w:val="auto"/>
              </w:rPr>
              <w:t>Western Springs, IL 60558</w:t>
            </w:r>
          </w:p>
        </w:tc>
        <w:tc>
          <w:tcPr>
            <w:tcW w:w="3020" w:type="dxa"/>
            <w:vAlign w:val="bottom"/>
            <w:gridSpan w:val="2"/>
            <w:vMerge w:val="restart"/>
          </w:tcPr>
          <w:p>
            <w:pPr>
              <w:spacing w:after="0"/>
              <w:rPr>
                <w:sz w:val="20"/>
                <w:szCs w:val="20"/>
                <w:color w:val="auto"/>
              </w:rPr>
            </w:pPr>
            <w:r>
              <w:rPr>
                <w:rFonts w:ascii="Arial" w:cs="Arial" w:eastAsia="Arial" w:hAnsi="Arial"/>
                <w:sz w:val="20"/>
                <w:szCs w:val="20"/>
                <w:color w:val="auto"/>
              </w:rPr>
              <w:t>CME Group Inc.</w:t>
            </w:r>
          </w:p>
        </w:tc>
        <w:tc>
          <w:tcPr>
            <w:tcW w:w="0" w:type="dxa"/>
            <w:vAlign w:val="bottom"/>
          </w:tcPr>
          <w:p>
            <w:pPr>
              <w:spacing w:after="0"/>
              <w:rPr>
                <w:sz w:val="1"/>
                <w:szCs w:val="1"/>
                <w:color w:val="auto"/>
              </w:rPr>
            </w:pPr>
          </w:p>
        </w:tc>
      </w:tr>
      <w:tr>
        <w:trPr>
          <w:trHeight w:val="195"/>
        </w:trPr>
        <w:tc>
          <w:tcPr>
            <w:tcW w:w="17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020" w:type="dxa"/>
            <w:vAlign w:val="bottom"/>
            <w:gridSpan w:val="2"/>
          </w:tcPr>
          <w:p>
            <w:pPr>
              <w:spacing w:after="0" w:line="216" w:lineRule="exact"/>
              <w:rPr>
                <w:sz w:val="20"/>
                <w:szCs w:val="20"/>
                <w:color w:val="auto"/>
              </w:rPr>
            </w:pPr>
            <w:r>
              <w:rPr>
                <w:rFonts w:ascii="Arial" w:cs="Arial" w:eastAsia="Arial" w:hAnsi="Arial"/>
                <w:sz w:val="20"/>
                <w:szCs w:val="20"/>
                <w:color w:val="auto"/>
              </w:rPr>
              <w:t>20 South Wacker Drive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020" w:type="dxa"/>
            <w:vAlign w:val="bottom"/>
            <w:gridSpan w:val="2"/>
          </w:tcPr>
          <w:p>
            <w:pPr>
              <w:spacing w:after="0" w:line="216" w:lineRule="exact"/>
              <w:rPr>
                <w:sz w:val="20"/>
                <w:szCs w:val="20"/>
                <w:color w:val="auto"/>
              </w:rPr>
            </w:pPr>
            <w:r>
              <w:rPr>
                <w:rFonts w:ascii="Arial" w:cs="Arial" w:eastAsia="Arial" w:hAnsi="Arial"/>
                <w:sz w:val="20"/>
                <w:szCs w:val="20"/>
                <w:color w:val="auto"/>
              </w:rPr>
              <w:t>Chicago, IL 60606</w:t>
            </w: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20"/>
                <w:szCs w:val="20"/>
                <w:color w:val="auto"/>
              </w:rPr>
              <w:t>Attention: General Counsel</w:t>
            </w:r>
          </w:p>
        </w:tc>
        <w:tc>
          <w:tcPr>
            <w:tcW w:w="0" w:type="dxa"/>
            <w:vAlign w:val="bottom"/>
          </w:tcPr>
          <w:p>
            <w:pPr>
              <w:spacing w:after="0"/>
              <w:rPr>
                <w:sz w:val="1"/>
                <w:szCs w:val="1"/>
                <w:color w:val="auto"/>
              </w:rPr>
            </w:pPr>
          </w:p>
        </w:tc>
      </w:tr>
    </w:tbl>
    <w:p>
      <w:pPr>
        <w:sectPr>
          <w:pgSz w:w="11900" w:h="16838" w:orient="portrait"/>
          <w:cols w:equalWidth="0" w:num="1">
            <w:col w:w="10880"/>
          </w:cols>
          <w:pgMar w:left="240" w:top="135" w:right="779" w:bottom="1440" w:gutter="0" w:footer="0" w:header="0"/>
        </w:sectPr>
      </w:pPr>
    </w:p>
    <w:bookmarkStart w:id="109" w:name="page110"/>
    <w:bookmarkEnd w:id="109"/>
    <w:p>
      <w:pPr>
        <w:spacing w:after="0"/>
        <w:tabs>
          <w:tab w:leader="none" w:pos="3960" w:val="left"/>
        </w:tabs>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5"/>
          <w:szCs w:val="25"/>
          <w:b w:val="1"/>
          <w:bCs w:val="1"/>
          <w:color w:val="auto"/>
          <w:vertAlign w:val="superscript"/>
        </w:rPr>
        <w:t>(1)</w:t>
      </w:r>
      <w:r>
        <w:rPr>
          <w:sz w:val="20"/>
          <w:szCs w:val="20"/>
          <w:color w:val="auto"/>
        </w:rPr>
        <w:tab/>
      </w:r>
      <w:r>
        <w:rPr>
          <w:rFonts w:ascii="Arial" w:cs="Arial" w:eastAsia="Arial" w:hAnsi="Arial"/>
          <w:sz w:val="16"/>
          <w:szCs w:val="16"/>
          <w:b w:val="1"/>
          <w:bCs w:val="1"/>
          <w:color w:val="auto"/>
        </w:rPr>
        <w:t>Exhibit 12.1</w:t>
      </w:r>
    </w:p>
    <w:p>
      <w:pPr>
        <w:spacing w:after="0" w:line="149"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 xml:space="preserve">The following table sets forth our ratio of earnings to fixed charges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for the periods indicated. All amounts are in millions, except for the ratio of earnings to fixed charges.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 back:</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Share of loss on equity investees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Subtract: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Capitalized interest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1,096.6</w:t>
            </w:r>
          </w:p>
        </w:tc>
      </w:tr>
      <w:tr>
        <w:trPr>
          <w:trHeight w:val="176"/>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Interest expense (excluding interest for securities lending)</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within rent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Earnings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2,069.5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1,879.3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1,588.8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1,321.0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1,107.1</w:t>
            </w:r>
          </w:p>
        </w:tc>
      </w:tr>
      <w:tr>
        <w:trPr>
          <w:trHeight w:val="163"/>
        </w:trPr>
        <w:tc>
          <w:tcPr>
            <w:tcW w:w="5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5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105.93</w:t>
            </w:r>
          </w:p>
        </w:tc>
      </w:tr>
    </w:tbl>
    <w:p>
      <w:pPr>
        <w:spacing w:after="0" w:line="202" w:lineRule="exact"/>
        <w:rPr>
          <w:sz w:val="20"/>
          <w:szCs w:val="20"/>
          <w:color w:val="auto"/>
        </w:rPr>
      </w:pPr>
    </w:p>
    <w:p>
      <w:pPr>
        <w:ind w:right="160" w:firstLine="8"/>
        <w:spacing w:after="0" w:line="277" w:lineRule="auto"/>
        <w:tabs>
          <w:tab w:leader="none" w:pos="4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ratio of earnings to fixed charges is calculated by dividing adjusted earnings by fixed charges. “Fixed charges” consist of interest incurred and the interest portion of rent expense.</w:t>
      </w:r>
    </w:p>
    <w:p>
      <w:pPr>
        <w:spacing w:after="0" w:line="116" w:lineRule="exact"/>
        <w:rPr>
          <w:rFonts w:ascii="Arial" w:cs="Arial" w:eastAsia="Arial" w:hAnsi="Arial"/>
          <w:sz w:val="18"/>
          <w:szCs w:val="18"/>
          <w:color w:val="auto"/>
        </w:rPr>
      </w:pPr>
    </w:p>
    <w:p>
      <w:pPr>
        <w:ind w:left="400" w:hanging="392"/>
        <w:spacing w:after="0"/>
        <w:tabs>
          <w:tab w:leader="none" w:pos="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CME Groups’ interest in various entities, which is recognized using the equity method of accounting.</w:t>
      </w:r>
    </w:p>
    <w:p>
      <w:pPr>
        <w:sectPr>
          <w:pgSz w:w="11900" w:h="16838" w:orient="portrait"/>
          <w:cols w:equalWidth="0" w:num="1">
            <w:col w:w="11420"/>
          </w:cols>
          <w:pgMar w:left="240" w:top="688"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1"/>
              </w:rPr>
              <w:t>CME Group Subsidiaries</w:t>
            </w:r>
          </w:p>
        </w:tc>
        <w:tc>
          <w:tcPr>
            <w:tcW w:w="3620" w:type="dxa"/>
            <w:vAlign w:val="bottom"/>
            <w:gridSpan w:val="2"/>
          </w:tcPr>
          <w:p>
            <w:pPr>
              <w:spacing w:after="0"/>
              <w:rPr>
                <w:sz w:val="17"/>
                <w:szCs w:val="17"/>
                <w:color w:val="auto"/>
              </w:rPr>
            </w:pPr>
          </w:p>
        </w:tc>
      </w:tr>
      <w:tr>
        <w:trPr>
          <w:trHeight w:val="520"/>
        </w:trPr>
        <w:tc>
          <w:tcPr>
            <w:tcW w:w="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Name of Subsidiary*</w:t>
            </w:r>
          </w:p>
        </w:tc>
        <w:tc>
          <w:tcPr>
            <w:tcW w:w="4700" w:type="dxa"/>
            <w:vAlign w:val="bottom"/>
            <w:gridSpan w:val="4"/>
          </w:tcPr>
          <w:p>
            <w:pPr>
              <w:ind w:left="12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48"/>
        </w:trPr>
        <w:tc>
          <w:tcPr>
            <w:tcW w:w="2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Board of Trade of the City of Chicago, Inc.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CBOT Market Data Services LLC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CBOT Singapore PTE LTD</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Singapore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C-B-T Corporation</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Chicago Mercantile Exchange Inc.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Chicago Mercantile Exchange Korea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Republic of Korea</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3"/>
              </w:rPr>
              <w:t>Chicago Mercantile Exchange Luxembourg Holdings S.à.r.l.</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Luxembourg</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Chicago Mercantile Exchange Luxembourg S.à.r.l.</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Luxembourg</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ECM Inc.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Alternative Marketplace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BD Services Inc.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Clearing Europe Limited</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United Kingdom</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Europe Limited</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United Kingdom</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FX Marketplace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Global Marketplace Inc.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Group Asia Holdings PTE. LTD.</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Singapore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Group Hong Kong Limited</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Hong Kong</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Group Index Holdings LLC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Group Index Services Germany GMBH</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Germany</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Group Index Services LLC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Group Index Services Singapore PTE LTD</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Singapore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Group Index Services UK Limited</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United Kingdom</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Group Japan Kabushiki Kaisha</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Japan</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Group Marketing Canada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Canada</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Group Strategic Investments LLC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Information Services (Beijing) Co., Ltd.</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Peoples Republic of China</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Marketing Europe Limited</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United Kingdom</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Operations Limited</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United Kingdom</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Swaps Marketplace Ltd.</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United Kingdom</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Technology and Support Services Limited</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Northern Ireland</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CMEG Brazil 1 Participações Ltda.</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Brazil</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CMEG Brazil Investments 1 LLC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CMEG Brazil Investments 2 LLC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CMEG Foundation Services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CMEG MEXICO S. de R.L. de C.V</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Mexico</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CMEG NYMEX Holdings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CMEG Strategtic Sdn. Bhd.</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Malaysia</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CMESCC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Commodity Exchange, Inc.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New York</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ConfirmHub, LLC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Credit Market Analysis Ltd.</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United Kingdom</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Credit Market Analysis USA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Elysian Systems Limited</w:t>
            </w:r>
          </w:p>
        </w:tc>
        <w:tc>
          <w:tcPr>
            <w:tcW w:w="47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United Kingdom</w:t>
            </w:r>
          </w:p>
        </w:tc>
      </w:tr>
      <w:tr>
        <w:trPr>
          <w:trHeight w:val="27"/>
        </w:trPr>
        <w:tc>
          <w:tcPr>
            <w:tcW w:w="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ectPr>
          <w:pgSz w:w="11900" w:h="16838" w:orient="portrait"/>
          <w:cols w:equalWidth="0" w:num="1">
            <w:col w:w="10300"/>
          </w:cols>
          <w:pgMar w:left="1360" w:top="661" w:right="2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Financial Data Exchange Ltd.</w:t>
            </w:r>
          </w:p>
        </w:tc>
        <w:tc>
          <w:tcPr>
            <w:tcW w:w="5540" w:type="dxa"/>
            <w:vAlign w:val="bottom"/>
          </w:tcPr>
          <w:p>
            <w:pPr>
              <w:ind w:left="960"/>
              <w:spacing w:after="0"/>
              <w:rPr>
                <w:sz w:val="20"/>
                <w:szCs w:val="20"/>
                <w:color w:val="auto"/>
              </w:rPr>
            </w:pPr>
            <w:r>
              <w:rPr>
                <w:rFonts w:ascii="Arial" w:cs="Arial" w:eastAsia="Arial" w:hAnsi="Arial"/>
                <w:sz w:val="18"/>
                <w:szCs w:val="18"/>
                <w:color w:val="auto"/>
              </w:rPr>
              <w:t>United Kingdom</w:t>
            </w:r>
          </w:p>
        </w:tc>
      </w:tr>
      <w:tr>
        <w:trPr>
          <w:trHeight w:val="27"/>
        </w:trPr>
        <w:tc>
          <w:tcPr>
            <w:tcW w:w="366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GFX Corporation</w:t>
            </w:r>
          </w:p>
        </w:tc>
        <w:tc>
          <w:tcPr>
            <w:tcW w:w="55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Illinois</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New York Mercantile Exchange, Inc.</w:t>
            </w:r>
          </w:p>
        </w:tc>
        <w:tc>
          <w:tcPr>
            <w:tcW w:w="55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7"/>
        </w:trPr>
        <w:tc>
          <w:tcPr>
            <w:tcW w:w="366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QuoteVision Ltd.</w:t>
            </w:r>
          </w:p>
        </w:tc>
        <w:tc>
          <w:tcPr>
            <w:tcW w:w="55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United Kingdom</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Swapstream Limited</w:t>
            </w:r>
          </w:p>
        </w:tc>
        <w:tc>
          <w:tcPr>
            <w:tcW w:w="5540" w:type="dxa"/>
            <w:vAlign w:val="bottom"/>
          </w:tcPr>
          <w:p>
            <w:pPr>
              <w:ind w:left="960"/>
              <w:spacing w:after="0"/>
              <w:rPr>
                <w:sz w:val="20"/>
                <w:szCs w:val="20"/>
                <w:color w:val="auto"/>
              </w:rPr>
            </w:pPr>
            <w:r>
              <w:rPr>
                <w:rFonts w:ascii="Arial" w:cs="Arial" w:eastAsia="Arial" w:hAnsi="Arial"/>
                <w:sz w:val="18"/>
                <w:szCs w:val="18"/>
                <w:color w:val="auto"/>
              </w:rPr>
              <w:t>United Kingdom</w:t>
            </w:r>
          </w:p>
        </w:tc>
      </w:tr>
    </w:tbl>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*Inactive subsidiaries and subsidiaries in the process of liquidation have been excluded.</w:t>
      </w:r>
    </w:p>
    <w:p>
      <w:pPr>
        <w:sectPr>
          <w:pgSz w:w="11900" w:h="16838" w:orient="portrait"/>
          <w:cols w:equalWidth="0" w:num="1">
            <w:col w:w="9200"/>
          </w:cols>
          <w:pgMar w:left="1360" w:top="827" w:right="1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23.1</w:t>
      </w:r>
    </w:p>
    <w:p>
      <w:pPr>
        <w:spacing w:after="0" w:line="287"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139" w:lineRule="exact"/>
        <w:rPr>
          <w:sz w:val="20"/>
          <w:szCs w:val="20"/>
          <w:color w:val="auto"/>
        </w:rPr>
      </w:pPr>
    </w:p>
    <w:p>
      <w:pPr>
        <w:ind w:left="460" w:right="20" w:hanging="6"/>
        <w:spacing w:after="0" w:line="263" w:lineRule="auto"/>
        <w:tabs>
          <w:tab w:leader="none" w:pos="794"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S-8 No. 333-105236 and Form S-8 No. 333-159932) pertaining to the CME Group Inc. Amended and Restated Omnibus Stock Plan,</w:t>
      </w:r>
    </w:p>
    <w:p>
      <w:pPr>
        <w:spacing w:after="0" w:line="93" w:lineRule="exact"/>
        <w:rPr>
          <w:rFonts w:ascii="Arial" w:cs="Arial" w:eastAsia="Arial" w:hAnsi="Arial"/>
          <w:sz w:val="22"/>
          <w:szCs w:val="22"/>
          <w:color w:val="auto"/>
        </w:rPr>
      </w:pPr>
    </w:p>
    <w:p>
      <w:pPr>
        <w:ind w:left="460" w:right="20" w:hanging="6"/>
        <w:spacing w:after="0" w:line="263" w:lineRule="auto"/>
        <w:tabs>
          <w:tab w:leader="none" w:pos="801"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S-8 No. 333-104804; Form S-8 No. 333-115656) pertaining to the Agreement between Chicago Mercantile Exchange Holdings Inc. and James J. McNulty,</w:t>
      </w:r>
    </w:p>
    <w:p>
      <w:pPr>
        <w:spacing w:after="0" w:line="93" w:lineRule="exact"/>
        <w:rPr>
          <w:rFonts w:ascii="Arial" w:cs="Arial" w:eastAsia="Arial" w:hAnsi="Arial"/>
          <w:sz w:val="22"/>
          <w:szCs w:val="22"/>
          <w:color w:val="auto"/>
        </w:rPr>
      </w:pPr>
    </w:p>
    <w:p>
      <w:pPr>
        <w:ind w:left="460" w:hanging="6"/>
        <w:spacing w:after="0" w:line="263" w:lineRule="auto"/>
        <w:tabs>
          <w:tab w:leader="none" w:pos="811"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(S-8 No. 333-124497) pertaining to the Employee Stock Purchase Plan and the 2005 Director Stock Plan,</w:t>
      </w:r>
    </w:p>
    <w:p>
      <w:pPr>
        <w:spacing w:after="0" w:line="93" w:lineRule="exact"/>
        <w:rPr>
          <w:rFonts w:ascii="Arial" w:cs="Arial" w:eastAsia="Arial" w:hAnsi="Arial"/>
          <w:sz w:val="22"/>
          <w:szCs w:val="22"/>
          <w:color w:val="auto"/>
        </w:rPr>
      </w:pPr>
    </w:p>
    <w:p>
      <w:pPr>
        <w:ind w:left="460" w:right="20" w:hanging="6"/>
        <w:spacing w:after="0" w:line="263" w:lineRule="auto"/>
        <w:tabs>
          <w:tab w:leader="none" w:pos="784"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S-3ASR No. 333-132554) Shelf Registration Statement for the offering of debt securities, Class A Common Stock, Preferred Stock and Warrants,</w:t>
      </w:r>
    </w:p>
    <w:p>
      <w:pPr>
        <w:spacing w:after="0" w:line="93" w:lineRule="exact"/>
        <w:rPr>
          <w:rFonts w:ascii="Arial" w:cs="Arial" w:eastAsia="Arial" w:hAnsi="Arial"/>
          <w:sz w:val="22"/>
          <w:szCs w:val="22"/>
          <w:color w:val="auto"/>
        </w:rPr>
      </w:pPr>
    </w:p>
    <w:p>
      <w:pPr>
        <w:ind w:left="460" w:hanging="6"/>
        <w:spacing w:after="0" w:line="263" w:lineRule="auto"/>
        <w:tabs>
          <w:tab w:leader="none" w:pos="771"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S-8 No. 333-14453) pertaining to CBOT Holdings, Inc.’s 2005 Long-Term Equity Incentive Plan,</w:t>
      </w:r>
    </w:p>
    <w:p>
      <w:pPr>
        <w:spacing w:after="0" w:line="93" w:lineRule="exact"/>
        <w:rPr>
          <w:rFonts w:ascii="Arial" w:cs="Arial" w:eastAsia="Arial" w:hAnsi="Arial"/>
          <w:sz w:val="22"/>
          <w:szCs w:val="22"/>
          <w:color w:val="auto"/>
        </w:rPr>
      </w:pPr>
    </w:p>
    <w:p>
      <w:pPr>
        <w:jc w:val="both"/>
        <w:ind w:left="460" w:hanging="6"/>
        <w:spacing w:after="0" w:line="253" w:lineRule="auto"/>
        <w:tabs>
          <w:tab w:leader="none" w:pos="790"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S-8 No. 333-153462) and Post-Effective Amendment No. 1 to Registration Statement on Form S-4 (Form S-8 No. 333-151577) pertaining to the NYMEX Holdings, Inc.’s 2006 Omnibus Long-Term Incentive Plan, and</w:t>
      </w:r>
    </w:p>
    <w:p>
      <w:pPr>
        <w:spacing w:after="0" w:line="104" w:lineRule="exact"/>
        <w:rPr>
          <w:rFonts w:ascii="Arial" w:cs="Arial" w:eastAsia="Arial" w:hAnsi="Arial"/>
          <w:sz w:val="22"/>
          <w:szCs w:val="22"/>
          <w:color w:val="auto"/>
        </w:rPr>
      </w:pPr>
    </w:p>
    <w:p>
      <w:pPr>
        <w:ind w:left="460" w:right="20" w:hanging="6"/>
        <w:spacing w:after="0" w:line="263" w:lineRule="auto"/>
        <w:tabs>
          <w:tab w:leader="none" w:pos="784"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S-3ASR No. 333-163473) Shelf Registration Statement for the offering of debt securities, Class A Common Stock, Preferred Stock and Warrants.</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 our reports dated February 27, 2012 with respect to the consolidated financial statements and schedule of the CME Group Inc., and the effectiveness of internal control over financial reporting of Chicago Mercantile Exchange Holdings Inc., incorporated by reference in this Annual Report (Form 10-K) for the year ended December 31, 2011.</w:t>
      </w:r>
    </w:p>
    <w:p>
      <w:pPr>
        <w:spacing w:after="0" w:line="200" w:lineRule="exact"/>
        <w:rPr>
          <w:sz w:val="20"/>
          <w:szCs w:val="20"/>
          <w:color w:val="auto"/>
        </w:rPr>
      </w:pPr>
    </w:p>
    <w:p>
      <w:pPr>
        <w:spacing w:after="0" w:line="310"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/s/ Ernst &amp; Young LLP</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27, 2012</w:t>
      </w:r>
    </w:p>
    <w:p>
      <w:pPr>
        <w:sectPr>
          <w:pgSz w:w="11900" w:h="16838" w:orient="portrait"/>
          <w:cols w:equalWidth="0" w:num="1">
            <w:col w:w="11420"/>
          </w:cols>
          <w:pgMar w:left="240" w:top="409"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171" w:lineRule="exact"/>
        <w:rPr>
          <w:sz w:val="20"/>
          <w:szCs w:val="20"/>
          <w:color w:val="auto"/>
        </w:rPr>
      </w:pPr>
    </w:p>
    <w:p>
      <w:pPr>
        <w:ind w:left="620" w:hanging="180"/>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Craig S. Donohue</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620" w:hanging="180"/>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E. Parisi</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Annual Report on Form 10-K of CME Group Inc. (Company) for the year ended December 31, 2011 as filed with the Securities and Exchange Commission on the date hereof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52" w:lineRule="exact"/>
        <w:rPr>
          <w:sz w:val="20"/>
          <w:szCs w:val="20"/>
          <w:color w:val="auto"/>
        </w:rPr>
      </w:pPr>
    </w:p>
    <w:p>
      <w:pPr>
        <w:ind w:left="1140" w:hanging="254"/>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10740" w:type="dxa"/>
            <w:vAlign w:val="bottom"/>
          </w:tcPr>
          <w:p>
            <w:pPr>
              <w:ind w:left="160"/>
              <w:spacing w:after="0"/>
              <w:rPr>
                <w:sz w:val="20"/>
                <w:szCs w:val="20"/>
                <w:color w:val="auto"/>
              </w:rPr>
            </w:pPr>
            <w:r>
              <w:rPr>
                <w:rFonts w:ascii="Arial" w:cs="Arial" w:eastAsia="Arial" w:hAnsi="Arial"/>
                <w:sz w:val="18"/>
                <w:szCs w:val="18"/>
                <w:color w:val="auto"/>
              </w:rPr>
              <w:t>Craig S. Donohue</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107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567"/>
        </w:trPr>
        <w:tc>
          <w:tcPr>
            <w:tcW w:w="11420" w:type="dxa"/>
            <w:vAlign w:val="bottom"/>
            <w:gridSpan w:val="2"/>
          </w:tcPr>
          <w:p>
            <w:pPr>
              <w:ind w:left="40"/>
              <w:spacing w:after="0"/>
              <w:rPr>
                <w:sz w:val="20"/>
                <w:szCs w:val="20"/>
                <w:color w:val="auto"/>
              </w:rPr>
            </w:pPr>
            <w:r>
              <w:rPr>
                <w:rFonts w:ascii="Arial" w:cs="Arial" w:eastAsia="Arial" w:hAnsi="Arial"/>
                <w:sz w:val="18"/>
                <w:szCs w:val="18"/>
                <w:color w:val="auto"/>
              </w:rPr>
              <w:t>Date: February 27, 2012</w:t>
            </w:r>
          </w:p>
        </w:tc>
      </w:tr>
      <w:tr>
        <w:trPr>
          <w:trHeight w:val="567"/>
        </w:trPr>
        <w:tc>
          <w:tcPr>
            <w:tcW w:w="11420" w:type="dxa"/>
            <w:vAlign w:val="bottom"/>
            <w:gridSpan w:val="2"/>
          </w:tcPr>
          <w:p>
            <w:pPr>
              <w:ind w:left="40"/>
              <w:spacing w:after="0"/>
              <w:rPr>
                <w:sz w:val="20"/>
                <w:szCs w:val="20"/>
                <w:color w:val="auto"/>
              </w:rPr>
            </w:pPr>
            <w:r>
              <w:rPr>
                <w:rFonts w:ascii="Arial" w:cs="Arial" w:eastAsia="Arial" w:hAnsi="Arial"/>
                <w:sz w:val="18"/>
                <w:szCs w:val="18"/>
                <w:color w:val="auto"/>
              </w:rPr>
              <w:t>/s/ James E. Parisi</w:t>
            </w:r>
          </w:p>
        </w:tc>
      </w:tr>
      <w:tr>
        <w:trPr>
          <w:trHeight w:val="27"/>
        </w:trPr>
        <w:tc>
          <w:tcPr>
            <w:tcW w:w="68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10740" w:type="dxa"/>
            <w:vAlign w:val="bottom"/>
          </w:tcPr>
          <w:p>
            <w:pPr>
              <w:ind w:left="160"/>
              <w:spacing w:after="0"/>
              <w:rPr>
                <w:sz w:val="20"/>
                <w:szCs w:val="20"/>
                <w:color w:val="auto"/>
              </w:rPr>
            </w:pPr>
            <w:r>
              <w:rPr>
                <w:rFonts w:ascii="Arial" w:cs="Arial" w:eastAsia="Arial" w:hAnsi="Arial"/>
                <w:sz w:val="18"/>
                <w:szCs w:val="18"/>
                <w:color w:val="auto"/>
              </w:rPr>
              <w:t>James E. Parisi</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1074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27, 2012</w:t>
      </w:r>
    </w:p>
    <w:p>
      <w:pPr>
        <w:spacing w:after="0" w:line="252"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decimal"/>
      <w:start w:val="6"/>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4"/>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2"/>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3"/>
    </w:lvl>
  </w:abstractNum>
  <w:abstractNum w:abstractNumId="40">
    <w:nsid w:val="579478FE"/>
    <w:multiLevelType w:val="hybridMultilevel"/>
    <w:lvl w:ilvl="0">
      <w:lvlJc w:val="left"/>
      <w:lvlText w:val="%1."/>
      <w:numFmt w:val="decimal"/>
      <w:start w:val="10"/>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3"/>
    </w:lvl>
  </w:abstractNum>
  <w:abstractNum w:abstractNumId="45">
    <w:nsid w:val="75C6C33A"/>
    <w:multiLevelType w:val="hybridMultilevel"/>
    <w:lvl w:ilvl="0">
      <w:lvlJc w:val="left"/>
      <w:lvlText w:val="%1."/>
      <w:numFmt w:val="decimal"/>
      <w:start w:val="8"/>
    </w:lvl>
  </w:abstractNum>
  <w:abstractNum w:abstractNumId="46">
    <w:nsid w:val="12E685FB"/>
    <w:multiLevelType w:val="hybridMultilevel"/>
    <w:lvl w:ilvl="0">
      <w:lvlJc w:val="left"/>
      <w:lvlText w:val="%1."/>
      <w:numFmt w:val="decimal"/>
      <w:start w:val="9"/>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decimal"/>
      <w:start w:val="5"/>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decimal"/>
      <w:start w:val="5"/>
    </w:lvl>
  </w:abstractNum>
  <w:abstractNum w:abstractNumId="56">
    <w:nsid w:val="180115BE"/>
    <w:multiLevelType w:val="hybridMultilevel"/>
    <w:lvl w:ilvl="0">
      <w:lvlJc w:val="left"/>
      <w:lvlText w:val="%1)"/>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2019-12-09T15:09:18Z</dcterms:created>
  <dcterms:modified xsi:type="dcterms:W3CDTF">2019-12-09T15:09:18Z</dcterms:modified>
</cp:coreProperties>
</file>