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OR -</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6180" w:space="620"/>
            <w:col w:w="46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001-31553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3440" w:type="dxa"/>
            <w:vAlign w:val="bottom"/>
          </w:tcPr>
          <w:p>
            <w:pPr>
              <w:jc w:val="center"/>
              <w:ind w:right="304"/>
              <w:spacing w:after="0"/>
              <w:rPr>
                <w:sz w:val="20"/>
                <w:szCs w:val="20"/>
                <w:color w:val="auto"/>
              </w:rPr>
            </w:pPr>
            <w:r>
              <w:rPr>
                <w:rFonts w:ascii="Arial" w:cs="Arial" w:eastAsia="Arial" w:hAnsi="Arial"/>
                <w:sz w:val="18"/>
                <w:szCs w:val="18"/>
                <w:b w:val="1"/>
                <w:bCs w:val="1"/>
                <w:color w:val="auto"/>
                <w:w w:val="88"/>
              </w:rPr>
              <w:t>Delaware</w:t>
            </w:r>
          </w:p>
        </w:tc>
        <w:tc>
          <w:tcPr>
            <w:tcW w:w="4580" w:type="dxa"/>
            <w:vAlign w:val="bottom"/>
          </w:tcPr>
          <w:p>
            <w:pPr>
              <w:jc w:val="right"/>
              <w:ind w:right="182"/>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3440" w:type="dxa"/>
            <w:vAlign w:val="bottom"/>
          </w:tcPr>
          <w:p>
            <w:pPr>
              <w:jc w:val="center"/>
              <w:ind w:right="32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580" w:type="dxa"/>
            <w:vAlign w:val="bottom"/>
          </w:tcPr>
          <w:p>
            <w:pPr>
              <w:jc w:val="center"/>
              <w:ind w:left="316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440" w:type="dxa"/>
            <w:vAlign w:val="bottom"/>
          </w:tcPr>
          <w:p>
            <w:pPr>
              <w:jc w:val="center"/>
              <w:ind w:right="324"/>
              <w:spacing w:after="0"/>
              <w:rPr>
                <w:sz w:val="20"/>
                <w:szCs w:val="20"/>
                <w:color w:val="auto"/>
              </w:rPr>
            </w:pPr>
            <w:r>
              <w:rPr>
                <w:rFonts w:ascii="Arial" w:cs="Arial" w:eastAsia="Arial" w:hAnsi="Arial"/>
                <w:sz w:val="14"/>
                <w:szCs w:val="14"/>
                <w:b w:val="1"/>
                <w:bCs w:val="1"/>
                <w:color w:val="auto"/>
                <w:w w:val="88"/>
              </w:rPr>
              <w:t>incorporation or organization)</w:t>
            </w:r>
          </w:p>
        </w:tc>
        <w:tc>
          <w:tcPr>
            <w:tcW w:w="4580" w:type="dxa"/>
            <w:vAlign w:val="bottom"/>
          </w:tcPr>
          <w:p>
            <w:pPr>
              <w:jc w:val="center"/>
              <w:ind w:left="3162"/>
              <w:spacing w:after="0"/>
              <w:rPr>
                <w:sz w:val="20"/>
                <w:szCs w:val="20"/>
                <w:color w:val="auto"/>
              </w:rPr>
            </w:pPr>
            <w:r>
              <w:rPr>
                <w:rFonts w:ascii="Arial" w:cs="Arial" w:eastAsia="Arial" w:hAnsi="Arial"/>
                <w:sz w:val="14"/>
                <w:szCs w:val="14"/>
                <w:b w:val="1"/>
                <w:bCs w:val="1"/>
                <w:color w:val="auto"/>
                <w:w w:val="90"/>
              </w:rPr>
              <w:t>Identification Number)</w:t>
            </w:r>
          </w:p>
        </w:tc>
      </w:tr>
      <w:tr>
        <w:trPr>
          <w:trHeight w:val="406"/>
        </w:trPr>
        <w:tc>
          <w:tcPr>
            <w:tcW w:w="3440" w:type="dxa"/>
            <w:vAlign w:val="bottom"/>
          </w:tcPr>
          <w:p>
            <w:pPr>
              <w:jc w:val="center"/>
              <w:ind w:right="304"/>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4580" w:type="dxa"/>
            <w:vAlign w:val="bottom"/>
          </w:tcPr>
          <w:p>
            <w:pPr>
              <w:jc w:val="right"/>
              <w:ind w:right="382"/>
              <w:spacing w:after="0"/>
              <w:rPr>
                <w:sz w:val="20"/>
                <w:szCs w:val="20"/>
                <w:color w:val="auto"/>
              </w:rPr>
            </w:pPr>
            <w:r>
              <w:rPr>
                <w:rFonts w:ascii="Arial" w:cs="Arial" w:eastAsia="Arial" w:hAnsi="Arial"/>
                <w:sz w:val="18"/>
                <w:szCs w:val="18"/>
                <w:b w:val="1"/>
                <w:bCs w:val="1"/>
                <w:color w:val="auto"/>
              </w:rPr>
              <w:t>60606</w:t>
            </w:r>
          </w:p>
        </w:tc>
      </w:tr>
      <w:tr>
        <w:trPr>
          <w:trHeight w:val="174"/>
        </w:trPr>
        <w:tc>
          <w:tcPr>
            <w:tcW w:w="3440" w:type="dxa"/>
            <w:vAlign w:val="bottom"/>
          </w:tcPr>
          <w:p>
            <w:pPr>
              <w:jc w:val="center"/>
              <w:ind w:right="32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580" w:type="dxa"/>
            <w:vAlign w:val="bottom"/>
          </w:tcPr>
          <w:p>
            <w:pPr>
              <w:jc w:val="center"/>
              <w:ind w:left="3162"/>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3440" w:type="dxa"/>
            <w:vAlign w:val="bottom"/>
          </w:tcPr>
          <w:p>
            <w:pPr>
              <w:spacing w:after="0"/>
              <w:rPr>
                <w:sz w:val="24"/>
                <w:szCs w:val="24"/>
                <w:color w:val="auto"/>
              </w:rPr>
            </w:pPr>
          </w:p>
        </w:tc>
        <w:tc>
          <w:tcPr>
            <w:tcW w:w="4580" w:type="dxa"/>
            <w:vAlign w:val="bottom"/>
          </w:tcPr>
          <w:p>
            <w:pPr>
              <w:jc w:val="right"/>
              <w:ind w:right="3022"/>
              <w:spacing w:after="0"/>
              <w:rPr>
                <w:sz w:val="20"/>
                <w:szCs w:val="20"/>
                <w:color w:val="auto"/>
              </w:rPr>
            </w:pPr>
            <w:r>
              <w:rPr>
                <w:rFonts w:ascii="Arial" w:cs="Arial" w:eastAsia="Arial" w:hAnsi="Arial"/>
                <w:sz w:val="18"/>
                <w:szCs w:val="18"/>
                <w:b w:val="1"/>
                <w:bCs w:val="1"/>
                <w:color w:val="auto"/>
              </w:rPr>
              <w:t>(312) 930-1000</w:t>
            </w: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ind w:right="360"/>
        <w:spacing w:after="0" w:line="306" w:lineRule="auto"/>
        <w:rPr>
          <w:sz w:val="20"/>
          <w:szCs w:val="20"/>
          <w:color w:val="auto"/>
        </w:rPr>
      </w:pPr>
      <w:r>
        <w:rPr>
          <w:rFonts w:ascii="Arial" w:cs="Arial" w:eastAsia="Arial" w:hAnsi="Arial"/>
          <w:sz w:val="16"/>
          <w:szCs w:val="16"/>
          <w:color w:val="auto"/>
        </w:rPr>
        <w:t>The number of shares outstanding of each of the registrant’s classes of common stock as of October 20, 2010 was as follows: 67,011,625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3000" w:type="dxa"/>
            <w:vAlign w:val="bottom"/>
            <w:tcBorders>
              <w:bottom w:val="single" w:sz="8" w:color="0000EE"/>
            </w:tcBorders>
            <w:gridSpan w:val="8"/>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04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160" w:type="dxa"/>
            <w:vAlign w:val="bottom"/>
            <w:gridSpan w:val="1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1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Balance Sheets at September 30, 2010 and December 31, 2009</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1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Income for the Quarters and Nine Months Ended September 30, 2010 and 2009</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758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Consolidated Statements of Shareholders’ Equity for the Nine Months Ended September 30, 2010 and 2009</w:t>
              </w:r>
            </w:hyperlink>
          </w:p>
        </w:tc>
        <w:tc>
          <w:tcPr>
            <w:tcW w:w="25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880" w:type="dxa"/>
            <w:vAlign w:val="bottom"/>
          </w:tcPr>
          <w:p>
            <w:pPr>
              <w:spacing w:after="0"/>
              <w:rPr>
                <w:sz w:val="24"/>
                <w:szCs w:val="24"/>
                <w:color w:val="auto"/>
              </w:rPr>
            </w:pPr>
          </w:p>
        </w:tc>
        <w:tc>
          <w:tcPr>
            <w:tcW w:w="692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Consolidated Statements of Cash Flows for the Nine Months Ended September 30, 2010 and 2009</w:t>
              </w:r>
            </w:hyperlink>
          </w:p>
        </w:tc>
        <w:tc>
          <w:tcPr>
            <w:tcW w:w="32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880" w:type="dxa"/>
            <w:vAlign w:val="bottom"/>
          </w:tcPr>
          <w:p>
            <w:pPr>
              <w:spacing w:after="0"/>
              <w:rPr>
                <w:sz w:val="24"/>
                <w:szCs w:val="24"/>
                <w:color w:val="auto"/>
              </w:rPr>
            </w:pPr>
          </w:p>
        </w:tc>
        <w:tc>
          <w:tcPr>
            <w:tcW w:w="3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Notes to Unaudited Consolidated Financial Statements</w:t>
              </w:r>
            </w:hyperlink>
          </w:p>
        </w:tc>
        <w:tc>
          <w:tcPr>
            <w:tcW w:w="630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680" w:type="dxa"/>
            <w:vAlign w:val="bottom"/>
            <w:tcBorders>
              <w:bottom w:val="single" w:sz="8" w:color="0000EE"/>
            </w:tcBorders>
            <w:gridSpan w:val="12"/>
          </w:tcPr>
          <w:p>
            <w:pPr>
              <w:spacing w:after="0"/>
              <w:rPr>
                <w:rFonts w:ascii="Arial" w:cs="Arial" w:eastAsia="Arial" w:hAnsi="Arial"/>
                <w:sz w:val="18"/>
                <w:szCs w:val="18"/>
                <w:b w:val="1"/>
                <w:bCs w:val="1"/>
                <w:color w:val="0000EE"/>
                <w:w w:val="87"/>
              </w:rPr>
            </w:pPr>
            <w:hyperlink w:anchor="page20">
              <w:r>
                <w:rPr>
                  <w:rFonts w:ascii="Arial" w:cs="Arial" w:eastAsia="Arial" w:hAnsi="Arial"/>
                  <w:sz w:val="18"/>
                  <w:szCs w:val="18"/>
                  <w:b w:val="1"/>
                  <w:bCs w:val="1"/>
                  <w:color w:val="0000EE"/>
                  <w:w w:val="87"/>
                </w:rPr>
                <w:t>Management’s Discussion and Analysis of Financial Condition and Results of Operations</w:t>
              </w:r>
            </w:hyperlink>
          </w:p>
        </w:tc>
        <w:tc>
          <w:tcPr>
            <w:tcW w:w="34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20" w:type="dxa"/>
            <w:vAlign w:val="bottom"/>
            <w:tcBorders>
              <w:bottom w:val="single" w:sz="8" w:color="0000EE"/>
            </w:tcBorders>
            <w:gridSpan w:val="10"/>
          </w:tcPr>
          <w:p>
            <w:pPr>
              <w:spacing w:after="0"/>
              <w:rPr>
                <w:rFonts w:ascii="Arial" w:cs="Arial" w:eastAsia="Arial" w:hAnsi="Arial"/>
                <w:sz w:val="18"/>
                <w:szCs w:val="18"/>
                <w:b w:val="1"/>
                <w:bCs w:val="1"/>
                <w:color w:val="0000EE"/>
                <w:w w:val="89"/>
              </w:rPr>
            </w:pPr>
            <w:hyperlink w:anchor="page28">
              <w:r>
                <w:rPr>
                  <w:rFonts w:ascii="Arial" w:cs="Arial" w:eastAsia="Arial" w:hAnsi="Arial"/>
                  <w:sz w:val="18"/>
                  <w:szCs w:val="18"/>
                  <w:b w:val="1"/>
                  <w:bCs w:val="1"/>
                  <w:color w:val="0000EE"/>
                  <w:w w:val="89"/>
                </w:rPr>
                <w:t>Quantitative and Qualitative Disclosures about Market Risk</w:t>
              </w:r>
            </w:hyperlink>
          </w:p>
        </w:tc>
        <w:tc>
          <w:tcPr>
            <w:tcW w:w="56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160" w:type="dxa"/>
            <w:vAlign w:val="bottom"/>
            <w:gridSpan w:val="16"/>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57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1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4"/>
              </w:rPr>
            </w:pPr>
            <w:hyperlink w:anchor="page28">
              <w:r>
                <w:rPr>
                  <w:rFonts w:ascii="Arial" w:cs="Arial" w:eastAsia="Arial" w:hAnsi="Arial"/>
                  <w:sz w:val="18"/>
                  <w:szCs w:val="18"/>
                  <w:b w:val="1"/>
                  <w:bCs w:val="1"/>
                  <w:color w:val="0000EE"/>
                  <w:w w:val="84"/>
                </w:rPr>
                <w:t>Legal Proceedings</w:t>
              </w:r>
            </w:hyperlink>
          </w:p>
        </w:tc>
        <w:tc>
          <w:tcPr>
            <w:tcW w:w="480" w:type="dxa"/>
            <w:vAlign w:val="bottom"/>
            <w:tcBorders>
              <w:top w:val="single" w:sz="8" w:color="0000EE"/>
            </w:tcBorders>
            <w:gridSpan w:val="2"/>
          </w:tcPr>
          <w:p>
            <w:pPr>
              <w:spacing w:after="0"/>
              <w:rPr>
                <w:sz w:val="24"/>
                <w:szCs w:val="24"/>
                <w:color w:val="auto"/>
              </w:rPr>
            </w:pPr>
          </w:p>
        </w:tc>
        <w:tc>
          <w:tcPr>
            <w:tcW w:w="83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29">
              <w:r>
                <w:rPr>
                  <w:rFonts w:ascii="Arial" w:cs="Arial" w:eastAsia="Arial" w:hAnsi="Arial"/>
                  <w:sz w:val="18"/>
                  <w:szCs w:val="18"/>
                  <w:b w:val="1"/>
                  <w:bCs w:val="1"/>
                  <w:color w:val="0000EE"/>
                  <w:w w:val="86"/>
                </w:rPr>
                <w:t>Risk Factors</w:t>
              </w:r>
            </w:hyperlink>
          </w:p>
        </w:tc>
        <w:tc>
          <w:tcPr>
            <w:tcW w:w="920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160" w:type="dxa"/>
            <w:vAlign w:val="bottom"/>
            <w:gridSpan w:val="16"/>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88"/>
              </w:rPr>
            </w:pPr>
            <w:hyperlink w:anchor="page30">
              <w:r>
                <w:rPr>
                  <w:rFonts w:ascii="Arial" w:cs="Arial" w:eastAsia="Arial" w:hAnsi="Arial"/>
                  <w:sz w:val="18"/>
                  <w:szCs w:val="18"/>
                  <w:b w:val="1"/>
                  <w:bCs w:val="1"/>
                  <w:color w:val="0000EE"/>
                  <w:w w:val="88"/>
                </w:rPr>
                <w:t>Exhibits</w:t>
              </w:r>
            </w:hyperlink>
          </w:p>
        </w:tc>
        <w:tc>
          <w:tcPr>
            <w:tcW w:w="3820" w:type="dxa"/>
            <w:vAlign w:val="bottom"/>
            <w:tcBorders>
              <w:top w:val="single" w:sz="8" w:color="0000EE"/>
            </w:tcBorders>
            <w:gridSpan w:val="7"/>
          </w:tcPr>
          <w:p>
            <w:pPr>
              <w:spacing w:after="0"/>
              <w:rPr>
                <w:sz w:val="24"/>
                <w:szCs w:val="24"/>
                <w:color w:val="auto"/>
              </w:rPr>
            </w:pPr>
          </w:p>
        </w:tc>
        <w:tc>
          <w:tcPr>
            <w:tcW w:w="57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31">
              <w:r>
                <w:rPr>
                  <w:rFonts w:ascii="Arial" w:cs="Arial" w:eastAsia="Arial" w:hAnsi="Arial"/>
                  <w:sz w:val="18"/>
                  <w:szCs w:val="18"/>
                  <w:b w:val="1"/>
                  <w:bCs w:val="1"/>
                  <w:color w:val="0000EE"/>
                  <w:w w:val="94"/>
                </w:rPr>
                <w:t>SIGNATURES</w:t>
              </w:r>
            </w:hyperlink>
          </w:p>
        </w:tc>
        <w:tc>
          <w:tcPr>
            <w:tcW w:w="990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83"/>
        </w:trPr>
        <w:tc>
          <w:tcPr>
            <w:tcW w:w="880" w:type="dxa"/>
            <w:vAlign w:val="bottom"/>
          </w:tcPr>
          <w:p>
            <w:pPr>
              <w:spacing w:after="0"/>
              <w:rPr>
                <w:sz w:val="24"/>
                <w:szCs w:val="24"/>
                <w:color w:val="auto"/>
              </w:rPr>
            </w:pPr>
          </w:p>
        </w:tc>
        <w:tc>
          <w:tcPr>
            <w:tcW w:w="5380" w:type="dxa"/>
            <w:vAlign w:val="bottom"/>
            <w:gridSpan w:val="11"/>
          </w:tcPr>
          <w:p>
            <w:pPr>
              <w:ind w:left="4800"/>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Unless otherwise indicated, references to CME Group Inc. (CME Group) products include references to exchange-traded products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1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 site does not constitute a part of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All other trademarks are the property of their respective owners.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7" w:lineRule="exact"/>
        <w:rPr>
          <w:sz w:val="20"/>
          <w:szCs w:val="20"/>
          <w:color w:val="auto"/>
        </w:rPr>
      </w:pPr>
    </w:p>
    <w:p>
      <w:pPr>
        <w:ind w:left="900" w:right="2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and implementation of the enhanced functionality required by our customers;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revenues from our processing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in foreign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regulations;</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and changes resulting from the adoption and implementation of the Dodd-Frank Act and any changes in the regulation of our industry with respect to speculative trading in commodity interests and derivative contracts;</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the state of the overall economy or declines in subscriptions;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compliance and risk management methods to effectively monitor and manage our risks;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 income, equity, foreign exchange and commodities markets;</w:t>
      </w:r>
    </w:p>
    <w:p>
      <w:pPr>
        <w:spacing w:after="0" w:line="113"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recent volatility of the capital and credit markets and the impact of recent economic conditions on the trading activity of our current and potential customers;</w:t>
      </w:r>
    </w:p>
    <w:p>
      <w:pPr>
        <w:spacing w:after="0" w:line="5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imposition of a transaction tax on futures and options on futures transactions and/or repeal of the 60/40 tax treatment of such transactions;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 Item 1A. of our Annual Report on Form 10-K, filed with the Securities and Exchange Commission (SEC) on February 26, 2010, and Item 1A. of our Quarterly Report on Form 10-Q, filed with the SEC on August 6, 2010.</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 AND SUPPLEMENTARY DATA</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0" w:type="dxa"/>
            <w:vAlign w:val="bottom"/>
          </w:tcPr>
          <w:p>
            <w:pPr>
              <w:jc w:val="center"/>
              <w:ind w:left="1232"/>
              <w:spacing w:after="0"/>
              <w:rPr>
                <w:sz w:val="20"/>
                <w:szCs w:val="20"/>
                <w:color w:val="auto"/>
              </w:rPr>
            </w:pPr>
            <w:r>
              <w:rPr>
                <w:rFonts w:ascii="Arial" w:cs="Arial" w:eastAsia="Arial" w:hAnsi="Arial"/>
                <w:sz w:val="18"/>
                <w:szCs w:val="18"/>
                <w:b w:val="1"/>
                <w:bCs w:val="1"/>
                <w:color w:val="auto"/>
                <w:w w:val="97"/>
              </w:rPr>
              <w:t>CME GROUP INC. AND SUBSIDIARIES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0" w:type="dxa"/>
            <w:vAlign w:val="bottom"/>
          </w:tcPr>
          <w:p>
            <w:pPr>
              <w:jc w:val="center"/>
              <w:ind w:left="1232"/>
              <w:spacing w:after="0"/>
              <w:rPr>
                <w:sz w:val="20"/>
                <w:szCs w:val="20"/>
                <w:color w:val="auto"/>
              </w:rPr>
            </w:pPr>
            <w:r>
              <w:rPr>
                <w:rFonts w:ascii="Arial" w:cs="Arial" w:eastAsia="Arial" w:hAnsi="Arial"/>
                <w:sz w:val="18"/>
                <w:szCs w:val="18"/>
                <w:b w:val="1"/>
                <w:bCs w:val="1"/>
                <w:color w:val="auto"/>
                <w:w w:val="96"/>
              </w:rPr>
              <w:t>CONSOLIDATED BALANCE SHEETS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0" w:type="dxa"/>
            <w:vAlign w:val="bottom"/>
          </w:tcPr>
          <w:p>
            <w:pPr>
              <w:jc w:val="center"/>
              <w:ind w:left="1212"/>
              <w:spacing w:after="0"/>
              <w:rPr>
                <w:sz w:val="20"/>
                <w:szCs w:val="20"/>
                <w:color w:val="auto"/>
              </w:rPr>
            </w:pPr>
            <w:r>
              <w:rPr>
                <w:rFonts w:ascii="Arial" w:cs="Arial" w:eastAsia="Arial" w:hAnsi="Arial"/>
                <w:sz w:val="18"/>
                <w:szCs w:val="18"/>
                <w:color w:val="auto"/>
                <w:w w:val="87"/>
              </w:rPr>
              <w:t>(dollars in millions, except per share data; shares in thousands)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0" w:type="dxa"/>
            <w:vAlign w:val="bottom"/>
          </w:tcPr>
          <w:p>
            <w:pPr>
              <w:jc w:val="center"/>
              <w:ind w:left="1212"/>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of $1.0 and $1.9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2,996.4</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4,049.2</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6,699.0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net of accumulated depreciation and amortization of $572.0 and $546.1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Intangible assets – trading products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17,038.0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16,982.0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 other, net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Goodwill</w:t>
            </w:r>
          </w:p>
        </w:tc>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7,961.0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w w:val="90"/>
              </w:rPr>
              <w:t>Other assets</w:t>
            </w:r>
          </w:p>
        </w:tc>
        <w:tc>
          <w:tcPr>
            <w:tcW w:w="8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87"/>
              </w:rPr>
              <w:t>Total Assets</w:t>
            </w:r>
          </w:p>
        </w:tc>
        <w:tc>
          <w:tcPr>
            <w:tcW w:w="8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33,686.5</w:t>
            </w:r>
          </w:p>
        </w:tc>
        <w:tc>
          <w:tcPr>
            <w:tcW w:w="5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35,651.0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Short-term debt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420.5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2,996.4</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2,104.4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13,717.9</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160" w:type="dxa"/>
            <w:vAlign w:val="bottom"/>
            <w:gridSpan w:val="3"/>
          </w:tcPr>
          <w:p>
            <w:pPr>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67.8</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1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Series A junior participating preferred stock, $0.01 par value, 140 shares authorized, none issued or outstanding</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Class A common stock, $0.01 par value, 1,000,000 shares authorized, 66,793 and 66,511 shares issued and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640"/>
              <w:spacing w:after="0"/>
              <w:rPr>
                <w:sz w:val="20"/>
                <w:szCs w:val="20"/>
                <w:color w:val="auto"/>
              </w:rPr>
            </w:pPr>
            <w:r>
              <w:rPr>
                <w:rFonts w:ascii="Arial" w:cs="Arial" w:eastAsia="Arial" w:hAnsi="Arial"/>
                <w:sz w:val="18"/>
                <w:szCs w:val="18"/>
                <w:color w:val="auto"/>
              </w:rPr>
              <w:t>outstanding as of September 30, 2010 and December 31, 2009</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17,258.1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17,186.6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19,900.8</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19,301.0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33,686.5</w:t>
            </w:r>
          </w:p>
        </w:tc>
        <w:tc>
          <w:tcPr>
            <w:tcW w:w="5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35,651.0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Clearing and transaction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598.7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540.6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1,860.9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Market data and information services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Access and communication fees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650.4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2,240.5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1,945.3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Technology support services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 and outside services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Amortization of purchased intangibles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Occupancy and building operations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Licensing and other fee agreements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1,186.6</w:t>
            </w:r>
          </w:p>
        </w:tc>
        <w:tc>
          <w:tcPr>
            <w:tcW w:w="0" w:type="dxa"/>
            <w:vAlign w:val="bottom"/>
          </w:tcPr>
          <w:p>
            <w:pPr>
              <w:spacing w:after="0"/>
              <w:rPr>
                <w:sz w:val="1"/>
                <w:szCs w:val="1"/>
                <w:color w:val="auto"/>
              </w:rPr>
            </w:pPr>
          </w:p>
        </w:tc>
      </w:tr>
      <w:tr>
        <w:trPr>
          <w:trHeight w:val="3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Non-Operating Income (Expense)</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Impairment of long-term investment</w:t>
            </w: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Gains (losses) on derivative investments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Securities lending interest income</w:t>
            </w: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Securities lending interest and other costs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Interest and other borrowing costs</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unconsolidated subsidiaries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Non-Operating</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415.7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1,294.7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1,081.2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redeemable non-controlling interest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CME Group</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244.3</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202.3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755.2</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11.42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32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66,556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66,384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66,125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66,339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66,744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66,573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66,320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66,514</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Common</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8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2"/>
              </w:rPr>
              <w:t>Class A</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Class B</w:t>
            </w: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Stock and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8"/>
              </w:rPr>
              <w:t>Accumulated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8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Common</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Common</w:t>
            </w: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Additional</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5"/>
              </w:rPr>
              <w:t>Other</w:t>
            </w:r>
          </w:p>
        </w:tc>
        <w:tc>
          <w:tcPr>
            <w:tcW w:w="12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Total</w:t>
            </w:r>
          </w:p>
        </w:tc>
      </w:tr>
      <w:tr>
        <w:trPr>
          <w:trHeight w:val="149"/>
        </w:trPr>
        <w:tc>
          <w:tcPr>
            <w:tcW w:w="58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Stock</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Stock</w:t>
            </w: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Paid-in</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Retained</w:t>
            </w:r>
          </w:p>
        </w:tc>
        <w:tc>
          <w:tcPr>
            <w:tcW w:w="12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7"/>
              </w:rPr>
              <w:t>Comprehensive</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Shareholders’</w:t>
            </w:r>
          </w:p>
        </w:tc>
      </w:tr>
      <w:tr>
        <w:trPr>
          <w:trHeight w:val="159"/>
        </w:trPr>
        <w:tc>
          <w:tcPr>
            <w:tcW w:w="582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1"/>
              </w:rPr>
              <w:t>(Shares)</w:t>
            </w:r>
          </w:p>
        </w:tc>
        <w:tc>
          <w:tcPr>
            <w:tcW w:w="30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1"/>
              </w:rPr>
              <w:t>(Shares)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7"/>
              </w:rPr>
              <w:t>Capital</w:t>
            </w:r>
          </w:p>
        </w:tc>
        <w:tc>
          <w:tcPr>
            <w:tcW w:w="28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7"/>
              </w:rPr>
              <w:t>Earnings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7"/>
              </w:rPr>
              <w:t>Income (Loss)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2"/>
              </w:rPr>
              <w:t>Equity</w:t>
            </w:r>
          </w:p>
        </w:tc>
        <w:tc>
          <w:tcPr>
            <w:tcW w:w="100" w:type="dxa"/>
            <w:vAlign w:val="bottom"/>
          </w:tcPr>
          <w:p>
            <w:pPr>
              <w:spacing w:after="0"/>
              <w:rPr>
                <w:sz w:val="13"/>
                <w:szCs w:val="13"/>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66,511</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$17,187.3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$2,239.9</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$ 19,301.0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CME Group</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755.2</w:t>
            </w: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Change in net unrealized loss on securities, net of tax of $0.9</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Change in net actuarial loss on defined benefit plans, net of tax of $1.0</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Change in net unrealized loss on derivatives, net of tax of $2.7</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Change in foreign currency translation adjustment, net of tax of $0.2</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21"/>
        </w:trPr>
        <w:tc>
          <w:tcPr>
            <w:tcW w:w="5820" w:type="dxa"/>
            <w:vAlign w:val="bottom"/>
          </w:tcPr>
          <w:p>
            <w:pPr>
              <w:spacing w:after="0"/>
              <w:rPr>
                <w:sz w:val="20"/>
                <w:szCs w:val="20"/>
                <w:color w:val="auto"/>
              </w:rPr>
            </w:pPr>
            <w:r>
              <w:rPr>
                <w:rFonts w:ascii="Arial" w:cs="Arial" w:eastAsia="Arial" w:hAnsi="Arial"/>
                <w:sz w:val="18"/>
                <w:szCs w:val="18"/>
                <w:color w:val="auto"/>
              </w:rPr>
              <w:t>Total comprehensive income attributable to CME Group</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756.6</w:t>
            </w:r>
          </w:p>
        </w:tc>
        <w:tc>
          <w:tcPr>
            <w:tcW w:w="100" w:type="dxa"/>
            <w:vAlign w:val="bottom"/>
          </w:tcPr>
          <w:p>
            <w:pPr>
              <w:spacing w:after="0"/>
              <w:rPr>
                <w:sz w:val="19"/>
                <w:szCs w:val="19"/>
                <w:color w:val="auto"/>
              </w:rPr>
            </w:pPr>
          </w:p>
        </w:tc>
      </w:tr>
      <w:tr>
        <w:trPr>
          <w:trHeight w:val="218"/>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$3.45 per share</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(228.3)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Class A common stock issued to BM&amp;FBOVESPA</w:t>
            </w:r>
          </w:p>
        </w:tc>
        <w:tc>
          <w:tcPr>
            <w:tcW w:w="540" w:type="dxa"/>
            <w:vAlign w:val="bottom"/>
          </w:tcPr>
          <w:p>
            <w:pPr>
              <w:jc w:val="right"/>
              <w:spacing w:after="0"/>
              <w:rPr>
                <w:sz w:val="20"/>
                <w:szCs w:val="20"/>
                <w:color w:val="auto"/>
              </w:rPr>
            </w:pPr>
            <w:r>
              <w:rPr>
                <w:rFonts w:ascii="Arial" w:cs="Arial" w:eastAsia="Arial" w:hAnsi="Arial"/>
                <w:sz w:val="18"/>
                <w:szCs w:val="18"/>
                <w:color w:val="auto"/>
              </w:rPr>
              <w:t>2,206</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607.1</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607.1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A common stock</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(575.2)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(575.2)</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b w:val="1"/>
                <w:bCs w:val="1"/>
                <w:color w:val="auto"/>
              </w:rPr>
              <w:t>Balance at September 30, 2010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66,793</w:t>
            </w:r>
          </w:p>
        </w:tc>
        <w:tc>
          <w:tcPr>
            <w:tcW w:w="3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17,258.8</w:t>
            </w:r>
          </w:p>
        </w:tc>
        <w:tc>
          <w:tcPr>
            <w:tcW w:w="2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2,766.8</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(124.8)</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$ 19,900.8</w:t>
            </w:r>
          </w:p>
        </w:tc>
      </w:tr>
      <w:tr>
        <w:trPr>
          <w:trHeight w:val="20"/>
        </w:trPr>
        <w:tc>
          <w:tcPr>
            <w:tcW w:w="5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660"/>
        <w:spacing w:after="0" w:line="261" w:lineRule="auto"/>
        <w:rPr>
          <w:sz w:val="20"/>
          <w:szCs w:val="20"/>
          <w:color w:val="auto"/>
        </w:rPr>
      </w:pPr>
      <w:r>
        <w:rPr>
          <w:rFonts w:ascii="Arial" w:cs="Arial" w:eastAsia="Arial" w:hAnsi="Arial"/>
          <w:sz w:val="18"/>
          <w:szCs w:val="18"/>
          <w:b w:val="1"/>
          <w:bCs w:val="1"/>
          <w:color w:val="auto"/>
        </w:rPr>
        <w:t xml:space="preserve">CME GROUP INC. AND SUBSIDIARIES CONSOLIDATED STATEMENTS OF SHAREHOLDERS’ EQUITY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in millions, except per share data; shares in thousands) (unaudited)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Common</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Class A</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6"/>
              </w:rPr>
              <w:t>Class B</w:t>
            </w:r>
          </w:p>
        </w:tc>
        <w:tc>
          <w:tcPr>
            <w:tcW w:w="3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3"/>
              </w:rPr>
              <w:t>Stock and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8"/>
              </w:rPr>
              <w:t>Accumulated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Common</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Additional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Total</w:t>
            </w: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5"/>
              </w:rPr>
              <w:t>Stock</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5"/>
              </w:rPr>
              <w:t>Stock</w:t>
            </w:r>
          </w:p>
        </w:tc>
        <w:tc>
          <w:tcPr>
            <w:tcW w:w="3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Paid-in</w:t>
            </w:r>
          </w:p>
        </w:tc>
        <w:tc>
          <w:tcPr>
            <w:tcW w:w="12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2"/>
              </w:rPr>
              <w:t>Retained</w:t>
            </w: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5"/>
              </w:rPr>
              <w:t>Comprehensive</w:t>
            </w:r>
          </w:p>
        </w:tc>
        <w:tc>
          <w:tcPr>
            <w:tcW w:w="14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Shareholders’</w:t>
            </w:r>
          </w:p>
        </w:tc>
      </w:tr>
      <w:tr>
        <w:trPr>
          <w:trHeight w:val="15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(Shares)</w:t>
            </w:r>
          </w:p>
        </w:tc>
        <w:tc>
          <w:tcPr>
            <w:tcW w:w="300" w:type="dxa"/>
            <w:vAlign w:val="bottom"/>
          </w:tcPr>
          <w:p>
            <w:pPr>
              <w:spacing w:after="0"/>
              <w:rPr>
                <w:sz w:val="13"/>
                <w:szCs w:val="13"/>
                <w:color w:val="auto"/>
              </w:rPr>
            </w:pPr>
          </w:p>
        </w:tc>
        <w:tc>
          <w:tcPr>
            <w:tcW w:w="5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(Shares)</w:t>
            </w:r>
          </w:p>
        </w:tc>
        <w:tc>
          <w:tcPr>
            <w:tcW w:w="30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Capital</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w w:val="94"/>
              </w:rPr>
              <w:t>Earnings</w:t>
            </w:r>
          </w:p>
        </w:tc>
        <w:tc>
          <w:tcPr>
            <w:tcW w:w="300" w:type="dxa"/>
            <w:vAlign w:val="bottom"/>
          </w:tcPr>
          <w:p>
            <w:pPr>
              <w:spacing w:after="0"/>
              <w:rPr>
                <w:sz w:val="13"/>
                <w:szCs w:val="13"/>
                <w:color w:val="auto"/>
              </w:rPr>
            </w:pPr>
          </w:p>
        </w:tc>
        <w:tc>
          <w:tcPr>
            <w:tcW w:w="84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Income (Loss)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2"/>
              </w:rPr>
              <w:t>Equity</w:t>
            </w:r>
          </w:p>
        </w:tc>
        <w:tc>
          <w:tcPr>
            <w:tcW w:w="10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66,417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$17,129.2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$ 18,688.6</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CME Group</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623.2</w:t>
            </w: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Change in net unrealized loss on securities, net of tax of $16.3</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Change in net actuarial loss on defined benefit plans, net of tax of $0.9</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Change in net unrealized loss on derivatives, net of tax of $2.8</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Change in foreign currency translation adjustment, net of tax of $2.2</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8"/>
                <w:szCs w:val="18"/>
                <w:color w:val="auto"/>
              </w:rPr>
              <w:t>Total comprehensive income attributable to CME Group</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654.8</w:t>
            </w:r>
          </w:p>
        </w:tc>
      </w:tr>
      <w:tr>
        <w:trPr>
          <w:trHeight w:val="21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$3.45 per share</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(229.0)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(229.0)</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Repurchase of Class A common stock</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5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Excess tax benefits from option exercises and restricted stock vesting</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66,400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17,145.1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$ 19,130.3</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income</w:t>
            </w:r>
          </w:p>
        </w:tc>
        <w:tc>
          <w:tcPr>
            <w:tcW w:w="2960" w:type="dxa"/>
            <w:vAlign w:val="bottom"/>
            <w:gridSpan w:val="3"/>
          </w:tcPr>
          <w:p>
            <w:pPr>
              <w:jc w:val="right"/>
              <w:ind w:right="420"/>
              <w:spacing w:after="0"/>
              <w:rPr>
                <w:sz w:val="20"/>
                <w:szCs w:val="20"/>
                <w:color w:val="auto"/>
              </w:rPr>
            </w:pPr>
            <w:r>
              <w:rPr>
                <w:rFonts w:ascii="Arial" w:cs="Arial" w:eastAsia="Arial" w:hAnsi="Arial"/>
                <w:sz w:val="18"/>
                <w:szCs w:val="18"/>
                <w:color w:val="auto"/>
              </w:rPr>
              <w:t>$ 755.7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   623.2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2960" w:type="dxa"/>
            <w:vAlign w:val="bottom"/>
            <w:gridSpan w:val="3"/>
          </w:tcPr>
          <w:p>
            <w:pPr>
              <w:jc w:val="right"/>
              <w:ind w:right="420"/>
              <w:spacing w:after="0"/>
              <w:rPr>
                <w:sz w:val="20"/>
                <w:szCs w:val="20"/>
                <w:color w:val="auto"/>
              </w:rPr>
            </w:pPr>
            <w:r>
              <w:rPr>
                <w:rFonts w:ascii="Arial" w:cs="Arial" w:eastAsia="Arial" w:hAnsi="Arial"/>
                <w:sz w:val="18"/>
                <w:szCs w:val="18"/>
                <w:color w:val="auto"/>
              </w:rPr>
              <w:t>27.9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2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95.5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960" w:type="dxa"/>
            <w:vAlign w:val="bottom"/>
            <w:gridSpan w:val="3"/>
          </w:tcPr>
          <w:p>
            <w:pPr>
              <w:jc w:val="right"/>
              <w:ind w:right="420"/>
              <w:spacing w:after="0"/>
              <w:rPr>
                <w:sz w:val="20"/>
                <w:szCs w:val="20"/>
                <w:color w:val="auto"/>
              </w:rPr>
            </w:pPr>
            <w:r>
              <w:rPr>
                <w:rFonts w:ascii="Arial" w:cs="Arial" w:eastAsia="Arial" w:hAnsi="Arial"/>
                <w:sz w:val="18"/>
                <w:szCs w:val="18"/>
                <w:color w:val="auto"/>
              </w:rPr>
              <w:t>98.1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Market Analysis Limited impairment</w:t>
            </w:r>
          </w:p>
        </w:tc>
        <w:tc>
          <w:tcPr>
            <w:tcW w:w="2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Net accretion of discounts and amortization of debt financing costs</w:t>
            </w:r>
          </w:p>
        </w:tc>
        <w:tc>
          <w:tcPr>
            <w:tcW w:w="2960" w:type="dxa"/>
            <w:vAlign w:val="bottom"/>
            <w:gridSpan w:val="3"/>
          </w:tcPr>
          <w:p>
            <w:pPr>
              <w:jc w:val="right"/>
              <w:ind w:right="420"/>
              <w:spacing w:after="0"/>
              <w:rPr>
                <w:sz w:val="20"/>
                <w:szCs w:val="20"/>
                <w:color w:val="auto"/>
              </w:rPr>
            </w:pPr>
            <w:r>
              <w:rPr>
                <w:rFonts w:ascii="Arial" w:cs="Arial" w:eastAsia="Arial" w:hAnsi="Arial"/>
                <w:sz w:val="18"/>
                <w:szCs w:val="18"/>
                <w:color w:val="auto"/>
              </w:rPr>
              <w:t>3.8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unconsolidated subsidiaries</w:t>
            </w:r>
          </w:p>
        </w:tc>
        <w:tc>
          <w:tcPr>
            <w:tcW w:w="2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Impairment of long-term investment</w:t>
            </w:r>
          </w:p>
        </w:tc>
        <w:tc>
          <w:tcPr>
            <w:tcW w:w="198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Change in assets and liabilities:</w:t>
            </w:r>
          </w:p>
        </w:tc>
        <w:tc>
          <w:tcPr>
            <w:tcW w:w="1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(63.9)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Other current assets</w:t>
            </w:r>
          </w:p>
        </w:tc>
        <w:tc>
          <w:tcPr>
            <w:tcW w:w="2960" w:type="dxa"/>
            <w:vAlign w:val="bottom"/>
            <w:gridSpan w:val="3"/>
          </w:tcPr>
          <w:p>
            <w:pPr>
              <w:jc w:val="right"/>
              <w:ind w:right="420"/>
              <w:spacing w:after="0"/>
              <w:rPr>
                <w:sz w:val="20"/>
                <w:szCs w:val="20"/>
                <w:color w:val="auto"/>
              </w:rPr>
            </w:pPr>
            <w:r>
              <w:rPr>
                <w:rFonts w:ascii="Arial" w:cs="Arial" w:eastAsia="Arial" w:hAnsi="Arial"/>
                <w:sz w:val="18"/>
                <w:szCs w:val="18"/>
                <w:color w:val="auto"/>
              </w:rPr>
              <w:t>15.0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2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2960" w:type="dxa"/>
            <w:vAlign w:val="bottom"/>
            <w:gridSpan w:val="3"/>
          </w:tcPr>
          <w:p>
            <w:pPr>
              <w:jc w:val="right"/>
              <w:ind w:right="380"/>
              <w:spacing w:after="0"/>
              <w:rPr>
                <w:sz w:val="20"/>
                <w:szCs w:val="20"/>
                <w:color w:val="auto"/>
              </w:rPr>
            </w:pPr>
            <w:r>
              <w:rPr>
                <w:rFonts w:ascii="Arial" w:cs="Arial" w:eastAsia="Arial" w:hAnsi="Arial"/>
                <w:sz w:val="18"/>
                <w:szCs w:val="18"/>
                <w:color w:val="auto"/>
              </w:rPr>
              <w:t>(2.0)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2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Other current liabilities</w:t>
            </w:r>
          </w:p>
        </w:tc>
        <w:tc>
          <w:tcPr>
            <w:tcW w:w="2960" w:type="dxa"/>
            <w:vAlign w:val="bottom"/>
            <w:gridSpan w:val="3"/>
          </w:tcPr>
          <w:p>
            <w:pPr>
              <w:jc w:val="right"/>
              <w:ind w:right="420"/>
              <w:spacing w:after="0"/>
              <w:rPr>
                <w:sz w:val="20"/>
                <w:szCs w:val="20"/>
                <w:color w:val="auto"/>
              </w:rPr>
            </w:pPr>
            <w:r>
              <w:rPr>
                <w:rFonts w:ascii="Arial" w:cs="Arial" w:eastAsia="Arial" w:hAnsi="Arial"/>
                <w:sz w:val="18"/>
                <w:szCs w:val="18"/>
                <w:color w:val="auto"/>
              </w:rPr>
              <w:t>14.5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2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9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963.0</w:t>
            </w:r>
          </w:p>
        </w:tc>
        <w:tc>
          <w:tcPr>
            <w:tcW w:w="4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2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Purchases of available-for-sale marketable securities</w:t>
            </w:r>
          </w:p>
        </w:tc>
        <w:tc>
          <w:tcPr>
            <w:tcW w:w="2960" w:type="dxa"/>
            <w:vAlign w:val="bottom"/>
            <w:gridSpan w:val="3"/>
          </w:tcPr>
          <w:p>
            <w:pPr>
              <w:jc w:val="right"/>
              <w:ind w:right="380"/>
              <w:spacing w:after="0"/>
              <w:rPr>
                <w:sz w:val="20"/>
                <w:szCs w:val="20"/>
                <w:color w:val="auto"/>
              </w:rPr>
            </w:pPr>
            <w:r>
              <w:rPr>
                <w:rFonts w:ascii="Arial" w:cs="Arial" w:eastAsia="Arial" w:hAnsi="Arial"/>
                <w:sz w:val="18"/>
                <w:szCs w:val="18"/>
                <w:color w:val="auto"/>
              </w:rPr>
              <w:t>(10.2)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NYMEX securities lending program investments</w:t>
            </w:r>
          </w:p>
        </w:tc>
        <w:tc>
          <w:tcPr>
            <w:tcW w:w="1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Purchases of property, net</w:t>
            </w:r>
          </w:p>
        </w:tc>
        <w:tc>
          <w:tcPr>
            <w:tcW w:w="2960" w:type="dxa"/>
            <w:vAlign w:val="bottom"/>
            <w:gridSpan w:val="3"/>
          </w:tcPr>
          <w:p>
            <w:pPr>
              <w:jc w:val="right"/>
              <w:ind w:right="380"/>
              <w:spacing w:after="0"/>
              <w:rPr>
                <w:sz w:val="20"/>
                <w:szCs w:val="20"/>
                <w:color w:val="auto"/>
              </w:rPr>
            </w:pPr>
            <w:r>
              <w:rPr>
                <w:rFonts w:ascii="Arial" w:cs="Arial" w:eastAsia="Arial" w:hAnsi="Arial"/>
                <w:sz w:val="18"/>
                <w:szCs w:val="18"/>
                <w:color w:val="auto"/>
              </w:rPr>
              <w:t>(97.7)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acquired in formation of Index Services</w:t>
            </w:r>
          </w:p>
        </w:tc>
        <w:tc>
          <w:tcPr>
            <w:tcW w:w="2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Proceeds from Chicago Board Options Exchange exercise right privileges</w:t>
            </w:r>
          </w:p>
        </w:tc>
        <w:tc>
          <w:tcPr>
            <w:tcW w:w="2960" w:type="dxa"/>
            <w:vAlign w:val="bottom"/>
            <w:gridSpan w:val="3"/>
          </w:tcPr>
          <w:p>
            <w:pPr>
              <w:jc w:val="right"/>
              <w:ind w:right="420"/>
              <w:spacing w:after="0"/>
              <w:rPr>
                <w:sz w:val="20"/>
                <w:szCs w:val="20"/>
                <w:color w:val="auto"/>
              </w:rPr>
            </w:pPr>
            <w:r>
              <w:rPr>
                <w:rFonts w:ascii="Arial" w:cs="Arial" w:eastAsia="Arial" w:hAnsi="Arial"/>
                <w:sz w:val="18"/>
                <w:szCs w:val="18"/>
                <w:color w:val="auto"/>
              </w:rPr>
              <w:t>39.7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Purchase of Bolsa Mexicana de Valores, S.A.B. de C.V. shares</w:t>
            </w:r>
          </w:p>
        </w:tc>
        <w:tc>
          <w:tcPr>
            <w:tcW w:w="2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Capital contributions to FXMarketSpace Limited</w:t>
            </w:r>
          </w:p>
        </w:tc>
        <w:tc>
          <w:tcPr>
            <w:tcW w:w="1980" w:type="dxa"/>
            <w:vAlign w:val="bottom"/>
          </w:tcPr>
          <w:p>
            <w:pPr>
              <w:spacing w:after="0"/>
              <w:rPr>
                <w:sz w:val="18"/>
                <w:szCs w:val="18"/>
                <w:color w:val="auto"/>
              </w:rPr>
            </w:pPr>
          </w:p>
        </w:tc>
        <w:tc>
          <w:tcPr>
            <w:tcW w:w="5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329"/>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commercial paper, net of proceeds</w:t>
            </w:r>
          </w:p>
        </w:tc>
        <w:tc>
          <w:tcPr>
            <w:tcW w:w="2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(99.9)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Proceeds from other borrowings, net of issuance costs</w:t>
            </w:r>
          </w:p>
        </w:tc>
        <w:tc>
          <w:tcPr>
            <w:tcW w:w="2960" w:type="dxa"/>
            <w:vAlign w:val="bottom"/>
            <w:gridSpan w:val="3"/>
          </w:tcPr>
          <w:p>
            <w:pPr>
              <w:jc w:val="right"/>
              <w:ind w:right="420"/>
              <w:spacing w:after="0"/>
              <w:rPr>
                <w:sz w:val="20"/>
                <w:szCs w:val="20"/>
                <w:color w:val="auto"/>
              </w:rPr>
            </w:pPr>
            <w:r>
              <w:rPr>
                <w:rFonts w:ascii="Arial" w:cs="Arial" w:eastAsia="Arial" w:hAnsi="Arial"/>
                <w:sz w:val="18"/>
                <w:szCs w:val="18"/>
                <w:color w:val="auto"/>
              </w:rPr>
              <w:t>608.0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Repayment of other borrowings</w:t>
            </w:r>
          </w:p>
        </w:tc>
        <w:tc>
          <w:tcPr>
            <w:tcW w:w="2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change in NYMEX securities lending program liabilities</w:t>
            </w:r>
          </w:p>
        </w:tc>
        <w:tc>
          <w:tcPr>
            <w:tcW w:w="198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2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(228.3)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Class A common stock issued to BM&amp;FBOVESPA</w:t>
            </w:r>
          </w:p>
        </w:tc>
        <w:tc>
          <w:tcPr>
            <w:tcW w:w="2960" w:type="dxa"/>
            <w:vAlign w:val="bottom"/>
            <w:gridSpan w:val="3"/>
          </w:tcPr>
          <w:p>
            <w:pPr>
              <w:jc w:val="right"/>
              <w:ind w:right="420"/>
              <w:spacing w:after="0"/>
              <w:rPr>
                <w:sz w:val="20"/>
                <w:szCs w:val="20"/>
                <w:color w:val="auto"/>
              </w:rPr>
            </w:pPr>
            <w:r>
              <w:rPr>
                <w:rFonts w:ascii="Arial" w:cs="Arial" w:eastAsia="Arial" w:hAnsi="Arial"/>
                <w:sz w:val="18"/>
                <w:szCs w:val="18"/>
                <w:color w:val="auto"/>
              </w:rPr>
              <w:t>607.1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A common stock, including costs</w:t>
            </w:r>
          </w:p>
        </w:tc>
        <w:tc>
          <w:tcPr>
            <w:tcW w:w="2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(575.2)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960" w:type="dxa"/>
            <w:vAlign w:val="bottom"/>
            <w:gridSpan w:val="3"/>
          </w:tcPr>
          <w:p>
            <w:pPr>
              <w:jc w:val="right"/>
              <w:ind w:right="420"/>
              <w:spacing w:after="0"/>
              <w:rPr>
                <w:sz w:val="20"/>
                <w:szCs w:val="20"/>
                <w:color w:val="auto"/>
              </w:rPr>
            </w:pPr>
            <w:r>
              <w:rPr>
                <w:rFonts w:ascii="Arial" w:cs="Arial" w:eastAsia="Arial" w:hAnsi="Arial"/>
                <w:sz w:val="18"/>
                <w:szCs w:val="18"/>
                <w:color w:val="auto"/>
              </w:rPr>
              <w:t>6.5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Distribution paid to non-controlling interest</w:t>
            </w:r>
          </w:p>
        </w:tc>
        <w:tc>
          <w:tcPr>
            <w:tcW w:w="2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(607.5)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28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8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(1,371.0)</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Net change in cash and cash equivalents</w:t>
            </w:r>
          </w:p>
        </w:tc>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80" w:type="dxa"/>
            <w:vAlign w:val="bottom"/>
            <w:gridSpan w:val="2"/>
            <w:vMerge w:val="continue"/>
          </w:tcPr>
          <w:p>
            <w:pPr>
              <w:spacing w:after="0"/>
              <w:rPr>
                <w:sz w:val="19"/>
                <w:szCs w:val="19"/>
                <w:color w:val="auto"/>
              </w:rPr>
            </w:pPr>
          </w:p>
        </w:tc>
        <w:tc>
          <w:tcPr>
            <w:tcW w:w="2840" w:type="dxa"/>
            <w:vAlign w:val="bottom"/>
            <w:gridSpan w:val="3"/>
          </w:tcPr>
          <w:p>
            <w:pPr>
              <w:jc w:val="right"/>
              <w:ind w:right="420"/>
              <w:spacing w:after="0"/>
              <w:rPr>
                <w:sz w:val="20"/>
                <w:szCs w:val="20"/>
                <w:color w:val="auto"/>
              </w:rPr>
            </w:pPr>
            <w:r>
              <w:rPr>
                <w:rFonts w:ascii="Arial" w:cs="Arial" w:eastAsia="Arial" w:hAnsi="Arial"/>
                <w:sz w:val="18"/>
                <w:szCs w:val="18"/>
                <w:color w:val="auto"/>
              </w:rPr>
              <w:t>$ 307.6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840" w:type="dxa"/>
            <w:vAlign w:val="bottom"/>
            <w:gridSpan w:val="3"/>
          </w:tcPr>
          <w:p>
            <w:pPr>
              <w:jc w:val="right"/>
              <w:ind w:right="420"/>
              <w:spacing w:after="0"/>
              <w:rPr>
                <w:sz w:val="20"/>
                <w:szCs w:val="20"/>
                <w:color w:val="auto"/>
              </w:rPr>
            </w:pPr>
            <w:r>
              <w:rPr>
                <w:rFonts w:ascii="Arial" w:cs="Arial" w:eastAsia="Arial" w:hAnsi="Arial"/>
                <w:sz w:val="18"/>
                <w:szCs w:val="18"/>
                <w:color w:val="auto"/>
              </w:rPr>
              <w:t>$ 568.2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taxes paid</w:t>
            </w:r>
          </w:p>
        </w:tc>
        <w:tc>
          <w:tcPr>
            <w:tcW w:w="2840" w:type="dxa"/>
            <w:vAlign w:val="bottom"/>
            <w:gridSpan w:val="3"/>
          </w:tcPr>
          <w:p>
            <w:pPr>
              <w:jc w:val="right"/>
              <w:ind w:right="420"/>
              <w:spacing w:after="0"/>
              <w:rPr>
                <w:sz w:val="20"/>
                <w:szCs w:val="20"/>
                <w:color w:val="auto"/>
              </w:rPr>
            </w:pPr>
            <w:r>
              <w:rPr>
                <w:rFonts w:ascii="Arial" w:cs="Arial" w:eastAsia="Arial" w:hAnsi="Arial"/>
                <w:sz w:val="18"/>
                <w:szCs w:val="18"/>
                <w:color w:val="auto"/>
              </w:rPr>
              <w:t>$ 572.6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Interest paid (excluding securities lending program)</w:t>
            </w:r>
          </w:p>
        </w:tc>
        <w:tc>
          <w:tcPr>
            <w:tcW w:w="28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1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unrealized securities gains (losses)</w:t>
            </w:r>
          </w:p>
        </w:tc>
        <w:tc>
          <w:tcPr>
            <w:tcW w:w="28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Change in net unrealized derivatives gains (losses)</w:t>
            </w:r>
          </w:p>
        </w:tc>
        <w:tc>
          <w:tcPr>
            <w:tcW w:w="2840" w:type="dxa"/>
            <w:vAlign w:val="bottom"/>
            <w:gridSpan w:val="3"/>
          </w:tcPr>
          <w:p>
            <w:pPr>
              <w:jc w:val="right"/>
              <w:ind w:right="4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consolidated financial statements consist of CME Group Inc. (CME Group) and its subsidiaries (collectively, the company), including Chicago Mercantile Exchange Inc. (CME), the Board of Trade of the City of Chicago, Inc. (CBOT), New York Mercantile Exchange, Inc. (NYMEX) and their respective subsidiaries (collectively, the exchange). On March 18, 2010, CBOT acquired a 90% ownership interest in CME Group Index Services LLC (Index Services), a joint venture with Dow Jones &amp; Company (Dow Jones). The financial statements and accompanying notes presented in this report include the financial results of Index Services beginning on March 19, 2010.</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September 30, 2010 and December 31, 2009 and the results of operations and cash flows for the periods indicated. Quarterly results are not necessarily indicative of results for any subsequent period.</w:t>
      </w:r>
    </w:p>
    <w:p>
      <w:pPr>
        <w:spacing w:after="0" w:line="1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The accompanying consolidated financial statements should be read in conjunction with the consolidated financial statements and notes thereto in CME Group’s Annual Report on Form 10-K for the year ended December 31, 2009, filed with the Securities and Exchange Commission (SEC) on February 26, 2010. Certain reclassifications have been made to the 2009 financial statements to conform to the presentation in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March 18, 2010, CBOT and Dow Jones entered into an agreement to form Index Services. Index Services was formed through the contribution of CBOT’s market data business and Dow Jones’ index business. Based on the preliminary fair value of assets contributed, the company has allocated $433.6 million to goodwill and $376.4 million to identifiable intangible assets. Intangible assets consist primarily of $232.8 million of customer relationships and $126.6 million of trade names.</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conjunction with its formation, Index Services issued $612.5 million of 4.40% fixed rate notes due 2018, which are guaranteed by CME Group, in an unregistered offering. Proceeds of $607.5 million were distributed to Dow Jones thereby reducing its interest in Index Services to 10%. Dow Jones retains the right to redeem its remaining interest at fair value on or after March 18, 2016. In addition, CBOT retains a right to call Dow Jones’ remaining interest at fair value on or after March 18, 2017. In accordance with current accounting guidance, Dow Jones’ interest has been classified as a redeemable non-controlling interest in the company’s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changes in redeemable non-controlling interest during the first nine months of 2010:</w:t>
      </w:r>
    </w:p>
    <w:p>
      <w:pPr>
        <w:spacing w:after="0" w:line="20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34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Contribution by Dow Jones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to Dow Jones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(607.5)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w w:val="99"/>
              </w:rPr>
              <w:t>Total comprehensive income attributable to redeemable non-controlling interest</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total comprehensive income attributable to redeemable non-controlling interest:</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0"/>
              </w:rPr>
              <w:t>Quarter</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2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6"/>
              </w:rPr>
              <w:t>(in millions)</w:t>
            </w:r>
          </w:p>
        </w:tc>
        <w:tc>
          <w:tcPr>
            <w:tcW w:w="5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3"/>
              </w:rPr>
              <w:t>2010</w:t>
            </w: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for the period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Net unrealized loss on derivative related to 4.40% fixed rate notes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40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Total comprehensive income attributable to redeemable non-controlling interest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4700"/>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26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 and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September 30, 2010 and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0"/>
              </w:rPr>
              <w:t>September 30, 2010</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December 31, 2009</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Net Book</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64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w w:val="84"/>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2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Clearing firm, market data and other customer relationships</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$3,075.3</w:t>
            </w:r>
          </w:p>
        </w:tc>
        <w:tc>
          <w:tcPr>
            <w:tcW w:w="120" w:type="dxa"/>
            <w:vAlign w:val="bottom"/>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(265.2)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2,810.1</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$2,842.5</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Dow Jones trading products (a)</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Technology-related intellectual property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Open interest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3,212.3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2,889.8</w:t>
            </w:r>
          </w:p>
        </w:tc>
        <w:tc>
          <w:tcPr>
            <w:tcW w:w="3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3,053.7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(256.2)</w:t>
            </w: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2,797.5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color w:val="auto"/>
              </w:rPr>
              <w:t>Total Amortizable Intangible Assets</w:t>
            </w: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gridSpan w:val="3"/>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3,204.2</w:t>
            </w:r>
          </w:p>
        </w:tc>
        <w:tc>
          <w:tcPr>
            <w:tcW w:w="120" w:type="dxa"/>
            <w:vAlign w:val="bottom"/>
          </w:tcPr>
          <w:p>
            <w:pPr>
              <w:spacing w:after="0"/>
              <w:rPr>
                <w:sz w:val="19"/>
                <w:szCs w:val="19"/>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2,885.4</w:t>
            </w:r>
          </w:p>
        </w:tc>
        <w:tc>
          <w:tcPr>
            <w:tcW w:w="3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3,045.9</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(253.7)</w:t>
            </w: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Trade names (c)</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582.9</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(0.4)</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 – other, net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3,470.5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520" w:type="dxa"/>
            <w:vAlign w:val="bottom"/>
            <w:gridSpan w:val="3"/>
          </w:tcPr>
          <w:p>
            <w:pPr>
              <w:spacing w:after="0"/>
              <w:rPr>
                <w:sz w:val="20"/>
                <w:szCs w:val="20"/>
                <w:color w:val="auto"/>
              </w:rPr>
            </w:pPr>
            <w:r>
              <w:rPr>
                <w:rFonts w:ascii="Arial" w:cs="Arial" w:eastAsia="Arial" w:hAnsi="Arial"/>
                <w:sz w:val="18"/>
                <w:szCs w:val="18"/>
                <w:color w:val="auto"/>
              </w:rPr>
              <w:t>Indefinite-lived trading products (a)</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17,038.0</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16,982.0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connection with CBOT’s acquisition of 90% ownership in Index Services, the company now considers Dow Jones trading products to be indefinite-lived.</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September 30, 2010 and December 31, 2009, other amortizable intangible assets consisted of non-compete, service and market maker agreements.</w:t>
      </w:r>
    </w:p>
    <w:p>
      <w:pPr>
        <w:spacing w:after="0" w:line="3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second quarter of 2010, the company recorded a $0.7 million impairment charge to the Credit Market Analysis Limited (CMA) trade name as a result of its annual impairment testing.</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September 30, 2010 and December 31, 2009, other indefinite-lived intangible assets consisted of products in development.</w:t>
      </w:r>
    </w:p>
    <w:p>
      <w:pPr>
        <w:spacing w:after="0" w:line="165"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Total amortization expense for intangible assets was $32.4 million and $30.7 million for the quarters ended September 30, 2010 and 2009, respectively. Total amortization expense for intangible assets was $95.5 million and $94.5 million for the first nine months of 2010 and 2009, respectively. As of September 30, 2010, the future estimated amortization expense related to amortizable intangible assets is expected to be:</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2010</w:t>
            </w:r>
          </w:p>
        </w:tc>
        <w:tc>
          <w:tcPr>
            <w:tcW w:w="5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2011</w:t>
            </w:r>
          </w:p>
        </w:tc>
        <w:tc>
          <w:tcPr>
            <w:tcW w:w="1860" w:type="dxa"/>
            <w:vAlign w:val="bottom"/>
          </w:tcPr>
          <w:p>
            <w:pPr>
              <w:spacing w:after="0"/>
              <w:rPr>
                <w:sz w:val="18"/>
                <w:szCs w:val="18"/>
                <w:color w:val="auto"/>
              </w:rPr>
            </w:pPr>
          </w:p>
        </w:tc>
        <w:tc>
          <w:tcPr>
            <w:tcW w:w="5200" w:type="dxa"/>
            <w:vAlign w:val="bottom"/>
          </w:tcPr>
          <w:p>
            <w:pPr>
              <w:jc w:val="right"/>
              <w:ind w:right="12"/>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860" w:type="dxa"/>
            <w:vAlign w:val="bottom"/>
            <w:shd w:val="clear" w:color="auto" w:fill="CCEEFF"/>
          </w:tcPr>
          <w:p>
            <w:pPr>
              <w:spacing w:after="0"/>
              <w:rPr>
                <w:sz w:val="18"/>
                <w:szCs w:val="18"/>
                <w:color w:val="auto"/>
              </w:rPr>
            </w:pPr>
          </w:p>
        </w:tc>
        <w:tc>
          <w:tcPr>
            <w:tcW w:w="5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2013</w:t>
            </w:r>
          </w:p>
        </w:tc>
        <w:tc>
          <w:tcPr>
            <w:tcW w:w="1860" w:type="dxa"/>
            <w:vAlign w:val="bottom"/>
          </w:tcPr>
          <w:p>
            <w:pPr>
              <w:spacing w:after="0"/>
              <w:rPr>
                <w:sz w:val="18"/>
                <w:szCs w:val="18"/>
                <w:color w:val="auto"/>
              </w:rPr>
            </w:pPr>
          </w:p>
        </w:tc>
        <w:tc>
          <w:tcPr>
            <w:tcW w:w="5200" w:type="dxa"/>
            <w:vAlign w:val="bottom"/>
          </w:tcPr>
          <w:p>
            <w:pPr>
              <w:jc w:val="right"/>
              <w:ind w:right="12"/>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860" w:type="dxa"/>
            <w:vAlign w:val="bottom"/>
            <w:shd w:val="clear" w:color="auto" w:fill="CCEEFF"/>
          </w:tcPr>
          <w:p>
            <w:pPr>
              <w:spacing w:after="0"/>
              <w:rPr>
                <w:sz w:val="18"/>
                <w:szCs w:val="18"/>
                <w:color w:val="auto"/>
              </w:rPr>
            </w:pPr>
          </w:p>
        </w:tc>
        <w:tc>
          <w:tcPr>
            <w:tcW w:w="5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2015</w:t>
            </w:r>
          </w:p>
        </w:tc>
        <w:tc>
          <w:tcPr>
            <w:tcW w:w="1860" w:type="dxa"/>
            <w:vAlign w:val="bottom"/>
          </w:tcPr>
          <w:p>
            <w:pPr>
              <w:spacing w:after="0"/>
              <w:rPr>
                <w:sz w:val="18"/>
                <w:szCs w:val="18"/>
                <w:color w:val="auto"/>
              </w:rPr>
            </w:pPr>
          </w:p>
        </w:tc>
        <w:tc>
          <w:tcPr>
            <w:tcW w:w="5200" w:type="dxa"/>
            <w:vAlign w:val="bottom"/>
          </w:tcPr>
          <w:p>
            <w:pPr>
              <w:jc w:val="right"/>
              <w:ind w:right="12"/>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5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2,260.4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200" w:type="dxa"/>
            <w:vAlign w:val="bottom"/>
          </w:tcPr>
          <w:p>
            <w:pPr>
              <w:jc w:val="right"/>
              <w:ind w:right="37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consisted of the following for the nine months ended September 30, 2010 and the year ended December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85"/>
              </w:rPr>
              <w:t>Balance at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620" w:type="dxa"/>
            <w:vAlign w:val="bottom"/>
          </w:tcPr>
          <w:p>
            <w:pPr>
              <w:spacing w:after="0" w:line="149" w:lineRule="exact"/>
              <w:rPr>
                <w:sz w:val="20"/>
                <w:szCs w:val="20"/>
                <w:color w:val="auto"/>
              </w:rPr>
            </w:pPr>
            <w:r>
              <w:rPr>
                <w:rFonts w:ascii="Arial" w:cs="Arial" w:eastAsia="Arial" w:hAnsi="Arial"/>
                <w:sz w:val="14"/>
                <w:szCs w:val="14"/>
                <w:b w:val="1"/>
                <w:bCs w:val="1"/>
                <w:color w:val="auto"/>
                <w:w w:val="88"/>
              </w:rPr>
              <w:t>December</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Business</w:t>
            </w:r>
          </w:p>
        </w:tc>
        <w:tc>
          <w:tcPr>
            <w:tcW w:w="2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w:t>
            </w:r>
          </w:p>
        </w:tc>
        <w:tc>
          <w:tcPr>
            <w:tcW w:w="12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61"/>
        </w:trPr>
        <w:tc>
          <w:tcPr>
            <w:tcW w:w="552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5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Combination</w:t>
            </w:r>
          </w:p>
        </w:tc>
        <w:tc>
          <w:tcPr>
            <w:tcW w:w="2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Activity (e)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CBOT Holdings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$5,035.7</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NYMEX Holdings</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2,463.1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(19.8)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Index Services</w:t>
            </w:r>
          </w:p>
        </w:tc>
        <w:tc>
          <w:tcPr>
            <w:tcW w:w="6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433.6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7,549.2</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433.6</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(19.8)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85"/>
              </w:rPr>
              <w:t>Balance at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620" w:type="dxa"/>
            <w:vAlign w:val="bottom"/>
          </w:tcPr>
          <w:p>
            <w:pPr>
              <w:spacing w:after="0" w:line="149" w:lineRule="exact"/>
              <w:rPr>
                <w:sz w:val="20"/>
                <w:szCs w:val="20"/>
                <w:color w:val="auto"/>
              </w:rPr>
            </w:pPr>
            <w:r>
              <w:rPr>
                <w:rFonts w:ascii="Arial" w:cs="Arial" w:eastAsia="Arial" w:hAnsi="Arial"/>
                <w:sz w:val="14"/>
                <w:szCs w:val="14"/>
                <w:b w:val="1"/>
                <w:bCs w:val="1"/>
                <w:color w:val="auto"/>
                <w:w w:val="88"/>
              </w:rPr>
              <w:t>December</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Business</w:t>
            </w:r>
          </w:p>
        </w:tc>
        <w:tc>
          <w:tcPr>
            <w:tcW w:w="2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w:t>
            </w:r>
          </w:p>
        </w:tc>
        <w:tc>
          <w:tcPr>
            <w:tcW w:w="12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552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5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Combination</w:t>
            </w:r>
          </w:p>
        </w:tc>
        <w:tc>
          <w:tcPr>
            <w:tcW w:w="2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Activity (e)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CBOT Holdings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$5,036.1</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NYMEX Holdings</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2,436.7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20" w:type="dxa"/>
            <w:vAlign w:val="bottom"/>
            <w:gridSpan w:val="3"/>
          </w:tcPr>
          <w:p>
            <w:pPr>
              <w:spacing w:after="0"/>
              <w:rPr>
                <w:sz w:val="20"/>
                <w:szCs w:val="20"/>
                <w:color w:val="auto"/>
              </w:rPr>
            </w:pPr>
            <w:r>
              <w:rPr>
                <w:rFonts w:ascii="Arial" w:cs="Arial" w:eastAsia="Arial" w:hAnsi="Arial"/>
                <w:sz w:val="18"/>
                <w:szCs w:val="18"/>
                <w:color w:val="auto"/>
              </w:rPr>
              <w:t>Total Goodwill</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7,519.2</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30.0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activity consisted primarily of adjustments to restructuring costs and tax contingencies for CBOT Holdings and NYMEX Holdings, the recognition of excess tax benefits upon exercise of stock options assumed for CBOT Holdings and NYMEX Holdings, and foreign currency translation adjustments for CMA.</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conducts impairment testing of goodwill and indefinite-lived intangible assets at least annually. During the second quarter of 2010, the company recorded a $19.8 million impairment charge to reduce the carrying amount of CMA goodwill to its estimated fair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76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4"/>
              </w:rPr>
              <w:t>$300.0 million floating rate notes due August 2010, interest equal to 3-month LIBOR plus 0.65%, reset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gridSpan w:val="2"/>
          </w:tcPr>
          <w:p>
            <w:pPr>
              <w:ind w:left="200"/>
              <w:spacing w:after="0"/>
              <w:rPr>
                <w:sz w:val="20"/>
                <w:szCs w:val="20"/>
                <w:color w:val="auto"/>
              </w:rPr>
            </w:pPr>
            <w:r>
              <w:rPr>
                <w:rFonts w:ascii="Arial" w:cs="Arial" w:eastAsia="Arial" w:hAnsi="Arial"/>
                <w:sz w:val="18"/>
                <w:szCs w:val="18"/>
                <w:color w:val="auto"/>
              </w:rPr>
              <w:t>quarterly</w:t>
            </w:r>
            <w:r>
              <w:rPr>
                <w:rFonts w:ascii="Arial" w:cs="Arial" w:eastAsia="Arial" w:hAnsi="Arial"/>
                <w:sz w:val="11"/>
                <w:szCs w:val="11"/>
                <w:color w:val="auto"/>
              </w:rPr>
              <w:t>(1)</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due 2011, interest equal to 3-month LIBOR plus 1.00%, reset quarterly</w:t>
            </w:r>
            <w:r>
              <w:rPr>
                <w:rFonts w:ascii="Arial" w:cs="Arial" w:eastAsia="Arial" w:hAnsi="Arial"/>
                <w:sz w:val="11"/>
                <w:szCs w:val="11"/>
                <w:color w:val="auto"/>
              </w:rPr>
              <w:t>(2)</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80" w:type="dxa"/>
            <w:vAlign w:val="bottom"/>
            <w:gridSpan w:val="3"/>
          </w:tcPr>
          <w:p>
            <w:pPr>
              <w:spacing w:after="0"/>
              <w:rPr>
                <w:sz w:val="20"/>
                <w:szCs w:val="20"/>
                <w:color w:val="auto"/>
              </w:rPr>
            </w:pPr>
            <w:r>
              <w:rPr>
                <w:rFonts w:ascii="Arial" w:cs="Arial" w:eastAsia="Arial" w:hAnsi="Arial"/>
                <w:sz w:val="18"/>
                <w:szCs w:val="18"/>
                <w:color w:val="auto"/>
              </w:rPr>
              <w:t>Total short-term debt</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420.5</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Term loan due 2011, interest equal to 3-month LIBOR plus 1.00%, reset quarterly</w:t>
            </w:r>
            <w:r>
              <w:rPr>
                <w:rFonts w:ascii="Arial" w:cs="Arial" w:eastAsia="Arial" w:hAnsi="Arial"/>
                <w:sz w:val="11"/>
                <w:szCs w:val="11"/>
                <w:color w:val="auto"/>
              </w:rPr>
              <w:t>(2)</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$750.0 million fixed rate notes due August 2013, interest equal to 5.40%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$750.0 million fixed rate notes due February 2014, interest equal to 5.75%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746.9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million fixed rate notes due March 2018, interest equal to 4.40%</w:t>
            </w:r>
            <w:r>
              <w:rPr>
                <w:rFonts w:ascii="Arial" w:cs="Arial" w:eastAsia="Arial" w:hAnsi="Arial"/>
                <w:sz w:val="11"/>
                <w:szCs w:val="11"/>
                <w:color w:val="auto"/>
              </w:rPr>
              <w:t>(3)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Commercial paper</w:t>
            </w:r>
            <w:r>
              <w:rPr>
                <w:rFonts w:ascii="Arial" w:cs="Arial" w:eastAsia="Arial" w:hAnsi="Arial"/>
                <w:sz w:val="11"/>
                <w:szCs w:val="11"/>
                <w:color w:val="auto"/>
              </w:rPr>
              <w:t>(4)</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80" w:hanging="452"/>
        <w:spacing w:after="0" w:line="28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interest-rate swap agreement that modified the variable interest obligation associated with these notes so that the interest payable on the notes effectively became fixed at a rate of 3.92% beginning with the interest accrued after November 6, 2008.</w:t>
      </w:r>
    </w:p>
    <w:p>
      <w:pPr>
        <w:ind w:left="460" w:right="160" w:hanging="452"/>
        <w:spacing w:after="0" w:line="32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interest-rate swap agreement that modified the variable interest obligation associated with this facility so that the interest payable effectively became fixed at a rate of 4.72% beginning with the interest accrued after October 22, 2008.</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February 2010, the company entered into a forward-starting interest-rate swap agreement that modified the interest obligation associated with these notes so that the interest payable on the notes effectively became fixed at a rate of 4.46% at issuance on March 18, 2010.</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December 31, 2009, this represented commercial paper backed by a three-year senior credit facility.</w:t>
      </w:r>
    </w:p>
    <w:p>
      <w:pPr>
        <w:spacing w:after="0" w:line="16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Commercial paper notes with an aggregate par value of $1.3 billion and maturities ranging from 2 to 61 days were issued during the nine months ended September 30, 2010. The weighted average discount rate for commercial paper outstanding at December 31, 2009 was 0.24%. There was no commercial paper outstanding at September 30, 2010. During the first nine months of 2010 and 2009, the weighted average balance, at par value, of commercial paper outstanding was $111.5 million and $677.4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September 30, 2010:</w:t>
      </w:r>
    </w:p>
    <w:p>
      <w:pPr>
        <w:spacing w:after="0" w:line="20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4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38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3240" w:type="dxa"/>
            <w:vAlign w:val="bottom"/>
            <w:shd w:val="clear" w:color="auto" w:fill="CCEEFF"/>
          </w:tcPr>
          <w:p>
            <w:pPr>
              <w:spacing w:after="0"/>
              <w:rPr>
                <w:sz w:val="18"/>
                <w:szCs w:val="18"/>
                <w:color w:val="auto"/>
              </w:rPr>
            </w:pPr>
          </w:p>
        </w:tc>
        <w:tc>
          <w:tcPr>
            <w:tcW w:w="3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  —</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2012</w:t>
            </w:r>
          </w:p>
        </w:tc>
        <w:tc>
          <w:tcPr>
            <w:tcW w:w="3240" w:type="dxa"/>
            <w:vAlign w:val="bottom"/>
          </w:tcPr>
          <w:p>
            <w:pPr>
              <w:spacing w:after="0"/>
              <w:rPr>
                <w:sz w:val="18"/>
                <w:szCs w:val="18"/>
                <w:color w:val="auto"/>
              </w:rPr>
            </w:pPr>
          </w:p>
        </w:tc>
        <w:tc>
          <w:tcPr>
            <w:tcW w:w="382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240" w:type="dxa"/>
            <w:vAlign w:val="bottom"/>
            <w:shd w:val="clear" w:color="auto" w:fill="CCEEFF"/>
          </w:tcPr>
          <w:p>
            <w:pPr>
              <w:spacing w:after="0"/>
              <w:rPr>
                <w:sz w:val="18"/>
                <w:szCs w:val="18"/>
                <w:color w:val="auto"/>
              </w:rPr>
            </w:pPr>
          </w:p>
        </w:tc>
        <w:tc>
          <w:tcPr>
            <w:tcW w:w="3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2014</w:t>
            </w:r>
          </w:p>
        </w:tc>
        <w:tc>
          <w:tcPr>
            <w:tcW w:w="3240" w:type="dxa"/>
            <w:vAlign w:val="bottom"/>
          </w:tcPr>
          <w:p>
            <w:pPr>
              <w:spacing w:after="0"/>
              <w:rPr>
                <w:sz w:val="18"/>
                <w:szCs w:val="18"/>
                <w:color w:val="auto"/>
              </w:rPr>
            </w:pPr>
          </w:p>
        </w:tc>
        <w:tc>
          <w:tcPr>
            <w:tcW w:w="3820" w:type="dxa"/>
            <w:vAlign w:val="bottom"/>
          </w:tcPr>
          <w:p>
            <w:pPr>
              <w:jc w:val="right"/>
              <w:ind w:right="12"/>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240" w:type="dxa"/>
            <w:vAlign w:val="bottom"/>
            <w:shd w:val="clear" w:color="auto" w:fill="CCEEFF"/>
          </w:tcPr>
          <w:p>
            <w:pPr>
              <w:spacing w:after="0"/>
              <w:rPr>
                <w:sz w:val="18"/>
                <w:szCs w:val="18"/>
                <w:color w:val="auto"/>
              </w:rPr>
            </w:pPr>
          </w:p>
        </w:tc>
        <w:tc>
          <w:tcPr>
            <w:tcW w:w="3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820" w:type="dxa"/>
            <w:vAlign w:val="bottom"/>
          </w:tcPr>
          <w:p>
            <w:pPr>
              <w:jc w:val="right"/>
              <w:ind w:right="12"/>
              <w:spacing w:after="0"/>
              <w:rPr>
                <w:sz w:val="20"/>
                <w:szCs w:val="20"/>
                <w:color w:val="auto"/>
              </w:rPr>
            </w:pPr>
            <w:r>
              <w:rPr>
                <w:rFonts w:ascii="Arial" w:cs="Arial" w:eastAsia="Arial" w:hAnsi="Arial"/>
                <w:sz w:val="18"/>
                <w:szCs w:val="18"/>
                <w:color w:val="auto"/>
              </w:rPr>
              <w:t>612.5</w:t>
            </w:r>
          </w:p>
        </w:tc>
      </w:tr>
    </w:tbl>
    <w:p>
      <w:pPr>
        <w:spacing w:after="0" w:line="14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fair value of the fixed rate notes due 2013 and 2014 was estimated using quoted market prices. The fair value of the fixed rate notes due 2018 was derived using a standard valuation model with market-based observable inputs including U.S. Treasury yields and interest rate spreads. At September 30, 2010, the fair values of the fixed rate notes by maturity date were as follows.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24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$750.0 million fixed rate notes due August 2013</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$750.0 million fixed rate notes due February 2014</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$612.5 million fixed rate notes due March 2018</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Contingencies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Legal Matters</w:t>
      </w:r>
      <w:r>
        <w:rPr>
          <w:rFonts w:ascii="Arial" w:cs="Arial" w:eastAsia="Arial" w:hAnsi="Arial"/>
          <w:sz w:val="16"/>
          <w:szCs w:val="16"/>
          <w:color w:val="auto"/>
        </w:rPr>
        <w:t>. In October 2003, the U.S. Futures Exchange, L.L.C. (Eurex U.S.) and U.S. Exchange Holdings, Inc. filed suit against CBOT and CME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District Court for the District of Columbia. The suit alleges that CBOT and CME violated the antitrust laws and tortuously interfered with the business relationship and contract between Eurex U.S. and The Clearing Corporation. Eurex U.S. and U.S. Exchange Holdings, Inc. are seeking treble damages. In April 2007, CME and CBOT filed two joint motions for summary judgment. In July 2010, the judge partially granted the company’s motion for summary judgment on the predatory pricing claims, finding no factual basis for such claims. Based on its investigation to date and advice from legal counsel, the company believes this suit is without merit and intends to defend itself vigorously against these charges.</w:t>
      </w:r>
    </w:p>
    <w:p>
      <w:pPr>
        <w:spacing w:after="0" w:line="12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August 2008, Fifth Market filed a complaint against CME Group and CME seeking a permanent injunction against CME’s Globex system and enhanced damages for what the plaintiff alleges is willful infringement, in addition to costs, expenses and attorneys’ fees. The suit alleges that CME infringes two U.S. patents. Based on its investigation to date and advice from legal counsel, the company believes this suit is without merit and intends to defend itself vigorously against these charges.</w:t>
      </w:r>
    </w:p>
    <w:p>
      <w:pPr>
        <w:spacing w:after="0" w:line="143"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In June 2009, CME and CBOT filed a complaint against Howard Garber seeking a declaratory judgment that neither CME nor CBOT was infringing certain of Mr. Garber’s patents and that one of his patents is invalid and unenforceable. In September 2009, Technology Research Group LLC, the current owner of one of the patents at issue, filed counterclaims alleging that CME and CBOT infringe, induce or contribute to the infringement and willfully infringe its patent.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Technology Research is seeking an injunction and damages no less than a reasonable royalty. Based on its investigation to date and advice from legal counsel, the company believes this suit is without merit and intends to defend itself vigorously against these charges.</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July 2009, Realtime Data LLC filed a complaint against CME Group and other exchanges alleging willful infringement of four patents which was later amended to add CBOT and NYMEX as defendants. Subsequently, two additional lawsuits have been filed each adding a claim for the infringement of an additional patent. One of lawsuits has been consolidated with the original action and the other is under consideration for consolidation. Based on its investigation to date and advice from legal counsel, the company believes this suit is without merit and intends to defend itself vigorously against these charges.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affect on its consolidated financial position or results of operations.</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Intellectual Property Indemnifications</w:t>
      </w:r>
      <w:r>
        <w:rPr>
          <w:rFonts w:ascii="Arial" w:cs="Arial" w:eastAsia="Arial" w:hAnsi="Arial"/>
          <w:sz w:val="18"/>
          <w:szCs w:val="18"/>
          <w:color w:val="auto"/>
        </w:rPr>
        <w:t>. Certain agreements with customers and other third parties related to accessing the CME Globex platform, the CME</w:t>
      </w:r>
      <w:r>
        <w:rPr>
          <w:rFonts w:ascii="Arial" w:cs="Arial" w:eastAsia="Arial" w:hAnsi="Arial"/>
          <w:sz w:val="18"/>
          <w:szCs w:val="18"/>
          <w:i w:val="1"/>
          <w:iCs w:val="1"/>
          <w:color w:val="auto"/>
        </w:rPr>
        <w:t xml:space="preserve"> </w:t>
      </w:r>
      <w:r>
        <w:rPr>
          <w:rFonts w:ascii="Arial" w:cs="Arial" w:eastAsia="Arial" w:hAnsi="Arial"/>
          <w:sz w:val="18"/>
          <w:szCs w:val="18"/>
          <w:color w:val="auto"/>
        </w:rPr>
        <w:t>ClearPort platform, and/or the Clearing 21 platform; utilizing market data services; licensing CME SPAN software; and calculating indexes as a service provider and licensing indexes as the basis of financial products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Guarantees</w:t>
      </w:r>
    </w:p>
    <w:p>
      <w:pPr>
        <w:spacing w:after="0" w:line="9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i w:val="1"/>
          <w:iCs w:val="1"/>
          <w:color w:val="auto"/>
        </w:rPr>
        <w:t xml:space="preserve">CME Clearing Contract Settlement. </w:t>
      </w:r>
      <w:r>
        <w:rPr>
          <w:rFonts w:ascii="Arial" w:cs="Arial" w:eastAsia="Arial" w:hAnsi="Arial"/>
          <w:sz w:val="16"/>
          <w:szCs w:val="16"/>
          <w:color w:val="auto"/>
        </w:rPr>
        <w:t>CME accounts for its guarantee of settlement of contracts in accordance with current accounting guidance on guarantees.</w:t>
      </w:r>
      <w:r>
        <w:rPr>
          <w:rFonts w:ascii="Arial" w:cs="Arial" w:eastAsia="Arial" w:hAnsi="Arial"/>
          <w:sz w:val="16"/>
          <w:szCs w:val="16"/>
          <w:i w:val="1"/>
          <w:iCs w:val="1"/>
          <w:color w:val="auto"/>
        </w:rPr>
        <w:t xml:space="preserve"> </w:t>
      </w:r>
      <w:r>
        <w:rPr>
          <w:rFonts w:ascii="Arial" w:cs="Arial" w:eastAsia="Arial" w:hAnsi="Arial"/>
          <w:sz w:val="16"/>
          <w:szCs w:val="16"/>
          <w:color w:val="auto"/>
        </w:rPr>
        <w:t>CME marks-to-market all open positions at least twice a day, and requires payment from clearing firms whose positions have lost value and makes payments to clearing firms whose positions have gained value. In select circumstances where CME has introduced clearing services to newer markets, positions are marked-to-market daily, with the capability to mark-to-market more frequently as market conditions warrant. Under the extremely unlikely scenario of simultaneous default by every clearing firm who has open positions with unrealized losses, the maximum exposure related to CME’s guarantee would be equal to one half day of changes in fair value of all open positions, before considering CME’s ability to access defaulting clearing firms’ performance bond and security deposit balances as well as other available resources. During the first nine months of 2010, CME transferred an average of approximately $2.3 billion a day through its clearing system for settlement from clearing firms whose positions had lost value to clearing firms whose positions had gained value. CME reduces its guarantee exposure through initial and maintenance performance bond requirements and mandatory security deposits. The company believes that the guarantee liability in accordance with the accounting guidance is immaterial and therefore has not recorded any liability at September 30, 2010.</w:t>
      </w:r>
    </w:p>
    <w:p>
      <w:pPr>
        <w:spacing w:after="0" w:line="123"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2010. The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agreement will automatically renew for a one-year period unless either party provides advance notice of their intent to terminate. CME can maintain collateral in the form of U.S. Treasury securities or irrevocable letters of credit. At September 30, 2010, CME was contingently liable to SGX on irrevocable letters of credit totaling $83.0 million. Regardless of the collateral, CME guarantees all cleared transactions submitted through SGX and would initiate procedures designed to satisfy these financial obligations in the event of a default, such as the use of performance bonds and security deposits of the defaulting clearing firm.</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Cross-Margin Agreements</w:t>
      </w:r>
      <w:r>
        <w:rPr>
          <w:rFonts w:ascii="Arial" w:cs="Arial" w:eastAsia="Arial" w:hAnsi="Arial"/>
          <w:sz w:val="18"/>
          <w:szCs w:val="18"/>
          <w:color w:val="auto"/>
        </w:rPr>
        <w:t>. CME and Options Clearing Corporation (OCC) have a cross-margin arrangement, whereby a common clearing firm may maintain a</w:t>
      </w:r>
      <w:r>
        <w:rPr>
          <w:rFonts w:ascii="Arial" w:cs="Arial" w:eastAsia="Arial" w:hAnsi="Arial"/>
          <w:sz w:val="18"/>
          <w:szCs w:val="18"/>
          <w:i w:val="1"/>
          <w:iCs w:val="1"/>
          <w:color w:val="auto"/>
        </w:rPr>
        <w:t xml:space="preserve"> </w:t>
      </w:r>
      <w:r>
        <w:rPr>
          <w:rFonts w:ascii="Arial" w:cs="Arial" w:eastAsia="Arial" w:hAnsi="Arial"/>
          <w:sz w:val="18"/>
          <w:szCs w:val="18"/>
          <w:color w:val="auto"/>
        </w:rPr>
        <w:t>cross-margin 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would be allocated 50% each to CME and OCC.</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Cross-margin agreements exist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the applicable clearing house.</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Additionally, for the FICC cross-margin agreements,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houses to the extent that they have a remaining liquidating deficit. Any remaining surplus funds would be passed to the bankruptcy trustee.</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GFX Corporation Letter of Credit</w:t>
      </w:r>
      <w:r>
        <w:rPr>
          <w:rFonts w:ascii="Arial" w:cs="Arial" w:eastAsia="Arial" w:hAnsi="Arial"/>
          <w:sz w:val="18"/>
          <w:szCs w:val="18"/>
          <w:color w:val="auto"/>
        </w:rPr>
        <w:t>. CME guarantees a $5.0 million standby letter of credit for GFX Corporation (GFX). The beneficiary of the letter of credit is</w:t>
      </w:r>
      <w:r>
        <w:rPr>
          <w:rFonts w:ascii="Arial" w:cs="Arial" w:eastAsia="Arial" w:hAnsi="Arial"/>
          <w:sz w:val="18"/>
          <w:szCs w:val="18"/>
          <w:i w:val="1"/>
          <w:iCs w:val="1"/>
          <w:color w:val="auto"/>
        </w:rPr>
        <w:t xml:space="preserve"> </w:t>
      </w:r>
      <w:r>
        <w:rPr>
          <w:rFonts w:ascii="Arial" w:cs="Arial" w:eastAsia="Arial" w:hAnsi="Arial"/>
          <w:sz w:val="18"/>
          <w:szCs w:val="18"/>
          <w:color w:val="auto"/>
        </w:rPr>
        <w:t>the clearing firm that is used by GFX to execute and maintain its futures positions. Per exchange requirements, GFX is required to place performance bond deposits with its clearing firm. The letter of credit, utilized as performance bond, would be drawn on in the event that GFX defaults in meeting requirements to its clearing firm. In the unlikely event of a payment default by GFX, if GFX’s performance bond is not sufficient to cover the deficit, CME would guarantee the remaining deficit, if 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Payments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Total expense for stock-based payments, including shares issued to the board of directors, converted CBOT Holdings options and converted NYMEX Holdings options, was $29.6 million and $25.5 million for the nine months ended September 30, 2010 and 2009, respectively. The total income tax benefit recognized in the consolidated statements of income for stock-based payment arrangements was $11.8 million and $10.2 million for the nine months ended September 30, 2010 and 2009, respectively.</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first nine months of 2010, the company granted employees stock options totaling 277,604 shares under the CME Group Omnibus Stock Plan. The options have a ten-year term with exercise prices ranging from $271 to $314 per share, the closing market price on the dates of grant. The fair value of these options totaled $28.1 million, measured at the grant dates using the Black-Scholes valuation model, which is recognized as compensation expense on an accelerated basis over the vesting period of four years. The Black-Scholes fair values of the option grants were calculated using the following assumptions: dividend yield ranging from 1.5% to 1.7%; expected volatility ranging from 43% to 44%; risk-free interest rates ranging from 1.9% to 2.9% and an expected life of 6.2 years. The grant date weighted average fair value of options granted during the first nine months of 2010 was $101 per share.</w:t>
      </w:r>
    </w:p>
    <w:p>
      <w:pPr>
        <w:spacing w:after="0" w:line="120"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In the first nine months of 2010, the company granted 130,063 shares of restricted Class A common stock and 428 restricted stock units which generally have a vesting period of two to four years. The fair value of these grants was $35.7 million, which is recognized as compensation expense on an accelerated basis over the vesting period. In the first nine months of 2010, the company granted 1,020 performance shares. The vesting of these shares is contingent on meeting stated goals over a performance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Accounting guidance on fair value measurements and related disclosures provides direction for using fair value to measure assets and liabilities by defining fair value and establishing a framework for measuring fair value. The guidance creates a three-level hierarchy that establishes classification of fair value measurements for disclosure purposes.</w:t>
      </w:r>
    </w:p>
    <w:p>
      <w:pPr>
        <w:spacing w:after="0" w:line="59" w:lineRule="exact"/>
        <w:rPr>
          <w:sz w:val="20"/>
          <w:szCs w:val="20"/>
          <w:color w:val="auto"/>
        </w:rPr>
      </w:pPr>
    </w:p>
    <w:p>
      <w:pPr>
        <w:ind w:left="900" w:right="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3 inputs consist of unobservable inputs which are derived and cannot be corroborated by market data or other entity-specific inputs.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general, the company uses quoted prices in active markets for identical assets to determine the fair value of marketable securities and equity investments. Level 1 assets generally include U.S. Treasury securities, exchange-traded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mutual funds and publicly-traded equity securities. If quoted prices are not available to determine fair value, the company uses other inputs that are observable either directly or indirectly. Assets included in level 2 generally consist of U.S. Government agency securities, municipal bonds, asset-backed securities and certain corporate bonds. There were no level 3 assets that were valued on a recurring basis as of September 30, 2010.</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determined the fair value of its interest rate swap contracts, considered level 2 assets, using standard valuation models with market-based observable inputs including forward and spot exchange rates and interest rate curves. The level 2 marketable securities are measured at fair value based on matrix pricing based on prices of similar securities with similar inputs such as maturity dates, interest rates and credit ratings.</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September 30, 2010 were classified in their entirety based on the lowest level of input that was significant to each asset or liability’s fair value measurement.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As of September 30, 2010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gridSpan w:val="3"/>
            <w:vMerge w:val="continue"/>
          </w:tcPr>
          <w:p>
            <w:pPr>
              <w:spacing w:after="0"/>
              <w:rPr>
                <w:sz w:val="12"/>
                <w:szCs w:val="12"/>
                <w:color w:val="auto"/>
              </w:rPr>
            </w:pPr>
          </w:p>
        </w:tc>
        <w:tc>
          <w:tcPr>
            <w:tcW w:w="6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6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4"/>
              </w:rPr>
              <w:t>Level 2</w:t>
            </w:r>
          </w:p>
        </w:tc>
        <w:tc>
          <w:tcPr>
            <w:tcW w:w="20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4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at Fair Value: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10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111.5</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$ 12.9</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Liabilities at Fair Value: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$ 15.1</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 at Fair Value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$ 15.1</w:t>
            </w: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There were no transfers of assets or liabilities between level 1 and level 2 during the first nine months of 2010. There were also no assets or liabilities valued at fair value on a recurring basis using significant unobservable inputs during the first nine months of 2010.</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second quarter of 2010, the company recorded impairment charges on goodwill and a trade name related to CMA. The fair values of CMA’s goodwill and trade name were derived using discounted cash flow models. As of the impairment test date, the fair values of CMA’s goodwill and trade name were $28.5 million and $0.9 million, respectively. During the third quarter of 2010, the company also recorded an impairment charge on its investment in OneChicago, LLC. At the impairment test date, the fair value of the investment was estimated to be zero based on a discounted cash flow analysis. All three assets were measured at fair value on a non-recurring basis utilizing level 3 inputs.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Common Share</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Basic earnings per common share is computed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and restricted stock awards of approximately 984,000 and 865,000 were anti-dilutive for the quarter and nine months ended September 30, 2010, respectively. Outstanding stock options and restricted stock awards of approximately 613,000 and 750,000 were anti-dilutive for the quarter and nine months ended September 30, 2009, respectively. These options and awards were not included in the diluted earnings per common share calculation.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5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millions, except shares and per share data)</w:t>
            </w:r>
          </w:p>
        </w:tc>
        <w:tc>
          <w:tcPr>
            <w:tcW w:w="1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4"/>
          </w:tcPr>
          <w:p>
            <w:pPr>
              <w:jc w:val="right"/>
              <w:ind w:right="315"/>
              <w:spacing w:after="0" w:line="142" w:lineRule="exact"/>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4"/>
          </w:tcPr>
          <w:p>
            <w:pPr>
              <w:jc w:val="right"/>
              <w:ind w:right="315"/>
              <w:spacing w:after="0" w:line="142"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CME Group</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560" w:type="dxa"/>
            <w:vAlign w:val="bottom"/>
            <w:gridSpan w:val="3"/>
          </w:tcPr>
          <w:p>
            <w:pPr>
              <w:spacing w:after="0"/>
              <w:rPr>
                <w:sz w:val="20"/>
                <w:szCs w:val="20"/>
                <w:color w:val="auto"/>
              </w:rPr>
            </w:pPr>
            <w:r>
              <w:rPr>
                <w:rFonts w:ascii="Arial" w:cs="Arial" w:eastAsia="Arial" w:hAnsi="Arial"/>
                <w:sz w:val="18"/>
                <w:szCs w:val="18"/>
                <w:color w:val="auto"/>
              </w:rPr>
              <w:t>Weighted Average Number of Common Shares (in thousands):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66,556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66,384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66,125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66,339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ind w:left="420"/>
              <w:spacing w:after="0"/>
              <w:rPr>
                <w:sz w:val="20"/>
                <w:szCs w:val="20"/>
                <w:color w:val="auto"/>
              </w:rPr>
            </w:pPr>
            <w:r>
              <w:rPr>
                <w:rFonts w:ascii="Arial" w:cs="Arial" w:eastAsia="Arial" w:hAnsi="Arial"/>
                <w:sz w:val="18"/>
                <w:szCs w:val="18"/>
                <w:color w:val="auto"/>
              </w:rPr>
              <w:t>Effect of stock options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Effect of restricted stock awards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gridSpan w:val="2"/>
            <w:vMerge w:val="restart"/>
          </w:tcPr>
          <w:p>
            <w:pPr>
              <w:ind w:left="420"/>
              <w:spacing w:after="0"/>
              <w:rPr>
                <w:sz w:val="20"/>
                <w:szCs w:val="20"/>
                <w:color w:val="auto"/>
              </w:rPr>
            </w:pPr>
            <w:r>
              <w:rPr>
                <w:rFonts w:ascii="Arial" w:cs="Arial" w:eastAsia="Arial" w:hAnsi="Arial"/>
                <w:sz w:val="18"/>
                <w:szCs w:val="18"/>
                <w:color w:val="auto"/>
              </w:rPr>
              <w:t>Diluted</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66,744</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66,573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66,320</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Attributable to CME Group:</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11.42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require disclosure.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discussion is provided as a supplement to, and should be read in conjunction with, the accompanying unaudited consolidated financial statements and notes in this Form 10-Q and our Annual Report on Form 10-K for the year ended December 31, 2009.</w:t>
      </w:r>
    </w:p>
    <w:p>
      <w:pPr>
        <w:spacing w:after="0" w:line="132"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References in this discussion and analysis to “we,” “us” and “our” are to CME Group Inc. (CME Group) and its consolidated subsidiaries, collectively. References to “exchange” are to Chicago Mercantile Exchange Inc. (CME), Board of Trade of the City of Chicago, Inc. (CBOT), and New York Mercantile Exchange, Inc. (NYMEX), collectively.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7"/>
              </w:rPr>
              <w:t>Nine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 except per share data)</w:t>
            </w:r>
          </w:p>
        </w:tc>
        <w:tc>
          <w:tcPr>
            <w:tcW w:w="880" w:type="dxa"/>
            <w:vAlign w:val="bottom"/>
          </w:tcPr>
          <w:p>
            <w:pPr>
              <w:spacing w:after="0"/>
              <w:rPr>
                <w:sz w:val="14"/>
                <w:szCs w:val="14"/>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9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532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$733.4</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$650.4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2,240.5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1,945.3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290.5</w:t>
            </w: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249.0</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867.8</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758.7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 (27.2)</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 (45.6)</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(105.4)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Net income attributable to CME Group</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$244.3</w:t>
            </w: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$202.3</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755.2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623.2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 attributable to CME Group</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3.66</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3.04</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963.0</w:t>
            </w:r>
          </w:p>
        </w:tc>
        <w:tc>
          <w:tcPr>
            <w:tcW w:w="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737.8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900" w:right="2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clearing and transaction fees resulting from increased trading volume contributed to an increase in revenues in the third quarter and first nine months of 2010.</w:t>
      </w:r>
    </w:p>
    <w:p>
      <w:pPr>
        <w:spacing w:after="0" w:line="50" w:lineRule="exact"/>
        <w:rPr>
          <w:rFonts w:ascii="Arial" w:cs="Arial" w:eastAsia="Arial" w:hAnsi="Arial"/>
          <w:sz w:val="18"/>
          <w:szCs w:val="18"/>
          <w:color w:val="auto"/>
        </w:rPr>
      </w:pPr>
    </w:p>
    <w:p>
      <w:pPr>
        <w:ind w:left="900" w:right="6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compensation and benefits expense due to addition of employees related to the formation of CME Group Index Services LLC (Index Services) as well bonus expense contributed to higher overall expenses in the third quarter and first nine months of 2010. A goodwill and trade name impairment charge related to our Credit Market Analysis Limited (CMA) operations also contributed to an increase in expenses in the first nine months of 2010.</w:t>
      </w:r>
    </w:p>
    <w:p>
      <w:pPr>
        <w:spacing w:after="0" w:line="62"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third quarter of 2009, we recognized an impairment loss on our investment in IMAREX ASA (IMAREX), resulting in a decrease in non-operating income (expense) in the third quarter and first nine months of 2010.</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decline in the effective tax rate was largely attributable to an additional valuation allowance recognized in 2009 related to an impairment charge on our investment in IMAREX.</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flows from operations are strongly correlated with trading volume. Average daily volume increased by 19% during the first nine months of 2010 when compared with the same period in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380" w:type="dxa"/>
            <w:vAlign w:val="bottom"/>
          </w:tcPr>
          <w:p>
            <w:pPr>
              <w:spacing w:after="0"/>
              <w:rPr>
                <w:sz w:val="14"/>
                <w:szCs w:val="14"/>
                <w:color w:val="auto"/>
              </w:rPr>
            </w:pPr>
          </w:p>
        </w:tc>
        <w:tc>
          <w:tcPr>
            <w:tcW w:w="12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1"/>
              </w:rPr>
              <w:t>Change</w:t>
            </w: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120" w:type="dxa"/>
            <w:vAlign w:val="bottom"/>
            <w:gridSpan w:val="3"/>
            <w:vMerge w:val="continue"/>
          </w:tcPr>
          <w:p>
            <w:pPr>
              <w:spacing w:after="0"/>
              <w:rPr>
                <w:sz w:val="12"/>
                <w:szCs w:val="12"/>
                <w:color w:val="auto"/>
              </w:rPr>
            </w:pPr>
          </w:p>
        </w:tc>
        <w:tc>
          <w:tcPr>
            <w:tcW w:w="238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2010</w:t>
            </w:r>
          </w:p>
        </w:tc>
        <w:tc>
          <w:tcPr>
            <w:tcW w:w="78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2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2010</w:t>
            </w:r>
          </w:p>
        </w:tc>
        <w:tc>
          <w:tcPr>
            <w:tcW w:w="92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1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$1,860.9</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$1,605.2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Market data and information services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81.4</w:t>
            </w:r>
          </w:p>
        </w:tc>
        <w:tc>
          <w:tcPr>
            <w:tcW w:w="740" w:type="dxa"/>
            <w:vAlign w:val="bottom"/>
            <w:gridSpan w:val="2"/>
          </w:tcPr>
          <w:p>
            <w:pPr>
              <w:ind w:left="580"/>
              <w:spacing w:after="0"/>
              <w:rPr>
                <w:sz w:val="20"/>
                <w:szCs w:val="20"/>
                <w:color w:val="auto"/>
              </w:rPr>
            </w:pPr>
            <w:r>
              <w:rPr>
                <w:rFonts w:ascii="Arial" w:cs="Arial" w:eastAsia="Arial" w:hAnsi="Arial"/>
                <w:sz w:val="16"/>
                <w:szCs w:val="16"/>
                <w:color w:val="auto"/>
                <w:w w:val="78"/>
              </w:rPr>
              <w:t>25</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291.0</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249.0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Access and communication fees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740" w:type="dxa"/>
            <w:vAlign w:val="bottom"/>
            <w:gridSpan w:val="2"/>
          </w:tcPr>
          <w:p>
            <w:pPr>
              <w:ind w:left="580"/>
              <w:spacing w:after="0"/>
              <w:rPr>
                <w:sz w:val="20"/>
                <w:szCs w:val="20"/>
                <w:color w:val="auto"/>
              </w:rPr>
            </w:pPr>
            <w:r>
              <w:rPr>
                <w:rFonts w:ascii="Arial" w:cs="Arial" w:eastAsia="Arial" w:hAnsi="Arial"/>
                <w:sz w:val="16"/>
                <w:szCs w:val="16"/>
                <w:color w:val="auto"/>
                <w:w w:val="78"/>
              </w:rPr>
              <w:t>30</w:t>
            </w:r>
          </w:p>
        </w:tc>
        <w:tc>
          <w:tcPr>
            <w:tcW w:w="4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3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650.4</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w w:val="78"/>
              </w:rPr>
              <w:t>13</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2,240.5</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1,945.3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80" w:type="dxa"/>
            <w:vAlign w:val="bottom"/>
            <w:vMerge w:val="restart"/>
          </w:tcPr>
          <w:p>
            <w:pPr>
              <w:jc w:val="right"/>
              <w:ind w:right="612"/>
              <w:spacing w:after="0"/>
              <w:rPr>
                <w:sz w:val="20"/>
                <w:szCs w:val="20"/>
                <w:color w:val="auto"/>
              </w:rPr>
            </w:pPr>
            <w:r>
              <w:rPr>
                <w:rFonts w:ascii="Arial" w:cs="Arial" w:eastAsia="Arial" w:hAnsi="Arial"/>
                <w:sz w:val="18"/>
                <w:szCs w:val="18"/>
                <w:color w:val="auto"/>
              </w:rPr>
              <w:t>20</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9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Based on total volume and average rate per contract data below, we estimate that clearing and transaction fees revenue increased by $73.6 million during the third quarter due to the increase in total volume partially offset by a decline of $15.5 million due to the decrease in average rate per contract, resulting in a net increase in revenues in the third quarter of 2010 of $58.1 million when compared with the same period in 2009.</w:t>
      </w:r>
    </w:p>
    <w:p>
      <w:pPr>
        <w:spacing w:after="0" w:line="10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During the first nine months of 2010, we estimate that clearing and transaction fees revenue increased by $306.0 million due to the increase in total volume when compared with the same period in 2009. This increase was partially offset by a decline in revenue of $50.3 million due to the decrease in average rate per contract, resulting in a net increase in revenues in the first nine months of 2010 of $255.7 million when compared with the same period in 2009.</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Average rate per contract is impacted by our rate structure, which includes volume-based incentives; product mix; trading venue, and the percentage of trading volume executed by customers who are members compared with non-member customers. Due to the relationship between average rate per contract and volume, the change in revenues attributable to changes in each is only an approximation.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18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gridSpan w:val="2"/>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volume (in millions)</w:t>
            </w:r>
          </w:p>
        </w:tc>
        <w:tc>
          <w:tcPr>
            <w:tcW w:w="148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28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3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2,309.0</w:t>
            </w:r>
          </w:p>
        </w:tc>
        <w:tc>
          <w:tcPr>
            <w:tcW w:w="3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9"/>
              </w:rPr>
              <w:t>1,929.4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Clearing and transaction fees (in millions)</w:t>
            </w:r>
          </w:p>
        </w:tc>
        <w:tc>
          <w:tcPr>
            <w:tcW w:w="1980" w:type="dxa"/>
            <w:vAlign w:val="bottom"/>
            <w:gridSpan w:val="4"/>
          </w:tcPr>
          <w:p>
            <w:pPr>
              <w:jc w:val="right"/>
              <w:spacing w:after="0"/>
              <w:rPr>
                <w:sz w:val="20"/>
                <w:szCs w:val="20"/>
                <w:color w:val="auto"/>
              </w:rPr>
            </w:pPr>
            <w:r>
              <w:rPr>
                <w:rFonts w:ascii="Arial" w:cs="Arial" w:eastAsia="Arial" w:hAnsi="Arial"/>
                <w:sz w:val="18"/>
                <w:szCs w:val="18"/>
                <w:color w:val="auto"/>
              </w:rPr>
              <w:t>$598.7</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$540.6</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$1,860.9</w:t>
            </w:r>
          </w:p>
        </w:tc>
        <w:tc>
          <w:tcPr>
            <w:tcW w:w="30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w w:val="85"/>
              </w:rPr>
              <w:t>$1,605.2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1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0.810</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0.834</w:t>
            </w:r>
          </w:p>
        </w:tc>
        <w:tc>
          <w:tcPr>
            <w:tcW w:w="3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0.806</w:t>
            </w:r>
          </w:p>
        </w:tc>
        <w:tc>
          <w:tcPr>
            <w:tcW w:w="3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0.832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57"/>
        </w:trPr>
        <w:tc>
          <w:tcPr>
            <w:tcW w:w="5020" w:type="dxa"/>
            <w:vAlign w:val="bottom"/>
            <w:gridSpan w:val="3"/>
          </w:tcPr>
          <w:p>
            <w:pPr>
              <w:spacing w:after="0"/>
              <w:rPr>
                <w:sz w:val="20"/>
                <w:szCs w:val="20"/>
                <w:color w:val="auto"/>
              </w:rPr>
            </w:pPr>
            <w:r>
              <w:rPr>
                <w:rFonts w:ascii="Arial" w:cs="Arial" w:eastAsia="Arial" w:hAnsi="Arial"/>
                <w:sz w:val="18"/>
                <w:szCs w:val="18"/>
                <w:i w:val="1"/>
                <w:iCs w:val="1"/>
                <w:color w:val="auto"/>
              </w:rPr>
              <w:t>Trading Volume</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20" w:type="dxa"/>
            <w:vAlign w:val="bottom"/>
            <w:gridSpan w:val="3"/>
          </w:tcPr>
          <w:p>
            <w:pPr>
              <w:spacing w:after="0"/>
              <w:rPr>
                <w:sz w:val="20"/>
                <w:szCs w:val="20"/>
                <w:color w:val="auto"/>
              </w:rPr>
            </w:pPr>
            <w:r>
              <w:rPr>
                <w:rFonts w:ascii="Arial" w:cs="Arial" w:eastAsia="Arial" w:hAnsi="Arial"/>
                <w:sz w:val="18"/>
                <w:szCs w:val="18"/>
                <w:color w:val="auto"/>
              </w:rPr>
              <w:t>The following table summarizes average daily trading volume.</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w w:val="88"/>
              </w:rPr>
              <w:t>Quarter Ended</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7"/>
              </w:rPr>
              <w:t>Nine Months Ended</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w w:val="87"/>
              </w:rPr>
              <w:t>September 30,</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18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502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49"/>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0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Daily Volume by Product Line: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1980" w:type="dxa"/>
            <w:vAlign w:val="bottom"/>
            <w:gridSpan w:val="4"/>
          </w:tcPr>
          <w:p>
            <w:pPr>
              <w:jc w:val="right"/>
              <w:ind w:right="260"/>
              <w:spacing w:after="0"/>
              <w:rPr>
                <w:sz w:val="20"/>
                <w:szCs w:val="20"/>
                <w:color w:val="auto"/>
              </w:rPr>
            </w:pPr>
            <w:r>
              <w:rPr>
                <w:rFonts w:ascii="Arial" w:cs="Arial" w:eastAsia="Arial" w:hAnsi="Arial"/>
                <w:sz w:val="18"/>
                <w:szCs w:val="18"/>
                <w:color w:val="auto"/>
              </w:rPr>
              <w:t>5,020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5,409</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2,809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3,030</w:t>
            </w: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980" w:type="dxa"/>
            <w:vAlign w:val="bottom"/>
            <w:gridSpan w:val="4"/>
          </w:tcPr>
          <w:p>
            <w:pPr>
              <w:jc w:val="right"/>
              <w:ind w:right="260"/>
              <w:spacing w:after="0"/>
              <w:rPr>
                <w:sz w:val="20"/>
                <w:szCs w:val="20"/>
                <w:color w:val="auto"/>
              </w:rPr>
            </w:pPr>
            <w:r>
              <w:rPr>
                <w:rFonts w:ascii="Arial" w:cs="Arial" w:eastAsia="Arial" w:hAnsi="Arial"/>
                <w:sz w:val="18"/>
                <w:szCs w:val="18"/>
                <w:color w:val="auto"/>
              </w:rPr>
              <w:t>866</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Agricultural commodity</w:t>
            </w:r>
          </w:p>
        </w:tc>
        <w:tc>
          <w:tcPr>
            <w:tcW w:w="1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941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862</w:t>
            </w: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Energy</w:t>
            </w:r>
          </w:p>
        </w:tc>
        <w:tc>
          <w:tcPr>
            <w:tcW w:w="1980" w:type="dxa"/>
            <w:vAlign w:val="bottom"/>
            <w:gridSpan w:val="4"/>
          </w:tcPr>
          <w:p>
            <w:pPr>
              <w:jc w:val="right"/>
              <w:ind w:right="260"/>
              <w:spacing w:after="0"/>
              <w:rPr>
                <w:sz w:val="20"/>
                <w:szCs w:val="20"/>
                <w:color w:val="auto"/>
              </w:rPr>
            </w:pPr>
            <w:r>
              <w:rPr>
                <w:rFonts w:ascii="Arial" w:cs="Arial" w:eastAsia="Arial" w:hAnsi="Arial"/>
                <w:sz w:val="18"/>
                <w:szCs w:val="18"/>
                <w:color w:val="auto"/>
              </w:rPr>
              <w:t>1,657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1,689</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w:t>
            </w:r>
          </w:p>
        </w:tc>
        <w:tc>
          <w:tcPr>
            <w:tcW w:w="1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020" w:type="dxa"/>
            <w:vAlign w:val="bottom"/>
            <w:gridSpan w:val="3"/>
            <w:vMerge w:val="restart"/>
          </w:tcPr>
          <w:p>
            <w:pPr>
              <w:spacing w:after="0"/>
              <w:rPr>
                <w:sz w:val="20"/>
                <w:szCs w:val="20"/>
                <w:color w:val="auto"/>
              </w:rPr>
            </w:pPr>
            <w:r>
              <w:rPr>
                <w:rFonts w:ascii="Arial" w:cs="Arial" w:eastAsia="Arial" w:hAnsi="Arial"/>
                <w:sz w:val="18"/>
                <w:szCs w:val="18"/>
                <w:color w:val="auto"/>
              </w:rPr>
              <w:t>Aggregate average daily volume</w:t>
            </w:r>
          </w:p>
        </w:tc>
        <w:tc>
          <w:tcPr>
            <w:tcW w:w="11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4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221"/>
        </w:trPr>
        <w:tc>
          <w:tcPr>
            <w:tcW w:w="5020" w:type="dxa"/>
            <w:vAlign w:val="bottom"/>
            <w:gridSpan w:val="3"/>
            <w:vMerge w:val="continue"/>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11,550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12,217</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10,263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Daily Volume by Venue: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Electronic</w:t>
            </w:r>
          </w:p>
        </w:tc>
        <w:tc>
          <w:tcPr>
            <w:tcW w:w="1980" w:type="dxa"/>
            <w:vAlign w:val="bottom"/>
            <w:gridSpan w:val="4"/>
          </w:tcPr>
          <w:p>
            <w:pPr>
              <w:jc w:val="right"/>
              <w:ind w:right="260"/>
              <w:spacing w:after="0"/>
              <w:rPr>
                <w:sz w:val="20"/>
                <w:szCs w:val="20"/>
                <w:color w:val="auto"/>
              </w:rPr>
            </w:pPr>
            <w:r>
              <w:rPr>
                <w:rFonts w:ascii="Arial" w:cs="Arial" w:eastAsia="Arial" w:hAnsi="Arial"/>
                <w:sz w:val="18"/>
                <w:szCs w:val="18"/>
                <w:color w:val="auto"/>
              </w:rPr>
              <w:t>9,574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10,168</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 outcry</w:t>
            </w:r>
          </w:p>
        </w:tc>
        <w:tc>
          <w:tcPr>
            <w:tcW w:w="1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1,327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1,396</w:t>
            </w: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Privately negotiated</w:t>
            </w:r>
          </w:p>
        </w:tc>
        <w:tc>
          <w:tcPr>
            <w:tcW w:w="118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181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exchange-traded volume</w:t>
            </w:r>
          </w:p>
        </w:tc>
        <w:tc>
          <w:tcPr>
            <w:tcW w:w="1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11,082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11,754</w:t>
            </w: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Total CME ClearPort</w:t>
            </w:r>
          </w:p>
        </w:tc>
        <w:tc>
          <w:tcPr>
            <w:tcW w:w="118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468</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average daily volume</w:t>
            </w:r>
          </w:p>
        </w:tc>
        <w:tc>
          <w:tcPr>
            <w:tcW w:w="1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11,550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12,217</w:t>
            </w: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2"/>
        </w:trPr>
        <w:tc>
          <w:tcPr>
            <w:tcW w:w="5020" w:type="dxa"/>
            <w:vAlign w:val="bottom"/>
            <w:gridSpan w:val="3"/>
          </w:tcPr>
          <w:p>
            <w:pPr>
              <w:spacing w:after="0"/>
              <w:rPr>
                <w:sz w:val="20"/>
                <w:szCs w:val="20"/>
                <w:color w:val="auto"/>
              </w:rPr>
            </w:pPr>
            <w:r>
              <w:rPr>
                <w:rFonts w:ascii="Arial" w:cs="Arial" w:eastAsia="Arial" w:hAnsi="Arial"/>
                <w:sz w:val="18"/>
                <w:szCs w:val="18"/>
                <w:color w:val="auto"/>
              </w:rPr>
              <w:t>Electronic Volume as a Percentage of Total Volume</w:t>
            </w:r>
          </w:p>
        </w:tc>
        <w:tc>
          <w:tcPr>
            <w:tcW w:w="1980" w:type="dxa"/>
            <w:vAlign w:val="bottom"/>
            <w:gridSpan w:val="4"/>
          </w:tcPr>
          <w:p>
            <w:pPr>
              <w:jc w:val="right"/>
              <w:ind w:right="100"/>
              <w:spacing w:after="0"/>
              <w:rPr>
                <w:sz w:val="20"/>
                <w:szCs w:val="20"/>
                <w:color w:val="auto"/>
              </w:rPr>
            </w:pPr>
            <w:r>
              <w:rPr>
                <w:rFonts w:ascii="Arial" w:cs="Arial" w:eastAsia="Arial" w:hAnsi="Arial"/>
                <w:sz w:val="18"/>
                <w:szCs w:val="18"/>
                <w:color w:val="auto"/>
              </w:rPr>
              <w:t>83%</w:t>
            </w:r>
          </w:p>
        </w:tc>
        <w:tc>
          <w:tcPr>
            <w:tcW w:w="1080" w:type="dxa"/>
            <w:vAlign w:val="bottom"/>
            <w:gridSpan w:val="5"/>
          </w:tcPr>
          <w:p>
            <w:pPr>
              <w:jc w:val="right"/>
              <w:ind w:right="260"/>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83%</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interest rate products.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Quarter Ended</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Nine Months Ended</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1"/>
              </w:rPr>
              <w:t>Change</w:t>
            </w:r>
          </w:p>
        </w:tc>
        <w:tc>
          <w:tcPr>
            <w:tcW w:w="120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90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2"/>
              </w:rPr>
              <w:t>Eurodollar futures</w:t>
            </w:r>
          </w:p>
        </w:tc>
        <w:tc>
          <w:tcPr>
            <w:tcW w:w="5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1,639</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1,815</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1,977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1,743</w:t>
            </w: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Eurodollar options</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646</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645</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733</w:t>
            </w:r>
          </w:p>
        </w:tc>
        <w:tc>
          <w:tcPr>
            <w:tcW w:w="460" w:type="dxa"/>
            <w:vAlign w:val="bottom"/>
          </w:tcPr>
          <w:p>
            <w:pPr>
              <w:jc w:val="right"/>
              <w:spacing w:after="0"/>
              <w:rPr>
                <w:sz w:val="20"/>
                <w:szCs w:val="20"/>
                <w:color w:val="auto"/>
              </w:rPr>
            </w:pPr>
            <w:r>
              <w:rPr>
                <w:rFonts w:ascii="Arial" w:cs="Arial" w:eastAsia="Arial" w:hAnsi="Arial"/>
                <w:sz w:val="18"/>
                <w:szCs w:val="18"/>
                <w:color w:val="auto"/>
              </w:rPr>
              <w:t>655</w:t>
            </w:r>
          </w:p>
        </w:tc>
        <w:tc>
          <w:tcPr>
            <w:tcW w:w="940" w:type="dxa"/>
            <w:vAlign w:val="bottom"/>
            <w:gridSpan w:val="3"/>
          </w:tcPr>
          <w:p>
            <w:pPr>
              <w:ind w:left="5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futures and options: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10-Year</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1,470</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938</w:t>
            </w: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1,370</w:t>
            </w:r>
          </w:p>
        </w:tc>
        <w:tc>
          <w:tcPr>
            <w:tcW w:w="460" w:type="dxa"/>
            <w:vAlign w:val="bottom"/>
          </w:tcPr>
          <w:p>
            <w:pPr>
              <w:jc w:val="right"/>
              <w:spacing w:after="0"/>
              <w:rPr>
                <w:sz w:val="20"/>
                <w:szCs w:val="20"/>
                <w:color w:val="auto"/>
              </w:rPr>
            </w:pPr>
            <w:r>
              <w:rPr>
                <w:rFonts w:ascii="Arial" w:cs="Arial" w:eastAsia="Arial" w:hAnsi="Arial"/>
                <w:sz w:val="18"/>
                <w:szCs w:val="18"/>
                <w:color w:val="auto"/>
              </w:rPr>
              <w:t>893</w:t>
            </w:r>
          </w:p>
        </w:tc>
        <w:tc>
          <w:tcPr>
            <w:tcW w:w="940" w:type="dxa"/>
            <w:vAlign w:val="bottom"/>
            <w:gridSpan w:val="3"/>
          </w:tcPr>
          <w:p>
            <w:pPr>
              <w:ind w:left="5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5-Year</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30-Year</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402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299</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385</w:t>
            </w:r>
          </w:p>
        </w:tc>
        <w:tc>
          <w:tcPr>
            <w:tcW w:w="460" w:type="dxa"/>
            <w:vAlign w:val="bottom"/>
          </w:tcPr>
          <w:p>
            <w:pPr>
              <w:jc w:val="right"/>
              <w:spacing w:after="0"/>
              <w:rPr>
                <w:sz w:val="20"/>
                <w:szCs w:val="20"/>
                <w:color w:val="auto"/>
              </w:rPr>
            </w:pPr>
            <w:r>
              <w:rPr>
                <w:rFonts w:ascii="Arial" w:cs="Arial" w:eastAsia="Arial" w:hAnsi="Arial"/>
                <w:sz w:val="18"/>
                <w:szCs w:val="18"/>
                <w:color w:val="auto"/>
              </w:rPr>
              <w:t>287</w:t>
            </w:r>
          </w:p>
        </w:tc>
        <w:tc>
          <w:tcPr>
            <w:tcW w:w="940" w:type="dxa"/>
            <w:vAlign w:val="bottom"/>
            <w:gridSpan w:val="3"/>
          </w:tcPr>
          <w:p>
            <w:pPr>
              <w:ind w:left="5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2-Year</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The overall improvement in the economic environment in 2010 following the credit crisis contributed to the increase in interest rate product volume in the first nine months of 2010 compared with the same period in 2009. The improving macroeconomic conditions led to changing expectations of U.S. Treasury rates as well as increased market participants’ use of these products, which contributed to an increase in volume.</w:t>
      </w:r>
    </w:p>
    <w:p>
      <w:pPr>
        <w:spacing w:after="0" w:line="10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During the third quarter of 2010, the overall increase in volume was primarily due to changing market expectations about interest rate increases based on a continued zero interest rate policy in the United States. The market now believes that increases in short-term U.S. interest rates are less likely to occur in the near future. This shift in expectations has led to an increase in volume for longer-term U.S. Treasury products and a decrease in volume for short-term Eurodollar products in the third quarter of 2010 when compared with the same period of 2009. There was also strong growth in Treasury options, as customers increased their trading volumes particularly in the 10-year and 30-year Treasury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equity products.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Nine Months Ended</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20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96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6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E-mini S&amp;P futures and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2,190</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2,066</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2,392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2,396</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E-mini NASDAQ futures and options</w:t>
            </w:r>
          </w:p>
        </w:tc>
        <w:tc>
          <w:tcPr>
            <w:tcW w:w="460" w:type="dxa"/>
            <w:vAlign w:val="bottom"/>
          </w:tcPr>
          <w:p>
            <w:pPr>
              <w:jc w:val="right"/>
              <w:spacing w:after="0"/>
              <w:rPr>
                <w:sz w:val="20"/>
                <w:szCs w:val="20"/>
                <w:color w:val="auto"/>
              </w:rPr>
            </w:pPr>
            <w:r>
              <w:rPr>
                <w:rFonts w:ascii="Arial" w:cs="Arial" w:eastAsia="Arial" w:hAnsi="Arial"/>
                <w:sz w:val="18"/>
                <w:szCs w:val="18"/>
                <w:color w:val="auto"/>
              </w:rPr>
              <w:t>328</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300</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9</w:t>
            </w:r>
          </w:p>
        </w:tc>
        <w:tc>
          <w:tcPr>
            <w:tcW w:w="38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335</w:t>
            </w:r>
          </w:p>
        </w:tc>
        <w:tc>
          <w:tcPr>
            <w:tcW w:w="460" w:type="dxa"/>
            <w:vAlign w:val="bottom"/>
          </w:tcPr>
          <w:p>
            <w:pPr>
              <w:jc w:val="right"/>
              <w:spacing w:after="0"/>
              <w:rPr>
                <w:sz w:val="20"/>
                <w:szCs w:val="20"/>
                <w:color w:val="auto"/>
              </w:rPr>
            </w:pPr>
            <w:r>
              <w:rPr>
                <w:rFonts w:ascii="Arial" w:cs="Arial" w:eastAsia="Arial" w:hAnsi="Arial"/>
                <w:sz w:val="18"/>
                <w:szCs w:val="18"/>
                <w:color w:val="auto"/>
              </w:rPr>
              <w:t>319</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We believe the increase in equity product volume for the third quarter of 2010 when compared with the same period in 2009 is attributable to an improved economic outlook. Equity volume has decreased in the third quarter 2010 when compared with the first six months of 2010 largely due to high periods of volatility during the second quarter of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the increase in volume is attributable to the weakening of the U.S. dollar compared with other major foreign currencies due to the extended zero interest rate policy. This has resulted in increased volatility with other major foreign currencies, which contributed to increased trading activity. In addition, our cross-sell efforts to market participants in other asset classes contributed to growth in volume. The increase in euro products largely contributed to the increase in volume. Euro product volume increased by 46% and 72% to an average of 0.3 million and 0.4 million contracts per day in the third quarter and first nine months of 2010,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believe that the increase in average daily volume for commodity products in the third quarter of 2010 and the first nine months of 2010 when compared with the same periods in 2009 was attributable to increased volatility associated with changes in global supply and demand.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Nine Months</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1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Quarter Ended</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1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1"/>
              </w:rPr>
              <w:t>Change</w:t>
            </w: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860" w:type="dxa"/>
            <w:vAlign w:val="bottom"/>
            <w:gridSpan w:val="3"/>
            <w:vMerge w:val="continue"/>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7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 futures and options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Natural gas futures and options</w:t>
            </w:r>
          </w:p>
        </w:tc>
        <w:tc>
          <w:tcPr>
            <w:tcW w:w="360" w:type="dxa"/>
            <w:vAlign w:val="bottom"/>
          </w:tcPr>
          <w:p>
            <w:pPr>
              <w:jc w:val="right"/>
              <w:spacing w:after="0"/>
              <w:rPr>
                <w:sz w:val="20"/>
                <w:szCs w:val="20"/>
                <w:color w:val="auto"/>
              </w:rPr>
            </w:pPr>
            <w:r>
              <w:rPr>
                <w:rFonts w:ascii="Arial" w:cs="Arial" w:eastAsia="Arial" w:hAnsi="Arial"/>
                <w:sz w:val="18"/>
                <w:szCs w:val="18"/>
                <w:color w:val="auto"/>
              </w:rPr>
              <w:t>501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4</w:t>
            </w:r>
          </w:p>
        </w:tc>
        <w:tc>
          <w:tcPr>
            <w:tcW w:w="340" w:type="dxa"/>
            <w:vAlign w:val="bottom"/>
          </w:tcPr>
          <w:p>
            <w:pPr>
              <w:jc w:val="right"/>
              <w:spacing w:after="0"/>
              <w:rPr>
                <w:sz w:val="20"/>
                <w:szCs w:val="20"/>
                <w:color w:val="auto"/>
              </w:rPr>
            </w:pPr>
            <w:r>
              <w:rPr>
                <w:rFonts w:ascii="Arial" w:cs="Arial" w:eastAsia="Arial" w:hAnsi="Arial"/>
                <w:sz w:val="18"/>
                <w:szCs w:val="18"/>
                <w:color w:val="auto"/>
              </w:rPr>
              <w:t>489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believe the increase in average daily volume in the third quarter and first nine months of 2010 when compared with the same periods in 2009 was primarily attributable to improving macroeconomic conditions.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9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believe that the increase in metal product volume in 2010 was attributable to increased investment in precious metals as an asset class during periods of uncertainty in interest rates and foreign exchange.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The average rate per contract decreased in the third quarter and first nine months of 2010 when compared with the same periods in 2009 due to an increase in member trading volume, which increased faster than non-member trading in the third quarter and first nine months of 2010. In addition, the average rate per contract decreased in the third quarter of 2010 when compared with the same period in the prior year due to higher tier discounts.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As of September 30, 2010, we had approximately 70 active clearing firms. One firm represented 11% of our clearing and transaction fees revenue in the first nine months of 2010. No other firm represented more than 10% of our clearing and transaction fees revenue in the first nine months of 2010. Should a clearing firm withdraw, we believe that the customer portion of the firm’s trading activity would likely transfer to another clearing firm of the exchange. Therefore, we do not believe we are exposed to significant risk from the loss of revenue received from a particular clearing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Beginning March 19, 2010, market data and information services revenue includes market data and licensing revenue from Index Services. The increase in revenue was primarily attributable to Index Services.</w:t>
      </w:r>
    </w:p>
    <w:p>
      <w:pPr>
        <w:spacing w:after="0" w:line="132"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increase in market data and information services revenue during the third quarter and first nine months of 2010 was also attributable to an increase in the basic device monthly fee. The increase was offset by the decrease in basic device counts due primarily to cost-cutting initiatives at customer firms.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w w:val="90"/>
              </w:rPr>
              <w:t>Quarter Ended</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left="24"/>
              <w:spacing w:after="0"/>
              <w:rPr>
                <w:sz w:val="20"/>
                <w:szCs w:val="20"/>
                <w:color w:val="auto"/>
              </w:rPr>
            </w:pPr>
            <w:r>
              <w:rPr>
                <w:rFonts w:ascii="Arial" w:cs="Arial" w:eastAsia="Arial" w:hAnsi="Arial"/>
                <w:sz w:val="14"/>
                <w:szCs w:val="14"/>
                <w:b w:val="1"/>
                <w:bCs w:val="1"/>
                <w:color w:val="auto"/>
                <w:w w:val="91"/>
              </w:rPr>
              <w:t>Nine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 except monthly fee per device)</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22"/>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24"/>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42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4"/>
              <w:spacing w:after="0" w:line="142" w:lineRule="exact"/>
              <w:rPr>
                <w:sz w:val="20"/>
                <w:szCs w:val="20"/>
                <w:color w:val="auto"/>
              </w:rPr>
            </w:pPr>
            <w:r>
              <w:rPr>
                <w:rFonts w:ascii="Arial" w:cs="Arial" w:eastAsia="Arial" w:hAnsi="Arial"/>
                <w:sz w:val="14"/>
                <w:szCs w:val="14"/>
                <w:b w:val="1"/>
                <w:bCs w:val="1"/>
                <w:color w:val="auto"/>
              </w:rPr>
              <w:t>2010</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estimated monthly basic device screen count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384,000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(17,000)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385,000</w:t>
            </w:r>
          </w:p>
        </w:tc>
        <w:tc>
          <w:tcPr>
            <w:tcW w:w="13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415,000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Basic device monthly fee per device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44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increase (decrease) in revenues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Due to an increase in monthly fee per device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Due to a decrease in screen counts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The two largest resellers of our market data represented approximately 46% of our market data and information services revenue in the first nine months of 2010.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quotation data fees directly to us.</w:t>
      </w:r>
    </w:p>
    <w:p>
      <w:pPr>
        <w:spacing w:after="0" w:line="9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the third quarter of 2010 when compared with the same period in 2009, other revenues increased primarily due to $5.1 million of revenue generated through our agreement with BM&amp;FBOVESPA S.A. (BM&amp;FBOVESPA) to develop a new multi-asset class electronic trading platform. During the first nine months of 2010 when compared with the same period in 2009, a decline in trading revenues generated by GFX Corporation (GFX) of $6.6 million resulting from lower trading activity and narrower trading margins contributed to the decrease in other revenues. The decline in the first nine months of 2010 was partially offset by an increase in revenue attributable to the BM&amp;FBOVESPA agreement of $5.6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8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Nine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020" w:type="dxa"/>
            <w:vAlign w:val="bottom"/>
          </w:tcPr>
          <w:p>
            <w:pPr>
              <w:spacing w:after="0"/>
              <w:rPr>
                <w:sz w:val="14"/>
                <w:szCs w:val="14"/>
                <w:color w:val="auto"/>
              </w:rPr>
            </w:pPr>
          </w:p>
        </w:tc>
        <w:tc>
          <w:tcPr>
            <w:tcW w:w="128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740" w:type="dxa"/>
            <w:vAlign w:val="bottom"/>
            <w:gridSpan w:val="3"/>
            <w:vMerge w:val="continue"/>
          </w:tcPr>
          <w:p>
            <w:pPr>
              <w:spacing w:after="0"/>
              <w:rPr>
                <w:sz w:val="12"/>
                <w:szCs w:val="12"/>
                <w:color w:val="auto"/>
              </w:rPr>
            </w:pPr>
          </w:p>
        </w:tc>
        <w:tc>
          <w:tcPr>
            <w:tcW w:w="202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$ 110.4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$312.3</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$ 262.0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2800" w:type="dxa"/>
            <w:vAlign w:val="bottom"/>
            <w:gridSpan w:val="3"/>
          </w:tcPr>
          <w:p>
            <w:pPr>
              <w:jc w:val="right"/>
              <w:ind w:right="28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(15)</w:t>
            </w:r>
          </w:p>
        </w:tc>
        <w:tc>
          <w:tcPr>
            <w:tcW w:w="500" w:type="dxa"/>
            <w:vAlign w:val="bottom"/>
          </w:tcPr>
          <w:p>
            <w:pPr>
              <w:jc w:val="right"/>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35.5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2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Professional fees and outside services</w:t>
            </w:r>
          </w:p>
        </w:tc>
        <w:tc>
          <w:tcPr>
            <w:tcW w:w="2800" w:type="dxa"/>
            <w:vAlign w:val="bottom"/>
            <w:gridSpan w:val="3"/>
          </w:tcPr>
          <w:p>
            <w:pPr>
              <w:jc w:val="right"/>
              <w:ind w:right="28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17.9</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46</w:t>
            </w:r>
          </w:p>
        </w:tc>
        <w:tc>
          <w:tcPr>
            <w:tcW w:w="500" w:type="dxa"/>
            <w:vAlign w:val="bottom"/>
          </w:tcPr>
          <w:p>
            <w:pPr>
              <w:jc w:val="right"/>
              <w:spacing w:after="0"/>
              <w:rPr>
                <w:sz w:val="20"/>
                <w:szCs w:val="20"/>
                <w:color w:val="auto"/>
              </w:rPr>
            </w:pPr>
            <w:r>
              <w:rPr>
                <w:rFonts w:ascii="Arial" w:cs="Arial" w:eastAsia="Arial" w:hAnsi="Arial"/>
                <w:sz w:val="18"/>
                <w:szCs w:val="18"/>
                <w:color w:val="auto"/>
              </w:rPr>
              <w:t>82.5</w:t>
            </w:r>
          </w:p>
        </w:tc>
        <w:tc>
          <w:tcPr>
            <w:tcW w:w="3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61.9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2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gridSpan w:val="3"/>
          </w:tcPr>
          <w:p>
            <w:pPr>
              <w:jc w:val="right"/>
              <w:ind w:right="28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32.3</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98.1</w:t>
            </w:r>
          </w:p>
        </w:tc>
        <w:tc>
          <w:tcPr>
            <w:tcW w:w="3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93.4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2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Licensing and other fee agreements</w:t>
            </w:r>
          </w:p>
        </w:tc>
        <w:tc>
          <w:tcPr>
            <w:tcW w:w="2800" w:type="dxa"/>
            <w:vAlign w:val="bottom"/>
            <w:gridSpan w:val="3"/>
          </w:tcPr>
          <w:p>
            <w:pPr>
              <w:jc w:val="right"/>
              <w:ind w:right="28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21.2</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62.8</w:t>
            </w:r>
          </w:p>
        </w:tc>
        <w:tc>
          <w:tcPr>
            <w:tcW w:w="3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67.5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2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68</w:t>
            </w:r>
          </w:p>
        </w:tc>
        <w:tc>
          <w:tcPr>
            <w:tcW w:w="500" w:type="dxa"/>
            <w:vAlign w:val="bottom"/>
          </w:tcPr>
          <w:p>
            <w:pPr>
              <w:jc w:val="right"/>
              <w:spacing w:after="0"/>
              <w:rPr>
                <w:sz w:val="20"/>
                <w:szCs w:val="20"/>
                <w:color w:val="auto"/>
              </w:rPr>
            </w:pPr>
            <w:r>
              <w:rPr>
                <w:rFonts w:ascii="Arial" w:cs="Arial" w:eastAsia="Arial" w:hAnsi="Arial"/>
                <w:sz w:val="18"/>
                <w:szCs w:val="18"/>
                <w:color w:val="auto"/>
              </w:rPr>
              <w:t>91.2</w:t>
            </w:r>
          </w:p>
        </w:tc>
        <w:tc>
          <w:tcPr>
            <w:tcW w:w="3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46.7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249.0</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867.8</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$ 758.7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Operating expenses increased by $41.5 million and $109.1 million in the third quarter and first nine months of 2010, respectively, when compared with the same periods in 2009. The following table shows the estimated impact of key factors resulting in the increase (decrease) in operating expenses.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2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w w:val="90"/>
              </w:rPr>
              <w:t>Quarter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September 30, 2010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Change as a</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Change as a</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Amount of</w:t>
            </w:r>
          </w:p>
        </w:tc>
        <w:tc>
          <w:tcPr>
            <w:tcW w:w="68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3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Amount of</w:t>
            </w:r>
          </w:p>
        </w:tc>
        <w:tc>
          <w:tcPr>
            <w:tcW w:w="7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61"/>
        </w:trPr>
        <w:tc>
          <w:tcPr>
            <w:tcW w:w="608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4"/>
                <w:szCs w:val="14"/>
                <w:b w:val="1"/>
                <w:bCs w:val="1"/>
                <w:color w:val="auto"/>
                <w:w w:val="81"/>
              </w:rPr>
              <w:t>Change</w:t>
            </w:r>
          </w:p>
        </w:tc>
        <w:tc>
          <w:tcPr>
            <w:tcW w:w="68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Total Expenses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1"/>
              </w:rPr>
              <w:t>Change</w:t>
            </w:r>
          </w:p>
        </w:tc>
        <w:tc>
          <w:tcPr>
            <w:tcW w:w="7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Total Expenses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benefits and employer taxes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Bonus expense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22.4</w:t>
            </w:r>
          </w:p>
        </w:tc>
        <w:tc>
          <w:tcPr>
            <w:tcW w:w="176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goodwill and trade name impairment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Professional fees related to Index Services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w:t>
            </w:r>
          </w:p>
        </w:tc>
        <w:tc>
          <w:tcPr>
            <w:tcW w:w="176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and travel expense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Customer and legal accruals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176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41.5</w:t>
            </w: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17%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109.1</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An increase in average headcount primarily due to Index Services as well as salary increases and rising healthcare costs contributed to the rise in salaries, benefits and employer taxes.</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increase in our bonus expense in the third quarter and first nine months of 2010 was due to improved performance relative to our 2010 cash earnings target compared with 2009 relative to our 2009 cash earnings target.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Impairment charges on goodwill and trade name related to our CMA operations in the second quarter of 2010 led to an increase in other expenses in the first nine months of 2010.</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Costs incurred for Index Services led to an increase in professional fee expenses in the first nine months of 2010 when compared with the same period in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included $10.3 million of professional and legal fees incurred for the formation of Index Services.</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Global expansion and establishment of strategic partnerships contributed to an increase in marketing and travel expenses in the third quarter and first nine months of 2010.</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Expenses increased in the third quarter and first nine months of 2010 due to additional customer settlements and additional accruals for various legal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540" w:type="dxa"/>
            <w:vAlign w:val="bottom"/>
            <w:gridSpan w:val="4"/>
          </w:tcPr>
          <w:p>
            <w:pPr>
              <w:ind w:left="180"/>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0"/>
              </w:rPr>
              <w:t>Nine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6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540" w:type="dxa"/>
            <w:vAlign w:val="bottom"/>
            <w:gridSpan w:val="4"/>
          </w:tcPr>
          <w:p>
            <w:pPr>
              <w:ind w:left="22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1"/>
              </w:rPr>
              <w:t>Change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660" w:type="dxa"/>
            <w:vAlign w:val="bottom"/>
            <w:gridSpan w:val="3"/>
            <w:vMerge w:val="continue"/>
          </w:tcPr>
          <w:p>
            <w:pPr>
              <w:spacing w:after="0"/>
              <w:rPr>
                <w:sz w:val="12"/>
                <w:szCs w:val="12"/>
                <w:color w:val="auto"/>
              </w:rPr>
            </w:pPr>
          </w:p>
        </w:tc>
        <w:tc>
          <w:tcPr>
            <w:tcW w:w="4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$ 12.6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$ 10.5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Impairment of long-term investment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(22.4)</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(losses) on derivative investments</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Securities lending interest income</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interest and other costs</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Interest and other borrowing costs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(35.9)</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(105.2)</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(103.2)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unconsolidated subsidiaries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Non-Operating</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(27.2)</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(45.6)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(105.4)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increase in investment income during the first nine months of 2010 when compared with the same periods in 2009 was largely attributable to a $13.0 million increase in dividend income from our investments in BM&amp;FBOVESPA, TMX Group Inc. and Bolsa Mexicana de Valores, S.A.B. de C.V. The increase was partially offset by a $4.1 million decrease in interest income as a result of lower average investment balances. In addition, gains on marketable securities related to our non-qualified deferred compensation plans declined by $3.2 million. Gains and losses from these non-qualified deferred compensation plan securities are offset by an equal amount of compensation and benefits expense. During the third quarter of 2010 when compared with the same period in 2009, investment income increased largely due to an increase in dividend income from our investment in BM&amp;FBOVESPA.</w:t>
      </w:r>
    </w:p>
    <w:p>
      <w:pPr>
        <w:spacing w:after="0" w:line="12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As of September 30, 2009, we determined that our investment in IMAREX was impaired due to an extended and significant decline in the market price of its stock. As a result, we recognized an impairment charge of $22.4 million in the third quarter of 2009.</w:t>
      </w:r>
    </w:p>
    <w:p>
      <w:pPr>
        <w:spacing w:after="0" w:line="132"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 March 2010, we recognized a $6.0 million gain on derivative investments as a result of a settlement from the Lehman Brothers bankruptcy proceedings. The settlement related to an unsecured claim tied to a derivative contract that we terminated in September 2008 when Lehman Brothers filed for bankruptcy.</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On March 18, 2010, we issued $612.5 million of 4.40% fixed rate notes due 2018, resulting in an increase in average effective yield and total cost of borrowing.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0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80" w:type="dxa"/>
            <w:vAlign w:val="bottom"/>
          </w:tcPr>
          <w:p>
            <w:pPr>
              <w:spacing w:after="0"/>
              <w:rPr>
                <w:sz w:val="14"/>
                <w:szCs w:val="14"/>
                <w:color w:val="auto"/>
              </w:rPr>
            </w:pPr>
          </w:p>
        </w:tc>
        <w:tc>
          <w:tcPr>
            <w:tcW w:w="20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1"/>
              </w:rPr>
              <w:t>Change</w:t>
            </w:r>
          </w:p>
        </w:tc>
        <w:tc>
          <w:tcPr>
            <w:tcW w:w="120" w:type="dxa"/>
            <w:vAlign w:val="bottom"/>
          </w:tcPr>
          <w:p>
            <w:pPr>
              <w:spacing w:after="0"/>
              <w:rPr>
                <w:sz w:val="14"/>
                <w:szCs w:val="14"/>
                <w:color w:val="auto"/>
              </w:rPr>
            </w:pPr>
          </w:p>
        </w:tc>
        <w:tc>
          <w:tcPr>
            <w:tcW w:w="19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6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borrowings outstanding (in millions)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$2,653.7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$2,640.6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$ 13.1</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$2,713.6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$2,987.2</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Weighted average effective yield</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4.51%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0.57%</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4.90%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borrowing (1)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4.80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620" w:right="3740" w:hanging="5612"/>
        <w:spacing w:after="0" w:line="440" w:lineRule="auto"/>
        <w:tabs>
          <w:tab w:leader="none" w:pos="4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cost of borrowing includes interest, commitment fees, discount accretion and debt issuance costs. 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increase in equity in losses of unconsolidated subsidiaries in the third quarter and first nine months of 2010 when compared with the same periods in 2009 is largely attributable to the $2.2 million impairment charge on our investment in OneChicago,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2010</w:t>
            </w:r>
          </w:p>
        </w:tc>
        <w:tc>
          <w:tcPr>
            <w:tcW w:w="6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2009</w:t>
            </w:r>
          </w:p>
        </w:tc>
        <w:tc>
          <w:tcPr>
            <w:tcW w:w="6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r>
      <w:tr>
        <w:trPr>
          <w:trHeight w:val="20"/>
        </w:trPr>
        <w:tc>
          <w:tcPr>
            <w:tcW w:w="6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41.2%</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43.1%</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(1.9)%</w:t>
            </w: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Nine months ended September 30</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41.6</w:t>
            </w:r>
          </w:p>
        </w:tc>
        <w:tc>
          <w:tcPr>
            <w:tcW w:w="60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42.4</w:t>
            </w: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(0.8)</w:t>
            </w:r>
          </w:p>
        </w:tc>
      </w:tr>
    </w:tbl>
    <w:p>
      <w:pPr>
        <w:spacing w:after="0" w:line="147" w:lineRule="exact"/>
        <w:rPr>
          <w:sz w:val="20"/>
          <w:szCs w:val="20"/>
          <w:color w:val="auto"/>
        </w:rPr>
      </w:pPr>
    </w:p>
    <w:p>
      <w:pPr>
        <w:ind w:right="760"/>
        <w:spacing w:after="0" w:line="370" w:lineRule="auto"/>
        <w:rPr>
          <w:sz w:val="20"/>
          <w:szCs w:val="20"/>
          <w:color w:val="auto"/>
        </w:rPr>
      </w:pPr>
      <w:r>
        <w:rPr>
          <w:rFonts w:ascii="Arial" w:cs="Arial" w:eastAsia="Arial" w:hAnsi="Arial"/>
          <w:sz w:val="15"/>
          <w:szCs w:val="15"/>
          <w:color w:val="auto"/>
        </w:rPr>
        <w:t>The decrease in the effective tax rate in the third quarter of 2010 and first nine months of 2010 when compared with the same periods of 2009 is largely attributable to an additional valuation allowance of $5.8 million recognized in 2009 related to an impairment charge on our investment in IMAREX.</w:t>
      </w:r>
    </w:p>
    <w:p>
      <w:pPr>
        <w:spacing w:after="0" w:line="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to the additional valuation allowance recorded on our investment in IMAREX, the decrease in the effective tax rate for the first nine months of 2010 was also due to a $6.4 million reduction in the liability for uncertain tax positions recorded in the first quarter of 2010. The decrease in the effective tax rate in the first nine months of 2010 was partially offset by an increase resulting from the establishment of a valuation allowance for the tax benefit associated with CMA’s goodwill and trade name impairment in the second quarter of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u w:val="single" w:color="auto"/>
          <w:color w:val="auto"/>
        </w:rPr>
        <w:t>Sources and Uses of Cash</w:t>
      </w:r>
      <w:r>
        <w:rPr>
          <w:rFonts w:ascii="Arial" w:cs="Arial" w:eastAsia="Arial" w:hAnsi="Arial"/>
          <w:sz w:val="18"/>
          <w:szCs w:val="18"/>
          <w:color w:val="auto"/>
        </w:rPr>
        <w:t>. Net cash provided by operating activities was $963.0 million for the first nine months of 2010 compared with $737.8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2009. The increase in net cash provided by operating activities was due primarily to higher trading volumes and increased profitability. In the first nine months of 2010, net cash provided by operating activities was $207.3 million higher than net income. This increase was primarily the result of depreciation and amortization expense of $98.1 million and amortization of purchased intangibles of $95.5 million. The increase was offset by an increase in accounts receivable of $63.9 million. Accounts receivable in any period result primarily from the clearing and transaction fees billed in the last month of the reporting period.</w:t>
      </w:r>
    </w:p>
    <w:p>
      <w:pPr>
        <w:spacing w:after="0" w:line="14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Cash used in investing activities was $68.7 million in the first nine months of 2010 compared with cash provided by investing activities of $539.4 million in the first nine months of 2009. The increase in cash used was largely attributable to the termination of the NYMEX securities lending program in 2009 as well as the decrease in proceeds from marketable securities, net of purchases, of $227.9 million.</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used in financing activities was $586.7 million in the first nine months of 2010 compared with $1.4 billion for the same period in 2009. The decrease in cash used was primarily attributable to a decrease in commercial paper repayments, net of proceeds, proceeds from our share issuance to BM&amp;FBOVESPA as well as the termination of the NYMEX securities lending program in 2009. The decrease was partially offset by the distribution to Dow Jones of $607.5 million related to Index Services as well as an increase in share repurchases of $548.2 million. Share repurchases increased in an effort to offset most of the dilution associated with the issuance of shares to BM&amp;FBOVESPA.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color w:val="auto"/>
        </w:rPr>
        <w:t>. The following table summarizes our debt outstanding as of September 30, 2010:</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94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1820" w:type="dxa"/>
            <w:vAlign w:val="bottom"/>
            <w:gridSpan w:val="3"/>
          </w:tcPr>
          <w:p>
            <w:pPr>
              <w:ind w:left="1140"/>
              <w:spacing w:after="0"/>
              <w:rPr>
                <w:sz w:val="20"/>
                <w:szCs w:val="20"/>
                <w:color w:val="auto"/>
              </w:rPr>
            </w:pPr>
            <w:r>
              <w:rPr>
                <w:rFonts w:ascii="Arial" w:cs="Arial" w:eastAsia="Arial" w:hAnsi="Arial"/>
                <w:sz w:val="14"/>
                <w:szCs w:val="14"/>
                <w:b w:val="1"/>
                <w:bCs w:val="1"/>
                <w:color w:val="auto"/>
              </w:rPr>
              <w:t>Par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Term loan due 2011, interest equal to 3-month LIBOR plus 1.00% </w:t>
            </w:r>
            <w:r>
              <w:rPr>
                <w:rFonts w:ascii="Arial" w:cs="Arial" w:eastAsia="Arial" w:hAnsi="Arial"/>
                <w:sz w:val="11"/>
                <w:szCs w:val="11"/>
                <w:color w:val="auto"/>
              </w:rPr>
              <w:t>(1)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Fixed rate notes due August 2013, interest equal to 5.40%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rate notes due February 2014, interest equal to 5.75%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 xml:space="preserve">Fixed rate notes due March 2018, interest equal to 4.40% </w:t>
            </w:r>
            <w:r>
              <w:rPr>
                <w:rFonts w:ascii="Arial" w:cs="Arial" w:eastAsia="Arial" w:hAnsi="Arial"/>
                <w:sz w:val="11"/>
                <w:szCs w:val="11"/>
                <w:color w:val="auto"/>
              </w:rPr>
              <w:t>(2)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right="40" w:hanging="452"/>
        <w:spacing w:after="0" w:line="28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interest-rate swap agreement that modified the variable interest obligation associated with this loan so that the interest payable effectively became fixed at a rate of 4.72% beginning with the interest accrued after October 22, 2008.</w:t>
      </w:r>
    </w:p>
    <w:p>
      <w:pPr>
        <w:ind w:left="460" w:right="2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March 2010, we completed an unregistered offering of fixed rate notes due 2018. Net proceeds from the offering were used to fund a distribution to Dow Jones in conjunction with our investment in Index Services. In February 2010, the company entered into a forward-starting interest-rate swap agreement that modified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interest obligation associated with these notes so that the interest payable on the notes effectively became fixed at a rate of 4.46% beginning with the interest accrued after March 18, 2010.</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maintain a $1.4 billion senior credit facility with various financial institutions, including the $420.5 million term loan and a $945.5 million revolving credit facility. As long as we are not in default under the senior credit facility, we have the option to increase the facility from time to time by an aggregate amount of up to $1.1 billion, to a total of $2.5 billion, with the consent of the agent and the lenders providing the additional funds. The revolving credit facility expires on August 21, 2011. Any commercial paper outstanding would be backed by this revolving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2010, we have excess borrowing capacity for general corporate purposes of approximately $945.5 million.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a 364-day revolving line of credit with a consortium of banks to be used in certain situations by our clearing house. The line of credit provides for borrowings of up to $1.0 billion. This line of credit is collateralized by clearing firm security deposits held by us in the form of U.S. Treasury or agency securities, as well as security deposit funds in the Interest Earnings Facility and any performance bond deposits of a clearing firm that may default on its obligation. The line of credit can only be drawn on to the extent that it is collateralized. At September 30, 2010, security deposit collateral available was $2.2 billion. We have the option to request an increase in the line from $1.0 billion to $1.5 billion.</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indentures governing our floating and fixed rate notes, our 364-day revolving line of credit for $1.0 billion and our senior credit facility for $1.4 billion do not contain specific covenants that restrict the ability to pay dividends. These agreements, however, do contain other customary financial and operating covenants that place restrictions on the operations of the company, which could indirectly affect the ability to pay dividends.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Under our senior credit facility, we are required to maintain a consolidated net worth of at least $12.1 billion.</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addition, our 364-day revolving line of credit contains a requirement that CME remain in compliance with a consolidated tangible net worth test, defined as CME consolidated shareholder’s equity less intangible assets (as defined in the agreement), of not less than $125.0 million. In the event that CME elects to increase the facility, the minimum consolidated tangible net worth test will increase ratably up to $187.5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2010, we are in compliance with the various covenant requirements of all our debt facilities.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To satisfy our performance bond obligation with Singapore Exchange Limited, we may pledge CME-owned U.S. Treasury securities in lieu of, or in combination with, irrevocable letters of credit. At September 30, 2010, the letters of credit totaled $83.0 million. CME also guarantees a $5.0 million standby letter of credit for GFX. The beneficiary of this letter of credit is the clearing firm that is used by GFX to execute and maintain its futures position. The letter of credit would be utilized in the event that GFX defaults in meeting performance bond requirements to its clearing firm.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September 30, 2010:</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0"/>
              </w:rPr>
              <w:t>Short-Term</w:t>
            </w:r>
          </w:p>
        </w:tc>
        <w:tc>
          <w:tcPr>
            <w:tcW w:w="5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Rating Agency</w:t>
            </w:r>
          </w:p>
        </w:tc>
        <w:tc>
          <w:tcPr>
            <w:tcW w:w="57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Debt Rating</w:t>
            </w:r>
          </w:p>
        </w:tc>
        <w:tc>
          <w:tcPr>
            <w:tcW w:w="5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Debt Rating</w:t>
            </w:r>
          </w:p>
        </w:tc>
        <w:tc>
          <w:tcPr>
            <w:tcW w:w="5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Outlook</w:t>
            </w: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&amp; Poor’s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A1+</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Stable</w:t>
            </w:r>
          </w:p>
        </w:tc>
      </w:tr>
      <w:tr>
        <w:trPr>
          <w:trHeight w:val="222"/>
        </w:trPr>
        <w:tc>
          <w:tcPr>
            <w:tcW w:w="6660" w:type="dxa"/>
            <w:vAlign w:val="bottom"/>
            <w:gridSpan w:val="2"/>
          </w:tcPr>
          <w:p>
            <w:pPr>
              <w:spacing w:after="0"/>
              <w:rPr>
                <w:sz w:val="20"/>
                <w:szCs w:val="20"/>
                <w:color w:val="auto"/>
              </w:rPr>
            </w:pPr>
            <w:r>
              <w:rPr>
                <w:rFonts w:ascii="Arial" w:cs="Arial" w:eastAsia="Arial" w:hAnsi="Arial"/>
                <w:sz w:val="18"/>
                <w:szCs w:val="18"/>
                <w:color w:val="auto"/>
              </w:rPr>
              <w:t>Moody’s Investors Service</w:t>
            </w:r>
          </w:p>
        </w:tc>
        <w:tc>
          <w:tcPr>
            <w:tcW w:w="700" w:type="dxa"/>
            <w:vAlign w:val="bottom"/>
          </w:tcPr>
          <w:p>
            <w:pPr>
              <w:jc w:val="center"/>
              <w:spacing w:after="0"/>
              <w:rPr>
                <w:sz w:val="20"/>
                <w:szCs w:val="20"/>
                <w:color w:val="auto"/>
              </w:rPr>
            </w:pPr>
            <w:r>
              <w:rPr>
                <w:rFonts w:ascii="Arial" w:cs="Arial" w:eastAsia="Arial" w:hAnsi="Arial"/>
                <w:sz w:val="18"/>
                <w:szCs w:val="18"/>
                <w:color w:val="auto"/>
                <w:w w:val="81"/>
              </w:rPr>
              <w:t>P1</w:t>
            </w:r>
          </w:p>
        </w:tc>
        <w:tc>
          <w:tcPr>
            <w:tcW w:w="5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52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w w:val="86"/>
              </w:rPr>
              <w:t>Stable</w:t>
            </w:r>
          </w:p>
        </w:tc>
      </w:tr>
    </w:tbl>
    <w:p>
      <w:pPr>
        <w:spacing w:after="0" w:line="14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Given our ability to pay down debt levels and refinance existing debt facilities if necessary, we expect to maintain an investment grade rating. If our ratings are downgraded due to a change in control which results in a downgrade below investment grade, we are required to make an offer to repurchase our fixed and floating rate notes at a price equal to 101% of the principal amount, plus accrued and unpaid interest.</w:t>
      </w:r>
    </w:p>
    <w:p>
      <w:pPr>
        <w:spacing w:after="0" w:line="10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color w:val="auto"/>
        </w:rPr>
        <w:t>. Cash and cash equivalents totaled $568.2 million at September 30, 2010 and $260.6 million at December 31, 2009.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in cash and cash equivalents is a function of anticipated or possible short-term cash needs, prevailing interest rates, our investment policy and alternative investment choices. A majority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our cash and cash equivalents balance is invested in money market mutual funds that invest only in U.S Treasury securities or U.S. government agency securities.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risk is minimal given the nature of the investments.</w:t>
      </w:r>
    </w:p>
    <w:p>
      <w:pPr>
        <w:spacing w:after="0" w:line="165"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On November 3, 2010, CME Group’s board of directors declared a regular quarterly dividend of $1.15 per share payable on December 27, 2010 to the shareholders of record as of December 10, 2010.</w:t>
      </w:r>
    </w:p>
    <w:p>
      <w:pPr>
        <w:spacing w:after="0" w:line="132"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Net current deferred tax assets of $25.4 million and $23.8 million were included in other current assets at September 30, 2010 and December 31, 2009, respectively. Total net current deferred tax assets included primarily unrealized losses and accrued expenses.</w:t>
      </w:r>
    </w:p>
    <w:p>
      <w:pPr>
        <w:spacing w:after="0" w:line="132"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Net long-term deferred tax liabilities were $7.8 billion and $7.6 billion at September 30, 2010 and December 31, 2009, respectively. Net deferred tax liabilities are primarily the result of purchase accounting for intangible assets in our mergers with CBOT Holdings and NYMEX Holdings.</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 long-term deferred tax asset of $145.9 million included within our domestic long-term deferred tax liability. This deferred tax asset is for an unrealized capital loss incurred in Brazil related to our investment in BM&amp;FBOVESPA. As of September 30, 2010, we do not believe that we currently meet the more-likely-than-not threshold that would allow us to fully realize the value of the unrealized capital loss. As a result, a partial valuation allowance of $64.5 million has been provided for the amount of the unrealized capital loss that exceeds potential capital gains that could be used to offset the capital loss in future periods. We also have a long-term deferred tax asset related to Brazilian taxes of $125.3 million for an unrealized capital loss incurred in Brazil related to our investment in BM&amp;FBOVESPA. A full valuation allowance of $125.3 million has been provided because we do not believe that we currently meet the more-likely-than-not threshold that would allow us to realize the value of the unrealized capital loss in Brazil in the future. Valuation allowances of $60.9 million have also been provided for additional unrealized capital losses on various other investments.</w:t>
      </w:r>
    </w:p>
    <w:p>
      <w:pPr>
        <w:spacing w:after="0" w:line="118"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Net long-term deferred tax assets also include a $25.2 million deferred tax asset for foreign net operating losses related to Swapstream. Our assessment at September 30, 2010 was that we did not currently meet the more-likely-than-not threshold that would allow us to realize the value of acquired and accumulated foreign net operating losses in the future. As a result, the $25.2 million deferred tax asset arising from these net operating losses has been fully reserved.</w:t>
      </w:r>
    </w:p>
    <w:p>
      <w:pPr>
        <w:spacing w:after="0" w:line="2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2009. Refer to Item 7A. of CME Group’s Annual Report on Form 10-K for the year ended December 31, 2009 for additional information.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20" w:firstLine="8"/>
        <w:spacing w:after="0" w:line="298" w:lineRule="auto"/>
        <w:tabs>
          <w:tab w:leader="none" w:pos="239"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Chief Executive Officer and Chief Financial Officer, has evaluated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13" w:lineRule="exact"/>
        <w:rPr>
          <w:sz w:val="20"/>
          <w:szCs w:val="20"/>
          <w:color w:val="auto"/>
        </w:rPr>
      </w:pPr>
    </w:p>
    <w:p>
      <w:pPr>
        <w:ind w:firstLine="8"/>
        <w:spacing w:after="0" w:line="291" w:lineRule="auto"/>
        <w:tabs>
          <w:tab w:leader="none" w:pos="19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As required by Rule 13a-15(d) under the Exchange Act, the company’s management,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There have been no material updates to the Legal Proceedings as set forth in Item 1. of our Annual Report on Form 10-K, filed with the SEC on February 26, 2010, and our Quarterly Report on Form 10-Q, filed with the SEC on August 6, 2010.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There have been no material updates to the Risk Factors as set forth in Item 1A. of our Annual Report on Form 10-K, filed with the SEC on February 26, 2010, and Item 1A. of our Quarterly Report on Form 10-Q, filed with the SEC on August 6, 2010. In addition to the other information contained in this Quarterly Report on Form 10-Q, you should carefully consider the factors discussed in our Annual Report on Form 10-K and in our Quarterly Report on Form 10-Q for the period ended June 30, 2010,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Unregistered Sales of Equity Securities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June 22, 2010, CME Group and BM&amp;FBOVESPA entered into a definitive Share Purchase and Investor Rights Agreement providing for, among other things, BM&amp;FBOVESPA’s increase in its ownership interest in CME Group to approximately 5% as previously announced in February 2010 as part of the expansion of their existing strategic partnership. Pursuant to the agreement, on July 16, 2010, CME Group issued to BM&amp;FBOVESPA 2,206,478 shares of its Class A common stock, par value $0.01 per share, at a purchase price per share of $275.12 in cash, or approximately $607 million in the aggregate. The Class A Common Stock was issued and sold in reliance on the exemption from the registration provisions of the Securities Act of 1933 set forth in Section 4(2) thereof.</w:t>
      </w:r>
    </w:p>
    <w:p>
      <w:pPr>
        <w:spacing w:after="0" w:line="23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Issuer Purchases of Equity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(c) Total Number of</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Class A</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 Total Number of</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Class A</w:t>
            </w: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 Average Price</w:t>
            </w:r>
          </w:p>
        </w:tc>
        <w:tc>
          <w:tcPr>
            <w:tcW w:w="18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Announced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the Plans or</w:t>
            </w:r>
          </w:p>
        </w:tc>
        <w:tc>
          <w:tcPr>
            <w:tcW w:w="0" w:type="dxa"/>
            <w:vAlign w:val="bottom"/>
          </w:tcPr>
          <w:p>
            <w:pPr>
              <w:spacing w:after="0"/>
              <w:rPr>
                <w:sz w:val="1"/>
                <w:szCs w:val="1"/>
                <w:color w:val="auto"/>
              </w:rPr>
            </w:pPr>
          </w:p>
        </w:tc>
      </w:t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8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Shares Purchased (1)</w:t>
            </w: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 Per Share</w:t>
            </w:r>
          </w:p>
        </w:tc>
        <w:tc>
          <w:tcPr>
            <w:tcW w:w="18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Plans or Programs</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Programs(2)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to July 31</w:t>
            </w:r>
          </w:p>
        </w:tc>
        <w:tc>
          <w:tcPr>
            <w:tcW w:w="18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1,024,894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272.31</w:t>
            </w:r>
          </w:p>
        </w:tc>
        <w:tc>
          <w:tcPr>
            <w:tcW w:w="1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1,024,894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00" w:type="dxa"/>
            <w:vAlign w:val="bottom"/>
            <w:gridSpan w:val="3"/>
          </w:tcPr>
          <w:p>
            <w:pPr>
              <w:spacing w:after="0"/>
              <w:rPr>
                <w:sz w:val="20"/>
                <w:szCs w:val="20"/>
                <w:color w:val="auto"/>
              </w:rPr>
            </w:pPr>
            <w:r>
              <w:rPr>
                <w:rFonts w:ascii="Arial" w:cs="Arial" w:eastAsia="Arial" w:hAnsi="Arial"/>
                <w:sz w:val="18"/>
                <w:szCs w:val="18"/>
                <w:color w:val="auto"/>
              </w:rPr>
              <w:t>August 1 to August 31</w:t>
            </w:r>
          </w:p>
        </w:tc>
        <w:tc>
          <w:tcPr>
            <w:tcW w:w="18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343,235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to September 30</w:t>
            </w:r>
          </w:p>
        </w:tc>
        <w:tc>
          <w:tcPr>
            <w:tcW w:w="18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4,914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271.49</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2"/>
          </w:tcPr>
          <w:p>
            <w:pPr>
              <w:jc w:val="right"/>
              <w:ind w:right="620"/>
              <w:spacing w:after="0"/>
              <w:rPr>
                <w:sz w:val="20"/>
                <w:szCs w:val="20"/>
                <w:color w:val="auto"/>
              </w:rPr>
            </w:pPr>
            <w:r>
              <w:rPr>
                <w:rFonts w:ascii="Arial" w:cs="Arial" w:eastAsia="Arial" w:hAnsi="Arial"/>
                <w:sz w:val="18"/>
                <w:szCs w:val="18"/>
                <w:color w:val="auto"/>
              </w:rPr>
              <w:t>1,029,808</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272.30</w:t>
            </w:r>
          </w:p>
        </w:tc>
        <w:tc>
          <w:tcPr>
            <w:tcW w:w="1820" w:type="dxa"/>
            <w:vAlign w:val="bottom"/>
            <w:gridSpan w:val="2"/>
          </w:tcPr>
          <w:p>
            <w:pPr>
              <w:jc w:val="right"/>
              <w:ind w:right="640"/>
              <w:spacing w:after="0"/>
              <w:rPr>
                <w:sz w:val="20"/>
                <w:szCs w:val="20"/>
                <w:color w:val="auto"/>
              </w:rPr>
            </w:pPr>
            <w:r>
              <w:rPr>
                <w:rFonts w:ascii="Arial" w:cs="Arial" w:eastAsia="Arial" w:hAnsi="Arial"/>
                <w:sz w:val="18"/>
                <w:szCs w:val="18"/>
                <w:color w:val="auto"/>
              </w:rPr>
              <w:t>1,024,894</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280" w:hanging="452"/>
        <w:spacing w:after="0" w:line="253"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purchased consist of an aggregate of 4,914 shares of Class A common stock surrendered in the third quarter of 2010 to satisfy employees’ tax obligations upon the vesting of restricted stock and an aggregate of 1,024,894 shares of Class A common stock purchased under our publicly announced share repurchase program as described below.</w:t>
      </w:r>
    </w:p>
    <w:p>
      <w:pPr>
        <w:ind w:left="46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the terms of the share buyback program announced on February 12, 2010, the company is authorized to purchase shares of Class A common stock up to 2.35 million shares. The authorization of the buyback was approved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 connection with our agreement to issue additional Class A common shares to BM&amp;FBOVESPA to increase its aggregate share ownership in the company to 5% and serves to offset the dilution of the shares issued to BM&amp;FBOVESPA.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c>
          <w:tcPr>
            <w:tcW w:w="3520" w:type="dxa"/>
            <w:vAlign w:val="bottom"/>
          </w:tcPr>
          <w:p>
            <w:pPr>
              <w:spacing w:after="0"/>
              <w:rPr>
                <w:sz w:val="19"/>
                <w:szCs w:val="19"/>
                <w:color w:val="auto"/>
              </w:rPr>
            </w:pPr>
          </w:p>
        </w:tc>
      </w:tr>
      <w:tr>
        <w:trPr>
          <w:trHeight w:val="419"/>
        </w:trPr>
        <w:tc>
          <w:tcPr>
            <w:tcW w:w="860" w:type="dxa"/>
            <w:vAlign w:val="bottom"/>
          </w:tcPr>
          <w:p>
            <w:pPr>
              <w:ind w:left="100"/>
              <w:spacing w:after="0"/>
              <w:rPr>
                <w:sz w:val="20"/>
                <w:szCs w:val="20"/>
                <w:color w:val="auto"/>
              </w:rPr>
            </w:pPr>
            <w:r>
              <w:rPr>
                <w:rFonts w:ascii="Arial" w:cs="Arial" w:eastAsia="Arial" w:hAnsi="Arial"/>
                <w:sz w:val="18"/>
                <w:szCs w:val="18"/>
                <w:color w:val="auto"/>
              </w:rPr>
              <w:t>31.1</w:t>
            </w:r>
          </w:p>
        </w:tc>
        <w:tc>
          <w:tcPr>
            <w:tcW w:w="1040" w:type="dxa"/>
            <w:vAlign w:val="bottom"/>
          </w:tcPr>
          <w:p>
            <w:pPr>
              <w:ind w:left="180"/>
              <w:spacing w:after="0"/>
              <w:rPr>
                <w:sz w:val="20"/>
                <w:szCs w:val="20"/>
                <w:color w:val="auto"/>
              </w:rPr>
            </w:pPr>
            <w:r>
              <w:rPr>
                <w:rFonts w:ascii="Arial" w:cs="Arial" w:eastAsia="Arial" w:hAnsi="Arial"/>
                <w:sz w:val="18"/>
                <w:szCs w:val="18"/>
                <w:color w:val="auto"/>
                <w:w w:val="88"/>
              </w:rPr>
              <w:t>Section 302</w:t>
            </w:r>
          </w:p>
        </w:tc>
        <w:tc>
          <w:tcPr>
            <w:tcW w:w="3520" w:type="dxa"/>
            <w:vAlign w:val="bottom"/>
          </w:tcPr>
          <w:p>
            <w:pPr>
              <w:ind w:left="20"/>
              <w:spacing w:after="0"/>
              <w:rPr>
                <w:sz w:val="20"/>
                <w:szCs w:val="20"/>
                <w:color w:val="auto"/>
              </w:rPr>
            </w:pPr>
            <w:r>
              <w:rPr>
                <w:rFonts w:ascii="Arial" w:cs="Arial" w:eastAsia="Arial" w:hAnsi="Arial"/>
                <w:sz w:val="18"/>
                <w:szCs w:val="18"/>
                <w:color w:val="auto"/>
              </w:rPr>
              <w:t>Certification—Craig S. Donohue</w:t>
            </w:r>
          </w:p>
        </w:tc>
      </w:tr>
      <w:tr>
        <w:trPr>
          <w:trHeight w:val="324"/>
        </w:trPr>
        <w:tc>
          <w:tcPr>
            <w:tcW w:w="860" w:type="dxa"/>
            <w:vAlign w:val="bottom"/>
          </w:tcPr>
          <w:p>
            <w:pPr>
              <w:ind w:left="100"/>
              <w:spacing w:after="0"/>
              <w:rPr>
                <w:sz w:val="20"/>
                <w:szCs w:val="20"/>
                <w:color w:val="auto"/>
              </w:rPr>
            </w:pPr>
            <w:r>
              <w:rPr>
                <w:rFonts w:ascii="Arial" w:cs="Arial" w:eastAsia="Arial" w:hAnsi="Arial"/>
                <w:sz w:val="18"/>
                <w:szCs w:val="18"/>
                <w:color w:val="auto"/>
              </w:rPr>
              <w:t>31.2</w:t>
            </w:r>
          </w:p>
        </w:tc>
        <w:tc>
          <w:tcPr>
            <w:tcW w:w="1040" w:type="dxa"/>
            <w:vAlign w:val="bottom"/>
          </w:tcPr>
          <w:p>
            <w:pPr>
              <w:ind w:left="180"/>
              <w:spacing w:after="0"/>
              <w:rPr>
                <w:sz w:val="20"/>
                <w:szCs w:val="20"/>
                <w:color w:val="auto"/>
              </w:rPr>
            </w:pPr>
            <w:r>
              <w:rPr>
                <w:rFonts w:ascii="Arial" w:cs="Arial" w:eastAsia="Arial" w:hAnsi="Arial"/>
                <w:sz w:val="18"/>
                <w:szCs w:val="18"/>
                <w:color w:val="auto"/>
                <w:w w:val="88"/>
              </w:rPr>
              <w:t>Section 302</w:t>
            </w:r>
          </w:p>
        </w:tc>
        <w:tc>
          <w:tcPr>
            <w:tcW w:w="3520" w:type="dxa"/>
            <w:vAlign w:val="bottom"/>
          </w:tcPr>
          <w:p>
            <w:pPr>
              <w:ind w:left="20"/>
              <w:spacing w:after="0"/>
              <w:rPr>
                <w:sz w:val="20"/>
                <w:szCs w:val="20"/>
                <w:color w:val="auto"/>
              </w:rPr>
            </w:pPr>
            <w:r>
              <w:rPr>
                <w:rFonts w:ascii="Arial" w:cs="Arial" w:eastAsia="Arial" w:hAnsi="Arial"/>
                <w:sz w:val="18"/>
                <w:szCs w:val="18"/>
                <w:color w:val="auto"/>
              </w:rPr>
              <w:t>Certification—James E. Parisi</w:t>
            </w:r>
          </w:p>
        </w:tc>
      </w:tr>
      <w:tr>
        <w:trPr>
          <w:trHeight w:val="324"/>
        </w:trPr>
        <w:tc>
          <w:tcPr>
            <w:tcW w:w="860" w:type="dxa"/>
            <w:vAlign w:val="bottom"/>
          </w:tcPr>
          <w:p>
            <w:pPr>
              <w:ind w:left="100"/>
              <w:spacing w:after="0"/>
              <w:rPr>
                <w:sz w:val="20"/>
                <w:szCs w:val="20"/>
                <w:color w:val="auto"/>
              </w:rPr>
            </w:pPr>
            <w:r>
              <w:rPr>
                <w:rFonts w:ascii="Arial" w:cs="Arial" w:eastAsia="Arial" w:hAnsi="Arial"/>
                <w:sz w:val="18"/>
                <w:szCs w:val="18"/>
                <w:color w:val="auto"/>
              </w:rPr>
              <w:t>32.1</w:t>
            </w:r>
          </w:p>
        </w:tc>
        <w:tc>
          <w:tcPr>
            <w:tcW w:w="1040" w:type="dxa"/>
            <w:vAlign w:val="bottom"/>
          </w:tcPr>
          <w:p>
            <w:pPr>
              <w:ind w:left="180"/>
              <w:spacing w:after="0"/>
              <w:rPr>
                <w:sz w:val="20"/>
                <w:szCs w:val="20"/>
                <w:color w:val="auto"/>
              </w:rPr>
            </w:pPr>
            <w:r>
              <w:rPr>
                <w:rFonts w:ascii="Arial" w:cs="Arial" w:eastAsia="Arial" w:hAnsi="Arial"/>
                <w:sz w:val="18"/>
                <w:szCs w:val="18"/>
                <w:color w:val="auto"/>
                <w:w w:val="88"/>
              </w:rPr>
              <w:t>Section 906</w:t>
            </w:r>
          </w:p>
        </w:tc>
        <w:tc>
          <w:tcPr>
            <w:tcW w:w="3520" w:type="dxa"/>
            <w:vAlign w:val="bottom"/>
          </w:tcPr>
          <w:p>
            <w:pPr>
              <w:ind w:left="20"/>
              <w:spacing w:after="0"/>
              <w:rPr>
                <w:sz w:val="20"/>
                <w:szCs w:val="20"/>
                <w:color w:val="auto"/>
              </w:rPr>
            </w:pPr>
            <w:r>
              <w:rPr>
                <w:rFonts w:ascii="Arial" w:cs="Arial" w:eastAsia="Arial" w:hAnsi="Arial"/>
                <w:sz w:val="18"/>
                <w:szCs w:val="18"/>
                <w:color w:val="auto"/>
              </w:rPr>
              <w:t>Certification</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4560" w:type="dxa"/>
            <w:vAlign w:val="bottom"/>
            <w:gridSpan w:val="2"/>
          </w:tcPr>
          <w:p>
            <w:pPr>
              <w:ind w:left="180"/>
              <w:spacing w:after="0"/>
              <w:rPr>
                <w:sz w:val="20"/>
                <w:szCs w:val="20"/>
                <w:color w:val="auto"/>
              </w:rPr>
            </w:pPr>
            <w:r>
              <w:rPr>
                <w:rFonts w:ascii="Arial" w:cs="Arial" w:eastAsia="Arial" w:hAnsi="Arial"/>
                <w:sz w:val="18"/>
                <w:szCs w:val="18"/>
                <w:color w:val="auto"/>
                <w:w w:val="88"/>
              </w:rPr>
              <w:t>XBRL Taxonomy Extension Presentation Linkbase Document</w:t>
            </w:r>
          </w:p>
        </w:tc>
      </w:tr>
    </w:tbl>
    <w:p>
      <w:pPr>
        <w:spacing w:after="0" w:line="1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40"/>
          </w:cols>
          <w:pgMar w:left="240" w:top="459" w:right="9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900" w:val="left"/>
          <w:tab w:leader="none" w:pos="8000" w:val="left"/>
          <w:tab w:leader="none" w:pos="8340" w:val="left"/>
        </w:tabs>
        <w:rPr>
          <w:sz w:val="20"/>
          <w:szCs w:val="20"/>
          <w:color w:val="auto"/>
        </w:rPr>
      </w:pPr>
      <w:r>
        <w:rPr>
          <w:rFonts w:ascii="Arial" w:cs="Arial" w:eastAsia="Arial" w:hAnsi="Arial"/>
          <w:sz w:val="18"/>
          <w:szCs w:val="18"/>
          <w:color w:val="auto"/>
        </w:rPr>
        <w:t>Dated: November 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jc w:val="center"/>
        <w:ind w:left="6300"/>
        <w:spacing w:after="0"/>
        <w:rPr>
          <w:sz w:val="20"/>
          <w:szCs w:val="20"/>
          <w:color w:val="auto"/>
        </w:rPr>
      </w:pPr>
      <w:r>
        <w:rPr>
          <w:rFonts w:ascii="Arial" w:cs="Arial" w:eastAsia="Arial" w:hAnsi="Arial"/>
          <w:sz w:val="16"/>
          <w:szCs w:val="16"/>
          <w:b w:val="1"/>
          <w:bCs w:val="1"/>
          <w:color w:val="auto"/>
        </w:rPr>
        <w:t>Chief Financial Officer &amp; Managing Director Finance</w:t>
      </w:r>
    </w:p>
    <w:p>
      <w:pPr>
        <w:spacing w:after="0" w:line="32"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color w:val="auto"/>
        </w:rPr>
        <w:t>and Corporate Development</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240" w:top="459" w:right="7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171"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September 30, 2010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Craig S. Donohue</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James E. Parisi</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2010</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5"/>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3"/>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2"/>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3"/>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5"/>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5"/>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2019-12-10T20:45:27Z</dcterms:created>
  <dcterms:modified xsi:type="dcterms:W3CDTF">2019-12-10T20:45:27Z</dcterms:modified>
</cp:coreProperties>
</file>