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640" w:hanging="41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31" w:lineRule="exact"/>
        <w:rPr>
          <w:sz w:val="24"/>
          <w:szCs w:val="24"/>
          <w:color w:val="auto"/>
        </w:rPr>
      </w:pPr>
    </w:p>
    <w:p>
      <w:pPr>
        <w:ind w:left="640" w:hanging="41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CME GROUP INC.</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p>
      <w:pPr>
        <w:ind w:left="1700"/>
        <w:spacing w:after="0"/>
        <w:tabs>
          <w:tab w:leader="none" w:pos="80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36-4459170</w:t>
      </w:r>
    </w:p>
    <w:p>
      <w:pPr>
        <w:spacing w:after="0" w:line="22" w:lineRule="exact"/>
        <w:rPr>
          <w:sz w:val="24"/>
          <w:szCs w:val="24"/>
          <w:color w:val="auto"/>
        </w:rPr>
      </w:pPr>
    </w:p>
    <w:p>
      <w:pPr>
        <w:ind w:left="1160"/>
        <w:spacing w:after="0"/>
        <w:tabs>
          <w:tab w:leader="none" w:pos="79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120"/>
        <w:spacing w:after="0"/>
        <w:tabs>
          <w:tab w:leader="none" w:pos="78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84" w:lineRule="exact"/>
        <w:rPr>
          <w:sz w:val="24"/>
          <w:szCs w:val="24"/>
          <w:color w:val="auto"/>
        </w:rPr>
      </w:pPr>
    </w:p>
    <w:p>
      <w:pPr>
        <w:ind w:left="1180"/>
        <w:spacing w:after="0"/>
        <w:tabs>
          <w:tab w:leader="none" w:pos="4120" w:val="left"/>
          <w:tab w:leader="none" w:pos="5180" w:val="left"/>
          <w:tab w:leader="none" w:pos="8220" w:val="left"/>
        </w:tabs>
        <w:rPr>
          <w:sz w:val="20"/>
          <w:szCs w:val="20"/>
          <w:color w:val="auto"/>
        </w:rPr>
      </w:pPr>
      <w:r>
        <w:rPr>
          <w:rFonts w:ascii="Arial" w:cs="Arial" w:eastAsia="Arial" w:hAnsi="Arial"/>
          <w:sz w:val="18"/>
          <w:szCs w:val="18"/>
          <w:b w:val="1"/>
          <w:bCs w:val="1"/>
          <w:color w:val="auto"/>
        </w:rPr>
        <w:t>20 South Wacker Drive</w:t>
      </w:r>
      <w:r>
        <w:rPr>
          <w:sz w:val="20"/>
          <w:szCs w:val="20"/>
          <w:color w:val="auto"/>
        </w:rPr>
        <w:tab/>
      </w:r>
      <w:r>
        <w:rPr>
          <w:rFonts w:ascii="Arial" w:cs="Arial" w:eastAsia="Arial" w:hAnsi="Arial"/>
          <w:sz w:val="18"/>
          <w:szCs w:val="18"/>
          <w:b w:val="1"/>
          <w:bCs w:val="1"/>
          <w:color w:val="auto"/>
        </w:rPr>
        <w:t>Chicago</w:t>
      </w:r>
      <w:r>
        <w:rPr>
          <w:sz w:val="20"/>
          <w:szCs w:val="20"/>
          <w:color w:val="auto"/>
        </w:rPr>
        <w:tab/>
      </w:r>
      <w:r>
        <w:rPr>
          <w:rFonts w:ascii="Arial" w:cs="Arial" w:eastAsia="Arial" w:hAnsi="Arial"/>
          <w:sz w:val="18"/>
          <w:szCs w:val="18"/>
          <w:b w:val="1"/>
          <w:bCs w:val="1"/>
          <w:color w:val="auto"/>
        </w:rPr>
        <w:t>Illinois</w:t>
      </w:r>
      <w:r>
        <w:rPr>
          <w:sz w:val="20"/>
          <w:szCs w:val="20"/>
          <w:color w:val="auto"/>
        </w:rPr>
        <w:tab/>
      </w:r>
      <w:r>
        <w:rPr>
          <w:rFonts w:ascii="Arial" w:cs="Arial" w:eastAsia="Arial" w:hAnsi="Arial"/>
          <w:sz w:val="15"/>
          <w:szCs w:val="15"/>
          <w:b w:val="1"/>
          <w:bCs w:val="1"/>
          <w:color w:val="auto"/>
        </w:rPr>
        <w:t>60606</w:t>
      </w:r>
    </w:p>
    <w:p>
      <w:pPr>
        <w:spacing w:after="0" w:line="27" w:lineRule="exact"/>
        <w:rPr>
          <w:sz w:val="24"/>
          <w:szCs w:val="24"/>
          <w:color w:val="auto"/>
        </w:rPr>
      </w:pPr>
    </w:p>
    <w:p>
      <w:pPr>
        <w:ind w:left="1880"/>
        <w:spacing w:after="0"/>
        <w:tabs>
          <w:tab w:leader="none" w:pos="810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930-1000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5"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220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Title of each class</w:t>
            </w:r>
          </w:p>
        </w:tc>
        <w:tc>
          <w:tcPr>
            <w:tcW w:w="1840" w:type="dxa"/>
            <w:vAlign w:val="bottom"/>
            <w:gridSpan w:val="2"/>
          </w:tcPr>
          <w:p>
            <w:pPr>
              <w:jc w:val="center"/>
              <w:ind w:left="610"/>
              <w:spacing w:after="0"/>
              <w:rPr>
                <w:sz w:val="20"/>
                <w:szCs w:val="20"/>
                <w:color w:val="auto"/>
              </w:rPr>
            </w:pPr>
            <w:r>
              <w:rPr>
                <w:rFonts w:ascii="Arial" w:cs="Arial" w:eastAsia="Arial" w:hAnsi="Arial"/>
                <w:sz w:val="18"/>
                <w:szCs w:val="18"/>
                <w:color w:val="auto"/>
                <w:w w:val="92"/>
              </w:rPr>
              <w:t>Trading symbol</w:t>
            </w:r>
          </w:p>
        </w:tc>
        <w:tc>
          <w:tcPr>
            <w:tcW w:w="108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4"/>
        </w:trPr>
        <w:tc>
          <w:tcPr>
            <w:tcW w:w="240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Class A Common Stock</w:t>
            </w:r>
          </w:p>
        </w:tc>
        <w:tc>
          <w:tcPr>
            <w:tcW w:w="7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CME</w:t>
            </w:r>
          </w:p>
        </w:tc>
        <w:tc>
          <w:tcPr>
            <w:tcW w:w="1080" w:type="dxa"/>
            <w:vAlign w:val="bottom"/>
          </w:tcPr>
          <w:p>
            <w:pPr>
              <w:spacing w:after="0"/>
              <w:rPr>
                <w:sz w:val="22"/>
                <w:szCs w:val="22"/>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Stock Market</w:t>
            </w:r>
          </w:p>
        </w:tc>
      </w:tr>
    </w:tbl>
    <w:p>
      <w:pPr>
        <w:spacing w:after="0" w:line="148" w:lineRule="exact"/>
        <w:rPr>
          <w:sz w:val="24"/>
          <w:szCs w:val="24"/>
          <w:color w:val="auto"/>
        </w:rPr>
      </w:pPr>
    </w:p>
    <w:p>
      <w:pPr>
        <w:ind w:right="120" w:firstLine="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right="180" w:firstLine="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1440" w:val="left"/>
          <w:tab w:leader="none" w:pos="214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ind w:right="140" w:firstLine="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60" w:type="dxa"/>
            <w:vAlign w:val="bottom"/>
          </w:tcPr>
          <w:p>
            <w:pPr>
              <w:jc w:val="center"/>
              <w:ind w:right="519"/>
              <w:spacing w:after="0"/>
              <w:rPr>
                <w:sz w:val="20"/>
                <w:szCs w:val="20"/>
                <w:color w:val="auto"/>
              </w:rPr>
            </w:pPr>
            <w:r>
              <w:rPr>
                <w:rFonts w:ascii="Arial" w:cs="Arial" w:eastAsia="Arial" w:hAnsi="Arial"/>
                <w:sz w:val="16"/>
                <w:szCs w:val="16"/>
                <w:color w:val="auto"/>
                <w:w w:val="92"/>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10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60" w:type="dxa"/>
            <w:vAlign w:val="bottom"/>
          </w:tcPr>
          <w:p>
            <w:pPr>
              <w:jc w:val="center"/>
              <w:ind w:right="519"/>
              <w:spacing w:after="0"/>
              <w:rPr>
                <w:sz w:val="20"/>
                <w:szCs w:val="20"/>
                <w:color w:val="auto"/>
              </w:rPr>
            </w:pPr>
            <w:r>
              <w:rPr>
                <w:rFonts w:ascii="Arial" w:cs="Arial" w:eastAsia="Arial" w:hAnsi="Arial"/>
                <w:sz w:val="16"/>
                <w:szCs w:val="16"/>
                <w:color w:val="auto"/>
                <w:w w:val="93"/>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10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60" w:type="dxa"/>
            <w:vAlign w:val="bottom"/>
          </w:tcPr>
          <w:p>
            <w:pPr>
              <w:ind w:left="21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1" w:lineRule="exact"/>
        <w:rPr>
          <w:sz w:val="24"/>
          <w:szCs w:val="24"/>
          <w:color w:val="auto"/>
        </w:rPr>
      </w:pPr>
    </w:p>
    <w:p>
      <w:pPr>
        <w:ind w:firstLine="162"/>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200"/>
        <w:spacing w:after="0" w:line="207" w:lineRule="exact"/>
        <w:tabs>
          <w:tab w:leader="none" w:pos="2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jc w:val="both"/>
        <w:ind w:right="260"/>
        <w:spacing w:after="0" w:line="276" w:lineRule="auto"/>
        <w:rPr>
          <w:sz w:val="20"/>
          <w:szCs w:val="20"/>
          <w:color w:val="auto"/>
        </w:rPr>
      </w:pPr>
      <w:r>
        <w:rPr>
          <w:rFonts w:ascii="Arial" w:cs="Arial" w:eastAsia="Arial" w:hAnsi="Arial"/>
          <w:sz w:val="17"/>
          <w:szCs w:val="17"/>
          <w:color w:val="auto"/>
        </w:rPr>
        <w:t>The number of shares outstanding of each of the registrant’s classes of common stock as of July 12, 2023 was as follows: 359,746,203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6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PART I. FINANCIAL INFORMATION</w:t>
            </w:r>
          </w:p>
        </w:tc>
        <w:tc>
          <w:tcPr>
            <w:tcW w:w="776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4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89"/>
              </w:rPr>
              <w:t>Financial Statements</w:t>
            </w:r>
          </w:p>
        </w:tc>
        <w:tc>
          <w:tcPr>
            <w:tcW w:w="810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58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89"/>
              </w:rPr>
              <w:t>Consolidated Balance Sheets at June 30, 2023 and December 31, 2022</w:t>
            </w:r>
          </w:p>
        </w:tc>
        <w:tc>
          <w:tcPr>
            <w:tcW w:w="4980" w:type="dxa"/>
            <w:vAlign w:val="bottom"/>
            <w:gridSpan w:val="5"/>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6"/>
                <w:szCs w:val="16"/>
                <w:color w:val="0000FF"/>
              </w:rPr>
              <w:t>Consolidated Statements of Income for the Quarters and Six Months Ended June 30, 2023 and 2022</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5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0"/>
              </w:rPr>
              <w:t>Consolidated Statements of Comprehensive Income for the Quarters and Six Months Ended June 30, 2023 and 2022</w:t>
            </w:r>
          </w:p>
        </w:tc>
        <w:tc>
          <w:tcPr>
            <w:tcW w:w="20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560" w:type="dxa"/>
            <w:vAlign w:val="bottom"/>
            <w:gridSpan w:val="17"/>
          </w:tcPr>
          <w:p>
            <w:pPr>
              <w:spacing w:after="0"/>
              <w:rPr>
                <w:sz w:val="20"/>
                <w:szCs w:val="20"/>
                <w:color w:val="auto"/>
              </w:rPr>
            </w:pPr>
            <w:r>
              <w:rPr>
                <w:rFonts w:ascii="Arial" w:cs="Arial" w:eastAsia="Arial" w:hAnsi="Arial"/>
                <w:sz w:val="16"/>
                <w:szCs w:val="16"/>
                <w:color w:val="0000FF"/>
              </w:rPr>
              <w:t>Consolidated Statements of Equity for the Quarters and Six Months Ended June 30, 2023 and 2022</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8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w w:val="99"/>
              </w:rPr>
              <w:t>Consolidated Statements of Cash Flows for the Six Months Ended June 30, 2023 and 2022</w:t>
            </w:r>
          </w:p>
        </w:tc>
        <w:tc>
          <w:tcPr>
            <w:tcW w:w="30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5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w w:val="91"/>
              </w:rPr>
              <w:t>Notes to Unaudited Consolidated Financial Statements</w:t>
            </w:r>
          </w:p>
        </w:tc>
        <w:tc>
          <w:tcPr>
            <w:tcW w:w="2320" w:type="dxa"/>
            <w:vAlign w:val="bottom"/>
            <w:tcBorders>
              <w:top w:val="single" w:sz="8" w:color="0000FF"/>
            </w:tcBorders>
            <w:gridSpan w:val="4"/>
          </w:tcPr>
          <w:p>
            <w:pPr>
              <w:spacing w:after="0"/>
              <w:rPr>
                <w:sz w:val="22"/>
                <w:szCs w:val="22"/>
                <w:color w:val="auto"/>
              </w:rPr>
            </w:pPr>
          </w:p>
        </w:tc>
        <w:tc>
          <w:tcPr>
            <w:tcW w:w="3680" w:type="dxa"/>
            <w:vAlign w:val="bottom"/>
            <w:gridSpan w:val="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560" w:type="dxa"/>
            <w:vAlign w:val="bottom"/>
            <w:gridSpan w:val="17"/>
          </w:tcPr>
          <w:p>
            <w:pPr>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b w:val="1"/>
                <w:bCs w:val="1"/>
                <w:color w:val="0000FF"/>
                <w:w w:val="92"/>
              </w:rPr>
              <w:t>Quantitative and Qualitative Disclosures About Market Risk</w:t>
            </w:r>
          </w:p>
        </w:tc>
        <w:tc>
          <w:tcPr>
            <w:tcW w:w="1940" w:type="dxa"/>
            <w:vAlign w:val="bottom"/>
            <w:tcBorders>
              <w:top w:val="single" w:sz="8" w:color="0000FF"/>
            </w:tcBorders>
            <w:gridSpan w:val="3"/>
          </w:tcPr>
          <w:p>
            <w:pPr>
              <w:spacing w:after="0"/>
              <w:rPr>
                <w:sz w:val="24"/>
                <w:szCs w:val="24"/>
                <w:color w:val="auto"/>
              </w:rPr>
            </w:pPr>
          </w:p>
        </w:tc>
        <w:tc>
          <w:tcPr>
            <w:tcW w:w="342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9560" w:type="dxa"/>
            <w:vAlign w:val="bottom"/>
            <w:gridSpan w:val="17"/>
          </w:tcPr>
          <w:p>
            <w:pPr>
              <w:spacing w:after="0"/>
              <w:rPr>
                <w:sz w:val="20"/>
                <w:szCs w:val="20"/>
                <w:color w:val="auto"/>
              </w:rPr>
            </w:pPr>
            <w:r>
              <w:rPr>
                <w:rFonts w:ascii="Arial" w:cs="Arial" w:eastAsia="Arial" w:hAnsi="Arial"/>
                <w:sz w:val="16"/>
                <w:szCs w:val="16"/>
                <w:b w:val="1"/>
                <w:bCs w:val="1"/>
                <w:color w:val="0000FF"/>
              </w:rPr>
              <w:t>Controls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PART II. OTHER INFORMATION</w:t>
            </w:r>
          </w:p>
        </w:tc>
        <w:tc>
          <w:tcPr>
            <w:tcW w:w="8020" w:type="dxa"/>
            <w:vAlign w:val="bottom"/>
            <w:gridSpan w:val="11"/>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560" w:type="dxa"/>
            <w:vAlign w:val="bottom"/>
            <w:gridSpan w:val="17"/>
          </w:tcPr>
          <w:p>
            <w:pPr>
              <w:spacing w:after="0"/>
              <w:rPr>
                <w:sz w:val="20"/>
                <w:szCs w:val="20"/>
                <w:color w:val="auto"/>
              </w:rPr>
            </w:pPr>
            <w:r>
              <w:rPr>
                <w:rFonts w:ascii="Arial" w:cs="Arial" w:eastAsia="Arial" w:hAnsi="Arial"/>
                <w:sz w:val="16"/>
                <w:szCs w:val="16"/>
                <w:b w:val="1"/>
                <w:bCs w:val="1"/>
                <w:color w:val="0000FF"/>
              </w:rPr>
              <w:t>Legal Proceedings</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89"/>
              </w:rPr>
              <w:t>Risk Factors</w:t>
            </w:r>
          </w:p>
        </w:tc>
        <w:tc>
          <w:tcPr>
            <w:tcW w:w="380" w:type="dxa"/>
            <w:vAlign w:val="bottom"/>
            <w:tcBorders>
              <w:top w:val="single" w:sz="8" w:color="0000FF"/>
            </w:tcBorders>
          </w:tcPr>
          <w:p>
            <w:pPr>
              <w:spacing w:after="0"/>
              <w:rPr>
                <w:sz w:val="22"/>
                <w:szCs w:val="22"/>
                <w:color w:val="auto"/>
              </w:rPr>
            </w:pPr>
          </w:p>
        </w:tc>
        <w:tc>
          <w:tcPr>
            <w:tcW w:w="8300" w:type="dxa"/>
            <w:vAlign w:val="bottom"/>
            <w:gridSpan w:val="13"/>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41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w w:val="88"/>
              </w:rPr>
              <w:t>Unregistered Sales of Equity Securities and Use of Proceeds</w:t>
            </w:r>
          </w:p>
        </w:tc>
        <w:tc>
          <w:tcPr>
            <w:tcW w:w="5440" w:type="dxa"/>
            <w:vAlign w:val="bottom"/>
            <w:gridSpan w:val="7"/>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89"/>
              </w:rPr>
              <w:t>Exhibits</w:t>
            </w:r>
          </w:p>
        </w:tc>
        <w:tc>
          <w:tcPr>
            <w:tcW w:w="8980" w:type="dxa"/>
            <w:vAlign w:val="bottom"/>
            <w:gridSpan w:val="15"/>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20" w:type="dxa"/>
            <w:vAlign w:val="bottom"/>
            <w:gridSpan w:val="18"/>
          </w:tcPr>
          <w:p>
            <w:pPr>
              <w:spacing w:after="0"/>
              <w:rPr>
                <w:sz w:val="20"/>
                <w:szCs w:val="20"/>
                <w:color w:val="auto"/>
              </w:rPr>
            </w:pPr>
            <w:r>
              <w:rPr>
                <w:rFonts w:ascii="Arial" w:cs="Arial" w:eastAsia="Arial" w:hAnsi="Arial"/>
                <w:sz w:val="16"/>
                <w:szCs w:val="16"/>
                <w:b w:val="1"/>
                <w:bCs w:val="1"/>
                <w:color w:val="0000FF"/>
              </w:rPr>
              <w:t>SIGNATURES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0" w:type="dxa"/>
            <w:vAlign w:val="bottom"/>
            <w:gridSpan w:val="12"/>
          </w:tcPr>
          <w:p>
            <w:pPr>
              <w:jc w:val="right"/>
              <w:ind w:right="1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0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and EBS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("CME"). All other trademarks are the property of their respective owners.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7" w:lineRule="exact"/>
        <w:rPr>
          <w:sz w:val="20"/>
          <w:szCs w:val="20"/>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117"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6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117"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38"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right="4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data distribution partners’ actions and our partnership with Google Cloud;</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variances in earnings on cash accounts and collateral that our clearing house holds for its clients;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CME Group pricing and incentive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aggregation services and internalization on trade flow and volumes;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negative financial impacts from changes to the terms of intellectual property and index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adoption and growth of SOFR and its impact on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channel partner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for the year ended December 31, 2022, filed with the Securities and Exchange Commission on February 27, 2023 and Item 1A. in Part II of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right w:val="single" w:sz="8" w:color="CCEEFF"/>
            </w:tcBorders>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(unaudited)</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Current Assets:</w:t>
            </w:r>
          </w:p>
        </w:tc>
        <w:tc>
          <w:tcPr>
            <w:tcW w:w="6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of $7.5 and $8.1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 (includes $5.2 and $4.9 in restricted cash)</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bonds and guaranty fund contributions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113,241.6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Property, net of accumulated depreciation and amortization of $874.1 and $1,145.2</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assets—trading products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Intangible assets—other,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 (includes $0.0 and $0.1 in restricted cash)</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3,714.4</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1"/>
                <w:szCs w:val="21"/>
                <w:color w:val="auto"/>
              </w:rPr>
            </w:pPr>
          </w:p>
        </w:tc>
        <w:tc>
          <w:tcPr>
            <w:tcW w:w="12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Short-term debt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bonds and guaranty fund contributions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113,241.6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w w:val="98"/>
              </w:rPr>
              <w:t>Long-term debt</w:t>
            </w:r>
          </w:p>
        </w:tc>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 net</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6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123,478.9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80" w:type="dxa"/>
            <w:vAlign w:val="bottom"/>
            <w:gridSpan w:val="2"/>
          </w:tcPr>
          <w:p>
            <w:pPr>
              <w:ind w:left="340"/>
              <w:spacing w:after="0" w:line="189" w:lineRule="exact"/>
              <w:rPr>
                <w:sz w:val="20"/>
                <w:szCs w:val="20"/>
                <w:color w:val="auto"/>
              </w:rPr>
            </w:pPr>
            <w:r>
              <w:rPr>
                <w:rFonts w:ascii="Arial" w:cs="Arial" w:eastAsia="Arial" w:hAnsi="Arial"/>
                <w:sz w:val="18"/>
                <w:szCs w:val="18"/>
                <w:color w:val="auto"/>
                <w:w w:val="95"/>
              </w:rPr>
              <w:t>Preferred stock, $0.01 par value, 10,000 shares authorized as of June 30, 2023 and December 31,</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2022; 4,584 issued and outstanding as of June 30, 2023 and December 31, 2022</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8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Class A common stock, $0.01 par value, 1,000,000 shares authorized at June 30, 2023 and December</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w w:val="92"/>
              </w:rPr>
              <w:t>31, 2022; 358,978 and 358,929 shares issued and outstanding as of June 30, 2023 and December 31,</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2022, respectively</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8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4"/>
              </w:rPr>
              <w:t>Class B common stock, $0.01 par value, 3 shares authorized, issued and outstanding as of June 30,</w:t>
            </w:r>
          </w:p>
        </w:tc>
        <w:tc>
          <w:tcPr>
            <w:tcW w:w="2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2023 and December 31, 2022</w:t>
            </w:r>
          </w:p>
        </w:tc>
        <w:tc>
          <w:tcPr>
            <w:tcW w:w="2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CME Group Shareholders’ Equity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1"/>
        </w:trPr>
        <w:tc>
          <w:tcPr>
            <w:tcW w:w="5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2022</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Clearing and transaction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1,118.3</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1,024.6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2,318.5</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2,162.7</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2,583.8</w:t>
            </w: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1,608.8</w:t>
            </w:r>
          </w:p>
        </w:tc>
      </w:t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Equity in net earnings of unconsolidated subsidiaries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(2,578.1)</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1,783.0</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r>
      <w:tr>
        <w:trPr>
          <w:trHeight w:val="23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Shareholders of CME Group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175"/>
        </w:trPr>
        <w:tc>
          <w:tcPr>
            <w:tcW w:w="56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9"/>
              </w:rPr>
              <w:t>Earnings per Share Attributable to Common Shareholders of CME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Group:</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358,940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358,937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358,625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359,179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480"/>
              <w:spacing w:after="0"/>
              <w:rPr>
                <w:sz w:val="20"/>
                <w:szCs w:val="20"/>
                <w:color w:val="auto"/>
              </w:rPr>
            </w:pPr>
            <w:r>
              <w:rPr>
                <w:rFonts w:ascii="Arial" w:cs="Arial" w:eastAsia="Arial" w:hAnsi="Arial"/>
                <w:sz w:val="18"/>
                <w:szCs w:val="18"/>
                <w:color w:val="auto"/>
              </w:rPr>
              <w:t>Net unrealized holding gains (losses) arising during the period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Investment securities,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plans: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Net change in defined benefit plans arising during the period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620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w w:val="97"/>
              </w:rPr>
              <w:t>Amortization of net actuarial (gains) losses included in compensation and</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benefits expense</w:t>
            </w: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plans,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Derivative investments: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0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2"/>
              </w:rPr>
              <w:t>Reclassification of net unrealized (gains) losses to interest expense and other</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non-operating income (expense)</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200" w:type="dxa"/>
            <w:vAlign w:val="bottom"/>
          </w:tcPr>
          <w:p>
            <w:pPr>
              <w:ind w:left="48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investments, net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Foreign currency translation,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808.0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602.8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1,694.5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w w:val="93"/>
              </w:rPr>
              <w:t>Six Months Ended, June 30, 2023</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4"/>
              </w:rPr>
              <w:t>Preferred Stock,</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Stock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3"/>
              <w:spacing w:after="0" w:line="139"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3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358,929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26,878.7</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5"/>
              </w:rPr>
              <w:t>Dividends on common and preferred stock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$2.20 per share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Vesting of issued restricted Class A common</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Shares issued to Board of Directors</w:t>
            </w:r>
          </w:p>
        </w:tc>
        <w:tc>
          <w:tcPr>
            <w:tcW w:w="880" w:type="dxa"/>
            <w:vAlign w:val="bottom"/>
          </w:tcPr>
          <w:p>
            <w:pPr>
              <w:spacing w:after="0"/>
              <w:rPr>
                <w:sz w:val="19"/>
                <w:szCs w:val="19"/>
                <w:color w:val="auto"/>
              </w:rPr>
            </w:pPr>
          </w:p>
        </w:tc>
        <w:tc>
          <w:tcPr>
            <w:tcW w:w="1000" w:type="dxa"/>
            <w:vAlign w:val="bottom"/>
            <w:gridSpan w:val="2"/>
          </w:tcPr>
          <w:p>
            <w:pPr>
              <w:jc w:val="right"/>
              <w:ind w:right="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89"/>
              </w:rPr>
              <w:t>Shares issued under Employee Stock Purchase</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358,978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27,817.8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 June 30, 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4"/>
              </w:rPr>
              <w:t>Preferred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2"/>
              </w:rPr>
              <w:t>Stock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3"/>
              <w:spacing w:after="0" w:line="139"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358,931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27,384.4</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5"/>
              </w:rPr>
              <w:t>Dividends on common and preferred stock of</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$1.10 per share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Vesting of issued restricted Class A common</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Shares issued to Board of Directors</w:t>
            </w:r>
          </w:p>
        </w:tc>
        <w:tc>
          <w:tcPr>
            <w:tcW w:w="880" w:type="dxa"/>
            <w:vAlign w:val="bottom"/>
          </w:tcPr>
          <w:p>
            <w:pPr>
              <w:spacing w:after="0"/>
              <w:rPr>
                <w:sz w:val="19"/>
                <w:szCs w:val="19"/>
                <w:color w:val="auto"/>
              </w:rPr>
            </w:pPr>
          </w:p>
        </w:tc>
        <w:tc>
          <w:tcPr>
            <w:tcW w:w="1000" w:type="dxa"/>
            <w:vAlign w:val="bottom"/>
            <w:gridSpan w:val="2"/>
          </w:tcPr>
          <w:p>
            <w:pPr>
              <w:jc w:val="right"/>
              <w:ind w:right="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89"/>
              </w:rPr>
              <w:t>Shares issued under Employee Stock Purchase</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52"/>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358,978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27,817.8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 xml:space="preserve">CONSOLIDATED STATEMENTS OF EQUITY </w:t>
      </w:r>
      <w:r>
        <w:rPr>
          <w:rFonts w:ascii="Arial" w:cs="Arial" w:eastAsia="Arial" w:hAnsi="Arial"/>
          <w:sz w:val="17"/>
          <w:szCs w:val="17"/>
          <w:color w:val="auto"/>
        </w:rPr>
        <w:t>(continued)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(dollars in millions, except per share data; shares in thousands)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177165</wp:posOffset>
            </wp:positionV>
            <wp:extent cx="496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right="780"/>
        <w:spacing w:after="0" w:line="281" w:lineRule="auto"/>
        <w:rPr>
          <w:sz w:val="20"/>
          <w:szCs w:val="20"/>
          <w:color w:val="auto"/>
        </w:rPr>
      </w:pPr>
      <w:r>
        <w:rPr>
          <w:rFonts w:ascii="Arial" w:cs="Arial" w:eastAsia="Arial" w:hAnsi="Arial"/>
          <w:sz w:val="18"/>
          <w:szCs w:val="18"/>
          <w:color w:val="auto"/>
        </w:rPr>
        <w:t>Balance at December 31, 2021 Net income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Dividends on common stock of $2.00 per share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ind w:left="120" w:right="440"/>
        <w:spacing w:after="0" w:line="234" w:lineRule="auto"/>
        <w:rPr>
          <w:sz w:val="20"/>
          <w:szCs w:val="20"/>
          <w:color w:val="auto"/>
        </w:rPr>
      </w:pPr>
      <w:r>
        <w:rPr>
          <w:rFonts w:ascii="Arial" w:cs="Arial" w:eastAsia="Arial" w:hAnsi="Arial"/>
          <w:sz w:val="18"/>
          <w:szCs w:val="18"/>
          <w:color w:val="auto"/>
        </w:rPr>
        <w:t>Vesting of issued restricted Class A common stock</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issued to Board of Directors</w:t>
      </w:r>
    </w:p>
    <w:p>
      <w:pPr>
        <w:spacing w:after="0" w:line="23" w:lineRule="exact"/>
        <w:rPr>
          <w:sz w:val="20"/>
          <w:szCs w:val="20"/>
          <w:color w:val="auto"/>
        </w:rPr>
      </w:pPr>
    </w:p>
    <w:p>
      <w:pPr>
        <w:ind w:left="120" w:right="320"/>
        <w:spacing w:after="0" w:line="234" w:lineRule="auto"/>
        <w:rPr>
          <w:sz w:val="20"/>
          <w:szCs w:val="20"/>
          <w:color w:val="auto"/>
        </w:rPr>
      </w:pPr>
      <w:r>
        <w:rPr>
          <w:rFonts w:ascii="Arial" w:cs="Arial" w:eastAsia="Arial" w:hAnsi="Arial"/>
          <w:sz w:val="18"/>
          <w:szCs w:val="18"/>
          <w:color w:val="auto"/>
        </w:rPr>
        <w:t>Shares issued under Employee Stock Purchase Plan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2"/>
              </w:rPr>
              <w:t>Stock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Total CME Group</w:t>
            </w:r>
          </w:p>
        </w:tc>
        <w:tc>
          <w:tcPr>
            <w:tcW w:w="0" w:type="dxa"/>
            <w:vAlign w:val="bottom"/>
          </w:tcPr>
          <w:p>
            <w:pPr>
              <w:spacing w:after="0"/>
              <w:rPr>
                <w:sz w:val="1"/>
                <w:szCs w:val="1"/>
                <w:color w:val="auto"/>
              </w:rPr>
            </w:pPr>
          </w:p>
        </w:tc>
      </w:tr>
      <w:tr>
        <w:trPr>
          <w:trHeight w:val="148"/>
        </w:trPr>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73"/>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900" w:type="dxa"/>
            <w:vAlign w:val="bottom"/>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8"/>
                <w:szCs w:val="18"/>
                <w:color w:val="auto"/>
              </w:rPr>
              <w:t>358,599</w:t>
            </w:r>
          </w:p>
        </w:tc>
        <w:tc>
          <w:tcPr>
            <w:tcW w:w="10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22,193.9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left="620"/>
              <w:spacing w:after="0"/>
              <w:rPr>
                <w:sz w:val="20"/>
                <w:szCs w:val="20"/>
                <w:color w:val="auto"/>
              </w:rPr>
            </w:pPr>
            <w:r>
              <w:rPr>
                <w:rFonts w:ascii="Arial" w:cs="Arial" w:eastAsia="Arial" w:hAnsi="Arial"/>
                <w:sz w:val="18"/>
                <w:szCs w:val="18"/>
                <w:color w:val="auto"/>
                <w:w w:val="91"/>
              </w:rPr>
              <w:t>53.5</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27,399.3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left="600"/>
              <w:spacing w:after="0"/>
              <w:rPr>
                <w:sz w:val="20"/>
                <w:szCs w:val="20"/>
                <w:color w:val="auto"/>
              </w:rPr>
            </w:pPr>
            <w:r>
              <w:rPr>
                <w:rFonts w:ascii="Arial" w:cs="Arial" w:eastAsia="Arial" w:hAnsi="Arial"/>
                <w:sz w:val="18"/>
                <w:szCs w:val="18"/>
                <w:color w:val="auto"/>
                <w:w w:val="89"/>
              </w:rPr>
              <w:t>(85.2)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4"/>
                <w:szCs w:val="24"/>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358,677</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22,235.9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600"/>
              <w:spacing w:after="0"/>
              <w:rPr>
                <w:sz w:val="20"/>
                <w:szCs w:val="20"/>
                <w:color w:val="auto"/>
              </w:rPr>
            </w:pPr>
            <w:r>
              <w:rPr>
                <w:rFonts w:ascii="Arial" w:cs="Arial" w:eastAsia="Arial" w:hAnsi="Arial"/>
                <w:sz w:val="18"/>
                <w:szCs w:val="18"/>
                <w:color w:val="auto"/>
                <w:w w:val="89"/>
              </w:rPr>
              <w:t>(31.7)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28,001.7</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-1876425</wp:posOffset>
            </wp:positionV>
            <wp:extent cx="70123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-1567815</wp:posOffset>
            </wp:positionV>
            <wp:extent cx="701230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-1156970</wp:posOffset>
            </wp:positionV>
            <wp:extent cx="701230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-744855</wp:posOffset>
            </wp:positionV>
            <wp:extent cx="701230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-333375</wp:posOffset>
            </wp:positionV>
            <wp:extent cx="701230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20"/>
            <w:col w:w="7820"/>
          </w:cols>
          <w:pgMar w:left="320" w:top="125" w:right="4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6"/>
          </w:tcPr>
          <w:p>
            <w:pPr>
              <w:jc w:val="right"/>
              <w:ind w:right="176"/>
              <w:spacing w:after="0"/>
              <w:rPr>
                <w:sz w:val="20"/>
                <w:szCs w:val="20"/>
                <w:color w:val="auto"/>
              </w:rPr>
            </w:pPr>
            <w:r>
              <w:rPr>
                <w:rFonts w:ascii="Arial" w:cs="Arial" w:eastAsia="Arial" w:hAnsi="Arial"/>
                <w:sz w:val="14"/>
                <w:szCs w:val="14"/>
                <w:b w:val="1"/>
                <w:bCs w:val="1"/>
                <w:color w:val="auto"/>
                <w:w w:val="99"/>
              </w:rPr>
              <w:t>Quarter Ended, June 30, 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w w:val="92"/>
              </w:rPr>
              <w:t>Stock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Total CME Group</w:t>
            </w: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3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73"/>
              <w:spacing w:after="0" w:line="14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3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4,584</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358,631</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620"/>
              <w:spacing w:after="0"/>
              <w:rPr>
                <w:sz w:val="20"/>
                <w:szCs w:val="20"/>
                <w:color w:val="auto"/>
              </w:rPr>
            </w:pPr>
            <w:r>
              <w:rPr>
                <w:rFonts w:ascii="Arial" w:cs="Arial" w:eastAsia="Arial" w:hAnsi="Arial"/>
                <w:sz w:val="18"/>
                <w:szCs w:val="18"/>
                <w:color w:val="auto"/>
                <w:w w:val="91"/>
              </w:rPr>
              <w:t>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27,736.8</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left="600"/>
              <w:spacing w:after="0"/>
              <w:rPr>
                <w:sz w:val="20"/>
                <w:szCs w:val="20"/>
                <w:color w:val="auto"/>
              </w:rPr>
            </w:pPr>
            <w:r>
              <w:rPr>
                <w:rFonts w:ascii="Arial" w:cs="Arial" w:eastAsia="Arial" w:hAnsi="Arial"/>
                <w:sz w:val="18"/>
                <w:szCs w:val="18"/>
                <w:color w:val="auto"/>
                <w:w w:val="89"/>
              </w:rPr>
              <w:t>(59.7)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w w:val="97"/>
              </w:rPr>
              <w:t>Dividends on common stock of $1.00 per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share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rPr>
              <w:t>Vesting of issued restricted Class A</w:t>
            </w:r>
          </w:p>
        </w:tc>
        <w:tc>
          <w:tcPr>
            <w:tcW w:w="900" w:type="dxa"/>
            <w:vAlign w:val="bottom"/>
          </w:tcPr>
          <w:p>
            <w:pPr>
              <w:spacing w:after="0"/>
              <w:rPr>
                <w:sz w:val="15"/>
                <w:szCs w:val="15"/>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9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Board of Directors</w:t>
            </w:r>
          </w:p>
        </w:tc>
        <w:tc>
          <w:tcPr>
            <w:tcW w:w="9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line="176" w:lineRule="exact"/>
              <w:rPr>
                <w:sz w:val="20"/>
                <w:szCs w:val="20"/>
                <w:color w:val="auto"/>
              </w:rPr>
            </w:pPr>
            <w:r>
              <w:rPr>
                <w:rFonts w:ascii="Arial" w:cs="Arial" w:eastAsia="Arial" w:hAnsi="Arial"/>
                <w:sz w:val="18"/>
                <w:szCs w:val="18"/>
                <w:color w:val="auto"/>
              </w:rPr>
              <w:t>Shares issued under Employee Stock</w:t>
            </w:r>
          </w:p>
        </w:tc>
        <w:tc>
          <w:tcPr>
            <w:tcW w:w="90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9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4,584</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358,677</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22,235.9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600"/>
              <w:spacing w:after="0"/>
              <w:rPr>
                <w:sz w:val="20"/>
                <w:szCs w:val="20"/>
                <w:color w:val="auto"/>
              </w:rPr>
            </w:pPr>
            <w:r>
              <w:rPr>
                <w:rFonts w:ascii="Arial" w:cs="Arial" w:eastAsia="Arial" w:hAnsi="Arial"/>
                <w:sz w:val="18"/>
                <w:szCs w:val="18"/>
                <w:color w:val="auto"/>
                <w:w w:val="89"/>
              </w:rPr>
              <w:t>(31.7)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28,001.7</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140"/>
          </w:cols>
          <w:pgMar w:left="320" w:top="12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3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1,661.4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7"/>
        </w:trPr>
        <w:tc>
          <w:tcPr>
            <w:tcW w:w="8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836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41"/>
        </w:trPr>
        <w:tc>
          <w:tcPr>
            <w:tcW w:w="8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marketable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net</w:t>
            </w:r>
          </w:p>
        </w:tc>
        <w:tc>
          <w:tcPr>
            <w:tcW w:w="32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81"/>
        </w:trPr>
        <w:tc>
          <w:tcPr>
            <w:tcW w:w="8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Investment in S&amp;P/Dow Jones Indices LLC</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privately-held equity investments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41"/>
        </w:trPr>
        <w:tc>
          <w:tcPr>
            <w:tcW w:w="8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debt, net of issuance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 including call premium</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performance bond and guaranty fund contributions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(19,519.2)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Employee taxes paid on restricted stock vesting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2"/>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(24,461.0)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81"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3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(20,474.9)</w:t>
            </w:r>
          </w:p>
        </w:tc>
      </w:tr>
      <w:tr>
        <w:trPr>
          <w:trHeight w:val="23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137,974.3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160,789.9</w:t>
            </w:r>
          </w:p>
        </w:tc>
      </w:tr>
      <w:tr>
        <w:trPr>
          <w:trHeight w:val="25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140,315.0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1,880.1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1,879.5</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restricted cash</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and restricted cash equivalents (performance bonds and guaranty fund contributions)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113,241.6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138,430.4</w:t>
            </w:r>
          </w:p>
        </w:tc>
      </w:tr>
      <w:tr>
        <w:trPr>
          <w:trHeight w:val="232"/>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115,126.9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140,315.0</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8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June 30, 2023 and December 31, 2022 and the results of operations and cash flows for the periods indicated. Quarterly results are not necessarily indicative of results for any subsequent period.</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2022, filed with the Securities and Exchange Commission (SEC) on February 27,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Market data and information services. </w:t>
      </w:r>
      <w:r>
        <w:rPr>
          <w:rFonts w:ascii="Arial" w:cs="Arial" w:eastAsia="Arial" w:hAnsi="Arial"/>
          <w:sz w:val="17"/>
          <w:szCs w:val="17"/>
          <w:color w:val="auto"/>
        </w:rPr>
        <w:t>Market data and information services represent revenue from the dissemination of market data to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certain access and communication fees, fees for collateral management, equity membership subscription fees, and fees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 disaggregation of revenue from contracts with customers by product line for the quarter ended June 30, 2023 and 2022:</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r>
      <w:tr>
        <w:trPr>
          <w:trHeight w:val="19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Equity indexes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515.0</w:t>
            </w: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Agricultural commodities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4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EBS foreign exchange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Total clearing and transaction fees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1,024.6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2,162.7</w:t>
            </w:r>
          </w:p>
        </w:tc>
      </w:tr>
      <w:tr>
        <w:trPr>
          <w:trHeight w:val="24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1,237.2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r>
              <w:rPr>
                <w:rFonts w:ascii="Arial" w:cs="Arial" w:eastAsia="Arial" w:hAnsi="Arial"/>
                <w:sz w:val="18"/>
                <w:szCs w:val="18"/>
                <w:u w:val="single" w:color="auto"/>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Services transferred at a point in time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1,093.1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2,270.6</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2,043.1</w:t>
            </w: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5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1,237.2</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first six months of June 30, 2023 were not materially impacted by any other factors. The balance of contract liabilities was $39.4 million and $12.7 million as of June 30, 2023 and December 31, 2022,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Guaranty Fund Contributions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Performance Bonds and Guaranty Fund Contribution Reinvestment. </w:t>
      </w:r>
      <w:r>
        <w:rPr>
          <w:rFonts w:ascii="Arial" w:cs="Arial" w:eastAsia="Arial" w:hAnsi="Arial"/>
          <w:sz w:val="17"/>
          <w:szCs w:val="17"/>
          <w:color w:val="auto"/>
        </w:rPr>
        <w:t>CME reinvests cash performance bonds and guaranty fund contributions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June 30, 2023, CME maintained $100.3 billion within the cash account at the Federal Reserve Bank of Chicago. The cash deposit at the Federal Reserve Bank of Chicago is included within performance bonds and guaranty fund contributions on the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and first six months of 2023, earnings from cash performance bond and guaranty fund contributions were $1,540.1 million and</w:t>
      </w:r>
    </w:p>
    <w:p>
      <w:pPr>
        <w:spacing w:after="0" w:line="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$2,796.4 million, compared with $295.5 million and $369.1 million in the second quarter and first six months of 2022. In the second quarter and first six months of 2023, expenses related to the distribution of interest earned on collateral reinvestments were $1,432.8 million and $2,596.3 million, compared with $223.5 million and $271.9 million in the second quarter and first six months of 2022.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The clearing house marks-to-market open positions at least once a day (twice a day for all futures and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6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3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During the first six months of 2023, the clearing house transferred an average of approximately $5.7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June 30, 2023 and December 31, 2022.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2023 and December 31, 2022:</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13"/>
                <w:szCs w:val="13"/>
                <w:b w:val="1"/>
                <w:bCs w:val="1"/>
                <w:color w:val="auto"/>
                <w:w w:val="94"/>
              </w:rPr>
              <w:t>June 30, 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3"/>
                <w:szCs w:val="13"/>
                <w:b w:val="1"/>
                <w:bCs w:val="1"/>
                <w:color w:val="auto"/>
                <w:w w:val="87"/>
              </w:rPr>
              <w:t>December 31, 2022</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4"/>
              </w:rPr>
              <w:t>Assigned Value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124"/>
              <w:spacing w:after="0" w:line="115"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160"/>
              <w:spacing w:after="0" w:line="115" w:lineRule="exact"/>
              <w:rPr>
                <w:sz w:val="20"/>
                <w:szCs w:val="20"/>
                <w:color w:val="auto"/>
              </w:rPr>
            </w:pPr>
            <w:r>
              <w:rPr>
                <w:rFonts w:ascii="Arial" w:cs="Arial" w:eastAsia="Arial" w:hAnsi="Arial"/>
                <w:sz w:val="13"/>
                <w:szCs w:val="13"/>
                <w:b w:val="1"/>
                <w:bCs w:val="1"/>
                <w:color w:val="auto"/>
                <w:w w:val="94"/>
              </w:rPr>
              <w:t>Net Book</w:t>
            </w:r>
          </w:p>
        </w:tc>
        <w:tc>
          <w:tcPr>
            <w:tcW w:w="10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4"/>
              </w:rPr>
              <w:t>Assigned Value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860" w:type="dxa"/>
            <w:vAlign w:val="bottom"/>
          </w:tcPr>
          <w:p>
            <w:pPr>
              <w:jc w:val="right"/>
              <w:ind w:right="200"/>
              <w:spacing w:after="0" w:line="115" w:lineRule="exact"/>
              <w:rPr>
                <w:sz w:val="20"/>
                <w:szCs w:val="20"/>
                <w:color w:val="auto"/>
              </w:rPr>
            </w:pPr>
            <w:r>
              <w:rPr>
                <w:rFonts w:ascii="Arial" w:cs="Arial" w:eastAsia="Arial" w:hAnsi="Arial"/>
                <w:sz w:val="13"/>
                <w:szCs w:val="13"/>
                <w:b w:val="1"/>
                <w:bCs w:val="1"/>
                <w:color w:val="auto"/>
                <w:w w:val="98"/>
              </w:rPr>
              <w:t>Net Book</w:t>
            </w:r>
          </w:p>
        </w:tc>
        <w:tc>
          <w:tcPr>
            <w:tcW w:w="0" w:type="dxa"/>
            <w:vAlign w:val="bottom"/>
          </w:tcPr>
          <w:p>
            <w:pPr>
              <w:spacing w:after="0"/>
              <w:rPr>
                <w:sz w:val="1"/>
                <w:szCs w:val="1"/>
                <w:color w:val="auto"/>
              </w:rPr>
            </w:pPr>
          </w:p>
        </w:tc>
      </w:tr>
      <w:tr>
        <w:trPr>
          <w:trHeight w:val="170"/>
        </w:trPr>
        <w:tc>
          <w:tcPr>
            <w:tcW w:w="476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6"/>
                <w:szCs w:val="16"/>
                <w:color w:val="auto"/>
              </w:rPr>
              <w:t>Clearing firm, market data and other customer relationships</w:t>
            </w:r>
          </w:p>
        </w:tc>
        <w:tc>
          <w:tcPr>
            <w:tcW w:w="200" w:type="dxa"/>
            <w:vAlign w:val="bottom"/>
          </w:tcPr>
          <w:p>
            <w:pPr>
              <w:jc w:val="right"/>
              <w:ind w:right="22"/>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4,690.5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(2,017.1)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2,673.4</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4,685.8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(1,909.7)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2,776.1</w:t>
            </w:r>
          </w:p>
        </w:tc>
        <w:tc>
          <w:tcPr>
            <w:tcW w:w="0" w:type="dxa"/>
            <w:vAlign w:val="bottom"/>
          </w:tcPr>
          <w:p>
            <w:pPr>
              <w:spacing w:after="0"/>
              <w:rPr>
                <w:sz w:val="1"/>
                <w:szCs w:val="1"/>
                <w:color w:val="auto"/>
              </w:rPr>
            </w:pPr>
          </w:p>
        </w:tc>
      </w:tr>
      <w:tr>
        <w:trPr>
          <w:trHeight w:val="232"/>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Technology-related intellectual property</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amortizable intangible assets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2,710.3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23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 other, net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3,269.7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Trading products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17,175.3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40" w:hanging="328"/>
        <w:spacing w:after="0" w:line="26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Total amortization expense for intangible assets was $57.0 million and $57.1 million for the quarters ended June 30, 2023 and 2022, respectively. Total amortization expense for intangible assets was $113.8 million and $115.5 million for the six months ended June 30, 2023 and 2022,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80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Arial" w:cs="Arial" w:eastAsia="Arial" w:hAnsi="Arial"/>
                <w:sz w:val="14"/>
                <w:szCs w:val="14"/>
                <w:b w:val="1"/>
                <w:bCs w:val="1"/>
                <w:color w:val="auto"/>
              </w:rPr>
              <w:t>Amortization Expense</w:t>
            </w:r>
          </w:p>
        </w:tc>
      </w:tr>
      <w:tr>
        <w:trPr>
          <w:trHeight w:val="25"/>
        </w:trPr>
        <w:tc>
          <w:tcPr>
            <w:tcW w:w="348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58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221.8</w:t>
            </w:r>
          </w:p>
        </w:tc>
      </w:tr>
      <w:tr>
        <w:trPr>
          <w:trHeight w:val="23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221.8</w:t>
            </w:r>
          </w:p>
        </w:tc>
      </w:tr>
      <w:tr>
        <w:trPr>
          <w:trHeight w:val="24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8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2028</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1,496.3</w:t>
            </w:r>
          </w:p>
        </w:tc>
      </w:tr>
      <w:tr>
        <w:trPr>
          <w:trHeight w:val="878"/>
        </w:trPr>
        <w:tc>
          <w:tcPr>
            <w:tcW w:w="3480" w:type="dxa"/>
            <w:vAlign w:val="bottom"/>
          </w:tcPr>
          <w:p>
            <w:pPr>
              <w:spacing w:after="0"/>
              <w:rPr>
                <w:sz w:val="24"/>
                <w:szCs w:val="24"/>
                <w:color w:val="auto"/>
              </w:rPr>
            </w:pPr>
          </w:p>
        </w:tc>
        <w:tc>
          <w:tcPr>
            <w:tcW w:w="5800" w:type="dxa"/>
            <w:vAlign w:val="bottom"/>
          </w:tcPr>
          <w:p>
            <w:pPr>
              <w:jc w:val="right"/>
              <w:ind w:right="3470"/>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periods ended June 30, 2023 and December 31, 2022</w:t>
      </w:r>
      <w:r>
        <w:rPr>
          <w:rFonts w:ascii="Arial" w:cs="Arial" w:eastAsia="Arial" w:hAnsi="Arial"/>
          <w:sz w:val="16"/>
          <w:szCs w:val="16"/>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Balance at June 30,</w:t>
            </w:r>
          </w:p>
        </w:tc>
        <w:tc>
          <w:tcPr>
            <w:tcW w:w="0" w:type="dxa"/>
            <w:vAlign w:val="bottom"/>
          </w:tcPr>
          <w:p>
            <w:pPr>
              <w:spacing w:after="0"/>
              <w:rPr>
                <w:sz w:val="1"/>
                <w:szCs w:val="1"/>
                <w:color w:val="auto"/>
              </w:rPr>
            </w:pPr>
          </w:p>
        </w:tc>
      </w:tr>
      <w:tr>
        <w:trPr>
          <w:trHeight w:val="201"/>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89"/>
              </w:rPr>
              <w:t xml:space="preserve">Activity </w:t>
            </w:r>
            <w:r>
              <w:rPr>
                <w:rFonts w:ascii="Arial" w:cs="Arial" w:eastAsia="Arial" w:hAnsi="Arial"/>
                <w:sz w:val="18"/>
                <w:szCs w:val="18"/>
                <w:b w:val="1"/>
                <w:bCs w:val="1"/>
                <w:color w:val="auto"/>
                <w:w w:val="89"/>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5,066.4</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2,462.2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2,913.5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40.4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10,482.5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10,490.7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3"/>
          </w:tcPr>
          <w:p>
            <w:pPr>
              <w:jc w:val="center"/>
              <w:ind w:right="120"/>
              <w:spacing w:after="0" w:line="110" w:lineRule="exact"/>
              <w:rPr>
                <w:sz w:val="20"/>
                <w:szCs w:val="20"/>
                <w:color w:val="auto"/>
              </w:rPr>
            </w:pPr>
            <w:r>
              <w:rPr>
                <w:rFonts w:ascii="Arial" w:cs="Arial" w:eastAsia="Arial" w:hAnsi="Arial"/>
                <w:sz w:val="12"/>
                <w:szCs w:val="12"/>
                <w:b w:val="1"/>
                <w:bCs w:val="1"/>
                <w:color w:val="auto"/>
              </w:rPr>
              <w:t>Balance at</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201"/>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89"/>
              </w:rPr>
              <w:t xml:space="preserve">Activity </w:t>
            </w:r>
            <w:r>
              <w:rPr>
                <w:rFonts w:ascii="Arial" w:cs="Arial" w:eastAsia="Arial" w:hAnsi="Arial"/>
                <w:sz w:val="18"/>
                <w:szCs w:val="18"/>
                <w:b w:val="1"/>
                <w:bCs w:val="1"/>
                <w:color w:val="auto"/>
                <w:w w:val="89"/>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3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5,066.4</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2,462.2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2,959.0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gridSpan w:val="5"/>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10,528.0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tcPr>
          <w:p>
            <w:pPr>
              <w:spacing w:after="0"/>
              <w:rPr>
                <w:sz w:val="20"/>
                <w:szCs w:val="20"/>
                <w:color w:val="auto"/>
              </w:rPr>
            </w:pPr>
            <w:r>
              <w:rPr>
                <w:rFonts w:ascii="Arial" w:cs="Arial" w:eastAsia="Arial" w:hAnsi="Arial"/>
                <w:sz w:val="16"/>
                <w:szCs w:val="16"/>
                <w:color w:val="auto"/>
              </w:rPr>
              <w:t>(1) Other activity includes currency translation adjustments.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500" w:type="dxa"/>
            <w:vAlign w:val="bottom"/>
          </w:tcPr>
          <w:p>
            <w:pPr>
              <w:spacing w:after="0"/>
              <w:rPr>
                <w:sz w:val="20"/>
                <w:szCs w:val="20"/>
                <w:color w:val="auto"/>
              </w:rPr>
            </w:pPr>
            <w:r>
              <w:rPr>
                <w:rFonts w:ascii="Arial" w:cs="Arial" w:eastAsia="Arial" w:hAnsi="Arial"/>
                <w:sz w:val="18"/>
                <w:szCs w:val="18"/>
                <w:b w:val="1"/>
                <w:bCs w:val="1"/>
                <w:color w:val="auto"/>
              </w:rPr>
              <w:t>5. Debt</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In May 2023, the company repaid the €15.0 million fixed rate notes.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w w:val="96"/>
              </w:rPr>
              <w:t>Short-term debt consisted of the following at June 30, 2023 and December 31, 2022: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June 30,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3"/>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€15.0 million fixed rate notes due May 2023, stated rate of 4.30%</w:t>
            </w:r>
          </w:p>
        </w:tc>
        <w:tc>
          <w:tcPr>
            <w:tcW w:w="1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w w:val="96"/>
              </w:rPr>
              <w:t>Long-term debt consisted of the following at June 30, 2023 and December 31, 2022:</w:t>
            </w: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255"/>
              <w:spacing w:after="0"/>
              <w:rPr>
                <w:sz w:val="20"/>
                <w:szCs w:val="20"/>
                <w:color w:val="auto"/>
              </w:rPr>
            </w:pPr>
            <w:r>
              <w:rPr>
                <w:rFonts w:ascii="Arial" w:cs="Arial" w:eastAsia="Arial" w:hAnsi="Arial"/>
                <w:sz w:val="14"/>
                <w:szCs w:val="14"/>
                <w:b w:val="1"/>
                <w:bCs w:val="1"/>
                <w:color w:val="auto"/>
              </w:rPr>
              <w:t>June 30,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 stated rate of 3.75%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2032, stated rate of 2.65%</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$700.0 million fixed rate notes due June 2048, stated rate of 4.15%</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3,423.8</w:t>
            </w:r>
          </w:p>
        </w:tc>
        <w:tc>
          <w:tcPr>
            <w:tcW w:w="40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June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698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 Value</w:t>
            </w:r>
          </w:p>
        </w:tc>
      </w:tr>
      <w:tr>
        <w:trPr>
          <w:trHeight w:val="25"/>
        </w:trPr>
        <w:tc>
          <w:tcPr>
            <w:tcW w:w="31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2025</w:t>
            </w:r>
          </w:p>
        </w:tc>
        <w:tc>
          <w:tcPr>
            <w:tcW w:w="69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20"/>
                <w:szCs w:val="20"/>
                <w:color w:val="auto"/>
              </w:rPr>
            </w:pPr>
          </w:p>
        </w:tc>
      </w:tr>
      <w:tr>
        <w:trPr>
          <w:trHeight w:val="24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9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2027</w:t>
            </w:r>
          </w:p>
        </w:tc>
        <w:tc>
          <w:tcPr>
            <w:tcW w:w="69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9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1"/>
                <w:szCs w:val="2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9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2,200.0</w:t>
            </w:r>
          </w:p>
        </w:tc>
        <w:tc>
          <w:tcPr>
            <w:tcW w:w="20" w:type="dxa"/>
            <w:vAlign w:val="bottom"/>
          </w:tcPr>
          <w:p>
            <w:pPr>
              <w:spacing w:after="0"/>
              <w:rPr>
                <w:sz w:val="20"/>
                <w:szCs w:val="20"/>
                <w:color w:val="auto"/>
              </w:rPr>
            </w:pPr>
          </w:p>
        </w:tc>
      </w:tr>
      <w:tr>
        <w:trPr>
          <w:trHeight w:val="877"/>
        </w:trPr>
        <w:tc>
          <w:tcPr>
            <w:tcW w:w="3160" w:type="dxa"/>
            <w:vAlign w:val="bottom"/>
          </w:tcPr>
          <w:p>
            <w:pPr>
              <w:spacing w:after="0"/>
              <w:rPr>
                <w:sz w:val="24"/>
                <w:szCs w:val="24"/>
                <w:color w:val="auto"/>
              </w:rPr>
            </w:pPr>
          </w:p>
        </w:tc>
        <w:tc>
          <w:tcPr>
            <w:tcW w:w="6980" w:type="dxa"/>
            <w:vAlign w:val="bottom"/>
          </w:tcPr>
          <w:p>
            <w:pPr>
              <w:jc w:val="right"/>
              <w:ind w:right="4330"/>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69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w:t>
      </w:r>
    </w:p>
    <w:p>
      <w:pPr>
        <w:spacing w:after="0" w:line="12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the normal course of business, the company discusses matters with its regulators raised during regulatory examinations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5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In addition, the company is a defendant in, and may be subject to,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No accrual was required for contingent legal and regulatory matters as none were probable and estimable as of June 30, 2023 and December 31, 2022.</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operating leases for corporate offices. The operating leases have remaining lease terms of up to 15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1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Arial" w:cs="Arial" w:eastAsia="Arial" w:hAnsi="Arial"/>
                <w:sz w:val="18"/>
                <w:szCs w:val="18"/>
                <w:color w:val="auto"/>
                <w:w w:val="92"/>
              </w:rPr>
              <w:t>Total operating lease expense included in other</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7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6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80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line="202" w:lineRule="exact"/>
              <w:rPr>
                <w:sz w:val="20"/>
                <w:szCs w:val="20"/>
                <w:color w:val="auto"/>
              </w:rPr>
            </w:pPr>
            <w:r>
              <w:rPr>
                <w:rFonts w:ascii="Arial" w:cs="Arial" w:eastAsia="Arial" w:hAnsi="Arial"/>
                <w:sz w:val="18"/>
                <w:szCs w:val="18"/>
                <w:color w:val="auto"/>
              </w:rPr>
              <w:t>expense</w:t>
            </w:r>
          </w:p>
        </w:tc>
        <w:tc>
          <w:tcPr>
            <w:tcW w:w="4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52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lease expense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Sublease revenue included in other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60" w:type="dxa"/>
            <w:vAlign w:val="bottom"/>
          </w:tcPr>
          <w:p>
            <w:pPr>
              <w:jc w:val="center"/>
              <w:ind w:right="1148"/>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3"/>
              </w:rPr>
              <w:t>Six Months Ended</w:t>
            </w:r>
          </w:p>
        </w:tc>
      </w:tr>
      <w:tr>
        <w:trPr>
          <w:trHeight w:val="196"/>
        </w:trPr>
        <w:tc>
          <w:tcPr>
            <w:tcW w:w="35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168"/>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center"/>
              <w:ind w:right="1108"/>
              <w:spacing w:after="0"/>
              <w:rPr>
                <w:sz w:val="20"/>
                <w:szCs w:val="20"/>
                <w:color w:val="auto"/>
              </w:rPr>
            </w:pPr>
            <w:r>
              <w:rPr>
                <w:rFonts w:ascii="Arial" w:cs="Arial" w:eastAsia="Arial" w:hAnsi="Arial"/>
                <w:sz w:val="14"/>
                <w:szCs w:val="14"/>
                <w:b w:val="1"/>
                <w:bCs w:val="1"/>
                <w:color w:val="auto"/>
                <w:w w:val="89"/>
              </w:rPr>
              <w:t>June 30,</w:t>
            </w:r>
          </w:p>
        </w:tc>
      </w:tr>
      <w:tr>
        <w:trPr>
          <w:trHeight w:val="186"/>
        </w:trPr>
        <w:tc>
          <w:tcPr>
            <w:tcW w:w="35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2560" w:type="dxa"/>
            <w:vAlign w:val="bottom"/>
          </w:tcPr>
          <w:p>
            <w:pPr>
              <w:jc w:val="right"/>
              <w:ind w:right="68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2600" w:type="dxa"/>
            <w:vAlign w:val="bottom"/>
          </w:tcPr>
          <w:p>
            <w:pPr>
              <w:jc w:val="right"/>
              <w:ind w:right="688"/>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outflows for operating leases</w:t>
            </w:r>
          </w:p>
        </w:tc>
        <w:tc>
          <w:tcPr>
            <w:tcW w:w="13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8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Borders>
              <w:top w:val="single" w:sz="8" w:color="auto"/>
            </w:tcBorders>
            <w:shd w:val="clear" w:color="auto" w:fill="CCEEFF"/>
          </w:tcPr>
          <w:p>
            <w:pPr>
              <w:spacing w:after="0"/>
              <w:rPr>
                <w:sz w:val="20"/>
                <w:szCs w:val="20"/>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Cash outflows for finance leases</w:t>
            </w:r>
          </w:p>
        </w:tc>
        <w:tc>
          <w:tcPr>
            <w:tcW w:w="1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r>
      <w:tr>
        <w:trPr>
          <w:trHeight w:val="323"/>
        </w:trPr>
        <w:tc>
          <w:tcPr>
            <w:tcW w:w="5380" w:type="dxa"/>
            <w:vAlign w:val="bottom"/>
            <w:gridSpan w:val="3"/>
          </w:tcPr>
          <w:p>
            <w:pPr>
              <w:spacing w:after="0"/>
              <w:rPr>
                <w:sz w:val="20"/>
                <w:szCs w:val="20"/>
                <w:color w:val="auto"/>
              </w:rPr>
            </w:pPr>
            <w:r>
              <w:rPr>
                <w:rFonts w:ascii="Arial" w:cs="Arial" w:eastAsia="Arial" w:hAnsi="Arial"/>
                <w:sz w:val="18"/>
                <w:szCs w:val="18"/>
                <w:color w:val="auto"/>
                <w:w w:val="91"/>
              </w:rPr>
              <w:t>Supplemental balance sheet information related to leases was as follows:</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3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June 30, 2023</w:t>
            </w:r>
          </w:p>
        </w:tc>
        <w:tc>
          <w:tcPr>
            <w:tcW w:w="3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291.1</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310.6</w:t>
            </w:r>
          </w:p>
        </w:tc>
        <w:tc>
          <w:tcPr>
            <w:tcW w:w="20" w:type="dxa"/>
            <w:vAlign w:val="bottom"/>
          </w:tcPr>
          <w:p>
            <w:pPr>
              <w:spacing w:after="0"/>
              <w:rPr>
                <w:sz w:val="19"/>
                <w:szCs w:val="19"/>
                <w:color w:val="auto"/>
              </w:rPr>
            </w:pPr>
          </w:p>
        </w:tc>
      </w:tr>
      <w:tr>
        <w:trPr>
          <w:trHeight w:val="270"/>
        </w:trPr>
        <w:tc>
          <w:tcPr>
            <w:tcW w:w="30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0"/>
                <w:szCs w:val="20"/>
                <w:color w:val="auto"/>
              </w:rPr>
            </w:pPr>
          </w:p>
        </w:tc>
      </w:tr>
      <w:tr>
        <w:trPr>
          <w:trHeight w:val="230"/>
        </w:trPr>
        <w:tc>
          <w:tcPr>
            <w:tcW w:w="302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365.8</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383.5</w:t>
            </w:r>
          </w:p>
        </w:tc>
        <w:tc>
          <w:tcPr>
            <w:tcW w:w="20" w:type="dxa"/>
            <w:vAlign w:val="bottom"/>
          </w:tcPr>
          <w:p>
            <w:pPr>
              <w:spacing w:after="0"/>
              <w:rPr>
                <w:sz w:val="19"/>
                <w:szCs w:val="19"/>
                <w:color w:val="auto"/>
              </w:rPr>
            </w:pPr>
          </w:p>
        </w:tc>
      </w:tr>
      <w:tr>
        <w:trPr>
          <w:trHeight w:val="261"/>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413.9</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22"/>
                <w:szCs w:val="22"/>
                <w:color w:val="auto"/>
              </w:rPr>
            </w:pPr>
          </w:p>
        </w:tc>
      </w:tr>
      <w:tr>
        <w:trPr>
          <w:trHeight w:val="20"/>
        </w:trPr>
        <w:tc>
          <w:tcPr>
            <w:tcW w:w="43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7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720" w:type="dxa"/>
            <w:vAlign w:val="bottom"/>
          </w:tcPr>
          <w:p>
            <w:pPr>
              <w:ind w:left="180"/>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7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71.5</w:t>
            </w:r>
          </w:p>
        </w:tc>
      </w:tr>
      <w:tr>
        <w:trPr>
          <w:trHeight w:val="270"/>
        </w:trPr>
        <w:tc>
          <w:tcPr>
            <w:tcW w:w="7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3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63.6</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67.8</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71.9</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76.0</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3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432"/>
        </w:trPr>
        <w:tc>
          <w:tcPr>
            <w:tcW w:w="7560" w:type="dxa"/>
            <w:vAlign w:val="bottom"/>
            <w:gridSpan w:val="2"/>
          </w:tcPr>
          <w:p>
            <w:pPr>
              <w:spacing w:after="0"/>
              <w:rPr>
                <w:sz w:val="20"/>
                <w:szCs w:val="20"/>
                <w:color w:val="auto"/>
              </w:rPr>
            </w:pPr>
            <w:r>
              <w:rPr>
                <w:rFonts w:ascii="Arial" w:cs="Arial" w:eastAsia="Arial" w:hAnsi="Arial"/>
                <w:sz w:val="18"/>
                <w:szCs w:val="18"/>
                <w:color w:val="auto"/>
                <w:w w:val="92"/>
              </w:rPr>
              <w:t>Future minimum lease payments were as follows as of June 30, 2023 for operating and finance leases:</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2"/>
        </w:trPr>
        <w:tc>
          <w:tcPr>
            <w:tcW w:w="7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452"/>
              <w:spacing w:after="0"/>
              <w:rPr>
                <w:sz w:val="20"/>
                <w:szCs w:val="20"/>
                <w:color w:val="auto"/>
              </w:rPr>
            </w:pPr>
            <w:r>
              <w:rPr>
                <w:rFonts w:ascii="Arial" w:cs="Arial" w:eastAsia="Arial" w:hAnsi="Arial"/>
                <w:sz w:val="14"/>
                <w:szCs w:val="14"/>
                <w:b w:val="1"/>
                <w:bCs w:val="1"/>
                <w:color w:val="auto"/>
                <w:w w:val="98"/>
              </w:rPr>
              <w:t>Operating Leases</w:t>
            </w:r>
          </w:p>
        </w:tc>
      </w:tr>
      <w:tr>
        <w:trPr>
          <w:trHeight w:val="26"/>
        </w:trPr>
        <w:tc>
          <w:tcPr>
            <w:tcW w:w="7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Remainder of 2023</w:t>
            </w:r>
          </w:p>
        </w:tc>
        <w:tc>
          <w:tcPr>
            <w:tcW w:w="360" w:type="dxa"/>
            <w:vAlign w:val="bottom"/>
          </w:tcPr>
          <w:p>
            <w:pPr>
              <w:spacing w:after="0"/>
              <w:rPr>
                <w:sz w:val="19"/>
                <w:szCs w:val="19"/>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r>
      <w:tr>
        <w:trPr>
          <w:trHeight w:val="24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86"/>
        </w:trPr>
        <w:tc>
          <w:tcPr>
            <w:tcW w:w="7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ind w:left="180"/>
              <w:spacing w:after="0"/>
              <w:rPr>
                <w:sz w:val="20"/>
                <w:szCs w:val="20"/>
                <w:color w:val="auto"/>
              </w:rPr>
            </w:pPr>
            <w:r>
              <w:rPr>
                <w:rFonts w:ascii="Arial" w:cs="Arial" w:eastAsia="Arial" w:hAnsi="Arial"/>
                <w:sz w:val="14"/>
                <w:szCs w:val="14"/>
                <w:b w:val="1"/>
                <w:bCs w:val="1"/>
                <w:color w:val="auto"/>
              </w:rPr>
              <w:t>Finance Leases</w:t>
            </w:r>
          </w:p>
        </w:tc>
      </w:tr>
      <w:tr>
        <w:trPr>
          <w:trHeight w:val="25"/>
        </w:trPr>
        <w:tc>
          <w:tcPr>
            <w:tcW w:w="7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Remainder of 2023</w:t>
            </w:r>
          </w:p>
        </w:tc>
        <w:tc>
          <w:tcPr>
            <w:tcW w:w="360" w:type="dxa"/>
            <w:vAlign w:val="bottom"/>
          </w:tcPr>
          <w:p>
            <w:pPr>
              <w:spacing w:after="0"/>
              <w:rPr>
                <w:sz w:val="19"/>
                <w:szCs w:val="19"/>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5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36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12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maintain a mutual offset agreement with a current term through May 2024.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after May 2024 unless either party provides advance notice of their intent to terminate. CME can maintain collateral in the form of irrevocable, standby letters of credit. At June 30, 2023, CME was contingently liable to SGX on letters of credit totaling $285.0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clearing house. Based on the assessment performed, management estimates the guarantee liability to be nominal and therefore has not recorded any liability at June 30, 2023 and December 31, 2022.</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June 30, 2023 and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Defined Benefit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Investments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current period other comprehensive income (loss)</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Defined Benefit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current period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66.0</w:t>
            </w:r>
          </w:p>
        </w:tc>
        <w:tc>
          <w:tcPr>
            <w:tcW w:w="3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company's level 2 assets and liabilities generally consist of long-term debt notes. The fair values of the long-term debt notes were based on quoted market prices in an inactive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3 assets and liabilities include certain investments that were adjusted to fair value.</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Recurring Fair Value Measurements. </w:t>
      </w:r>
      <w:r>
        <w:rPr>
          <w:rFonts w:ascii="Arial" w:cs="Arial" w:eastAsia="Arial" w:hAnsi="Arial"/>
          <w:sz w:val="18"/>
          <w:szCs w:val="18"/>
          <w:color w:val="auto"/>
        </w:rPr>
        <w:t>Financial assets and liabilities recorded at fair value on the consolidated balance sheet as of June 30, 2023 were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520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6"/>
        </w:trPr>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200" w:type="dxa"/>
            <w:vAlign w:val="bottom"/>
          </w:tcPr>
          <w:p>
            <w:pPr>
              <w:ind w:left="4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29"/>
        </w:trPr>
        <w:tc>
          <w:tcPr>
            <w:tcW w:w="5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In the first six months of 2023, the company recognized a net unrealized gain on investments of $1.3 million on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investments without readily determinable fair value. The fair value of these investments was estimated to be $8.6 million at June 30, 2023. This fair value assessment was based on quantitative factors, including observable price changes. The fair value measurements of these investments are considered level 3 and non-recurring.</w:t>
      </w:r>
    </w:p>
    <w:p>
      <w:pPr>
        <w:spacing w:after="0" w:line="13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Fair Values of Long-Term Debt Notes. </w:t>
      </w:r>
      <w:r>
        <w:rPr>
          <w:rFonts w:ascii="Arial" w:cs="Arial" w:eastAsia="Arial" w:hAnsi="Arial"/>
          <w:sz w:val="18"/>
          <w:szCs w:val="18"/>
          <w:color w:val="auto"/>
        </w:rPr>
        <w:t>The following presents the estimated fair values of long-term debt notes, which are carried at amortized cost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The fair values below are classified as level 2 under the fair value hierarchy and were estimated using quoted market prices in inactive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fair values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46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w:t>
            </w:r>
          </w:p>
        </w:tc>
      </w:tr>
      <w:tr>
        <w:trPr>
          <w:trHeight w:val="229"/>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2025</w:t>
            </w:r>
          </w:p>
        </w:tc>
        <w:tc>
          <w:tcPr>
            <w:tcW w:w="54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722.8</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w:t>
            </w:r>
          </w:p>
        </w:tc>
        <w:tc>
          <w:tcPr>
            <w:tcW w:w="5460" w:type="dxa"/>
            <w:vAlign w:val="bottom"/>
          </w:tcPr>
          <w:p>
            <w:pPr>
              <w:jc w:val="right"/>
              <w:ind w:right="173"/>
              <w:spacing w:after="0"/>
              <w:rPr>
                <w:sz w:val="20"/>
                <w:szCs w:val="20"/>
                <w:color w:val="auto"/>
              </w:rPr>
            </w:pPr>
            <w:r>
              <w:rPr>
                <w:rFonts w:ascii="Arial" w:cs="Arial" w:eastAsia="Arial" w:hAnsi="Arial"/>
                <w:sz w:val="18"/>
                <w:szCs w:val="18"/>
                <w:color w:val="auto"/>
              </w:rPr>
              <w:t>478.8</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2032</w:t>
            </w:r>
          </w:p>
        </w:tc>
        <w:tc>
          <w:tcPr>
            <w:tcW w:w="54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636.7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21"/>
                <w:szCs w:val="2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$750.0 million fixed rate notes due September 2043</w:t>
            </w:r>
          </w:p>
        </w:tc>
        <w:tc>
          <w:tcPr>
            <w:tcW w:w="5460" w:type="dxa"/>
            <w:vAlign w:val="bottom"/>
          </w:tcPr>
          <w:p>
            <w:pPr>
              <w:jc w:val="right"/>
              <w:ind w:right="173"/>
              <w:spacing w:after="0"/>
              <w:rPr>
                <w:sz w:val="20"/>
                <w:szCs w:val="20"/>
                <w:color w:val="auto"/>
              </w:rPr>
            </w:pPr>
            <w:r>
              <w:rPr>
                <w:rFonts w:ascii="Arial" w:cs="Arial" w:eastAsia="Arial" w:hAnsi="Arial"/>
                <w:sz w:val="18"/>
                <w:szCs w:val="18"/>
                <w:color w:val="auto"/>
              </w:rPr>
              <w:t>777.4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$700.0 million fixed rate notes due June 2048</w:t>
            </w:r>
          </w:p>
        </w:tc>
        <w:tc>
          <w:tcPr>
            <w:tcW w:w="54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626.2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5460" w:type="dxa"/>
            <w:vAlign w:val="bottom"/>
          </w:tcPr>
          <w:p>
            <w:pPr>
              <w:jc w:val="right"/>
              <w:ind w:right="4293"/>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94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6"/>
              </w:rPr>
              <w:t>Quarter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4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r>
      <w:tr>
        <w:trPr>
          <w:trHeight w:val="188"/>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r>
      <w:tr>
        <w:trPr>
          <w:trHeight w:val="23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w:t>
            </w: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12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164</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128</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1"/>
        </w:trPr>
        <w:tc>
          <w:tcPr>
            <w:tcW w:w="6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i w:val="1"/>
                <w:iCs w:val="1"/>
                <w:color w:val="auto"/>
              </w:rPr>
              <w:t>(in millions)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Less: preferred stock dividends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undistributed earnings allocated to preferred stock</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 of CME Group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767.8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654.1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1,640.5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 xml:space="preserve">Weighted Average Number of Common Shares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358,940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358,625</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Effect of stock options, restricted stock and performance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359,179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6"/>
              </w:rPr>
              <w:t>Earnings per Common Share Attributable to Common Shareholders of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2022, filed with the SEC on February 27, 2023.</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5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3"/>
              </w:rPr>
              <w:t>1,360.2</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3"/>
              </w:rPr>
              <w:t>1,237.2</w:t>
            </w:r>
          </w:p>
        </w:tc>
        <w:tc>
          <w:tcPr>
            <w:tcW w:w="13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2,801.8</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2,583.8</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521.6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487.5</w:t>
            </w:r>
          </w:p>
        </w:tc>
        <w:tc>
          <w:tcPr>
            <w:tcW w:w="1380" w:type="dxa"/>
            <w:vAlign w:val="bottom"/>
            <w:gridSpan w:val="2"/>
          </w:tcPr>
          <w:p>
            <w:pPr>
              <w:jc w:val="right"/>
              <w:ind w:right="24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1,049.5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975.0</w:t>
            </w:r>
          </w:p>
        </w:tc>
        <w:tc>
          <w:tcPr>
            <w:tcW w:w="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61.7 %</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62.3 %</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177.8</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117.0</w:t>
            </w:r>
          </w:p>
        </w:tc>
        <w:tc>
          <w:tcPr>
            <w:tcW w:w="1380" w:type="dxa"/>
            <w:vAlign w:val="bottom"/>
            <w:gridSpan w:val="2"/>
          </w:tcPr>
          <w:p>
            <w:pPr>
              <w:jc w:val="right"/>
              <w:ind w:right="242"/>
              <w:spacing w:after="0"/>
              <w:rPr>
                <w:sz w:val="20"/>
                <w:szCs w:val="20"/>
                <w:color w:val="auto"/>
              </w:rPr>
            </w:pPr>
            <w:r>
              <w:rPr>
                <w:rFonts w:ascii="Arial" w:cs="Arial" w:eastAsia="Arial" w:hAnsi="Arial"/>
                <w:sz w:val="18"/>
                <w:szCs w:val="18"/>
                <w:color w:val="auto"/>
              </w:rPr>
              <w:t>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421.0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23.5 %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23.0 %</w:t>
            </w: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777.6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662.5</w:t>
            </w:r>
          </w:p>
        </w:tc>
        <w:tc>
          <w:tcPr>
            <w:tcW w:w="1380" w:type="dxa"/>
            <w:vAlign w:val="bottom"/>
            <w:gridSpan w:val="2"/>
          </w:tcPr>
          <w:p>
            <w:pPr>
              <w:jc w:val="right"/>
              <w:ind w:right="242"/>
              <w:spacing w:after="0"/>
              <w:rPr>
                <w:sz w:val="20"/>
                <w:szCs w:val="20"/>
                <w:color w:val="auto"/>
              </w:rPr>
            </w:pPr>
            <w:r>
              <w:rPr>
                <w:rFonts w:ascii="Arial" w:cs="Arial" w:eastAsia="Arial" w:hAnsi="Arial"/>
                <w:sz w:val="18"/>
                <w:szCs w:val="18"/>
                <w:color w:val="auto"/>
              </w:rPr>
              <w:t>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1,661.4</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1,373.5</w:t>
            </w:r>
          </w:p>
        </w:tc>
        <w:tc>
          <w:tcPr>
            <w:tcW w:w="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1.82</w:t>
            </w:r>
          </w:p>
        </w:tc>
        <w:tc>
          <w:tcPr>
            <w:tcW w:w="13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1,552.8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1,416.7</w:t>
            </w:r>
          </w:p>
        </w:tc>
        <w:tc>
          <w:tcPr>
            <w:tcW w:w="8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35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20" w:type="dxa"/>
            <w:vAlign w:val="bottom"/>
            <w:gridSpan w:val="5"/>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and transaction fees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151.7</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tcBorders>
              <w:bottom w:val="single" w:sz="8" w:color="auto"/>
            </w:tcBorders>
            <w:shd w:val="clear" w:color="auto" w:fill="CCEEFF"/>
          </w:tcPr>
          <w:p>
            <w:pPr>
              <w:spacing w:after="0"/>
              <w:rPr>
                <w:sz w:val="21"/>
                <w:szCs w:val="21"/>
                <w:color w:val="auto"/>
              </w:rPr>
            </w:pP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1,237.2</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2,583.8</w:t>
            </w:r>
          </w:p>
        </w:tc>
        <w:tc>
          <w:tcPr>
            <w:tcW w:w="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 Contracts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2022</w:t>
            </w:r>
          </w:p>
        </w:tc>
        <w:tc>
          <w:tcPr>
            <w:tcW w:w="14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1,417.0</w:t>
            </w: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1,429.4</w:t>
            </w:r>
          </w:p>
        </w:tc>
        <w:tc>
          <w:tcPr>
            <w:tcW w:w="14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3,083.2</w:t>
            </w: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3,036.5</w:t>
            </w: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0"/>
              </w:rPr>
              <w:t>2 %</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1,025.3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925.4</w:t>
            </w:r>
          </w:p>
        </w:tc>
        <w:tc>
          <w:tcPr>
            <w:tcW w:w="1440" w:type="dxa"/>
            <w:vAlign w:val="bottom"/>
          </w:tcPr>
          <w:p>
            <w:pPr>
              <w:ind w:left="96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2,130.9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1,959.8</w:t>
            </w:r>
          </w:p>
        </w:tc>
        <w:tc>
          <w:tcPr>
            <w:tcW w:w="1340" w:type="dxa"/>
            <w:vAlign w:val="bottom"/>
          </w:tcPr>
          <w:p>
            <w:pPr>
              <w:ind w:left="10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0.724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0.647</w:t>
            </w:r>
          </w:p>
        </w:tc>
        <w:tc>
          <w:tcPr>
            <w:tcW w:w="14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0.691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0.645</w:t>
            </w: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estimate the following net change in clearing and transaction fees based on the change in total contract volume and the change in average rate per contract for futures and options during the second quarter and first six months of 2023 when compared with the same periods in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37"/>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92"/>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4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due to a change in total contract volume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due to a change in average rate per contract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increases in clearing and transaction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120" w:type="dxa"/>
            <w:vAlign w:val="bottom"/>
          </w:tcPr>
          <w:p>
            <w:pPr>
              <w:spacing w:after="0"/>
              <w:rPr>
                <w:sz w:val="14"/>
                <w:szCs w:val="14"/>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98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132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Change</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Product Line:</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11,273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10,630</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6 %</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11,558</w:t>
            </w: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7,751</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7,851</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1,308</w:t>
            </w: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34</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Energy</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1,932</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9</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2,223</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1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27</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22,855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23,055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24,864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24,488</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w:t>
            </w: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Venue:</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CME Globex</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21,531</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22,539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22,796</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outcry</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1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55</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878</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negotiated</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799</w:t>
            </w:r>
          </w:p>
        </w:tc>
        <w:tc>
          <w:tcPr>
            <w:tcW w:w="1120" w:type="dxa"/>
            <w:vAlign w:val="bottom"/>
            <w:tcBorders>
              <w:bottom w:val="single" w:sz="8" w:color="CCEEFF"/>
            </w:tcBorders>
          </w:tcPr>
          <w:p>
            <w:pPr>
              <w:jc w:val="right"/>
              <w:ind w:right="272"/>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814</w:t>
            </w:r>
          </w:p>
        </w:tc>
        <w:tc>
          <w:tcPr>
            <w:tcW w:w="98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17</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volume</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23,055</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24,864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24,488</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Electronic Volume as a Percentage of Total Volume</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93 %</w:t>
            </w:r>
          </w:p>
        </w:tc>
        <w:tc>
          <w:tcPr>
            <w:tcW w:w="1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93 %</w:t>
            </w:r>
          </w:p>
        </w:tc>
        <w:tc>
          <w:tcPr>
            <w:tcW w:w="980" w:type="dxa"/>
            <w:vAlign w:val="bottom"/>
          </w:tcPr>
          <w:p>
            <w:pPr>
              <w:spacing w:after="0"/>
              <w:rPr>
                <w:sz w:val="20"/>
                <w:szCs w:val="20"/>
                <w:color w:val="auto"/>
              </w:rPr>
            </w:pPr>
          </w:p>
        </w:tc>
      </w:tr>
    </w:tbl>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Market volatility within certain financial markets remained high throughout the first half of 2023. Interest rate and foreign exchange volatility were higher as a result of higher inflation levels and market uncertainty following the collapse of two U.S. regional banks as well as uncertainty surrounding the Federal Reserve's interest rate policy decision. The Federal Open Markets Committee (FOMC) has raised the federal funds rate multiple times throughout 2023 and has signaled the potential for future additional hikes. In addition, the energy markets were more volatile in the second quarter of 2023 due to a shift in global supply caused by production cuts by the Organization of the Petroleum Exporting Countries (OPEC). However, overall equity index volatility leveled off following higher volatility in early 2022 caused by tensions and geopolitical uncertainty between Russia and Ukraine. We believe these factors contributed to total volume remaining relatively flat in the second quarter of 2023 and first six months of 2023 when compared with the same periods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interest rate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0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Quarter Ended</w:t>
            </w:r>
          </w:p>
        </w:tc>
        <w:tc>
          <w:tcPr>
            <w:tcW w:w="1460" w:type="dxa"/>
            <w:vAlign w:val="bottom"/>
          </w:tcPr>
          <w:p>
            <w:pPr>
              <w:spacing w:after="0"/>
              <w:rPr>
                <w:sz w:val="14"/>
                <w:szCs w:val="14"/>
                <w:color w:val="auto"/>
              </w:rPr>
            </w:pPr>
          </w:p>
        </w:tc>
        <w:tc>
          <w:tcPr>
            <w:tcW w:w="230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r>
      <w:tr>
        <w:trPr>
          <w:trHeight w:val="192"/>
        </w:trPr>
        <w:tc>
          <w:tcPr>
            <w:tcW w:w="3840" w:type="dxa"/>
            <w:vAlign w:val="bottom"/>
          </w:tcPr>
          <w:p>
            <w:pPr>
              <w:spacing w:after="0"/>
              <w:rPr>
                <w:sz w:val="16"/>
                <w:szCs w:val="16"/>
                <w:color w:val="auto"/>
              </w:rPr>
            </w:pP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5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Eurodollar futures and options:</w:t>
            </w: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3840" w:type="dxa"/>
            <w:vAlign w:val="bottom"/>
          </w:tcPr>
          <w:p>
            <w:pPr>
              <w:ind w:left="360"/>
              <w:spacing w:after="0"/>
              <w:rPr>
                <w:sz w:val="20"/>
                <w:szCs w:val="20"/>
                <w:color w:val="auto"/>
              </w:rPr>
            </w:pPr>
            <w:r>
              <w:rPr>
                <w:rFonts w:ascii="Arial" w:cs="Arial" w:eastAsia="Arial" w:hAnsi="Arial"/>
                <w:sz w:val="18"/>
                <w:szCs w:val="18"/>
                <w:color w:val="auto"/>
              </w:rPr>
              <w:t>Futures expiring within two years</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28</w:t>
            </w:r>
          </w:p>
        </w:tc>
        <w:tc>
          <w:tcPr>
            <w:tcW w:w="800" w:type="dxa"/>
            <w:vAlign w:val="bottom"/>
          </w:tcPr>
          <w:p>
            <w:pPr>
              <w:jc w:val="right"/>
              <w:spacing w:after="0"/>
              <w:rPr>
                <w:sz w:val="20"/>
                <w:szCs w:val="20"/>
                <w:color w:val="auto"/>
              </w:rPr>
            </w:pPr>
            <w:r>
              <w:rPr>
                <w:rFonts w:ascii="Arial" w:cs="Arial" w:eastAsia="Arial" w:hAnsi="Arial"/>
                <w:sz w:val="18"/>
                <w:szCs w:val="18"/>
                <w:color w:val="auto"/>
              </w:rPr>
              <w:t>1,142</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(98)%</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176</w:t>
            </w:r>
          </w:p>
        </w:tc>
        <w:tc>
          <w:tcPr>
            <w:tcW w:w="800" w:type="dxa"/>
            <w:vAlign w:val="bottom"/>
          </w:tcPr>
          <w:p>
            <w:pPr>
              <w:jc w:val="right"/>
              <w:spacing w:after="0"/>
              <w:rPr>
                <w:sz w:val="20"/>
                <w:szCs w:val="20"/>
                <w:color w:val="auto"/>
              </w:rPr>
            </w:pPr>
            <w:r>
              <w:rPr>
                <w:rFonts w:ascii="Arial" w:cs="Arial" w:eastAsia="Arial" w:hAnsi="Arial"/>
                <w:sz w:val="18"/>
                <w:szCs w:val="18"/>
                <w:color w:val="auto"/>
              </w:rPr>
              <w:t>1,506</w:t>
            </w: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(97)</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(93)</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Futures expiring beyond two years</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467</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42</w:t>
            </w:r>
          </w:p>
        </w:tc>
        <w:tc>
          <w:tcPr>
            <w:tcW w:w="800" w:type="dxa"/>
            <w:vAlign w:val="bottom"/>
          </w:tcPr>
          <w:p>
            <w:pPr>
              <w:jc w:val="right"/>
              <w:spacing w:after="0"/>
              <w:rPr>
                <w:sz w:val="20"/>
                <w:szCs w:val="20"/>
                <w:color w:val="auto"/>
              </w:rPr>
            </w:pPr>
            <w:r>
              <w:rPr>
                <w:rFonts w:ascii="Arial" w:cs="Arial" w:eastAsia="Arial" w:hAnsi="Arial"/>
                <w:sz w:val="18"/>
                <w:szCs w:val="18"/>
                <w:color w:val="auto"/>
              </w:rPr>
              <w:t>639</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(93)</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 futures and options:</w:t>
            </w: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Futures expiring within two years</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2,403</w:t>
            </w:r>
          </w:p>
        </w:tc>
        <w:tc>
          <w:tcPr>
            <w:tcW w:w="800" w:type="dxa"/>
            <w:vAlign w:val="bottom"/>
          </w:tcPr>
          <w:p>
            <w:pPr>
              <w:jc w:val="right"/>
              <w:spacing w:after="0"/>
              <w:rPr>
                <w:sz w:val="20"/>
                <w:szCs w:val="20"/>
                <w:color w:val="auto"/>
              </w:rPr>
            </w:pPr>
            <w:r>
              <w:rPr>
                <w:rFonts w:ascii="Arial" w:cs="Arial" w:eastAsia="Arial" w:hAnsi="Arial"/>
                <w:sz w:val="18"/>
                <w:szCs w:val="18"/>
                <w:color w:val="auto"/>
              </w:rPr>
              <w:t>1,388</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73</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2,702</w:t>
            </w:r>
          </w:p>
        </w:tc>
        <w:tc>
          <w:tcPr>
            <w:tcW w:w="800" w:type="dxa"/>
            <w:vAlign w:val="bottom"/>
          </w:tcPr>
          <w:p>
            <w:pPr>
              <w:jc w:val="right"/>
              <w:spacing w:after="0"/>
              <w:rPr>
                <w:sz w:val="20"/>
                <w:szCs w:val="20"/>
                <w:color w:val="auto"/>
              </w:rPr>
            </w:pPr>
            <w:r>
              <w:rPr>
                <w:rFonts w:ascii="Arial" w:cs="Arial" w:eastAsia="Arial" w:hAnsi="Arial"/>
                <w:sz w:val="18"/>
                <w:szCs w:val="18"/>
                <w:color w:val="auto"/>
              </w:rPr>
              <w:t>1,216</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122</w:t>
            </w: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1,615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n.m.</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7"/>
        </w:trPr>
        <w:tc>
          <w:tcPr>
            <w:tcW w:w="3840" w:type="dxa"/>
            <w:vAlign w:val="bottom"/>
          </w:tcPr>
          <w:p>
            <w:pPr>
              <w:ind w:left="360"/>
              <w:spacing w:after="0"/>
              <w:rPr>
                <w:sz w:val="20"/>
                <w:szCs w:val="20"/>
                <w:color w:val="auto"/>
              </w:rPr>
            </w:pPr>
            <w:r>
              <w:rPr>
                <w:rFonts w:ascii="Arial" w:cs="Arial" w:eastAsia="Arial" w:hAnsi="Arial"/>
                <w:sz w:val="18"/>
                <w:szCs w:val="18"/>
                <w:color w:val="auto"/>
              </w:rPr>
              <w:t>Futures expiring beyond two years</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688</w:t>
            </w: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185</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797</w:t>
            </w: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futures and options:</w:t>
            </w:r>
          </w:p>
        </w:tc>
        <w:tc>
          <w:tcPr>
            <w:tcW w:w="1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10-Year</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2,361</w:t>
            </w:r>
          </w:p>
        </w:tc>
        <w:tc>
          <w:tcPr>
            <w:tcW w:w="800" w:type="dxa"/>
            <w:vAlign w:val="bottom"/>
          </w:tcPr>
          <w:p>
            <w:pPr>
              <w:jc w:val="right"/>
              <w:spacing w:after="0"/>
              <w:rPr>
                <w:sz w:val="20"/>
                <w:szCs w:val="20"/>
                <w:color w:val="auto"/>
              </w:rPr>
            </w:pPr>
            <w:r>
              <w:rPr>
                <w:rFonts w:ascii="Arial" w:cs="Arial" w:eastAsia="Arial" w:hAnsi="Arial"/>
                <w:sz w:val="18"/>
                <w:szCs w:val="18"/>
                <w:color w:val="auto"/>
              </w:rPr>
              <w:t>2,466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2,641</w:t>
            </w:r>
          </w:p>
        </w:tc>
        <w:tc>
          <w:tcPr>
            <w:tcW w:w="800" w:type="dxa"/>
            <w:vAlign w:val="bottom"/>
          </w:tcPr>
          <w:p>
            <w:pPr>
              <w:jc w:val="right"/>
              <w:spacing w:after="0"/>
              <w:rPr>
                <w:sz w:val="20"/>
                <w:szCs w:val="20"/>
                <w:color w:val="auto"/>
              </w:rPr>
            </w:pPr>
            <w:r>
              <w:rPr>
                <w:rFonts w:ascii="Arial" w:cs="Arial" w:eastAsia="Arial" w:hAnsi="Arial"/>
                <w:sz w:val="18"/>
                <w:szCs w:val="18"/>
                <w:color w:val="auto"/>
              </w:rPr>
              <w:t>2,661</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43"/>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1,728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2-Year</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781</w:t>
            </w: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804</w:t>
            </w:r>
          </w:p>
        </w:tc>
        <w:tc>
          <w:tcPr>
            <w:tcW w:w="800" w:type="dxa"/>
            <w:vAlign w:val="bottom"/>
          </w:tcPr>
          <w:p>
            <w:pPr>
              <w:jc w:val="right"/>
              <w:spacing w:after="0"/>
              <w:rPr>
                <w:sz w:val="20"/>
                <w:szCs w:val="20"/>
                <w:color w:val="auto"/>
              </w:rPr>
            </w:pPr>
            <w:r>
              <w:rPr>
                <w:rFonts w:ascii="Arial" w:cs="Arial" w:eastAsia="Arial" w:hAnsi="Arial"/>
                <w:sz w:val="18"/>
                <w:szCs w:val="18"/>
                <w:color w:val="auto"/>
              </w:rPr>
              <w:t>730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Bond</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w:t>
            </w:r>
          </w:p>
        </w:tc>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Federal Funds futures and options</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486</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62</w:t>
            </w:r>
          </w:p>
        </w:tc>
        <w:tc>
          <w:tcPr>
            <w:tcW w:w="1500" w:type="dxa"/>
            <w:vAlign w:val="bottom"/>
          </w:tcPr>
          <w:p>
            <w:pPr>
              <w:jc w:val="right"/>
              <w:ind w:right="394"/>
              <w:spacing w:after="0"/>
              <w:rPr>
                <w:sz w:val="20"/>
                <w:szCs w:val="20"/>
                <w:color w:val="auto"/>
              </w:rPr>
            </w:pPr>
            <w:r>
              <w:rPr>
                <w:rFonts w:ascii="Arial" w:cs="Arial" w:eastAsia="Arial" w:hAnsi="Arial"/>
                <w:sz w:val="18"/>
                <w:szCs w:val="18"/>
                <w:color w:val="auto"/>
              </w:rPr>
              <w:t>544</w:t>
            </w:r>
          </w:p>
        </w:tc>
        <w:tc>
          <w:tcPr>
            <w:tcW w:w="800" w:type="dxa"/>
            <w:vAlign w:val="bottom"/>
          </w:tcPr>
          <w:p>
            <w:pPr>
              <w:jc w:val="right"/>
              <w:spacing w:after="0"/>
              <w:rPr>
                <w:sz w:val="20"/>
                <w:szCs w:val="20"/>
                <w:color w:val="auto"/>
              </w:rPr>
            </w:pPr>
            <w:r>
              <w:rPr>
                <w:rFonts w:ascii="Arial" w:cs="Arial" w:eastAsia="Arial" w:hAnsi="Arial"/>
                <w:sz w:val="18"/>
                <w:szCs w:val="18"/>
                <w:color w:val="auto"/>
              </w:rPr>
              <w:t>357</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52</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n.m. not meaningful</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the second quarter and first six months of 2023, overall interest rate contract volumes increased when compared with the same periods in 2022. We believe these volume increases were due to higher interest rate volatility as a result of higher inflation levels and indications by the Federal Open Market Committee of possible future rate hikes. In addition, market uncertainty following the collapse of two U.S. regional banks also led to higher interest rate volatility. The increase in Secured Overnight Financing Rate contract (SOFR) volumes and the corresponding decrease in Eurodollar volumes were due to more market participants transitioning to the new reference rate and away from Eurodollar contracts, which are based on LIBOR. The publication of the LIBOR rate concluded in the second quarter of 2023.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index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20" w:type="dxa"/>
            <w:vAlign w:val="bottom"/>
            <w:gridSpan w:val="2"/>
          </w:tcPr>
          <w:p>
            <w:pPr>
              <w:jc w:val="right"/>
              <w:ind w:right="595"/>
              <w:spacing w:after="0"/>
              <w:rPr>
                <w:sz w:val="20"/>
                <w:szCs w:val="20"/>
                <w:color w:val="auto"/>
              </w:rPr>
            </w:pPr>
            <w:r>
              <w:rPr>
                <w:rFonts w:ascii="Arial" w:cs="Arial" w:eastAsia="Arial" w:hAnsi="Arial"/>
                <w:sz w:val="14"/>
                <w:szCs w:val="14"/>
                <w:b w:val="1"/>
                <w:bCs w:val="1"/>
                <w:color w:val="auto"/>
              </w:rPr>
              <w:t>Quarter Ended</w:t>
            </w:r>
          </w:p>
        </w:tc>
        <w:tc>
          <w:tcPr>
            <w:tcW w:w="1440" w:type="dxa"/>
            <w:vAlign w:val="bottom"/>
          </w:tcPr>
          <w:p>
            <w:pPr>
              <w:spacing w:after="0"/>
              <w:rPr>
                <w:sz w:val="14"/>
                <w:szCs w:val="14"/>
                <w:color w:val="auto"/>
              </w:rPr>
            </w:pPr>
          </w:p>
        </w:tc>
        <w:tc>
          <w:tcPr>
            <w:tcW w:w="2300" w:type="dxa"/>
            <w:vAlign w:val="bottom"/>
            <w:gridSpan w:val="2"/>
          </w:tcPr>
          <w:p>
            <w:pPr>
              <w:jc w:val="right"/>
              <w:ind w:right="495"/>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1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82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S&amp;P 500 futures and options</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3,836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(15)%</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4,218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E-mini Nasdaq 100 futures and options</w:t>
            </w:r>
          </w:p>
        </w:tc>
        <w:tc>
          <w:tcPr>
            <w:tcW w:w="1520" w:type="dxa"/>
            <w:vAlign w:val="bottom"/>
          </w:tcPr>
          <w:p>
            <w:pPr>
              <w:jc w:val="right"/>
              <w:ind w:right="399"/>
              <w:spacing w:after="0"/>
              <w:rPr>
                <w:sz w:val="20"/>
                <w:szCs w:val="20"/>
                <w:color w:val="auto"/>
              </w:rPr>
            </w:pPr>
            <w:r>
              <w:rPr>
                <w:rFonts w:ascii="Arial" w:cs="Arial" w:eastAsia="Arial" w:hAnsi="Arial"/>
                <w:sz w:val="18"/>
                <w:szCs w:val="18"/>
                <w:color w:val="auto"/>
              </w:rPr>
              <w:t>1,675</w:t>
            </w:r>
          </w:p>
        </w:tc>
        <w:tc>
          <w:tcPr>
            <w:tcW w:w="800" w:type="dxa"/>
            <w:vAlign w:val="bottom"/>
          </w:tcPr>
          <w:p>
            <w:pPr>
              <w:jc w:val="right"/>
              <w:spacing w:after="0"/>
              <w:rPr>
                <w:sz w:val="20"/>
                <w:szCs w:val="20"/>
                <w:color w:val="auto"/>
              </w:rPr>
            </w:pPr>
            <w:r>
              <w:rPr>
                <w:rFonts w:ascii="Arial" w:cs="Arial" w:eastAsia="Arial" w:hAnsi="Arial"/>
                <w:sz w:val="18"/>
                <w:szCs w:val="18"/>
                <w:color w:val="auto"/>
              </w:rPr>
              <w:t>2,324</w:t>
            </w:r>
          </w:p>
        </w:tc>
        <w:tc>
          <w:tcPr>
            <w:tcW w:w="1440" w:type="dxa"/>
            <w:vAlign w:val="bottom"/>
          </w:tcPr>
          <w:p>
            <w:pPr>
              <w:ind w:left="860"/>
              <w:spacing w:after="0"/>
              <w:rPr>
                <w:sz w:val="20"/>
                <w:szCs w:val="20"/>
                <w:color w:val="auto"/>
              </w:rPr>
            </w:pPr>
            <w:r>
              <w:rPr>
                <w:rFonts w:ascii="Arial" w:cs="Arial" w:eastAsia="Arial" w:hAnsi="Arial"/>
                <w:sz w:val="18"/>
                <w:szCs w:val="18"/>
                <w:color w:val="auto"/>
              </w:rPr>
              <w:t>(28)</w:t>
            </w:r>
          </w:p>
        </w:tc>
        <w:tc>
          <w:tcPr>
            <w:tcW w:w="1520" w:type="dxa"/>
            <w:vAlign w:val="bottom"/>
          </w:tcPr>
          <w:p>
            <w:pPr>
              <w:jc w:val="right"/>
              <w:ind w:right="399"/>
              <w:spacing w:after="0"/>
              <w:rPr>
                <w:sz w:val="20"/>
                <w:szCs w:val="20"/>
                <w:color w:val="auto"/>
              </w:rPr>
            </w:pPr>
            <w:r>
              <w:rPr>
                <w:rFonts w:ascii="Arial" w:cs="Arial" w:eastAsia="Arial" w:hAnsi="Arial"/>
                <w:sz w:val="18"/>
                <w:szCs w:val="18"/>
                <w:color w:val="auto"/>
              </w:rPr>
              <w:t>1,786</w:t>
            </w:r>
          </w:p>
        </w:tc>
        <w:tc>
          <w:tcPr>
            <w:tcW w:w="780" w:type="dxa"/>
            <w:vAlign w:val="bottom"/>
          </w:tcPr>
          <w:p>
            <w:pPr>
              <w:jc w:val="right"/>
              <w:spacing w:after="0"/>
              <w:rPr>
                <w:sz w:val="20"/>
                <w:szCs w:val="20"/>
                <w:color w:val="auto"/>
              </w:rPr>
            </w:pPr>
            <w:r>
              <w:rPr>
                <w:rFonts w:ascii="Arial" w:cs="Arial" w:eastAsia="Arial" w:hAnsi="Arial"/>
                <w:sz w:val="18"/>
                <w:szCs w:val="18"/>
                <w:color w:val="auto"/>
              </w:rPr>
              <w:t>2,352</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Russell 2000 futures and options</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(21)</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the second quarter and first six months of 2023, equity index contract volumes decreased when compared with the same periods in 2022, which we believe was due to lower overall equity volatility. The first half of 2022 saw significant uncertainty within the equity markets as a result of higher than expected inflation, as well as rising tensions and geopolitical uncertainty with Russia and Ukraine. We believe these factors led to lower overall equity contract volumes.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00" w:type="dxa"/>
            <w:vAlign w:val="bottom"/>
            <w:gridSpan w:val="2"/>
          </w:tcPr>
          <w:p>
            <w:pPr>
              <w:jc w:val="right"/>
              <w:ind w:right="594"/>
              <w:spacing w:after="0"/>
              <w:rPr>
                <w:sz w:val="20"/>
                <w:szCs w:val="20"/>
                <w:color w:val="auto"/>
              </w:rPr>
            </w:pPr>
            <w:r>
              <w:rPr>
                <w:rFonts w:ascii="Arial" w:cs="Arial" w:eastAsia="Arial" w:hAnsi="Arial"/>
                <w:sz w:val="14"/>
                <w:szCs w:val="14"/>
                <w:b w:val="1"/>
                <w:bCs w:val="1"/>
                <w:color w:val="auto"/>
              </w:rPr>
              <w:t>Quarter Ended</w:t>
            </w:r>
          </w:p>
        </w:tc>
        <w:tc>
          <w:tcPr>
            <w:tcW w:w="1460" w:type="dxa"/>
            <w:vAlign w:val="bottom"/>
          </w:tcPr>
          <w:p>
            <w:pPr>
              <w:spacing w:after="0"/>
              <w:rPr>
                <w:sz w:val="14"/>
                <w:szCs w:val="14"/>
                <w:color w:val="auto"/>
              </w:rPr>
            </w:pPr>
          </w:p>
        </w:tc>
        <w:tc>
          <w:tcPr>
            <w:tcW w:w="228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6"/>
        </w:trPr>
        <w:tc>
          <w:tcPr>
            <w:tcW w:w="3840" w:type="dxa"/>
            <w:vAlign w:val="bottom"/>
          </w:tcPr>
          <w:p>
            <w:pPr>
              <w:spacing w:after="0"/>
              <w:rPr>
                <w:sz w:val="17"/>
                <w:szCs w:val="17"/>
                <w:color w:val="auto"/>
              </w:rPr>
            </w:pPr>
          </w:p>
        </w:tc>
        <w:tc>
          <w:tcPr>
            <w:tcW w:w="15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52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50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5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240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1 %</w:t>
            </w:r>
          </w:p>
        </w:tc>
        <w:tc>
          <w:tcPr>
            <w:tcW w:w="15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254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1520" w:type="dxa"/>
            <w:vAlign w:val="bottom"/>
          </w:tcPr>
          <w:p>
            <w:pPr>
              <w:jc w:val="right"/>
              <w:ind w:right="418"/>
              <w:spacing w:after="0"/>
              <w:rPr>
                <w:sz w:val="20"/>
                <w:szCs w:val="20"/>
                <w:color w:val="auto"/>
              </w:rPr>
            </w:pPr>
            <w:r>
              <w:rPr>
                <w:rFonts w:ascii="Arial" w:cs="Arial" w:eastAsia="Arial" w:hAnsi="Arial"/>
                <w:sz w:val="18"/>
                <w:szCs w:val="18"/>
                <w:color w:val="auto"/>
              </w:rPr>
              <w:t>183</w:t>
            </w: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1460" w:type="dxa"/>
            <w:vAlign w:val="bottom"/>
          </w:tcPr>
          <w:p>
            <w:pPr>
              <w:ind w:left="1040"/>
              <w:spacing w:after="0"/>
              <w:rPr>
                <w:sz w:val="20"/>
                <w:szCs w:val="20"/>
                <w:color w:val="auto"/>
              </w:rPr>
            </w:pPr>
            <w:r>
              <w:rPr>
                <w:rFonts w:ascii="Arial" w:cs="Arial" w:eastAsia="Arial" w:hAnsi="Arial"/>
                <w:sz w:val="18"/>
                <w:szCs w:val="18"/>
                <w:color w:val="auto"/>
              </w:rPr>
              <w:t>7</w:t>
            </w:r>
          </w:p>
        </w:tc>
        <w:tc>
          <w:tcPr>
            <w:tcW w:w="1500" w:type="dxa"/>
            <w:vAlign w:val="bottom"/>
          </w:tcPr>
          <w:p>
            <w:pPr>
              <w:jc w:val="right"/>
              <w:ind w:right="398"/>
              <w:spacing w:after="0"/>
              <w:rPr>
                <w:sz w:val="20"/>
                <w:szCs w:val="20"/>
                <w:color w:val="auto"/>
              </w:rPr>
            </w:pPr>
            <w:r>
              <w:rPr>
                <w:rFonts w:ascii="Arial" w:cs="Arial" w:eastAsia="Arial" w:hAnsi="Arial"/>
                <w:sz w:val="18"/>
                <w:szCs w:val="18"/>
                <w:color w:val="auto"/>
              </w:rPr>
              <w:t>178</w:t>
            </w: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17</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15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w:t>
            </w:r>
          </w:p>
        </w:tc>
        <w:tc>
          <w:tcPr>
            <w:tcW w:w="15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Australian dollar</w:t>
            </w:r>
          </w:p>
        </w:tc>
        <w:tc>
          <w:tcPr>
            <w:tcW w:w="1520" w:type="dxa"/>
            <w:vAlign w:val="bottom"/>
          </w:tcPr>
          <w:p>
            <w:pPr>
              <w:jc w:val="right"/>
              <w:ind w:right="418"/>
              <w:spacing w:after="0"/>
              <w:rPr>
                <w:sz w:val="20"/>
                <w:szCs w:val="20"/>
                <w:color w:val="auto"/>
              </w:rPr>
            </w:pPr>
            <w:r>
              <w:rPr>
                <w:rFonts w:ascii="Arial" w:cs="Arial" w:eastAsia="Arial" w:hAnsi="Arial"/>
                <w:sz w:val="18"/>
                <w:szCs w:val="18"/>
                <w:color w:val="auto"/>
              </w:rPr>
              <w:t>96</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(11)</w:t>
            </w:r>
          </w:p>
        </w:tc>
        <w:tc>
          <w:tcPr>
            <w:tcW w:w="1500" w:type="dxa"/>
            <w:vAlign w:val="bottom"/>
          </w:tcPr>
          <w:p>
            <w:pPr>
              <w:jc w:val="right"/>
              <w:ind w:right="398"/>
              <w:spacing w:after="0"/>
              <w:rPr>
                <w:sz w:val="20"/>
                <w:szCs w:val="20"/>
                <w:color w:val="auto"/>
              </w:rPr>
            </w:pPr>
            <w:r>
              <w:rPr>
                <w:rFonts w:ascii="Arial" w:cs="Arial" w:eastAsia="Arial" w:hAnsi="Arial"/>
                <w:sz w:val="18"/>
                <w:szCs w:val="18"/>
                <w:color w:val="auto"/>
              </w:rPr>
              <w:t>100</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(5)</w:t>
            </w:r>
          </w:p>
        </w:tc>
      </w:tr>
    </w:tbl>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second quarter and first six months of 2023, overall foreign exchange volumes were relatively flat, when compared with the same periods in 2022, which we believe is due to lower overall volatility relative to prior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00" w:type="dxa"/>
            <w:vAlign w:val="bottom"/>
            <w:gridSpan w:val="2"/>
          </w:tcPr>
          <w:p>
            <w:pPr>
              <w:jc w:val="right"/>
              <w:ind w:right="595"/>
              <w:spacing w:after="0"/>
              <w:rPr>
                <w:sz w:val="20"/>
                <w:szCs w:val="20"/>
                <w:color w:val="auto"/>
              </w:rPr>
            </w:pPr>
            <w:r>
              <w:rPr>
                <w:rFonts w:ascii="Arial" w:cs="Arial" w:eastAsia="Arial" w:hAnsi="Arial"/>
                <w:sz w:val="14"/>
                <w:szCs w:val="14"/>
                <w:b w:val="1"/>
                <w:bCs w:val="1"/>
                <w:color w:val="auto"/>
              </w:rPr>
              <w:t>Quarter Ended</w:t>
            </w:r>
          </w:p>
        </w:tc>
        <w:tc>
          <w:tcPr>
            <w:tcW w:w="1460" w:type="dxa"/>
            <w:vAlign w:val="bottom"/>
          </w:tcPr>
          <w:p>
            <w:pPr>
              <w:spacing w:after="0"/>
              <w:rPr>
                <w:sz w:val="14"/>
                <w:szCs w:val="14"/>
                <w:color w:val="auto"/>
              </w:rPr>
            </w:pPr>
          </w:p>
        </w:tc>
        <w:tc>
          <w:tcPr>
            <w:tcW w:w="228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8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Corn</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564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20 %</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488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Soybean</w:t>
            </w:r>
          </w:p>
        </w:tc>
        <w:tc>
          <w:tcPr>
            <w:tcW w:w="1500" w:type="dxa"/>
            <w:vAlign w:val="bottom"/>
          </w:tcPr>
          <w:p>
            <w:pPr>
              <w:jc w:val="right"/>
              <w:ind w:right="399"/>
              <w:spacing w:after="0"/>
              <w:rPr>
                <w:sz w:val="20"/>
                <w:szCs w:val="20"/>
                <w:color w:val="auto"/>
              </w:rPr>
            </w:pPr>
            <w:r>
              <w:rPr>
                <w:rFonts w:ascii="Arial" w:cs="Arial" w:eastAsia="Arial" w:hAnsi="Arial"/>
                <w:sz w:val="18"/>
                <w:szCs w:val="18"/>
                <w:color w:val="auto"/>
              </w:rPr>
              <w:t>353</w:t>
            </w: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1460" w:type="dxa"/>
            <w:vAlign w:val="bottom"/>
          </w:tcPr>
          <w:p>
            <w:pPr>
              <w:ind w:left="960"/>
              <w:spacing w:after="0"/>
              <w:rPr>
                <w:sz w:val="20"/>
                <w:szCs w:val="20"/>
                <w:color w:val="auto"/>
              </w:rPr>
            </w:pPr>
            <w:r>
              <w:rPr>
                <w:rFonts w:ascii="Arial" w:cs="Arial" w:eastAsia="Arial" w:hAnsi="Arial"/>
                <w:sz w:val="18"/>
                <w:szCs w:val="18"/>
                <w:color w:val="auto"/>
              </w:rPr>
              <w:t>32</w:t>
            </w:r>
          </w:p>
        </w:tc>
        <w:tc>
          <w:tcPr>
            <w:tcW w:w="1500" w:type="dxa"/>
            <w:vAlign w:val="bottom"/>
          </w:tcPr>
          <w:p>
            <w:pPr>
              <w:jc w:val="right"/>
              <w:ind w:right="399"/>
              <w:spacing w:after="0"/>
              <w:rPr>
                <w:sz w:val="20"/>
                <w:szCs w:val="20"/>
                <w:color w:val="auto"/>
              </w:rPr>
            </w:pPr>
            <w:r>
              <w:rPr>
                <w:rFonts w:ascii="Arial" w:cs="Arial" w:eastAsia="Arial" w:hAnsi="Arial"/>
                <w:sz w:val="18"/>
                <w:szCs w:val="18"/>
                <w:color w:val="auto"/>
              </w:rPr>
              <w:t>326</w:t>
            </w: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Wheat</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244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45</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215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60"/>
        <w:spacing w:after="0" w:line="241" w:lineRule="auto"/>
        <w:rPr>
          <w:sz w:val="20"/>
          <w:szCs w:val="20"/>
          <w:color w:val="auto"/>
        </w:rPr>
      </w:pPr>
      <w:r>
        <w:rPr>
          <w:rFonts w:ascii="Arial" w:cs="Arial" w:eastAsia="Arial" w:hAnsi="Arial"/>
          <w:sz w:val="18"/>
          <w:szCs w:val="18"/>
          <w:color w:val="auto"/>
        </w:rPr>
        <w:t>Overall commodity contract volumes increased in the second quarter and first six months of 2023 when compared with the same periods in 2022. We believe these increases are due to higher overall market volatility as a result of weather uncertainty due to a drier than average 2023 growing season. In addition, the first half of 2022 saw lower overall volatility within the commodities markets due to risk aversion by market participants following price increases and global trade uncertainty resulting from the conflict between Russia and Ukraine. We believe these factors contributed to higher overall commodity volumes.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20" w:type="dxa"/>
            <w:vAlign w:val="bottom"/>
            <w:gridSpan w:val="2"/>
          </w:tcPr>
          <w:p>
            <w:pPr>
              <w:jc w:val="right"/>
              <w:ind w:right="615"/>
              <w:spacing w:after="0"/>
              <w:rPr>
                <w:sz w:val="20"/>
                <w:szCs w:val="20"/>
                <w:color w:val="auto"/>
              </w:rPr>
            </w:pPr>
            <w:r>
              <w:rPr>
                <w:rFonts w:ascii="Arial" w:cs="Arial" w:eastAsia="Arial" w:hAnsi="Arial"/>
                <w:sz w:val="14"/>
                <w:szCs w:val="14"/>
                <w:b w:val="1"/>
                <w:bCs w:val="1"/>
                <w:color w:val="auto"/>
              </w:rPr>
              <w:t>Quarter Ended</w:t>
            </w:r>
          </w:p>
        </w:tc>
        <w:tc>
          <w:tcPr>
            <w:tcW w:w="1440" w:type="dxa"/>
            <w:vAlign w:val="bottom"/>
          </w:tcPr>
          <w:p>
            <w:pPr>
              <w:spacing w:after="0"/>
              <w:rPr>
                <w:sz w:val="14"/>
                <w:szCs w:val="14"/>
                <w:color w:val="auto"/>
              </w:rPr>
            </w:pPr>
          </w:p>
        </w:tc>
        <w:tc>
          <w:tcPr>
            <w:tcW w:w="2300" w:type="dxa"/>
            <w:vAlign w:val="bottom"/>
            <w:gridSpan w:val="2"/>
          </w:tcPr>
          <w:p>
            <w:pPr>
              <w:jc w:val="right"/>
              <w:ind w:right="495"/>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20" w:type="dxa"/>
            <w:vAlign w:val="bottom"/>
          </w:tcPr>
          <w:p>
            <w:pPr>
              <w:spacing w:after="0"/>
              <w:rPr>
                <w:sz w:val="16"/>
                <w:szCs w:val="16"/>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 crude oil</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1,076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10 %</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1,072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520" w:type="dxa"/>
            <w:vAlign w:val="bottom"/>
          </w:tcPr>
          <w:p>
            <w:pPr>
              <w:jc w:val="right"/>
              <w:ind w:right="399"/>
              <w:spacing w:after="0"/>
              <w:rPr>
                <w:sz w:val="20"/>
                <w:szCs w:val="20"/>
                <w:color w:val="auto"/>
              </w:rPr>
            </w:pPr>
            <w:r>
              <w:rPr>
                <w:rFonts w:ascii="Arial" w:cs="Arial" w:eastAsia="Arial" w:hAnsi="Arial"/>
                <w:sz w:val="18"/>
                <w:szCs w:val="18"/>
                <w:color w:val="auto"/>
              </w:rPr>
              <w:t>600</w:t>
            </w:r>
          </w:p>
        </w:tc>
        <w:tc>
          <w:tcPr>
            <w:tcW w:w="800" w:type="dxa"/>
            <w:vAlign w:val="bottom"/>
          </w:tcPr>
          <w:p>
            <w:pPr>
              <w:jc w:val="right"/>
              <w:spacing w:after="0"/>
              <w:rPr>
                <w:sz w:val="20"/>
                <w:szCs w:val="20"/>
                <w:color w:val="auto"/>
              </w:rPr>
            </w:pPr>
            <w:r>
              <w:rPr>
                <w:rFonts w:ascii="Arial" w:cs="Arial" w:eastAsia="Arial" w:hAnsi="Arial"/>
                <w:sz w:val="18"/>
                <w:szCs w:val="18"/>
                <w:color w:val="auto"/>
              </w:rPr>
              <w:t>554</w:t>
            </w:r>
          </w:p>
        </w:tc>
        <w:tc>
          <w:tcPr>
            <w:tcW w:w="1440" w:type="dxa"/>
            <w:vAlign w:val="bottom"/>
          </w:tcPr>
          <w:p>
            <w:pPr>
              <w:jc w:val="right"/>
              <w:ind w:right="235"/>
              <w:spacing w:after="0"/>
              <w:rPr>
                <w:sz w:val="20"/>
                <w:szCs w:val="20"/>
                <w:color w:val="auto"/>
              </w:rPr>
            </w:pPr>
            <w:r>
              <w:rPr>
                <w:rFonts w:ascii="Arial" w:cs="Arial" w:eastAsia="Arial" w:hAnsi="Arial"/>
                <w:sz w:val="18"/>
                <w:szCs w:val="18"/>
                <w:color w:val="auto"/>
              </w:rPr>
              <w:t>8</w:t>
            </w:r>
          </w:p>
        </w:tc>
        <w:tc>
          <w:tcPr>
            <w:tcW w:w="1520" w:type="dxa"/>
            <w:vAlign w:val="bottom"/>
          </w:tcPr>
          <w:p>
            <w:pPr>
              <w:jc w:val="right"/>
              <w:ind w:right="399"/>
              <w:spacing w:after="0"/>
              <w:rPr>
                <w:sz w:val="20"/>
                <w:szCs w:val="20"/>
                <w:color w:val="auto"/>
              </w:rPr>
            </w:pPr>
            <w:r>
              <w:rPr>
                <w:rFonts w:ascii="Arial" w:cs="Arial" w:eastAsia="Arial" w:hAnsi="Arial"/>
                <w:sz w:val="18"/>
                <w:szCs w:val="18"/>
                <w:color w:val="auto"/>
              </w:rPr>
              <w:t>599</w:t>
            </w:r>
          </w:p>
        </w:tc>
        <w:tc>
          <w:tcPr>
            <w:tcW w:w="780" w:type="dxa"/>
            <w:vAlign w:val="bottom"/>
          </w:tcPr>
          <w:p>
            <w:pPr>
              <w:jc w:val="right"/>
              <w:spacing w:after="0"/>
              <w:rPr>
                <w:sz w:val="20"/>
                <w:szCs w:val="20"/>
                <w:color w:val="auto"/>
              </w:rPr>
            </w:pPr>
            <w:r>
              <w:rPr>
                <w:rFonts w:ascii="Arial" w:cs="Arial" w:eastAsia="Arial" w:hAnsi="Arial"/>
                <w:sz w:val="18"/>
                <w:szCs w:val="18"/>
                <w:color w:val="auto"/>
              </w:rPr>
              <w:t>548</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w:t>
            </w:r>
          </w:p>
        </w:tc>
      </w:tr>
      <w:tr>
        <w:trPr>
          <w:trHeight w:val="23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Refined products</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339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333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w:t>
            </w:r>
          </w:p>
        </w:tc>
      </w:tr>
    </w:tbl>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Energy contract volume increased in the second quarter of 2023 when compared with the same period in 2022 due to higher overall market volatility in the second quarter of 2023. The high volatility is a result of OPEC production cuts, which impacted total overall oil supply despite an increase in global demand. In addition, market uncertainty as a result of the Russia and Ukraine conflict has led to an increase in overall natural gas volume.</w:t>
      </w:r>
    </w:p>
    <w:p>
      <w:pPr>
        <w:spacing w:after="0" w:line="44"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 the first six months of 2023 when compared with the same period in 2022, overall energy volume decreased largely due to lower overall market volatility relative to the prior six month period. Market volatility was higher particularly in the first quarter of 2022 as a result of the Russia and Ukraine conflict, which we believe led to the overall decrease in energy contract volume.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00" w:type="dxa"/>
            <w:vAlign w:val="bottom"/>
            <w:gridSpan w:val="2"/>
          </w:tcPr>
          <w:p>
            <w:pPr>
              <w:jc w:val="right"/>
              <w:ind w:right="594"/>
              <w:spacing w:after="0"/>
              <w:rPr>
                <w:sz w:val="20"/>
                <w:szCs w:val="20"/>
                <w:color w:val="auto"/>
              </w:rPr>
            </w:pPr>
            <w:r>
              <w:rPr>
                <w:rFonts w:ascii="Arial" w:cs="Arial" w:eastAsia="Arial" w:hAnsi="Arial"/>
                <w:sz w:val="14"/>
                <w:szCs w:val="14"/>
                <w:b w:val="1"/>
                <w:bCs w:val="1"/>
                <w:color w:val="auto"/>
              </w:rPr>
              <w:t>Quarter Ended</w:t>
            </w:r>
          </w:p>
        </w:tc>
        <w:tc>
          <w:tcPr>
            <w:tcW w:w="1460" w:type="dxa"/>
            <w:vAlign w:val="bottom"/>
          </w:tcPr>
          <w:p>
            <w:pPr>
              <w:spacing w:after="0"/>
              <w:rPr>
                <w:sz w:val="14"/>
                <w:szCs w:val="14"/>
                <w:color w:val="auto"/>
              </w:rPr>
            </w:pPr>
          </w:p>
        </w:tc>
        <w:tc>
          <w:tcPr>
            <w:tcW w:w="228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6"/>
        </w:trPr>
        <w:tc>
          <w:tcPr>
            <w:tcW w:w="3840" w:type="dxa"/>
            <w:vAlign w:val="bottom"/>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5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366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27 %</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382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2"/>
              </w:rPr>
              <w:t>13 %</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Copper</w:t>
            </w:r>
          </w:p>
        </w:tc>
        <w:tc>
          <w:tcPr>
            <w:tcW w:w="1500" w:type="dxa"/>
            <w:vAlign w:val="bottom"/>
          </w:tcPr>
          <w:p>
            <w:pPr>
              <w:jc w:val="right"/>
              <w:ind w:right="399"/>
              <w:spacing w:after="0"/>
              <w:rPr>
                <w:sz w:val="20"/>
                <w:szCs w:val="20"/>
                <w:color w:val="auto"/>
              </w:rPr>
            </w:pPr>
            <w:r>
              <w:rPr>
                <w:rFonts w:ascii="Arial" w:cs="Arial" w:eastAsia="Arial" w:hAnsi="Arial"/>
                <w:sz w:val="18"/>
                <w:szCs w:val="18"/>
                <w:color w:val="auto"/>
              </w:rPr>
              <w:t>116</w:t>
            </w: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1460" w:type="dxa"/>
            <w:vAlign w:val="bottom"/>
          </w:tcPr>
          <w:p>
            <w:pPr>
              <w:ind w:left="960"/>
              <w:spacing w:after="0"/>
              <w:rPr>
                <w:sz w:val="20"/>
                <w:szCs w:val="20"/>
                <w:color w:val="auto"/>
              </w:rPr>
            </w:pPr>
            <w:r>
              <w:rPr>
                <w:rFonts w:ascii="Arial" w:cs="Arial" w:eastAsia="Arial" w:hAnsi="Arial"/>
                <w:sz w:val="18"/>
                <w:szCs w:val="18"/>
                <w:color w:val="auto"/>
              </w:rPr>
              <w:t>30</w:t>
            </w:r>
          </w:p>
        </w:tc>
        <w:tc>
          <w:tcPr>
            <w:tcW w:w="1500" w:type="dxa"/>
            <w:vAlign w:val="bottom"/>
          </w:tcPr>
          <w:p>
            <w:pPr>
              <w:jc w:val="right"/>
              <w:ind w:right="399"/>
              <w:spacing w:after="0"/>
              <w:rPr>
                <w:sz w:val="20"/>
                <w:szCs w:val="20"/>
                <w:color w:val="auto"/>
              </w:rPr>
            </w:pPr>
            <w:r>
              <w:rPr>
                <w:rFonts w:ascii="Arial" w:cs="Arial" w:eastAsia="Arial" w:hAnsi="Arial"/>
                <w:sz w:val="18"/>
                <w:szCs w:val="18"/>
                <w:color w:val="auto"/>
              </w:rPr>
              <w:t>120</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1360" w:type="dxa"/>
            <w:vAlign w:val="bottom"/>
          </w:tcPr>
          <w:p>
            <w:pPr>
              <w:ind w:left="960"/>
              <w:spacing w:after="0"/>
              <w:rPr>
                <w:sz w:val="20"/>
                <w:szCs w:val="20"/>
                <w:color w:val="auto"/>
              </w:rPr>
            </w:pPr>
            <w:r>
              <w:rPr>
                <w:rFonts w:ascii="Arial" w:cs="Arial" w:eastAsia="Arial" w:hAnsi="Arial"/>
                <w:sz w:val="18"/>
                <w:szCs w:val="18"/>
                <w:color w:val="auto"/>
              </w:rPr>
              <w:t>34</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Silver</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98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18</w:t>
            </w:r>
          </w:p>
        </w:tc>
        <w:tc>
          <w:tcPr>
            <w:tcW w:w="15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14</w:t>
            </w:r>
          </w:p>
        </w:tc>
      </w:tr>
      <w:tr>
        <w:trPr>
          <w:trHeight w:val="878"/>
        </w:trPr>
        <w:tc>
          <w:tcPr>
            <w:tcW w:w="3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jc w:val="right"/>
              <w:ind w:right="334"/>
              <w:spacing w:after="0"/>
              <w:rPr>
                <w:sz w:val="20"/>
                <w:szCs w:val="20"/>
                <w:color w:val="auto"/>
              </w:rPr>
            </w:pPr>
            <w:r>
              <w:rPr>
                <w:rFonts w:ascii="Arial" w:cs="Arial" w:eastAsia="Arial" w:hAnsi="Arial"/>
                <w:sz w:val="18"/>
                <w:szCs w:val="18"/>
                <w:color w:val="auto"/>
              </w:rPr>
              <w:t>25</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second quarter and first six months of 2023, overall metal contract volumes increased when compared with the same periods in 2022. Market uncertainty following the collapse of two U.S. regional banks and the Federal Reserve's interest rate policy decisions led to an overall increase in demand for gold and other precious metals as safe-haven investments. In addition, copper contract volumes increased largely due to an increase in demand for copper in China following the lifting of restrictions from the COVID pandemic. We believe these factors led to the overall increases in metal contract volumes.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0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average rates per contract increased in the second quarter and first six months of 2023, when compared with the same periods in 2022. The increases in the average rate per contract were primarily due to an increase to our fee structure that went into effect on February 1, 2023.</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Total clearing and transaction fees revenues in the second quarter and first six months of 2023 include $69.9 million and $144.9 million of transaction fees attributable to the cash markets business, compared with $81.9 million and $168.6 million in the second quarter and first six months of 2022. This revenue primarily includes BrokerTec Americas LLC's fixed income volume and EBS's foreign exchange volume.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center"/>
              <w:ind w:right="176"/>
              <w:spacing w:after="0"/>
              <w:rPr>
                <w:sz w:val="20"/>
                <w:szCs w:val="20"/>
                <w:color w:val="auto"/>
              </w:rPr>
            </w:pPr>
            <w:r>
              <w:rPr>
                <w:rFonts w:ascii="Arial" w:cs="Arial" w:eastAsia="Arial" w:hAnsi="Arial"/>
                <w:sz w:val="14"/>
                <w:szCs w:val="14"/>
                <w:b w:val="1"/>
                <w:bCs w:val="1"/>
                <w:color w:val="auto"/>
                <w:w w:val="93"/>
              </w:rPr>
              <w:t>Six Months Ended</w:t>
            </w:r>
          </w:p>
        </w:tc>
        <w:tc>
          <w:tcPr>
            <w:tcW w:w="1340" w:type="dxa"/>
            <w:vAlign w:val="bottom"/>
          </w:tcPr>
          <w:p>
            <w:pPr>
              <w:spacing w:after="0"/>
              <w:rPr>
                <w:sz w:val="14"/>
                <w:szCs w:val="14"/>
                <w:color w:val="auto"/>
              </w:rPr>
            </w:pPr>
          </w:p>
        </w:tc>
      </w:tr>
      <w:tr>
        <w:trPr>
          <w:trHeight w:val="196"/>
        </w:trPr>
        <w:tc>
          <w:tcPr>
            <w:tcW w:w="3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2022</w:t>
            </w:r>
          </w:p>
        </w:tc>
        <w:tc>
          <w:tcPr>
            <w:tcW w:w="15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fixed income transaction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37.9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7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(10)%  $</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77.1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EBS foreign exchange transaction fees</w:t>
            </w:r>
          </w:p>
        </w:tc>
        <w:tc>
          <w:tcPr>
            <w:tcW w:w="2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1500" w:type="dxa"/>
            <w:vAlign w:val="bottom"/>
          </w:tcPr>
          <w:p>
            <w:pPr>
              <w:ind w:left="9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67.8</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82.2</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related average daily notional value for the second quarter and first six months of 2023 and 2022 were as follows: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96"/>
              </w:rPr>
              <w:t>Quarter Ended</w:t>
            </w: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center"/>
              <w:ind w:right="195"/>
              <w:spacing w:after="0"/>
              <w:rPr>
                <w:sz w:val="20"/>
                <w:szCs w:val="20"/>
                <w:color w:val="auto"/>
              </w:rPr>
            </w:pPr>
            <w:r>
              <w:rPr>
                <w:rFonts w:ascii="Arial" w:cs="Arial" w:eastAsia="Arial" w:hAnsi="Arial"/>
                <w:sz w:val="14"/>
                <w:szCs w:val="14"/>
                <w:b w:val="1"/>
                <w:bCs w:val="1"/>
                <w:color w:val="auto"/>
                <w:w w:val="93"/>
              </w:rPr>
              <w:t>Six Months Ended</w:t>
            </w:r>
          </w:p>
        </w:tc>
        <w:tc>
          <w:tcPr>
            <w:tcW w:w="1340" w:type="dxa"/>
            <w:vAlign w:val="bottom"/>
          </w:tcPr>
          <w:p>
            <w:pPr>
              <w:spacing w:after="0"/>
              <w:rPr>
                <w:sz w:val="14"/>
                <w:szCs w:val="14"/>
                <w:color w:val="auto"/>
              </w:rPr>
            </w:pPr>
          </w:p>
        </w:tc>
      </w:tr>
      <w:tr>
        <w:trPr>
          <w:trHeight w:val="192"/>
        </w:trPr>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9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billions)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c>
          <w:tcPr>
            <w:tcW w:w="14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Repo (in euros)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352.2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2 %  $</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353.4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98.9</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134.1</w:t>
            </w: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111.3</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(21)</w:t>
            </w:r>
          </w:p>
        </w:tc>
      </w:tr>
      <w:tr>
        <w:trPr>
          <w:trHeight w:val="23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FX</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54.8</w:t>
            </w: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59.6</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Overall average daily notional values and transactions revenues for the cash markets business were lower in the second quarter and first six months of 2023 compared with the same periods in 2022. We believe the decreases in U.S. Treasury and spot FX average daily notional values were due to overall lower volatility in the first half of 2023 when compared with the same period in 2022. Volatility within the U.S. Treasury and spot FX markets was higher in the first half of 2022 as a result of the conflict between Russia and Ukraine and uncertainty surrounding the Federal Reserve's interest rate policy in early 2022. The slight increase in European Repo average daily notional values were largely due to a change in market expectations regarding the European Central Bank's interest rate policy. Transaction revenues for BrokerTec and EBS also decreased in the second quarter and first six months of 2023 when compared with the same periods in 2022 due to lower volumes of trading.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No one individual firm represented 10% of our clearing and transaction fees in the first six months of 2023.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Market data and information services</w:t>
      </w:r>
      <w:r>
        <w:rPr>
          <w:rFonts w:ascii="Arial" w:cs="Arial" w:eastAsia="Arial" w:hAnsi="Arial"/>
          <w:sz w:val="18"/>
          <w:szCs w:val="18"/>
          <w:color w:val="auto"/>
        </w:rPr>
        <w:t>. During the second quarter and first six months of 2023, overall market data and information services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when compared with the same period in 2022, largely due to price increases for certain products.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two largest resellers of our market data represented approximately 32% of our market data and information services revenue in the first six months of 2023.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institutional customers that utilize services from our two largest resellers report usage and remit payment of their fees directly to us.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In the second quarter and first six months of 2023, the increases in other revenues when compared with the same period in 2022 were</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attributable to higher custody fees as well as increases in co-location and other connectivity fees.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Quarter Ended</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4"/>
                <w:szCs w:val="14"/>
                <w:color w:val="auto"/>
              </w:rPr>
            </w:pPr>
          </w:p>
        </w:tc>
      </w:tr>
      <w:tr>
        <w:trPr>
          <w:trHeight w:val="192"/>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11 %</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3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115.5</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164.0</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2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487.5</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1,049.5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975.0</w:t>
            </w:r>
          </w:p>
        </w:tc>
        <w:tc>
          <w:tcPr>
            <w:tcW w:w="134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increased by $34.1 million and $74.5 million in the second quarter and first six months of 2023 when compared with the same periods in 2022. The following table shows the estimated impacts of key factors resulting in the changes in operating expenses: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3"/>
          </w:tcPr>
          <w:p>
            <w:pPr>
              <w:jc w:val="right"/>
              <w:ind w:right="721"/>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3"/>
          </w:tcPr>
          <w:p>
            <w:pPr>
              <w:jc w:val="center"/>
              <w:ind w:right="64"/>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center"/>
              <w:ind w:right="44"/>
              <w:spacing w:after="0"/>
              <w:rPr>
                <w:sz w:val="20"/>
                <w:szCs w:val="20"/>
                <w:color w:val="auto"/>
              </w:rPr>
            </w:pPr>
            <w:r>
              <w:rPr>
                <w:rFonts w:ascii="Arial" w:cs="Arial" w:eastAsia="Arial" w:hAnsi="Arial"/>
                <w:sz w:val="14"/>
                <w:szCs w:val="14"/>
                <w:b w:val="1"/>
                <w:bCs w:val="1"/>
                <w:color w:val="auto"/>
                <w:w w:val="92"/>
              </w:rPr>
              <w:t>June 30, 2023</w:t>
            </w: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9"/>
              </w:rPr>
              <w:t>Amount of</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 of</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4"/>
        </w:trPr>
        <w:tc>
          <w:tcPr>
            <w:tcW w:w="5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Percentage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Salaries, benefits and employer taxes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16.7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fluctuation</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14.9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Professional fees and outside services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12.3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support services</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Building maintenance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w w:val="97"/>
              </w:rPr>
              <w:t>(5.4)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7"/>
              </w:rPr>
              <w:t>(5.3)</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Total increase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ind w:left="540"/>
              <w:spacing w:after="0"/>
              <w:rPr>
                <w:sz w:val="20"/>
                <w:szCs w:val="20"/>
                <w:color w:val="auto"/>
              </w:rPr>
            </w:pPr>
            <w:r>
              <w:rPr>
                <w:rFonts w:ascii="Arial" w:cs="Arial" w:eastAsia="Arial" w:hAnsi="Arial"/>
                <w:sz w:val="18"/>
                <w:szCs w:val="18"/>
                <w:color w:val="auto"/>
              </w:rPr>
              <w:t>74.5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second quarter and first six months of 2023 when compared with the same periods in 2022 were as follows:</w:t>
      </w:r>
    </w:p>
    <w:p>
      <w:pPr>
        <w:spacing w:after="0" w:line="129" w:lineRule="exact"/>
        <w:rPr>
          <w:sz w:val="20"/>
          <w:szCs w:val="20"/>
          <w:color w:val="auto"/>
        </w:rPr>
      </w:pPr>
    </w:p>
    <w:p>
      <w:pPr>
        <w:ind w:left="660" w:right="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our non-qualified deferred compensation liability during the quarter and six months ended June 30, 2023, the impact of which does not affect net income because of an equal and offsetting change in investment income, contributed to increases in compensation and benefits expenses.</w:t>
      </w:r>
    </w:p>
    <w:p>
      <w:pPr>
        <w:spacing w:after="0" w:line="75"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Salaries, benefits and employer taxes were higher during the second quarter and first six months of 2023 when compared with the same periods in 2022, due to increases in headcount during the year, which were primarily attributable to additional headcount in the company's international locations.</w:t>
      </w:r>
    </w:p>
    <w:p>
      <w:pPr>
        <w:spacing w:after="0" w:line="75"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quarter and first six months of of 2023, we recognized a net loss of $1.1 million and $1.8 million, compared with a net gain of $8.8 million and $13.1 million during the same periods in 2022, due to currency exchange rate fluctuations. Gains and losses from exchange rate fluctuations are recognized in the consolidated statements of net income when subsidiaries with a U.S. dollar functional currency hold certain monetary assets and liabilities denominated in foreign currencies.</w:t>
      </w:r>
    </w:p>
    <w:p>
      <w:pPr>
        <w:spacing w:after="0" w:line="78" w:lineRule="exact"/>
        <w:rPr>
          <w:rFonts w:ascii="Arial" w:cs="Arial" w:eastAsia="Arial" w:hAnsi="Arial"/>
          <w:sz w:val="18"/>
          <w:szCs w:val="18"/>
          <w:color w:val="auto"/>
        </w:rPr>
      </w:pPr>
    </w:p>
    <w:p>
      <w:pPr>
        <w:ind w:left="660" w:right="1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fees and outside services expenses increased due to a greater reliance on consultants, specifically for the Google Cloud transformation project as well as an increase in legal fees related to our business activities and product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offerings. The increases in professional fees were partially offset by decreases in NEX integration fees, which have steadily declined since the second half of 2021.</w:t>
      </w:r>
    </w:p>
    <w:p>
      <w:pPr>
        <w:spacing w:after="0" w:line="62" w:lineRule="exact"/>
        <w:rPr>
          <w:sz w:val="20"/>
          <w:szCs w:val="20"/>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increases in expense related to technology support services were primarily driven by higher software license fees and third party services to support the ongoing Google Cloud transformation project.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Decreases in operating expenses in the second quarter and first six months of 2023 when compared with the same period in 2022 were as follows:</w:t>
      </w:r>
    </w:p>
    <w:p>
      <w:pPr>
        <w:spacing w:after="0" w:line="129" w:lineRule="exact"/>
        <w:rPr>
          <w:sz w:val="20"/>
          <w:szCs w:val="20"/>
          <w:color w:val="auto"/>
        </w:rPr>
      </w:pPr>
    </w:p>
    <w:p>
      <w:pPr>
        <w:ind w:left="660" w:right="3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decreases in building maintenance expense in the second quarter and first six months of 2023 were driven by declines in construction and relocation expenses related to the development of the SOFR options trading floor, which was completed in 2022.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4"/>
                <w:szCs w:val="14"/>
                <w:color w:val="auto"/>
              </w:rPr>
            </w:pPr>
          </w:p>
        </w:tc>
      </w:t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earnings of unconsolidated subsidiaries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180" w:type="dxa"/>
            <w:vAlign w:val="bottom"/>
          </w:tcPr>
          <w:p>
            <w:pPr>
              <w:ind w:left="72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5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n.m. not meaningful</w:t>
      </w:r>
    </w:p>
    <w:p>
      <w:pPr>
        <w:spacing w:after="0" w:line="122" w:lineRule="exact"/>
        <w:rPr>
          <w:sz w:val="20"/>
          <w:szCs w:val="20"/>
          <w:color w:val="auto"/>
        </w:rPr>
      </w:pPr>
    </w:p>
    <w:p>
      <w:pPr>
        <w:jc w:val="both"/>
        <w:ind w:right="120"/>
        <w:spacing w:after="0" w:line="296"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Earnings from cash performance bond and guaranty fund contributions that are reinvested increased in the second quarter and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2023 when compared with the same periods in 2022, due to a higher rate of interest earned in the cash accounts at the Federal Reserve Bank of Chicago following multiple interest rate hikes in 2022 and early 2023. In the second quarter and first six months of 2023, earnings from cash performance bond and guaranty fund contributions were $1,540.1 million and $2,796.4 million, compared with $295.5 million and $369.1 million in the second quarter and first six months of 2022. We also recognized higher net realized and unrealized gains on investments in the first six months of 2023.</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Lower income generated from our S&amp;P/Dow Jones Indices LLC (S&amp;P/DJI) business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to a decrease in equity in net earnings of unconsolidated subsidiaries in the second quarter and first six months of 2023 when compared with the same periods in 2022.</w:t>
      </w:r>
    </w:p>
    <w:p>
      <w:pPr>
        <w:spacing w:after="0" w:line="7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We recognized higher expenses related to the distribution of interest earned on performance bond collateral reinvestments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firms in conjunction with higher interest income earned on our reinvestment during the second quarter and first six months of 2023 when compared with the same periods in 2022. This was due to a higher Federal Funds rate in 2023 compared with the same periods in 2022. In the second quarter and first six months of 2023, expenses related to the distribution of interest earned on collateral reinvestments were $1,432.8 million and $2,596.3 million, compared with $223.5 million and $271.9 million in the second quarter and first six months of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4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 ended June 30</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23.5 %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Six months ended June 30</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89"/>
              </w:rPr>
              <w:t>23.6 %</w:t>
            </w:r>
          </w:p>
        </w:tc>
        <w:tc>
          <w:tcPr>
            <w:tcW w:w="1220" w:type="dxa"/>
            <w:vAlign w:val="bottom"/>
          </w:tcPr>
          <w:p>
            <w:pPr>
              <w:jc w:val="right"/>
              <w:spacing w:after="0"/>
              <w:rPr>
                <w:sz w:val="20"/>
                <w:szCs w:val="20"/>
                <w:color w:val="auto"/>
              </w:rPr>
            </w:pPr>
            <w:r>
              <w:rPr>
                <w:rFonts w:ascii="Arial" w:cs="Arial" w:eastAsia="Arial" w:hAnsi="Arial"/>
                <w:sz w:val="18"/>
                <w:szCs w:val="18"/>
                <w:color w:val="auto"/>
              </w:rPr>
              <w:t>23.0 %</w:t>
            </w:r>
          </w:p>
        </w:tc>
      </w:tr>
    </w:tbl>
    <w:p>
      <w:pPr>
        <w:spacing w:after="0" w:line="17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overall effective tax rate remained relatively consistent in the second quarter of 2023 when compared with the same period in 2022. In the first six months of 2023 when compared with the same period in 2022, the effective tax rate increased slightly because we recognized a benefit related to the settlement for various tax audits in the first quarter of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increased in the first six months of 2023 when compared with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an increase in revenue resulting from fee increases. Net cash provided by investing activities increased during the first six months of 2023 when compared with the same period in 2022. In the second quarter of 2022, we made an additional investment in S&amp;P/DJI of $410.0 million. Cash used in financing activities was higher during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first six months of 2023 when compared with the same period in 2022, due to a decrease in cash performance bonds and guaranty fund contributions.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June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Par Value</w:t>
            </w:r>
          </w:p>
        </w:tc>
      </w:tr>
      <w:tr>
        <w:trPr>
          <w:trHeight w:val="26"/>
        </w:trPr>
        <w:tc>
          <w:tcPr>
            <w:tcW w:w="72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due March 2032, stated rate of 2.65%</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7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3"/>
                <w:szCs w:val="23"/>
                <w:color w:val="auto"/>
                <w:vertAlign w:val="superscript"/>
              </w:rPr>
              <w:t>(2)</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due June 2048, stated rate of 4.15%</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17" w:lineRule="exact"/>
        <w:rPr>
          <w:sz w:val="20"/>
          <w:szCs w:val="20"/>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June 30, 2023, guaranty fund contributions available to collateralize the facility totaled $8.0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June 30, 2023, we have excess borrowing capacity for general corporate purposes of approximately $2.3 billion under our multi-currency revolving senior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we were in compliance with the various covenant requirements of all our debt facilities.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irrevocable standby letters of credit. At June 30, 2023, the letters of credit totaled $285.0 million. We also maintain a $350.0 million line of credit to meet our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June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Arial" w:cs="Arial" w:eastAsia="Arial" w:hAnsi="Arial"/>
                <w:sz w:val="14"/>
                <w:szCs w:val="14"/>
                <w:b w:val="1"/>
                <w:bCs w:val="1"/>
                <w:color w:val="auto"/>
              </w:rPr>
              <w:t>Short-Term</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Long-Term</w:t>
            </w:r>
          </w:p>
        </w:tc>
        <w:tc>
          <w:tcPr>
            <w:tcW w:w="1760" w:type="dxa"/>
            <w:vAlign w:val="bottom"/>
          </w:tcPr>
          <w:p>
            <w:pPr>
              <w:spacing w:after="0"/>
              <w:rPr>
                <w:sz w:val="16"/>
                <w:szCs w:val="16"/>
                <w:color w:val="auto"/>
              </w:rPr>
            </w:pPr>
          </w:p>
        </w:tc>
      </w:tr>
      <w:tr>
        <w:trPr>
          <w:trHeight w:val="209"/>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316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Debt Rating</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42"/>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Arial" w:cs="Arial" w:eastAsia="Arial" w:hAnsi="Arial"/>
                <w:sz w:val="18"/>
                <w:szCs w:val="18"/>
                <w:color w:val="auto"/>
                <w:w w:val="98"/>
              </w:rPr>
              <w:t>A1+</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Moody’s Investors Service, Inc.</w:t>
            </w:r>
          </w:p>
        </w:tc>
        <w:tc>
          <w:tcPr>
            <w:tcW w:w="3160" w:type="dxa"/>
            <w:vAlign w:val="bottom"/>
          </w:tcPr>
          <w:p>
            <w:pPr>
              <w:jc w:val="center"/>
              <w:ind w:left="1139"/>
              <w:spacing w:after="0"/>
              <w:rPr>
                <w:sz w:val="20"/>
                <w:szCs w:val="20"/>
                <w:color w:val="auto"/>
              </w:rPr>
            </w:pPr>
            <w:r>
              <w:rPr>
                <w:rFonts w:ascii="Arial" w:cs="Arial" w:eastAsia="Arial" w:hAnsi="Arial"/>
                <w:sz w:val="18"/>
                <w:szCs w:val="18"/>
                <w:color w:val="auto"/>
                <w:w w:val="81"/>
              </w:rPr>
              <w:t>P1</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$1.9 billion and $2.7 billion at June 30, 2023 and December 31, 2022,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8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CFTC as a Derivatives Clearing Organization (DCO). DCOs are required to maintain capital,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5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5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 There have not been material changes in our exposure to market risk since December 31, 2022. Refer to Item 7A. of CME Group’s Annual Report on Form 10-K for the year ended December 31, 2022, filed with the SEC on February 27, 2023, for additional information.</w:t>
      </w:r>
    </w:p>
    <w:p>
      <w:pPr>
        <w:spacing w:after="0" w:line="9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5" w:lineRule="exact"/>
        <w:rPr>
          <w:sz w:val="20"/>
          <w:szCs w:val="20"/>
          <w:color w:val="auto"/>
        </w:rPr>
      </w:pPr>
    </w:p>
    <w:p>
      <w:pPr>
        <w:ind w:right="20" w:firstLine="8"/>
        <w:spacing w:after="0" w:line="259"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8" w:lineRule="exact"/>
        <w:rPr>
          <w:rFonts w:ascii="Arial" w:cs="Arial" w:eastAsia="Arial" w:hAnsi="Arial"/>
          <w:sz w:val="18"/>
          <w:szCs w:val="18"/>
          <w:color w:val="auto"/>
        </w:rPr>
      </w:pPr>
    </w:p>
    <w:p>
      <w:pPr>
        <w:ind w:right="80" w:firstLine="8"/>
        <w:spacing w:after="0" w:line="26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June 30, 2023,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2022, filed with the SEC on February 27, 2023.</w:t>
      </w:r>
    </w:p>
    <w:p>
      <w:pPr>
        <w:spacing w:after="0" w:line="1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333333"/>
        </w:rPr>
        <w:t>There have been no material changes in the company's risk factors from those disclosed in the company's Annual Report on Form 10-K for the year ended December 31, 2022, filed with the SEC on February 27, 2023.</w:t>
      </w:r>
    </w:p>
    <w:p>
      <w:pPr>
        <w:spacing w:after="0" w:line="139"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 Total Number of Class A</w:t>
            </w:r>
          </w:p>
        </w:tc>
        <w:tc>
          <w:tcPr>
            <w:tcW w:w="262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(d) Maximum Number (or Approximate</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 of</w:t>
            </w: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6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w w:val="97"/>
              </w:rPr>
              <w:t>(b) Average Price</w:t>
            </w:r>
          </w:p>
        </w:tc>
        <w:tc>
          <w:tcPr>
            <w:tcW w:w="2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7"/>
              </w:rPr>
              <w:t>Shares Purchased as</w:t>
            </w:r>
          </w:p>
        </w:tc>
        <w:tc>
          <w:tcPr>
            <w:tcW w:w="26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39"/>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Class A</w:t>
            </w: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1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1"/>
              </w:rPr>
              <w:t>Part of Publicly Announced</w:t>
            </w:r>
          </w:p>
        </w:tc>
        <w:tc>
          <w:tcPr>
            <w:tcW w:w="262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Shares Purchased (1)</w:t>
            </w:r>
          </w:p>
        </w:tc>
        <w:tc>
          <w:tcPr>
            <w:tcW w:w="280" w:type="dxa"/>
            <w:vAlign w:val="bottom"/>
          </w:tcPr>
          <w:p>
            <w:pPr>
              <w:spacing w:after="0"/>
              <w:rPr>
                <w:sz w:val="16"/>
                <w:szCs w:val="16"/>
                <w:color w:val="auto"/>
              </w:rPr>
            </w:pPr>
          </w:p>
        </w:tc>
        <w:tc>
          <w:tcPr>
            <w:tcW w:w="1500" w:type="dxa"/>
            <w:vAlign w:val="bottom"/>
          </w:tcPr>
          <w:p>
            <w:pPr>
              <w:jc w:val="right"/>
              <w:ind w:right="337"/>
              <w:spacing w:after="0"/>
              <w:rPr>
                <w:sz w:val="20"/>
                <w:szCs w:val="20"/>
                <w:color w:val="auto"/>
              </w:rPr>
            </w:pPr>
            <w:r>
              <w:rPr>
                <w:rFonts w:ascii="Arial" w:cs="Arial" w:eastAsia="Arial" w:hAnsi="Arial"/>
                <w:sz w:val="14"/>
                <w:szCs w:val="14"/>
                <w:b w:val="1"/>
                <w:bCs w:val="1"/>
                <w:color w:val="auto"/>
              </w:rPr>
              <w:t>Paid Per Share</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Plans or Programs</w:t>
            </w:r>
          </w:p>
        </w:tc>
        <w:tc>
          <w:tcPr>
            <w:tcW w:w="26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6"/>
        </w:trPr>
        <w:tc>
          <w:tcPr>
            <w:tcW w:w="29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to April 30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192.12</w:t>
            </w:r>
          </w:p>
        </w:tc>
        <w:tc>
          <w:tcPr>
            <w:tcW w:w="218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  $</w:t>
            </w:r>
          </w:p>
        </w:tc>
        <w:tc>
          <w:tcPr>
            <w:tcW w:w="26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May 1 to May 31</w:t>
            </w: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1500" w:type="dxa"/>
            <w:vAlign w:val="bottom"/>
          </w:tcPr>
          <w:p>
            <w:pPr>
              <w:jc w:val="right"/>
              <w:ind w:right="97"/>
              <w:spacing w:after="0"/>
              <w:rPr>
                <w:sz w:val="20"/>
                <w:szCs w:val="20"/>
                <w:color w:val="auto"/>
              </w:rPr>
            </w:pPr>
            <w:r>
              <w:rPr>
                <w:rFonts w:ascii="Arial" w:cs="Arial" w:eastAsia="Arial" w:hAnsi="Arial"/>
                <w:sz w:val="18"/>
                <w:szCs w:val="18"/>
                <w:color w:val="auto"/>
              </w:rPr>
              <w:t>179.81</w:t>
            </w:r>
          </w:p>
        </w:tc>
        <w:tc>
          <w:tcPr>
            <w:tcW w:w="21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620" w:type="dxa"/>
            <w:vAlign w:val="bottom"/>
          </w:tcPr>
          <w:p>
            <w:pPr>
              <w:ind w:left="2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to June 30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181.62</w:t>
            </w:r>
          </w:p>
        </w:tc>
        <w:tc>
          <w:tcPr>
            <w:tcW w:w="218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6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8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4,739 shares of Class A common stock surrendered in the second quarter of 2023 to satisfy employees’ tax obligations upon the vesting of restricted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EXHIBITS</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8320" w:type="dxa"/>
            <w:vAlign w:val="bottom"/>
            <w:gridSpan w:val="11"/>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Amendment No. 7 to Credit Agreement, dated as of April 26, 2023, among Chicago Mercantile Exchange Inc.,</w:t>
              </w:r>
            </w:hyperlink>
          </w:p>
        </w:tc>
      </w:tr>
      <w:tr>
        <w:trPr>
          <w:trHeight w:val="156"/>
        </w:trPr>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Bank of America, N.A., in its capacity as administrative agent, Citibank, N.A., in its capacity as collateral agent</w:t>
              </w:r>
            </w:hyperlink>
          </w:p>
        </w:tc>
        <w:tc>
          <w:tcPr>
            <w:tcW w:w="80" w:type="dxa"/>
            <w:vAlign w:val="bottom"/>
            <w:tcBorders>
              <w:bottom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320" w:type="dxa"/>
            <w:vAlign w:val="bottom"/>
            <w:gridSpan w:val="11"/>
          </w:tcPr>
          <w:p>
            <w:pPr>
              <w:spacing w:after="0" w:line="169"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and collateral monitoring agent, and the banks party thereto. The Amended Credit Agreement, as amended through</w:t>
              </w:r>
            </w:hyperlink>
          </w:p>
        </w:tc>
      </w:tr>
      <w:tr>
        <w:trPr>
          <w:trHeight w:val="156"/>
        </w:trPr>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Amendment No. 7, among Chicago Mercantile Exchange Inc., each of banks from time to time party thereto,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300" w:type="dxa"/>
            <w:vAlign w:val="bottom"/>
            <w:gridSpan w:val="10"/>
          </w:tcPr>
          <w:p>
            <w:pPr>
              <w:spacing w:after="0" w:line="15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of America, N.A., in its capacity as administrative agent, and Citibank, N.A., in its capacity as collateral agent and</w:t>
              </w:r>
            </w:hyperlink>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collateral monitoring agent, is attached as Annex A to Amendment No. 7 (incorporated by reference to Exhibit 10.1</w:t>
              </w:r>
            </w:hyperlink>
          </w:p>
        </w:tc>
        <w:tc>
          <w:tcPr>
            <w:tcW w:w="80" w:type="dxa"/>
            <w:vAlign w:val="bottom"/>
            <w:tcBorders>
              <w:bottom w:val="single" w:sz="8" w:color="0000FF"/>
            </w:tcBorders>
            <w:gridSpan w:val="3"/>
          </w:tcPr>
          <w:p>
            <w:pPr>
              <w:spacing w:after="0"/>
              <w:rPr>
                <w:sz w:val="14"/>
                <w:szCs w:val="14"/>
                <w:color w:val="auto"/>
              </w:rPr>
            </w:pPr>
          </w:p>
        </w:tc>
      </w:tr>
      <w:tr>
        <w:trPr>
          <w:trHeight w:val="156"/>
        </w:trPr>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320" w:type="dxa"/>
            <w:vAlign w:val="bottom"/>
            <w:gridSpan w:val="11"/>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to CME Group Inc.’s Current Report on Form 8-K, filed with the SEC on April 28, 2023).</w:t>
              </w:r>
            </w:hyperlink>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8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Section 302</w:t>
            </w:r>
          </w:p>
        </w:tc>
        <w:tc>
          <w:tcPr>
            <w:tcW w:w="560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Certification—Terrence A. Duffy</w:t>
            </w:r>
          </w:p>
        </w:tc>
        <w:tc>
          <w:tcPr>
            <w:tcW w:w="1840" w:type="dxa"/>
            <w:vAlign w:val="bottom"/>
            <w:gridSpan w:val="6"/>
          </w:tcPr>
          <w:p>
            <w:pPr>
              <w:spacing w:after="0"/>
              <w:rPr>
                <w:sz w:val="24"/>
                <w:szCs w:val="24"/>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8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Section 302</w:t>
            </w:r>
          </w:p>
        </w:tc>
        <w:tc>
          <w:tcPr>
            <w:tcW w:w="24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4"/>
              </w:rPr>
              <w:t>Certification—Lynne Fitzpatrick</w:t>
            </w:r>
          </w:p>
        </w:tc>
        <w:tc>
          <w:tcPr>
            <w:tcW w:w="20" w:type="dxa"/>
            <w:vAlign w:val="bottom"/>
            <w:tcBorders>
              <w:top w:val="single" w:sz="8" w:color="0000FF"/>
            </w:tcBorders>
          </w:tcPr>
          <w:p>
            <w:pPr>
              <w:spacing w:after="0"/>
              <w:rPr>
                <w:sz w:val="24"/>
                <w:szCs w:val="24"/>
                <w:color w:val="auto"/>
              </w:rPr>
            </w:pPr>
          </w:p>
        </w:tc>
        <w:tc>
          <w:tcPr>
            <w:tcW w:w="5020" w:type="dxa"/>
            <w:vAlign w:val="bottom"/>
            <w:gridSpan w:val="7"/>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8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Section 906</w:t>
            </w:r>
          </w:p>
        </w:tc>
        <w:tc>
          <w:tcPr>
            <w:tcW w:w="9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4"/>
              </w:rPr>
              <w:t>Certification</w:t>
            </w:r>
          </w:p>
        </w:tc>
        <w:tc>
          <w:tcPr>
            <w:tcW w:w="6500" w:type="dxa"/>
            <w:vAlign w:val="bottom"/>
            <w:gridSpan w:val="9"/>
          </w:tcPr>
          <w:p>
            <w:pPr>
              <w:spacing w:after="0"/>
              <w:rPr>
                <w:sz w:val="24"/>
                <w:szCs w:val="24"/>
                <w:color w:val="auto"/>
              </w:rPr>
            </w:pPr>
          </w:p>
        </w:tc>
      </w:tr>
      <w:tr>
        <w:trPr>
          <w:trHeight w:val="317"/>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8320" w:type="dxa"/>
            <w:vAlign w:val="bottom"/>
            <w:gridSpan w:val="11"/>
          </w:tcPr>
          <w:p>
            <w:pPr>
              <w:spacing w:after="0"/>
              <w:rPr>
                <w:sz w:val="20"/>
                <w:szCs w:val="20"/>
                <w:color w:val="auto"/>
              </w:rPr>
            </w:pPr>
            <w:r>
              <w:rPr>
                <w:rFonts w:ascii="Arial" w:cs="Arial" w:eastAsia="Arial" w:hAnsi="Arial"/>
                <w:sz w:val="18"/>
                <w:szCs w:val="18"/>
                <w:color w:val="auto"/>
                <w:w w:val="95"/>
              </w:rPr>
              <w:t>The following materials from CME Group Inc.’s Quarterly Report on Form 10-Q for the quarterly period ended</w:t>
            </w:r>
          </w:p>
        </w:tc>
      </w:tr>
      <w:tr>
        <w:trPr>
          <w:trHeight w:val="176"/>
        </w:trPr>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20" w:type="dxa"/>
            <w:vAlign w:val="bottom"/>
            <w:gridSpan w:val="11"/>
          </w:tcPr>
          <w:p>
            <w:pPr>
              <w:spacing w:after="0" w:line="176" w:lineRule="exact"/>
              <w:rPr>
                <w:sz w:val="20"/>
                <w:szCs w:val="20"/>
                <w:color w:val="auto"/>
              </w:rPr>
            </w:pPr>
            <w:r>
              <w:rPr>
                <w:rFonts w:ascii="Arial" w:cs="Arial" w:eastAsia="Arial" w:hAnsi="Arial"/>
                <w:sz w:val="18"/>
                <w:szCs w:val="18"/>
                <w:color w:val="auto"/>
                <w:w w:val="92"/>
              </w:rPr>
              <w:t>June 30, 2023, formatted in Inline XBRL (Xtensible Business Reporting Language): (i) the Consolidated Balance</w:t>
            </w:r>
          </w:p>
        </w:tc>
      </w:tr>
      <w:tr>
        <w:trPr>
          <w:trHeight w:val="191"/>
        </w:trPr>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320" w:type="dxa"/>
            <w:vAlign w:val="bottom"/>
            <w:gridSpan w:val="11"/>
          </w:tcPr>
          <w:p>
            <w:pPr>
              <w:spacing w:after="0" w:line="191" w:lineRule="exact"/>
              <w:rPr>
                <w:sz w:val="20"/>
                <w:szCs w:val="20"/>
                <w:color w:val="auto"/>
              </w:rPr>
            </w:pPr>
            <w:r>
              <w:rPr>
                <w:rFonts w:ascii="Arial" w:cs="Arial" w:eastAsia="Arial" w:hAnsi="Arial"/>
                <w:sz w:val="18"/>
                <w:szCs w:val="18"/>
                <w:color w:val="auto"/>
                <w:w w:val="92"/>
              </w:rPr>
              <w:t>Sheets, (ii) the Consolidated Statements of Income, (iii) the Consolidated Statements of Comprehensive Income,</w:t>
            </w:r>
          </w:p>
        </w:tc>
      </w:tr>
    </w:tbl>
    <w:p>
      <w:pPr>
        <w:ind w:left="1460" w:right="879" w:firstLine="9"/>
        <w:spacing w:after="0" w:line="233" w:lineRule="auto"/>
        <w:tabs>
          <w:tab w:leader="none" w:pos="17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Consolidated Statements of Equity, (v) the Consolidated Statements of Cash Flows and (vi) Notes to Unaudited Consolidated Financial Statements, tagged as blocks of text.</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7100" w:type="dxa"/>
            <w:vAlign w:val="bottom"/>
          </w:tcPr>
          <w:p>
            <w:pPr>
              <w:ind w:left="380"/>
              <w:spacing w:after="0"/>
              <w:rPr>
                <w:sz w:val="20"/>
                <w:szCs w:val="20"/>
                <w:color w:val="auto"/>
              </w:rPr>
            </w:pPr>
            <w:r>
              <w:rPr>
                <w:rFonts w:ascii="Arial" w:cs="Arial" w:eastAsia="Arial" w:hAnsi="Arial"/>
                <w:sz w:val="18"/>
                <w:szCs w:val="18"/>
                <w:color w:val="auto"/>
                <w:w w:val="92"/>
              </w:rPr>
              <w:t>Cover Page Interactive Data File included in the Inline XBRL Document Set for Exhibit 101.</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710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w:t>
            </w:r>
          </w:p>
        </w:tc>
      </w:tr>
      <w:tr>
        <w:trPr>
          <w:trHeight w:val="351"/>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710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710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CME Group Inc.</w:t>
      </w:r>
    </w:p>
    <w:p>
      <w:pPr>
        <w:ind w:left="512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20"/>
        <w:spacing w:after="0"/>
        <w:tabs>
          <w:tab w:leader="none" w:pos="5100" w:val="left"/>
          <w:tab w:leader="none" w:pos="7840" w:val="left"/>
        </w:tabs>
        <w:rPr>
          <w:sz w:val="20"/>
          <w:szCs w:val="20"/>
          <w:color w:val="auto"/>
        </w:rPr>
      </w:pPr>
      <w:r>
        <w:rPr>
          <w:rFonts w:ascii="Arial" w:cs="Arial" w:eastAsia="Arial" w:hAnsi="Arial"/>
          <w:sz w:val="18"/>
          <w:szCs w:val="18"/>
          <w:color w:val="auto"/>
        </w:rPr>
        <w:t>Dated: 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31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Lynne Fitzpatrick</w:t>
      </w:r>
    </w:p>
    <w:p>
      <w:pPr>
        <w:spacing w:after="0" w:line="158"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Senior Managing Director and Chief Financial Officer</w:t>
      </w:r>
    </w:p>
    <w:p>
      <w:pPr>
        <w:spacing w:after="0" w:line="144"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Financial Offer and</w:t>
      </w:r>
    </w:p>
    <w:p>
      <w:pPr>
        <w:spacing w:after="0" w:line="2"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100" w:firstLine="188"/>
        <w:spacing w:after="0" w:line="263" w:lineRule="auto"/>
        <w:tabs>
          <w:tab w:leader="none" w:pos="3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5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right="120" w:firstLine="188"/>
        <w:spacing w:after="0" w:line="277"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60" w:firstLine="188"/>
        <w:spacing w:after="0" w:line="277" w:lineRule="auto"/>
        <w:tabs>
          <w:tab w:leader="none" w:pos="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80" w:val="left"/>
        </w:tabs>
        <w:rPr>
          <w:sz w:val="20"/>
          <w:szCs w:val="20"/>
          <w:color w:val="auto"/>
        </w:rPr>
      </w:pPr>
      <w:r>
        <w:rPr>
          <w:rFonts w:ascii="Arial" w:cs="Arial" w:eastAsia="Arial" w:hAnsi="Arial"/>
          <w:sz w:val="18"/>
          <w:szCs w:val="18"/>
          <w:color w:val="auto"/>
        </w:rPr>
        <w:t>Dated: August 2, 2023</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22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Terrence A. Duffy</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98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100" w:firstLine="188"/>
        <w:spacing w:after="0" w:line="263" w:lineRule="auto"/>
        <w:tabs>
          <w:tab w:leader="none" w:pos="3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5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right="120" w:firstLine="188"/>
        <w:spacing w:after="0" w:line="277" w:lineRule="auto"/>
        <w:tabs>
          <w:tab w:leader="none" w:pos="3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60" w:firstLine="188"/>
        <w:spacing w:after="0" w:line="277"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Dated: August 2, 2023</w:t>
      </w:r>
      <w:r>
        <w:rPr>
          <w:sz w:val="20"/>
          <w:szCs w:val="20"/>
          <w:color w:val="auto"/>
        </w:rPr>
        <w:tab/>
      </w:r>
      <w:r>
        <w:rPr>
          <w:rFonts w:ascii="Arial" w:cs="Arial" w:eastAsia="Arial" w:hAnsi="Arial"/>
          <w:sz w:val="16"/>
          <w:szCs w:val="16"/>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Lynne Fitzpatrick</w:t>
      </w:r>
    </w:p>
    <w:p>
      <w:pPr>
        <w:spacing w:after="0" w:line="3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8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80" w:firstLine="180"/>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2023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65" w:lineRule="exact"/>
        <w:rPr>
          <w:sz w:val="20"/>
          <w:szCs w:val="20"/>
          <w:color w:val="auto"/>
        </w:rPr>
      </w:pPr>
    </w:p>
    <w:p>
      <w:pPr>
        <w:ind w:left="1080" w:hanging="24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480" w:firstLine="176"/>
        <w:spacing w:after="0" w:line="277" w:lineRule="auto"/>
        <w:tabs>
          <w:tab w:leader="none" w:pos="10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557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Terrence A. Duffy</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2023</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Lynne Fitzpatrick</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2023</w:t>
      </w:r>
    </w:p>
    <w:p>
      <w:pPr>
        <w:spacing w:after="0" w:line="104" w:lineRule="exact"/>
        <w:rPr>
          <w:sz w:val="20"/>
          <w:szCs w:val="20"/>
          <w:color w:val="auto"/>
        </w:rPr>
      </w:pPr>
    </w:p>
    <w:p>
      <w:pPr>
        <w:ind w:right="600" w:firstLine="180"/>
        <w:spacing w:after="0" w:line="334"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 w:lineRule="exact"/>
        <w:rPr>
          <w:sz w:val="20"/>
          <w:szCs w:val="20"/>
          <w:color w:val="auto"/>
        </w:rPr>
      </w:pPr>
    </w:p>
    <w:p>
      <w:pPr>
        <w:ind w:right="140" w:firstLine="180"/>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lowerRoman"/>
      <w:start w:val="4"/>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0" Type="http://schemas.openxmlformats.org/officeDocument/2006/relationships/hyperlink" Target="http://www.sec.gov/Archives/edgar/data/1156375/000119312523123953/d5002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2023-08-02T10:56:17Z</dcterms:created>
  <dcterms:modified xsi:type="dcterms:W3CDTF">2023-08-02T10:56:17Z</dcterms:modified>
</cp:coreProperties>
</file>